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7F681A" w14:textId="77777777" w:rsidR="00F109D4" w:rsidRPr="00731FEA" w:rsidRDefault="00F109D4" w:rsidP="00647BB7">
      <w:pPr>
        <w:pStyle w:val="Heading1"/>
        <w:spacing w:after="360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731FEA">
        <w:rPr>
          <w:rFonts w:ascii="Times New Roman" w:hAnsi="Times New Roman"/>
          <w:sz w:val="24"/>
          <w:szCs w:val="24"/>
        </w:rPr>
        <w:t>EXPLANATORY STATEMENT</w:t>
      </w:r>
    </w:p>
    <w:p w14:paraId="6AC970CE" w14:textId="6C789869" w:rsidR="007662C7" w:rsidRPr="00731FEA" w:rsidRDefault="00F109D4" w:rsidP="003E1CE3">
      <w:pPr>
        <w:pStyle w:val="Heading2"/>
        <w:jc w:val="center"/>
        <w:rPr>
          <w:sz w:val="24"/>
          <w:szCs w:val="24"/>
        </w:rPr>
      </w:pPr>
      <w:r w:rsidRPr="007B335E">
        <w:rPr>
          <w:sz w:val="24"/>
          <w:szCs w:val="24"/>
        </w:rPr>
        <w:t>Issued by authority of the</w:t>
      </w:r>
      <w:r w:rsidR="00076178" w:rsidRPr="00731FEA">
        <w:rPr>
          <w:sz w:val="24"/>
          <w:szCs w:val="24"/>
        </w:rPr>
        <w:t xml:space="preserve"> </w:t>
      </w:r>
      <w:sdt>
        <w:sdtPr>
          <w:rPr>
            <w:sz w:val="24"/>
            <w:szCs w:val="24"/>
          </w:rPr>
          <w:id w:val="435951383"/>
          <w:placeholder>
            <w:docPart w:val="4363A5D9E8574B46833563E52DF02065"/>
          </w:placeholder>
          <w:dropDownList>
            <w:listItem w:value="Choose an item."/>
            <w:listItem w:displayText="Treasurer" w:value="Treasurer"/>
            <w:listItem w:displayText="Assistant Treasurer, Minister for Housing and Minister for Homelessness, Social and Community Housing" w:value="Assistant Treasurer, Minister for Housing and Minister for Homelessness, Social and Community Housing"/>
            <w:listItem w:displayText="Minister for Superannuation, Financial Services and the Digital Economy" w:value="Minister for Superannuation, Financial Services and the Digital Economy"/>
            <w:listItem w:displayText="Assistant Treasurer" w:value="Assistant Treasurer"/>
          </w:dropDownList>
        </w:sdtPr>
        <w:sdtEndPr/>
        <w:sdtContent>
          <w:r w:rsidR="00B5137D">
            <w:rPr>
              <w:sz w:val="24"/>
              <w:szCs w:val="24"/>
            </w:rPr>
            <w:t>Assistant Treasurer, Minister for Housing and Minister for Homelessness, Social and Community Housing</w:t>
          </w:r>
        </w:sdtContent>
      </w:sdt>
    </w:p>
    <w:p w14:paraId="4CF973FD" w14:textId="41A210A4" w:rsidR="00F109D4" w:rsidRDefault="007B7B0A" w:rsidP="003C7907">
      <w:pPr>
        <w:spacing w:before="240" w:after="240"/>
        <w:jc w:val="center"/>
        <w:rPr>
          <w:i/>
        </w:rPr>
      </w:pPr>
      <w:r w:rsidRPr="005B7A5E">
        <w:rPr>
          <w:i/>
        </w:rPr>
        <w:t>A New Tax System (Goods and Services) Act 1999</w:t>
      </w:r>
    </w:p>
    <w:p w14:paraId="2E8EF3E5" w14:textId="27E9B13C" w:rsidR="007B7B0A" w:rsidRDefault="007B7B0A" w:rsidP="003C7907">
      <w:pPr>
        <w:spacing w:before="240" w:after="240"/>
        <w:jc w:val="center"/>
        <w:rPr>
          <w:i/>
        </w:rPr>
      </w:pPr>
      <w:r>
        <w:rPr>
          <w:i/>
        </w:rPr>
        <w:t xml:space="preserve">Business Names Registration Act 2011 </w:t>
      </w:r>
    </w:p>
    <w:p w14:paraId="4B4101DE" w14:textId="102BF380" w:rsidR="007B7B0A" w:rsidRDefault="007B7B0A" w:rsidP="003C7907">
      <w:pPr>
        <w:spacing w:before="240" w:after="240"/>
        <w:jc w:val="center"/>
        <w:rPr>
          <w:i/>
        </w:rPr>
      </w:pPr>
      <w:r>
        <w:rPr>
          <w:i/>
        </w:rPr>
        <w:t>Competition and Consumer Act 2010</w:t>
      </w:r>
    </w:p>
    <w:p w14:paraId="012933C5" w14:textId="243DF5FB" w:rsidR="007B7B0A" w:rsidRDefault="007B7B0A" w:rsidP="003C7907">
      <w:pPr>
        <w:spacing w:before="240" w:after="240"/>
        <w:jc w:val="center"/>
        <w:rPr>
          <w:i/>
        </w:rPr>
      </w:pPr>
      <w:r>
        <w:rPr>
          <w:i/>
        </w:rPr>
        <w:t>Corporations Act 2001</w:t>
      </w:r>
    </w:p>
    <w:p w14:paraId="781258C6" w14:textId="4C954123" w:rsidR="007B7B0A" w:rsidRDefault="007B7B0A" w:rsidP="003C7907">
      <w:pPr>
        <w:spacing w:before="240" w:after="240"/>
        <w:jc w:val="center"/>
        <w:rPr>
          <w:i/>
        </w:rPr>
      </w:pPr>
      <w:r>
        <w:rPr>
          <w:i/>
        </w:rPr>
        <w:t>Foreign Acquisitions and Takeovers Act 1975</w:t>
      </w:r>
    </w:p>
    <w:p w14:paraId="14F0BD80" w14:textId="0A07E460" w:rsidR="007B7B0A" w:rsidRDefault="0074646A" w:rsidP="003C7907">
      <w:pPr>
        <w:spacing w:before="240" w:after="240"/>
        <w:jc w:val="center"/>
        <w:rPr>
          <w:i/>
        </w:rPr>
      </w:pPr>
      <w:r>
        <w:rPr>
          <w:i/>
        </w:rPr>
        <w:t>Income Tax Assessment Act 1997</w:t>
      </w:r>
    </w:p>
    <w:p w14:paraId="6BD0DA3D" w14:textId="29CA1AEC" w:rsidR="0074646A" w:rsidRDefault="0074646A" w:rsidP="003C7907">
      <w:pPr>
        <w:spacing w:before="240" w:after="240"/>
        <w:jc w:val="center"/>
        <w:rPr>
          <w:i/>
        </w:rPr>
      </w:pPr>
      <w:r>
        <w:rPr>
          <w:i/>
        </w:rPr>
        <w:t>Tax Agent Services Act 2009</w:t>
      </w:r>
    </w:p>
    <w:p w14:paraId="18E39325" w14:textId="38C180F2" w:rsidR="00F109D4" w:rsidRPr="00503E44" w:rsidRDefault="0074646A" w:rsidP="00AA1689">
      <w:pPr>
        <w:tabs>
          <w:tab w:val="left" w:pos="1418"/>
        </w:tabs>
        <w:spacing w:before="0" w:after="240"/>
        <w:jc w:val="center"/>
        <w:rPr>
          <w:i/>
        </w:rPr>
      </w:pPr>
      <w:r>
        <w:rPr>
          <w:i/>
        </w:rPr>
        <w:t>Treasury Laws Amendment (Miscellaneous and Technical Amendments) Regulations 2021</w:t>
      </w:r>
    </w:p>
    <w:p w14:paraId="6D90AAEF" w14:textId="52401FE8" w:rsidR="00F109D4" w:rsidRDefault="00C55D29" w:rsidP="00647BB7">
      <w:pPr>
        <w:spacing w:before="240"/>
      </w:pPr>
      <w:r w:rsidRPr="00503E44">
        <w:t>Section</w:t>
      </w:r>
      <w:r w:rsidR="0074646A">
        <w:t xml:space="preserve"> 177-15 of the </w:t>
      </w:r>
      <w:r w:rsidR="0074646A">
        <w:rPr>
          <w:i/>
        </w:rPr>
        <w:t xml:space="preserve">A New Tax System (Goods and Services </w:t>
      </w:r>
      <w:r w:rsidR="00245E08">
        <w:rPr>
          <w:i/>
        </w:rPr>
        <w:t xml:space="preserve">Tax) </w:t>
      </w:r>
      <w:r w:rsidR="0074646A">
        <w:rPr>
          <w:i/>
        </w:rPr>
        <w:t xml:space="preserve">Act 1999, </w:t>
      </w:r>
      <w:r w:rsidR="0074646A">
        <w:t xml:space="preserve">section 90 of the </w:t>
      </w:r>
      <w:r w:rsidR="0074646A">
        <w:rPr>
          <w:i/>
        </w:rPr>
        <w:t xml:space="preserve">Business Names Registration Act 2011, </w:t>
      </w:r>
      <w:r w:rsidR="00792BAB">
        <w:t xml:space="preserve">section 172 of the </w:t>
      </w:r>
      <w:r w:rsidR="00792BAB">
        <w:rPr>
          <w:i/>
        </w:rPr>
        <w:t xml:space="preserve">Competition and Consumer Act 2010, </w:t>
      </w:r>
      <w:r w:rsidR="00792BAB">
        <w:t xml:space="preserve">section 1364 of the </w:t>
      </w:r>
      <w:r w:rsidR="00792BAB">
        <w:rPr>
          <w:i/>
        </w:rPr>
        <w:t xml:space="preserve">Corporations Act 2001, </w:t>
      </w:r>
      <w:r w:rsidR="00792BAB">
        <w:t xml:space="preserve">section 139 of the </w:t>
      </w:r>
      <w:r w:rsidR="00792BAB">
        <w:rPr>
          <w:i/>
        </w:rPr>
        <w:t xml:space="preserve">Foreign Acquisitions and Takeovers Act 1975, </w:t>
      </w:r>
      <w:r w:rsidR="00792BAB">
        <w:t xml:space="preserve">section 909-1 of the </w:t>
      </w:r>
      <w:r w:rsidR="00792BAB">
        <w:rPr>
          <w:i/>
        </w:rPr>
        <w:t>Income Tax Assessment Act 1997</w:t>
      </w:r>
      <w:r w:rsidR="0005705A">
        <w:rPr>
          <w:i/>
        </w:rPr>
        <w:t xml:space="preserve"> </w:t>
      </w:r>
      <w:r w:rsidR="0005705A">
        <w:t xml:space="preserve">and section 70-55 of the </w:t>
      </w:r>
      <w:r w:rsidR="0005705A">
        <w:rPr>
          <w:i/>
        </w:rPr>
        <w:t>Tax Agent Services Act 2009</w:t>
      </w:r>
      <w:r w:rsidR="0005705A">
        <w:t xml:space="preserve"> (the Authorising Acts) provide </w:t>
      </w:r>
      <w:r w:rsidR="00F109D4" w:rsidRPr="00503E44">
        <w:t>that the Governor-General may make regulations prescribing matters required or permitted by the Act</w:t>
      </w:r>
      <w:r w:rsidR="0005705A">
        <w:t>s</w:t>
      </w:r>
      <w:r w:rsidR="00F109D4" w:rsidRPr="00503E44">
        <w:t xml:space="preserve"> to be prescribed, or necessary or convenient to be prescribed for carrying out or giving effect to the Act.</w:t>
      </w:r>
    </w:p>
    <w:p w14:paraId="59D65CAE" w14:textId="37F7EA06" w:rsidR="009905C5" w:rsidRDefault="009905C5" w:rsidP="009905C5">
      <w:r>
        <w:t xml:space="preserve">The purpose of the </w:t>
      </w:r>
      <w:r w:rsidRPr="00241109">
        <w:rPr>
          <w:i/>
        </w:rPr>
        <w:t>Treasury Laws Amendment (Miscellaneous and Technical Amendments) Regulations 202</w:t>
      </w:r>
      <w:r w:rsidR="0005705A">
        <w:rPr>
          <w:i/>
        </w:rPr>
        <w:t>1</w:t>
      </w:r>
      <w:r w:rsidRPr="00241109">
        <w:t xml:space="preserve"> </w:t>
      </w:r>
      <w:r>
        <w:t>(the Regulations) is to make minor and technical</w:t>
      </w:r>
      <w:r w:rsidRPr="009031E6">
        <w:t xml:space="preserve"> amendments to </w:t>
      </w:r>
      <w:r>
        <w:t xml:space="preserve">regulations in the Treasury portfolio, including to tax laws, </w:t>
      </w:r>
      <w:proofErr w:type="gramStart"/>
      <w:r w:rsidRPr="009031E6">
        <w:t>corporations</w:t>
      </w:r>
      <w:proofErr w:type="gramEnd"/>
      <w:r>
        <w:t xml:space="preserve"> laws, </w:t>
      </w:r>
      <w:r w:rsidR="0005705A">
        <w:t xml:space="preserve">foreign </w:t>
      </w:r>
      <w:r w:rsidR="00EB6367">
        <w:t>investment</w:t>
      </w:r>
      <w:r w:rsidR="0005705A">
        <w:t xml:space="preserve"> laws and </w:t>
      </w:r>
      <w:r>
        <w:t>laws relating to consumer protections</w:t>
      </w:r>
      <w:r w:rsidRPr="009031E6">
        <w:t xml:space="preserve">. </w:t>
      </w:r>
      <w:r>
        <w:t>The</w:t>
      </w:r>
      <w:r w:rsidRPr="009031E6">
        <w:t xml:space="preserve"> amendments are part of the Government’s commitment </w:t>
      </w:r>
      <w:r>
        <w:t>to</w:t>
      </w:r>
      <w:r w:rsidRPr="009031E6">
        <w:t xml:space="preserve"> the care and maintenance of Treasury portfolio legislation.</w:t>
      </w:r>
    </w:p>
    <w:p w14:paraId="0FAE559B" w14:textId="5DF924DA" w:rsidR="009905C5" w:rsidRDefault="009905C5" w:rsidP="009905C5">
      <w:r>
        <w:t>Minor and technical</w:t>
      </w:r>
      <w:r w:rsidRPr="009031E6">
        <w:t xml:space="preserve"> amendments are periodically made to Treasury legislation to remove anomalies, correct unintended outcomes and improve the quality of laws. The process was first supported by a recommendation of the 2008 Tax Design Review Panel, which </w:t>
      </w:r>
      <w:r>
        <w:t>considered ways</w:t>
      </w:r>
      <w:r w:rsidRPr="009031E6">
        <w:t xml:space="preserve"> to improve the quality of tax law changes. It has since been expanded to all Treasury legislation.</w:t>
      </w:r>
    </w:p>
    <w:p w14:paraId="2E16DF58" w14:textId="55176529" w:rsidR="009905C5" w:rsidRDefault="009905C5" w:rsidP="009905C5">
      <w:r>
        <w:t>The</w:t>
      </w:r>
      <w:r w:rsidRPr="009031E6">
        <w:t xml:space="preserve"> </w:t>
      </w:r>
      <w:r>
        <w:t>Regulations amend various Treasury portfolio regulations to</w:t>
      </w:r>
      <w:r w:rsidRPr="009031E6">
        <w:t xml:space="preserve"> make minor </w:t>
      </w:r>
      <w:r>
        <w:t xml:space="preserve">and </w:t>
      </w:r>
      <w:r w:rsidRPr="009031E6">
        <w:t xml:space="preserve">technical changes </w:t>
      </w:r>
      <w:r>
        <w:t>that</w:t>
      </w:r>
      <w:r w:rsidRPr="009031E6">
        <w:t xml:space="preserve"> correct typographical </w:t>
      </w:r>
      <w:r>
        <w:t xml:space="preserve">errors and unintended </w:t>
      </w:r>
      <w:proofErr w:type="gramStart"/>
      <w:r>
        <w:t>outcomes, and</w:t>
      </w:r>
      <w:proofErr w:type="gramEnd"/>
      <w:r>
        <w:t xml:space="preserve"> repeal inoperative provisions</w:t>
      </w:r>
      <w:r w:rsidRPr="009031E6">
        <w:t>.</w:t>
      </w:r>
      <w:r>
        <w:t xml:space="preserve"> These changes ensure that the Treasury regulations operate as intended.</w:t>
      </w:r>
    </w:p>
    <w:p w14:paraId="392695F8" w14:textId="1A12B6D9" w:rsidR="0005705A" w:rsidRDefault="0005705A" w:rsidP="009905C5">
      <w:r>
        <w:t xml:space="preserve">Details of the Regulations are set out in </w:t>
      </w:r>
      <w:r>
        <w:rPr>
          <w:u w:val="single"/>
        </w:rPr>
        <w:t>Attachment A</w:t>
      </w:r>
    </w:p>
    <w:p w14:paraId="13F46688" w14:textId="77777777" w:rsidR="009905C5" w:rsidRPr="0029448A" w:rsidRDefault="009905C5" w:rsidP="009905C5">
      <w:r w:rsidRPr="00241109">
        <w:t xml:space="preserve">The Authorising Acts </w:t>
      </w:r>
      <w:r w:rsidRPr="00871A72">
        <w:t>specify no conditions</w:t>
      </w:r>
      <w:r w:rsidRPr="00241109">
        <w:t xml:space="preserve"> that need to be met before the power to make the Regulations may be exercised. </w:t>
      </w:r>
    </w:p>
    <w:p w14:paraId="0148037F" w14:textId="77777777" w:rsidR="002C226C" w:rsidRDefault="002C226C" w:rsidP="00647BB7">
      <w:pPr>
        <w:spacing w:before="240"/>
      </w:pPr>
      <w:r>
        <w:lastRenderedPageBreak/>
        <w:t>The</w:t>
      </w:r>
      <w:r w:rsidRPr="00D3322F">
        <w:t xml:space="preserve"> Regulation</w:t>
      </w:r>
      <w:r>
        <w:t>s are</w:t>
      </w:r>
      <w:r w:rsidRPr="00D3322F">
        <w:t xml:space="preserve"> a legislative instrument for the purposes of the</w:t>
      </w:r>
      <w:r w:rsidRPr="00322524">
        <w:t xml:space="preserve"> </w:t>
      </w:r>
      <w:r w:rsidRPr="00D3322F">
        <w:rPr>
          <w:i/>
        </w:rPr>
        <w:t>Legislation Act 2003</w:t>
      </w:r>
      <w:r w:rsidRPr="00D3322F">
        <w:t>.</w:t>
      </w:r>
    </w:p>
    <w:p w14:paraId="48DE2E16" w14:textId="4B808C25" w:rsidR="0077748B" w:rsidRPr="00647BB7" w:rsidRDefault="0077748B" w:rsidP="0077748B">
      <w:pPr>
        <w:spacing w:before="240"/>
        <w:rPr>
          <w:i/>
        </w:rPr>
      </w:pPr>
      <w:r>
        <w:t xml:space="preserve">Items 1 to </w:t>
      </w:r>
      <w:r w:rsidR="00770CF6">
        <w:t xml:space="preserve">22 </w:t>
      </w:r>
      <w:r>
        <w:t xml:space="preserve">of the Regulations commence on the day after the Regulations are registered. </w:t>
      </w:r>
    </w:p>
    <w:p w14:paraId="61DF08A0" w14:textId="5F345BE9" w:rsidR="0077748B" w:rsidRDefault="00E5354E" w:rsidP="0077748B">
      <w:pPr>
        <w:spacing w:before="240"/>
      </w:pPr>
      <w:r>
        <w:t xml:space="preserve">Item </w:t>
      </w:r>
      <w:r w:rsidR="00770CF6">
        <w:t xml:space="preserve">23 </w:t>
      </w:r>
      <w:r>
        <w:t xml:space="preserve">commences on the later of the day after the Regulations are registered and the day that Part 1 of Schedule 1 to the </w:t>
      </w:r>
      <w:r>
        <w:rPr>
          <w:i/>
        </w:rPr>
        <w:t xml:space="preserve">Treasury Laws Amendment (Measures for Consultation) Bill 2021 </w:t>
      </w:r>
      <w:r>
        <w:t xml:space="preserve">commences. However, item </w:t>
      </w:r>
      <w:r w:rsidR="00770CF6">
        <w:t xml:space="preserve">23 </w:t>
      </w:r>
      <w:r>
        <w:t>does not comme</w:t>
      </w:r>
      <w:r w:rsidR="0077748B">
        <w:t>n</w:t>
      </w:r>
      <w:r>
        <w:t xml:space="preserve">ce at all if Part 1 of Schedule 1 to the </w:t>
      </w:r>
      <w:r>
        <w:rPr>
          <w:i/>
        </w:rPr>
        <w:t xml:space="preserve">Treasury Laws Amendment (Measures for Consultation) Bill 2021 </w:t>
      </w:r>
      <w:r>
        <w:t xml:space="preserve">does not commence. </w:t>
      </w:r>
    </w:p>
    <w:p w14:paraId="42BACD38" w14:textId="04E5316C" w:rsidR="009143A0" w:rsidRDefault="00E5354E" w:rsidP="0077748B">
      <w:pPr>
        <w:spacing w:before="240"/>
      </w:pPr>
      <w:r>
        <w:t xml:space="preserve">Item </w:t>
      </w:r>
      <w:r w:rsidR="00770CF6">
        <w:t xml:space="preserve">24 </w:t>
      </w:r>
      <w:r>
        <w:t>commences on the later of the first 1 January</w:t>
      </w:r>
      <w:r w:rsidR="00AB4325">
        <w:t>, 1 April, 1 July or 1 October the day after the instrument is registered and 1 January 2022.</w:t>
      </w:r>
      <w:r w:rsidR="00834285">
        <w:t xml:space="preserve"> </w:t>
      </w:r>
    </w:p>
    <w:p w14:paraId="1A26075E" w14:textId="58BE2117" w:rsidR="00EA4DD8" w:rsidRDefault="00EA4DD8" w:rsidP="00EA4DD8">
      <w:pPr>
        <w:pageBreakBefore/>
        <w:spacing w:before="240"/>
        <w:jc w:val="right"/>
        <w:rPr>
          <w:b/>
          <w:u w:val="single"/>
        </w:rPr>
      </w:pPr>
      <w:r w:rsidRPr="007B335E">
        <w:rPr>
          <w:b/>
          <w:u w:val="single"/>
        </w:rPr>
        <w:lastRenderedPageBreak/>
        <w:t xml:space="preserve">ATTACHMENT </w:t>
      </w:r>
      <w:r w:rsidR="003449CA">
        <w:rPr>
          <w:b/>
          <w:u w:val="single"/>
        </w:rPr>
        <w:t>A</w:t>
      </w:r>
    </w:p>
    <w:p w14:paraId="3FF554C6" w14:textId="063E09DC" w:rsidR="00EA4DD8" w:rsidRPr="003145FD" w:rsidRDefault="00EA4DD8" w:rsidP="00EA4DD8">
      <w:pPr>
        <w:spacing w:before="240"/>
        <w:ind w:right="91"/>
        <w:rPr>
          <w:b/>
          <w:bCs/>
          <w:szCs w:val="24"/>
          <w:u w:val="single"/>
        </w:rPr>
      </w:pPr>
      <w:r>
        <w:rPr>
          <w:b/>
          <w:bCs/>
          <w:u w:val="single"/>
        </w:rPr>
        <w:t xml:space="preserve">Details of </w:t>
      </w:r>
      <w:r w:rsidRPr="003145FD">
        <w:rPr>
          <w:b/>
          <w:bCs/>
          <w:u w:val="single"/>
        </w:rPr>
        <w:t xml:space="preserve">the </w:t>
      </w:r>
      <w:r w:rsidR="003449CA" w:rsidRPr="003145FD">
        <w:rPr>
          <w:b/>
          <w:u w:val="single"/>
        </w:rPr>
        <w:t>Treasury Laws Amendment (Miscellaneous and Technical Amendments) Regulations 2021</w:t>
      </w:r>
      <w:r w:rsidRPr="003145FD">
        <w:rPr>
          <w:b/>
          <w:bCs/>
          <w:u w:val="single"/>
        </w:rPr>
        <w:t xml:space="preserve"> </w:t>
      </w:r>
    </w:p>
    <w:p w14:paraId="41C20F8A" w14:textId="77777777" w:rsidR="00EA4DD8" w:rsidRPr="003145FD" w:rsidRDefault="00EA4DD8" w:rsidP="00EA4DD8">
      <w:pPr>
        <w:spacing w:before="240"/>
        <w:rPr>
          <w:rFonts w:ascii="Calibri" w:hAnsi="Calibri"/>
          <w:sz w:val="22"/>
          <w:szCs w:val="22"/>
          <w:u w:val="single"/>
          <w:lang w:eastAsia="en-US"/>
        </w:rPr>
      </w:pPr>
      <w:r w:rsidRPr="003145FD">
        <w:rPr>
          <w:u w:val="single"/>
        </w:rPr>
        <w:t>Section 1 – Name of the Regulations</w:t>
      </w:r>
    </w:p>
    <w:p w14:paraId="21BA26E0" w14:textId="034305F3" w:rsidR="003449CA" w:rsidRPr="003145FD" w:rsidRDefault="003449CA" w:rsidP="00EA4DD8">
      <w:pPr>
        <w:spacing w:before="240"/>
        <w:ind w:right="91"/>
      </w:pPr>
      <w:r w:rsidRPr="003145FD">
        <w:t xml:space="preserve">This section </w:t>
      </w:r>
      <w:r w:rsidR="001126D0">
        <w:t>states</w:t>
      </w:r>
      <w:r w:rsidRPr="003145FD">
        <w:t xml:space="preserve"> that the name of the Regulations is the </w:t>
      </w:r>
      <w:r w:rsidRPr="003145FD">
        <w:rPr>
          <w:i/>
        </w:rPr>
        <w:t>Treasury Laws Amendment (Miscellaneous and Technical Amendments) Regulations 2021</w:t>
      </w:r>
      <w:r w:rsidRPr="003145FD">
        <w:t xml:space="preserve"> (the Regulations).</w:t>
      </w:r>
    </w:p>
    <w:p w14:paraId="068D8322" w14:textId="101571C4" w:rsidR="00EA4DD8" w:rsidRPr="003145FD" w:rsidRDefault="00EA4DD8" w:rsidP="00EA4DD8">
      <w:pPr>
        <w:spacing w:before="240"/>
        <w:ind w:right="91"/>
        <w:rPr>
          <w:u w:val="single"/>
        </w:rPr>
      </w:pPr>
      <w:r w:rsidRPr="003145FD">
        <w:rPr>
          <w:u w:val="single"/>
        </w:rPr>
        <w:t>Section 2 – Commencement</w:t>
      </w:r>
    </w:p>
    <w:p w14:paraId="425AE11A" w14:textId="666BA4D9" w:rsidR="004F19C1" w:rsidRDefault="00B34C2D" w:rsidP="00EA4DD8">
      <w:pPr>
        <w:spacing w:before="240"/>
        <w:ind w:right="91"/>
        <w:rPr>
          <w:u w:val="single"/>
        </w:rPr>
      </w:pPr>
      <w:r>
        <w:t>This section</w:t>
      </w:r>
      <w:r w:rsidR="004F19C1">
        <w:t xml:space="preserve"> sets out the commencement details of the Regulations.</w:t>
      </w:r>
      <w:r w:rsidR="004F19C1">
        <w:rPr>
          <w:u w:val="single"/>
        </w:rPr>
        <w:t xml:space="preserve"> </w:t>
      </w:r>
    </w:p>
    <w:p w14:paraId="732D52F1" w14:textId="52C09D2E" w:rsidR="00EA4DD8" w:rsidRDefault="00EA4DD8" w:rsidP="00EA4DD8">
      <w:pPr>
        <w:spacing w:before="240"/>
        <w:ind w:right="91"/>
        <w:rPr>
          <w:u w:val="single"/>
        </w:rPr>
      </w:pPr>
      <w:r>
        <w:rPr>
          <w:u w:val="single"/>
        </w:rPr>
        <w:t>Section 3 – Authority</w:t>
      </w:r>
    </w:p>
    <w:p w14:paraId="7E0D3F58" w14:textId="5F00A3CA" w:rsidR="00D04285" w:rsidRPr="002F6A53" w:rsidRDefault="00B34C2D" w:rsidP="00B01B0A">
      <w:pPr>
        <w:pStyle w:val="Bullet"/>
        <w:numPr>
          <w:ilvl w:val="0"/>
          <w:numId w:val="0"/>
        </w:numPr>
      </w:pPr>
      <w:r>
        <w:t xml:space="preserve">This section </w:t>
      </w:r>
      <w:r w:rsidR="0098649E">
        <w:t>state</w:t>
      </w:r>
      <w:r>
        <w:t>s</w:t>
      </w:r>
      <w:r w:rsidR="0098649E">
        <w:t xml:space="preserve"> the Regulations are made under: </w:t>
      </w:r>
    </w:p>
    <w:p w14:paraId="25F00C05" w14:textId="17329BEE" w:rsidR="002F6A53" w:rsidRDefault="002F6A53" w:rsidP="00D04285">
      <w:pPr>
        <w:pStyle w:val="Bullet"/>
        <w:rPr>
          <w:i/>
        </w:rPr>
      </w:pPr>
      <w:r w:rsidRPr="00B01B0A">
        <w:rPr>
          <w:i/>
        </w:rPr>
        <w:t>A New Tax System (Goods and Services) Act 1999</w:t>
      </w:r>
    </w:p>
    <w:p w14:paraId="5D440C34" w14:textId="2A695509" w:rsidR="00D04285" w:rsidRPr="00B01B0A" w:rsidRDefault="00D04285" w:rsidP="00D04285">
      <w:pPr>
        <w:pStyle w:val="Bullet"/>
        <w:rPr>
          <w:i/>
        </w:rPr>
      </w:pPr>
      <w:r w:rsidRPr="00B01B0A">
        <w:rPr>
          <w:i/>
        </w:rPr>
        <w:t xml:space="preserve">Business Names Registration Act 2011 </w:t>
      </w:r>
    </w:p>
    <w:p w14:paraId="1694FCD6" w14:textId="77777777" w:rsidR="00D04285" w:rsidRPr="00B01B0A" w:rsidRDefault="00D04285" w:rsidP="00D04285">
      <w:pPr>
        <w:pStyle w:val="Bullet"/>
        <w:rPr>
          <w:i/>
        </w:rPr>
      </w:pPr>
      <w:r w:rsidRPr="00B01B0A">
        <w:rPr>
          <w:i/>
        </w:rPr>
        <w:t>Competition and Consumer Act 2010</w:t>
      </w:r>
    </w:p>
    <w:p w14:paraId="6CB45E54" w14:textId="77777777" w:rsidR="00D04285" w:rsidRPr="00B01B0A" w:rsidRDefault="00D04285" w:rsidP="00D04285">
      <w:pPr>
        <w:pStyle w:val="Bullet"/>
        <w:rPr>
          <w:i/>
        </w:rPr>
      </w:pPr>
      <w:r w:rsidRPr="00B01B0A">
        <w:rPr>
          <w:i/>
        </w:rPr>
        <w:t>Corporations Act 2001</w:t>
      </w:r>
    </w:p>
    <w:p w14:paraId="5E93AC62" w14:textId="77777777" w:rsidR="00D04285" w:rsidRPr="00B01B0A" w:rsidRDefault="00D04285" w:rsidP="00D04285">
      <w:pPr>
        <w:pStyle w:val="Bullet"/>
        <w:rPr>
          <w:i/>
        </w:rPr>
      </w:pPr>
      <w:r w:rsidRPr="00B01B0A">
        <w:rPr>
          <w:i/>
        </w:rPr>
        <w:t>Foreign Acquisitions and Takeovers Act 1975</w:t>
      </w:r>
    </w:p>
    <w:p w14:paraId="62490CC8" w14:textId="77777777" w:rsidR="00D04285" w:rsidRPr="00B01B0A" w:rsidRDefault="00D04285" w:rsidP="00D04285">
      <w:pPr>
        <w:pStyle w:val="Bullet"/>
        <w:rPr>
          <w:i/>
        </w:rPr>
      </w:pPr>
      <w:r w:rsidRPr="00B01B0A">
        <w:rPr>
          <w:i/>
        </w:rPr>
        <w:t>Income Tax Assessment Act 1997</w:t>
      </w:r>
    </w:p>
    <w:p w14:paraId="277C450D" w14:textId="77777777" w:rsidR="00D04285" w:rsidRPr="00B01B0A" w:rsidRDefault="00D04285" w:rsidP="00D04285">
      <w:pPr>
        <w:pStyle w:val="Bullet"/>
        <w:rPr>
          <w:i/>
        </w:rPr>
      </w:pPr>
      <w:r w:rsidRPr="00B01B0A">
        <w:rPr>
          <w:i/>
        </w:rPr>
        <w:t>Tax Agent Services Act 2009</w:t>
      </w:r>
    </w:p>
    <w:p w14:paraId="544CD873" w14:textId="03D3900B" w:rsidR="00EA4DD8" w:rsidRDefault="00EA4DD8" w:rsidP="00EA4DD8">
      <w:pPr>
        <w:spacing w:before="240"/>
        <w:ind w:right="91"/>
        <w:rPr>
          <w:u w:val="single"/>
        </w:rPr>
      </w:pPr>
      <w:r>
        <w:rPr>
          <w:u w:val="single"/>
        </w:rPr>
        <w:t>Section 4 – Schedul</w:t>
      </w:r>
      <w:r w:rsidR="00813990">
        <w:rPr>
          <w:u w:val="single"/>
        </w:rPr>
        <w:t>es</w:t>
      </w:r>
    </w:p>
    <w:p w14:paraId="2C0035C6" w14:textId="4C5DA325" w:rsidR="00813990" w:rsidRDefault="001126D0" w:rsidP="00EA4DD8">
      <w:pPr>
        <w:spacing w:before="240" w:after="200"/>
        <w:ind w:right="91"/>
      </w:pPr>
      <w:r>
        <w:t xml:space="preserve">This section </w:t>
      </w:r>
      <w:r w:rsidR="00813990">
        <w:t xml:space="preserve">states that items in the Schedules to the Regulations amend or repeal each instrument that is specified in the </w:t>
      </w:r>
      <w:proofErr w:type="gramStart"/>
      <w:r w:rsidR="00813990">
        <w:t>Schedules, and</w:t>
      </w:r>
      <w:proofErr w:type="gramEnd"/>
      <w:r w:rsidR="00813990">
        <w:t xml:space="preserve"> have effect according to their terms.</w:t>
      </w:r>
    </w:p>
    <w:p w14:paraId="6849E2AD" w14:textId="6D1D098C" w:rsidR="00EA4DD8" w:rsidRPr="00DE014A" w:rsidRDefault="00EA4DD8" w:rsidP="00DE014A">
      <w:pPr>
        <w:spacing w:after="0"/>
        <w:ind w:right="91"/>
        <w:rPr>
          <w:color w:val="FF0000"/>
          <w:u w:val="single"/>
        </w:rPr>
      </w:pPr>
      <w:r>
        <w:rPr>
          <w:u w:val="single"/>
        </w:rPr>
        <w:t>Schedule 1 – Amendments</w:t>
      </w:r>
    </w:p>
    <w:p w14:paraId="5DA3774D" w14:textId="211DB9A1" w:rsidR="00BB7F78" w:rsidRPr="00BB7F78" w:rsidRDefault="00BB7F78" w:rsidP="00BB7F78">
      <w:pPr>
        <w:pStyle w:val="Bullet"/>
        <w:numPr>
          <w:ilvl w:val="0"/>
          <w:numId w:val="0"/>
        </w:numPr>
        <w:jc w:val="center"/>
        <w:rPr>
          <w:b/>
          <w:u w:val="single"/>
        </w:rPr>
      </w:pPr>
      <w:r w:rsidRPr="00BB7F78">
        <w:rPr>
          <w:b/>
          <w:u w:val="single"/>
        </w:rPr>
        <w:t xml:space="preserve">Part </w:t>
      </w:r>
      <w:r>
        <w:rPr>
          <w:b/>
          <w:u w:val="single"/>
        </w:rPr>
        <w:t>1 – Amendments</w:t>
      </w:r>
    </w:p>
    <w:p w14:paraId="12323665" w14:textId="5DC92759" w:rsidR="00E426BF" w:rsidRPr="00BB7F78" w:rsidRDefault="00E426BF" w:rsidP="00BB7F78">
      <w:pPr>
        <w:pStyle w:val="Bullet"/>
        <w:numPr>
          <w:ilvl w:val="0"/>
          <w:numId w:val="0"/>
        </w:numPr>
        <w:rPr>
          <w:u w:val="single"/>
        </w:rPr>
      </w:pPr>
      <w:r w:rsidRPr="00BB7F78">
        <w:rPr>
          <w:u w:val="single"/>
        </w:rPr>
        <w:t xml:space="preserve">Item 1 - Amendments to the </w:t>
      </w:r>
      <w:r w:rsidRPr="00BB7F78">
        <w:rPr>
          <w:i/>
          <w:u w:val="single"/>
        </w:rPr>
        <w:t>Competition and Consumer Regulations 2010</w:t>
      </w:r>
    </w:p>
    <w:p w14:paraId="71BB8F92" w14:textId="786BA820" w:rsidR="00E426BF" w:rsidRPr="00E426BF" w:rsidRDefault="00BA5698" w:rsidP="00E426BF">
      <w:pPr>
        <w:pStyle w:val="Bullet"/>
        <w:numPr>
          <w:ilvl w:val="0"/>
          <w:numId w:val="0"/>
        </w:numPr>
        <w:spacing w:after="200"/>
        <w:rPr>
          <w:szCs w:val="20"/>
          <w:u w:val="single"/>
        </w:rPr>
      </w:pPr>
      <w:r>
        <w:t>This item amends section</w:t>
      </w:r>
      <w:r w:rsidR="00E426BF" w:rsidRPr="00E426BF">
        <w:t xml:space="preserve"> 16 </w:t>
      </w:r>
      <w:r>
        <w:t xml:space="preserve">of the </w:t>
      </w:r>
      <w:r w:rsidRPr="00BA5698">
        <w:rPr>
          <w:i/>
        </w:rPr>
        <w:t>Competition and Consumer Regulations 2010</w:t>
      </w:r>
      <w:r>
        <w:t xml:space="preserve"> to clarify outdated wording. It replaces a complex sentence with the phrase ‘business day’</w:t>
      </w:r>
      <w:r w:rsidR="00FA19EB">
        <w:t xml:space="preserve">, without changing the meaning of the section. This amendment is made for clarity, and because </w:t>
      </w:r>
      <w:r w:rsidR="00E426BF" w:rsidRPr="00E426BF">
        <w:t xml:space="preserve">the </w:t>
      </w:r>
      <w:r w:rsidR="00E426BF" w:rsidRPr="00E426BF">
        <w:rPr>
          <w:i/>
          <w:iCs/>
        </w:rPr>
        <w:t>Public Service Act 1992-1973</w:t>
      </w:r>
      <w:r w:rsidR="00E426BF" w:rsidRPr="00E426BF">
        <w:t xml:space="preserve"> </w:t>
      </w:r>
      <w:r w:rsidR="00FA19EB">
        <w:t xml:space="preserve">previously referred to </w:t>
      </w:r>
      <w:r w:rsidR="00E426BF" w:rsidRPr="00E426BF">
        <w:t>no longer exists.</w:t>
      </w:r>
    </w:p>
    <w:p w14:paraId="49A65891" w14:textId="77777777" w:rsidR="00E426BF" w:rsidRPr="00BB7F78" w:rsidRDefault="00E426BF" w:rsidP="002D25C9">
      <w:pPr>
        <w:pStyle w:val="Bullet"/>
        <w:keepNext/>
        <w:keepLines/>
        <w:numPr>
          <w:ilvl w:val="0"/>
          <w:numId w:val="0"/>
        </w:numPr>
        <w:rPr>
          <w:u w:val="single"/>
        </w:rPr>
      </w:pPr>
      <w:r w:rsidRPr="00BB7F78">
        <w:rPr>
          <w:u w:val="single"/>
        </w:rPr>
        <w:lastRenderedPageBreak/>
        <w:t xml:space="preserve">Items 2 - 12 - Amendments to the </w:t>
      </w:r>
      <w:r w:rsidRPr="00BB7F78">
        <w:rPr>
          <w:i/>
          <w:u w:val="single"/>
        </w:rPr>
        <w:t>Tax Agent Services Regulations 2009</w:t>
      </w:r>
    </w:p>
    <w:p w14:paraId="291E42D8" w14:textId="46B9A293" w:rsidR="006630E5" w:rsidRDefault="00367D69" w:rsidP="00B14571">
      <w:pPr>
        <w:pStyle w:val="Bullet"/>
        <w:numPr>
          <w:ilvl w:val="0"/>
          <w:numId w:val="0"/>
        </w:numPr>
        <w:spacing w:after="200"/>
        <w:rPr>
          <w:szCs w:val="20"/>
        </w:rPr>
      </w:pPr>
      <w:r>
        <w:rPr>
          <w:szCs w:val="20"/>
        </w:rPr>
        <w:t>These items repeal c</w:t>
      </w:r>
      <w:r w:rsidR="00E426BF">
        <w:rPr>
          <w:szCs w:val="20"/>
        </w:rPr>
        <w:t xml:space="preserve">ertain </w:t>
      </w:r>
      <w:r>
        <w:rPr>
          <w:szCs w:val="20"/>
        </w:rPr>
        <w:t xml:space="preserve">out of date </w:t>
      </w:r>
      <w:r w:rsidR="00E426BF">
        <w:rPr>
          <w:szCs w:val="20"/>
        </w:rPr>
        <w:t xml:space="preserve">provisions in the </w:t>
      </w:r>
      <w:r w:rsidRPr="001F6388">
        <w:rPr>
          <w:i/>
        </w:rPr>
        <w:t>Tax Agent Services Regulations 2009</w:t>
      </w:r>
      <w:r w:rsidRPr="001F6388">
        <w:t>.</w:t>
      </w:r>
      <w:r>
        <w:rPr>
          <w:szCs w:val="20"/>
        </w:rPr>
        <w:t xml:space="preserve"> </w:t>
      </w:r>
    </w:p>
    <w:p w14:paraId="23AB9E76" w14:textId="02D4834A" w:rsidR="006630E5" w:rsidRDefault="001B3704" w:rsidP="00B14571">
      <w:pPr>
        <w:pStyle w:val="Bullet"/>
        <w:numPr>
          <w:ilvl w:val="0"/>
          <w:numId w:val="0"/>
        </w:numPr>
        <w:spacing w:after="200"/>
        <w:rPr>
          <w:szCs w:val="20"/>
        </w:rPr>
      </w:pPr>
      <w:r>
        <w:rPr>
          <w:szCs w:val="20"/>
        </w:rPr>
        <w:t xml:space="preserve">Items 2, 3, 4 and 6 repeal sections or parts of sections which apply </w:t>
      </w:r>
      <w:r w:rsidRPr="001F6388">
        <w:rPr>
          <w:szCs w:val="20"/>
        </w:rPr>
        <w:t>to a time period that has since passed</w:t>
      </w:r>
      <w:r>
        <w:rPr>
          <w:szCs w:val="20"/>
        </w:rPr>
        <w:t>.</w:t>
      </w:r>
      <w:r w:rsidR="00520357">
        <w:rPr>
          <w:szCs w:val="20"/>
        </w:rPr>
        <w:t xml:space="preserve"> </w:t>
      </w:r>
      <w:r w:rsidR="007A1BF7">
        <w:rPr>
          <w:szCs w:val="20"/>
        </w:rPr>
        <w:t>Item 7 is a consequential change to item 6, to repeal the definition of financial product advice.</w:t>
      </w:r>
    </w:p>
    <w:p w14:paraId="4A2D423E" w14:textId="75587036" w:rsidR="001B3704" w:rsidRDefault="001B3704" w:rsidP="00B14571">
      <w:pPr>
        <w:pStyle w:val="Bullet"/>
        <w:numPr>
          <w:ilvl w:val="0"/>
          <w:numId w:val="0"/>
        </w:numPr>
        <w:spacing w:after="200"/>
        <w:rPr>
          <w:szCs w:val="20"/>
        </w:rPr>
      </w:pPr>
      <w:r>
        <w:rPr>
          <w:szCs w:val="20"/>
        </w:rPr>
        <w:t xml:space="preserve">Items </w:t>
      </w:r>
      <w:r w:rsidR="00520357">
        <w:rPr>
          <w:szCs w:val="20"/>
        </w:rPr>
        <w:t>5 and 8 delete references to the section repealed in item 2.</w:t>
      </w:r>
      <w:r w:rsidR="00230EE1">
        <w:rPr>
          <w:szCs w:val="20"/>
        </w:rPr>
        <w:t xml:space="preserve"> </w:t>
      </w:r>
      <w:r w:rsidR="00520357">
        <w:rPr>
          <w:szCs w:val="20"/>
        </w:rPr>
        <w:t xml:space="preserve">Items 9, 10, 11 and 12 repeal references to when the provisions above applied, as </w:t>
      </w:r>
      <w:r w:rsidRPr="001F6388">
        <w:rPr>
          <w:szCs w:val="20"/>
        </w:rPr>
        <w:t>that date has since passed.</w:t>
      </w:r>
    </w:p>
    <w:p w14:paraId="2886E161" w14:textId="58C3DF33" w:rsidR="00E426BF" w:rsidRPr="00BB7F78" w:rsidRDefault="00E426BF" w:rsidP="00E426BF">
      <w:pPr>
        <w:pStyle w:val="Bullet"/>
        <w:numPr>
          <w:ilvl w:val="0"/>
          <w:numId w:val="0"/>
        </w:numPr>
        <w:rPr>
          <w:u w:val="single"/>
        </w:rPr>
      </w:pPr>
      <w:r w:rsidRPr="00BB7F78">
        <w:rPr>
          <w:u w:val="single"/>
        </w:rPr>
        <w:t xml:space="preserve">Items 13 and 14 - Amendments to the </w:t>
      </w:r>
      <w:r w:rsidRPr="00BB7F78">
        <w:rPr>
          <w:i/>
          <w:u w:val="single"/>
        </w:rPr>
        <w:t xml:space="preserve">Income Tax Assessment </w:t>
      </w:r>
      <w:r w:rsidR="009E6CD0">
        <w:rPr>
          <w:i/>
          <w:u w:val="single"/>
        </w:rPr>
        <w:t xml:space="preserve">(1997 Act) </w:t>
      </w:r>
      <w:r w:rsidRPr="00BB7F78">
        <w:rPr>
          <w:i/>
          <w:u w:val="single"/>
        </w:rPr>
        <w:t>Regulation</w:t>
      </w:r>
      <w:r w:rsidR="009E6CD0">
        <w:rPr>
          <w:i/>
          <w:u w:val="single"/>
        </w:rPr>
        <w:t>s</w:t>
      </w:r>
      <w:r w:rsidRPr="00BB7F78">
        <w:rPr>
          <w:i/>
          <w:u w:val="single"/>
        </w:rPr>
        <w:t xml:space="preserve"> </w:t>
      </w:r>
      <w:r w:rsidR="009E6CD0">
        <w:rPr>
          <w:i/>
          <w:u w:val="single"/>
        </w:rPr>
        <w:t>2021</w:t>
      </w:r>
    </w:p>
    <w:p w14:paraId="341DEBA4" w14:textId="494ED10D" w:rsidR="00E426BF" w:rsidRPr="0070630C" w:rsidRDefault="00E426BF" w:rsidP="00E426BF">
      <w:pPr>
        <w:pStyle w:val="Bullet"/>
        <w:numPr>
          <w:ilvl w:val="0"/>
          <w:numId w:val="0"/>
        </w:numPr>
        <w:spacing w:after="200"/>
        <w:rPr>
          <w:iCs/>
        </w:rPr>
      </w:pPr>
      <w:r w:rsidRPr="007E755C">
        <w:rPr>
          <w:iCs/>
        </w:rPr>
        <w:t xml:space="preserve">Section 291-25 of the </w:t>
      </w:r>
      <w:r>
        <w:rPr>
          <w:i/>
          <w:iCs/>
        </w:rPr>
        <w:t>Income Tax Assessment Act</w:t>
      </w:r>
      <w:r>
        <w:rPr>
          <w:iCs/>
        </w:rPr>
        <w:t xml:space="preserve"> </w:t>
      </w:r>
      <w:r>
        <w:rPr>
          <w:i/>
          <w:iCs/>
        </w:rPr>
        <w:t>1997</w:t>
      </w:r>
      <w:r w:rsidRPr="007E755C">
        <w:rPr>
          <w:iCs/>
        </w:rPr>
        <w:t xml:space="preserve"> outlines a member’s concessional contributions for a financial year, including amounts specified in the </w:t>
      </w:r>
      <w:r>
        <w:rPr>
          <w:iCs/>
        </w:rPr>
        <w:t xml:space="preserve">regulations. </w:t>
      </w:r>
      <w:r w:rsidRPr="007E755C">
        <w:rPr>
          <w:iCs/>
        </w:rPr>
        <w:t>An amount is included in a member’s concessional contributions it if is allocated from a reserve maintained by the trustee</w:t>
      </w:r>
      <w:r w:rsidR="0070630C">
        <w:rPr>
          <w:iCs/>
        </w:rPr>
        <w:t>,</w:t>
      </w:r>
      <w:r w:rsidRPr="007E755C">
        <w:rPr>
          <w:iCs/>
        </w:rPr>
        <w:t xml:space="preserve"> unless it meets one of the relevant exceptions</w:t>
      </w:r>
      <w:r>
        <w:rPr>
          <w:iCs/>
        </w:rPr>
        <w:t xml:space="preserve">. The exceptions are currently provided for in the </w:t>
      </w:r>
      <w:r w:rsidRPr="16AADB49">
        <w:rPr>
          <w:i/>
        </w:rPr>
        <w:t xml:space="preserve">Income Tax Assessment </w:t>
      </w:r>
      <w:r w:rsidRPr="00710460">
        <w:rPr>
          <w:i/>
          <w:iCs/>
        </w:rPr>
        <w:t>(</w:t>
      </w:r>
      <w:r w:rsidRPr="16AADB49">
        <w:rPr>
          <w:i/>
        </w:rPr>
        <w:t>1997</w:t>
      </w:r>
      <w:r w:rsidRPr="00C272D1">
        <w:rPr>
          <w:i/>
        </w:rPr>
        <w:t xml:space="preserve"> </w:t>
      </w:r>
      <w:r w:rsidRPr="00710460">
        <w:rPr>
          <w:i/>
          <w:iCs/>
        </w:rPr>
        <w:t>Act) Regulations 2021</w:t>
      </w:r>
      <w:r w:rsidR="0070630C">
        <w:rPr>
          <w:iCs/>
        </w:rPr>
        <w:t>.</w:t>
      </w:r>
    </w:p>
    <w:p w14:paraId="7AE5B64F" w14:textId="0F67EEFE" w:rsidR="00E426BF" w:rsidRDefault="00E426BF" w:rsidP="00E426BF">
      <w:pPr>
        <w:pStyle w:val="Bullet"/>
        <w:numPr>
          <w:ilvl w:val="0"/>
          <w:numId w:val="0"/>
        </w:numPr>
        <w:spacing w:after="200"/>
      </w:pPr>
      <w:r>
        <w:rPr>
          <w:szCs w:val="20"/>
        </w:rPr>
        <w:t xml:space="preserve">Item 13 </w:t>
      </w:r>
      <w:r w:rsidR="0070630C">
        <w:rPr>
          <w:szCs w:val="20"/>
        </w:rPr>
        <w:t>amends</w:t>
      </w:r>
      <w:r>
        <w:rPr>
          <w:szCs w:val="20"/>
        </w:rPr>
        <w:t xml:space="preserve"> </w:t>
      </w:r>
      <w:r w:rsidR="0070630C">
        <w:rPr>
          <w:szCs w:val="20"/>
        </w:rPr>
        <w:t xml:space="preserve">section </w:t>
      </w:r>
      <w:r>
        <w:rPr>
          <w:szCs w:val="20"/>
        </w:rPr>
        <w:t xml:space="preserve">291-25.01(3) </w:t>
      </w:r>
      <w:r w:rsidR="0070630C">
        <w:rPr>
          <w:szCs w:val="20"/>
        </w:rPr>
        <w:t xml:space="preserve">of </w:t>
      </w:r>
      <w:r w:rsidRPr="00286B0B">
        <w:t xml:space="preserve">the </w:t>
      </w:r>
      <w:r w:rsidRPr="16AADB49">
        <w:rPr>
          <w:i/>
        </w:rPr>
        <w:t xml:space="preserve">Income Tax Assessment </w:t>
      </w:r>
      <w:r w:rsidRPr="00710460">
        <w:rPr>
          <w:i/>
          <w:iCs/>
        </w:rPr>
        <w:t>(</w:t>
      </w:r>
      <w:r w:rsidRPr="16AADB49">
        <w:rPr>
          <w:i/>
        </w:rPr>
        <w:t>1997</w:t>
      </w:r>
      <w:r w:rsidRPr="00C272D1">
        <w:rPr>
          <w:i/>
        </w:rPr>
        <w:t xml:space="preserve"> </w:t>
      </w:r>
      <w:r w:rsidRPr="00710460">
        <w:rPr>
          <w:i/>
          <w:iCs/>
        </w:rPr>
        <w:t>Act) Regulations 2021</w:t>
      </w:r>
      <w:r>
        <w:t xml:space="preserve"> to clarify </w:t>
      </w:r>
      <w:r w:rsidR="0070630C">
        <w:t xml:space="preserve">that a fee refund made under </w:t>
      </w:r>
      <w:r>
        <w:t xml:space="preserve">section 99G(6) of the </w:t>
      </w:r>
      <w:r w:rsidRPr="00C272D1">
        <w:rPr>
          <w:i/>
          <w:iCs/>
        </w:rPr>
        <w:t>Superannuation Industry (Supervision) Act 1993,</w:t>
      </w:r>
      <w:r>
        <w:t xml:space="preserve"> made from a general reserve, is not consider</w:t>
      </w:r>
      <w:r w:rsidR="0070630C">
        <w:t>ed a concessional contribution.</w:t>
      </w:r>
    </w:p>
    <w:p w14:paraId="598FFCB1" w14:textId="5C47A6C5" w:rsidR="00E426BF" w:rsidRDefault="00E426BF" w:rsidP="00E426BF">
      <w:pPr>
        <w:pStyle w:val="Bullet"/>
        <w:numPr>
          <w:ilvl w:val="0"/>
          <w:numId w:val="0"/>
        </w:numPr>
        <w:spacing w:after="200"/>
      </w:pPr>
      <w:r>
        <w:t>A fee refund may be made</w:t>
      </w:r>
      <w:r w:rsidR="00172F79">
        <w:t xml:space="preserve"> under </w:t>
      </w:r>
      <w:r>
        <w:t>section 99</w:t>
      </w:r>
      <w:proofErr w:type="gramStart"/>
      <w:r>
        <w:t>G(</w:t>
      </w:r>
      <w:proofErr w:type="gramEnd"/>
      <w:r>
        <w:t xml:space="preserve">6) </w:t>
      </w:r>
      <w:r w:rsidR="00172F79">
        <w:t xml:space="preserve">of the </w:t>
      </w:r>
      <w:r w:rsidRPr="00C272D1">
        <w:rPr>
          <w:i/>
          <w:iCs/>
        </w:rPr>
        <w:t>Superannuation Industry (Supervision) Act 1993</w:t>
      </w:r>
      <w:r>
        <w:t xml:space="preserve"> if the trustee has charged more than the permitted administrative fees</w:t>
      </w:r>
      <w:r w:rsidR="00172F79">
        <w:t>. Where the trustee has charged more than is permitted</w:t>
      </w:r>
      <w:r>
        <w:t xml:space="preserve">, </w:t>
      </w:r>
      <w:r w:rsidR="00172F79">
        <w:t>section 99</w:t>
      </w:r>
      <w:proofErr w:type="gramStart"/>
      <w:r w:rsidR="00172F79">
        <w:t>G(</w:t>
      </w:r>
      <w:proofErr w:type="gramEnd"/>
      <w:r w:rsidR="00172F79">
        <w:t xml:space="preserve">6) provides them with </w:t>
      </w:r>
      <w:r>
        <w:t xml:space="preserve">three months after the end of the fund’s income year to refund the excess to the member. </w:t>
      </w:r>
      <w:r w:rsidR="002152D0">
        <w:t>Item 13 clarifies</w:t>
      </w:r>
      <w:r>
        <w:t xml:space="preserve"> that a refund made from a reserve, back into the member’s account does not result in an excess concessional contribution. </w:t>
      </w:r>
    </w:p>
    <w:p w14:paraId="73A7E417" w14:textId="4CD2A903" w:rsidR="00E426BF" w:rsidRDefault="00E426BF" w:rsidP="00E426BF">
      <w:pPr>
        <w:pStyle w:val="Bullet"/>
        <w:numPr>
          <w:ilvl w:val="0"/>
          <w:numId w:val="0"/>
        </w:numPr>
      </w:pPr>
      <w:r>
        <w:t xml:space="preserve">Item 14 provides that the </w:t>
      </w:r>
      <w:r w:rsidR="0070630C">
        <w:t xml:space="preserve">item 13 </w:t>
      </w:r>
      <w:r>
        <w:t>amendment applies from the 2021-2022 financial year.</w:t>
      </w:r>
    </w:p>
    <w:p w14:paraId="16673781" w14:textId="7F1857DB" w:rsidR="00E426BF" w:rsidRPr="00BB7F78" w:rsidRDefault="00E426BF" w:rsidP="001F6388">
      <w:pPr>
        <w:pStyle w:val="Bullet"/>
        <w:keepNext/>
        <w:keepLines/>
        <w:numPr>
          <w:ilvl w:val="0"/>
          <w:numId w:val="0"/>
        </w:numPr>
        <w:rPr>
          <w:u w:val="single"/>
        </w:rPr>
      </w:pPr>
      <w:r w:rsidRPr="00BB7F78">
        <w:rPr>
          <w:u w:val="single"/>
        </w:rPr>
        <w:t xml:space="preserve">Item 15 - Amendments to the </w:t>
      </w:r>
      <w:r w:rsidRPr="00BB7F78">
        <w:rPr>
          <w:i/>
          <w:u w:val="single"/>
        </w:rPr>
        <w:t>Corporations Regulations 2001</w:t>
      </w:r>
    </w:p>
    <w:p w14:paraId="21409EF3" w14:textId="2967847A" w:rsidR="00E426BF" w:rsidRPr="00284668" w:rsidRDefault="008A57CB" w:rsidP="001F6388">
      <w:pPr>
        <w:pStyle w:val="Bullet"/>
        <w:numPr>
          <w:ilvl w:val="0"/>
          <w:numId w:val="0"/>
        </w:numPr>
        <w:spacing w:after="200"/>
        <w:rPr>
          <w:szCs w:val="20"/>
        </w:rPr>
      </w:pPr>
      <w:r w:rsidRPr="008A57CB">
        <w:rPr>
          <w:szCs w:val="20"/>
        </w:rPr>
        <w:t xml:space="preserve">This item amends </w:t>
      </w:r>
      <w:r>
        <w:rPr>
          <w:szCs w:val="20"/>
        </w:rPr>
        <w:t>section</w:t>
      </w:r>
      <w:r w:rsidR="00E426BF">
        <w:rPr>
          <w:szCs w:val="20"/>
        </w:rPr>
        <w:t xml:space="preserve"> 7.1.04N(3)(b) </w:t>
      </w:r>
      <w:r>
        <w:rPr>
          <w:szCs w:val="20"/>
        </w:rPr>
        <w:t xml:space="preserve">of the </w:t>
      </w:r>
      <w:r w:rsidRPr="008A57CB">
        <w:rPr>
          <w:i/>
          <w:szCs w:val="20"/>
        </w:rPr>
        <w:t>Corporations Regulations 2001</w:t>
      </w:r>
      <w:r>
        <w:rPr>
          <w:szCs w:val="20"/>
        </w:rPr>
        <w:t xml:space="preserve"> </w:t>
      </w:r>
      <w:r w:rsidR="00E426BF">
        <w:rPr>
          <w:szCs w:val="20"/>
        </w:rPr>
        <w:t>to correct a numbering error</w:t>
      </w:r>
      <w:r w:rsidR="00061980">
        <w:rPr>
          <w:szCs w:val="20"/>
        </w:rPr>
        <w:t>, where two different subparagraphs are labelled ‘(</w:t>
      </w:r>
      <w:proofErr w:type="spellStart"/>
      <w:r w:rsidR="00061980">
        <w:rPr>
          <w:szCs w:val="20"/>
        </w:rPr>
        <w:t>i</w:t>
      </w:r>
      <w:proofErr w:type="spellEnd"/>
      <w:r w:rsidR="00061980">
        <w:rPr>
          <w:szCs w:val="20"/>
        </w:rPr>
        <w:t>)’</w:t>
      </w:r>
      <w:r w:rsidR="00E426BF">
        <w:rPr>
          <w:szCs w:val="20"/>
        </w:rPr>
        <w:t xml:space="preserve">. The item omits </w:t>
      </w:r>
      <w:r>
        <w:rPr>
          <w:szCs w:val="20"/>
        </w:rPr>
        <w:t xml:space="preserve">the </w:t>
      </w:r>
      <w:r w:rsidR="00061980">
        <w:rPr>
          <w:szCs w:val="20"/>
        </w:rPr>
        <w:t xml:space="preserve">phrase </w:t>
      </w:r>
      <w:r>
        <w:rPr>
          <w:szCs w:val="20"/>
        </w:rPr>
        <w:t>‘</w:t>
      </w:r>
      <w:r w:rsidR="00E426BF">
        <w:rPr>
          <w:szCs w:val="20"/>
        </w:rPr>
        <w:t>(</w:t>
      </w:r>
      <w:proofErr w:type="spellStart"/>
      <w:r w:rsidR="00E426BF">
        <w:rPr>
          <w:szCs w:val="20"/>
        </w:rPr>
        <w:t>i</w:t>
      </w:r>
      <w:proofErr w:type="spellEnd"/>
      <w:r w:rsidR="00E426BF">
        <w:rPr>
          <w:szCs w:val="20"/>
        </w:rPr>
        <w:t>) different</w:t>
      </w:r>
      <w:r>
        <w:rPr>
          <w:szCs w:val="20"/>
        </w:rPr>
        <w:t>’</w:t>
      </w:r>
      <w:r w:rsidR="00E426BF">
        <w:rPr>
          <w:szCs w:val="20"/>
        </w:rPr>
        <w:t xml:space="preserve"> and substitutes it with </w:t>
      </w:r>
      <w:r w:rsidR="00061980">
        <w:rPr>
          <w:szCs w:val="20"/>
        </w:rPr>
        <w:t xml:space="preserve">phrase </w:t>
      </w:r>
      <w:r>
        <w:rPr>
          <w:szCs w:val="20"/>
        </w:rPr>
        <w:t>‘</w:t>
      </w:r>
      <w:r w:rsidR="00E426BF">
        <w:rPr>
          <w:szCs w:val="20"/>
        </w:rPr>
        <w:t>(ii) different</w:t>
      </w:r>
      <w:r>
        <w:rPr>
          <w:szCs w:val="20"/>
        </w:rPr>
        <w:t>’.</w:t>
      </w:r>
    </w:p>
    <w:p w14:paraId="7F9D6E53" w14:textId="2123C0CB" w:rsidR="00E10C28" w:rsidRPr="00BB7F78" w:rsidRDefault="00E10C28" w:rsidP="00E426BF">
      <w:pPr>
        <w:pStyle w:val="Bullet"/>
        <w:numPr>
          <w:ilvl w:val="0"/>
          <w:numId w:val="0"/>
        </w:numPr>
        <w:rPr>
          <w:u w:val="single"/>
        </w:rPr>
      </w:pPr>
      <w:r w:rsidRPr="00BB7F78">
        <w:rPr>
          <w:u w:val="single"/>
        </w:rPr>
        <w:t xml:space="preserve">Item </w:t>
      </w:r>
      <w:r w:rsidR="00E426BF" w:rsidRPr="00BB7F78">
        <w:rPr>
          <w:u w:val="single"/>
        </w:rPr>
        <w:t>16</w:t>
      </w:r>
      <w:r w:rsidRPr="00BB7F78">
        <w:rPr>
          <w:u w:val="single"/>
        </w:rPr>
        <w:t xml:space="preserve"> - Amendments to the </w:t>
      </w:r>
      <w:r w:rsidRPr="00BB7F78">
        <w:rPr>
          <w:i/>
          <w:u w:val="single"/>
        </w:rPr>
        <w:t>A New Tax System (Goods and Services) Regulations 2019</w:t>
      </w:r>
    </w:p>
    <w:p w14:paraId="41818F2A" w14:textId="167107ED" w:rsidR="003376C4" w:rsidRDefault="003376C4" w:rsidP="00ED0ED7">
      <w:pPr>
        <w:pStyle w:val="Bullet"/>
        <w:numPr>
          <w:ilvl w:val="0"/>
          <w:numId w:val="0"/>
        </w:numPr>
        <w:spacing w:after="200"/>
      </w:pPr>
      <w:r w:rsidRPr="00BE3E68">
        <w:t xml:space="preserve">Section 195-1.01 </w:t>
      </w:r>
      <w:r w:rsidR="41818F2A" w:rsidRPr="00BE3E68">
        <w:t xml:space="preserve">of the </w:t>
      </w:r>
      <w:r w:rsidR="005E4D2D" w:rsidRPr="00871A72">
        <w:rPr>
          <w:i/>
        </w:rPr>
        <w:t>A New Tax System (Goods and Services) Regulations 2019</w:t>
      </w:r>
      <w:r w:rsidR="00710460">
        <w:rPr>
          <w:i/>
        </w:rPr>
        <w:t xml:space="preserve"> </w:t>
      </w:r>
      <w:r w:rsidR="41818F2A" w:rsidRPr="00BE3E68">
        <w:t xml:space="preserve">provides </w:t>
      </w:r>
      <w:r w:rsidR="00CE3075">
        <w:t>the schemes or arrangements that are</w:t>
      </w:r>
      <w:r w:rsidR="41818F2A" w:rsidRPr="00BE3E68">
        <w:t xml:space="preserve"> </w:t>
      </w:r>
      <w:r w:rsidR="41818F2A">
        <w:t xml:space="preserve">compulsory third-party schemes </w:t>
      </w:r>
      <w:r w:rsidR="00CE3075">
        <w:t xml:space="preserve">for the purposes of the definition of </w:t>
      </w:r>
      <w:r w:rsidR="00027561">
        <w:t>‘</w:t>
      </w:r>
      <w:r w:rsidR="00CE3075" w:rsidRPr="00027561">
        <w:t>compulsory third-party scheme</w:t>
      </w:r>
      <w:r w:rsidR="00027561">
        <w:t>’</w:t>
      </w:r>
      <w:r w:rsidR="00710460">
        <w:t xml:space="preserve"> in the </w:t>
      </w:r>
      <w:r w:rsidR="00710460" w:rsidRPr="0088508F">
        <w:rPr>
          <w:i/>
        </w:rPr>
        <w:t xml:space="preserve">A New Tax System (Goods and Services) </w:t>
      </w:r>
      <w:r w:rsidR="00710460">
        <w:rPr>
          <w:i/>
        </w:rPr>
        <w:t>Act</w:t>
      </w:r>
      <w:r w:rsidR="00710460" w:rsidRPr="0088508F">
        <w:rPr>
          <w:i/>
        </w:rPr>
        <w:t xml:space="preserve"> </w:t>
      </w:r>
      <w:r w:rsidR="00710460">
        <w:rPr>
          <w:i/>
        </w:rPr>
        <w:t>1999</w:t>
      </w:r>
      <w:r w:rsidR="41818F2A">
        <w:t>.</w:t>
      </w:r>
    </w:p>
    <w:p w14:paraId="74349B79" w14:textId="19F182AA" w:rsidR="003376C4" w:rsidRDefault="41818F2A" w:rsidP="00ED0ED7">
      <w:pPr>
        <w:pStyle w:val="Bullet"/>
        <w:numPr>
          <w:ilvl w:val="0"/>
          <w:numId w:val="0"/>
        </w:numPr>
        <w:spacing w:after="200"/>
      </w:pPr>
      <w:r>
        <w:lastRenderedPageBreak/>
        <w:t xml:space="preserve">The Australian Capital Territory (ACT) has introduced a new </w:t>
      </w:r>
      <w:r w:rsidR="0075398E">
        <w:t>compulsory</w:t>
      </w:r>
      <w:r w:rsidR="00CE3075">
        <w:t xml:space="preserve"> third-party scheme</w:t>
      </w:r>
      <w:r>
        <w:t xml:space="preserve"> under</w:t>
      </w:r>
      <w:r w:rsidRPr="003E4AC2">
        <w:rPr>
          <w:iCs/>
        </w:rPr>
        <w:t xml:space="preserve"> the</w:t>
      </w:r>
      <w:r w:rsidR="003E4AC2">
        <w:rPr>
          <w:i/>
          <w:iCs/>
        </w:rPr>
        <w:t xml:space="preserve"> </w:t>
      </w:r>
      <w:r w:rsidRPr="41818F2A">
        <w:rPr>
          <w:i/>
          <w:iCs/>
        </w:rPr>
        <w:t>M</w:t>
      </w:r>
      <w:r w:rsidR="003E4AC2">
        <w:rPr>
          <w:i/>
          <w:iCs/>
        </w:rPr>
        <w:t xml:space="preserve">otor Accident Injuries Act 2019 </w:t>
      </w:r>
      <w:r w:rsidR="003E4AC2">
        <w:rPr>
          <w:iCs/>
        </w:rPr>
        <w:t>(ACT)</w:t>
      </w:r>
      <w:r w:rsidR="00CE3075">
        <w:rPr>
          <w:iCs/>
        </w:rPr>
        <w:t>.</w:t>
      </w:r>
    </w:p>
    <w:p w14:paraId="36BB31D0" w14:textId="101CC0CE" w:rsidR="003376C4" w:rsidRDefault="00027561" w:rsidP="00ED0ED7">
      <w:pPr>
        <w:pStyle w:val="Bullet"/>
        <w:numPr>
          <w:ilvl w:val="0"/>
          <w:numId w:val="0"/>
        </w:numPr>
        <w:spacing w:after="200"/>
      </w:pPr>
      <w:r>
        <w:t>Item 16 amends s</w:t>
      </w:r>
      <w:r w:rsidR="41818F2A" w:rsidRPr="00BE3E68">
        <w:t xml:space="preserve">ection 195-1.01 </w:t>
      </w:r>
      <w:r w:rsidR="003376C4" w:rsidRPr="00BE3E68">
        <w:t>to include the</w:t>
      </w:r>
      <w:r w:rsidR="00BE3E68">
        <w:t xml:space="preserve"> </w:t>
      </w:r>
      <w:r w:rsidR="005E4D2D">
        <w:t>ACT’s</w:t>
      </w:r>
      <w:r w:rsidR="00BE3E68">
        <w:rPr>
          <w:szCs w:val="20"/>
        </w:rPr>
        <w:t xml:space="preserve"> new</w:t>
      </w:r>
      <w:r w:rsidR="00534070">
        <w:rPr>
          <w:szCs w:val="20"/>
        </w:rPr>
        <w:t xml:space="preserve"> Motor Accident Injuries </w:t>
      </w:r>
      <w:r w:rsidR="005E4D2D">
        <w:rPr>
          <w:szCs w:val="20"/>
        </w:rPr>
        <w:t xml:space="preserve">Insurance </w:t>
      </w:r>
      <w:r w:rsidR="00534070">
        <w:rPr>
          <w:szCs w:val="20"/>
        </w:rPr>
        <w:t>Scheme</w:t>
      </w:r>
      <w:r w:rsidR="003376C4" w:rsidRPr="00BE3E68">
        <w:rPr>
          <w:szCs w:val="20"/>
        </w:rPr>
        <w:t xml:space="preserve"> and </w:t>
      </w:r>
      <w:r w:rsidR="005E4D2D">
        <w:rPr>
          <w:szCs w:val="20"/>
        </w:rPr>
        <w:t>its governing legislation</w:t>
      </w:r>
      <w:r w:rsidR="00BE3E68">
        <w:t xml:space="preserve"> as a compulsory third-party scheme </w:t>
      </w:r>
      <w:r w:rsidR="00710460">
        <w:t xml:space="preserve">for the purposes of the definition of </w:t>
      </w:r>
      <w:r>
        <w:t>‘</w:t>
      </w:r>
      <w:r w:rsidR="00710460" w:rsidRPr="00027561">
        <w:t>compulsory third-party scheme</w:t>
      </w:r>
      <w:r>
        <w:t>’</w:t>
      </w:r>
      <w:r w:rsidR="00BE3E68">
        <w:t xml:space="preserve">. </w:t>
      </w:r>
      <w:r w:rsidR="0075398E">
        <w:t>T</w:t>
      </w:r>
      <w:r w:rsidR="41818F2A">
        <w:t>he</w:t>
      </w:r>
      <w:r w:rsidR="00710460">
        <w:t xml:space="preserve"> ACT’s</w:t>
      </w:r>
      <w:r w:rsidR="41818F2A">
        <w:t xml:space="preserve"> former </w:t>
      </w:r>
      <w:r w:rsidR="0075398E">
        <w:t xml:space="preserve">compulsory third-party scheme </w:t>
      </w:r>
      <w:r w:rsidR="00201F4C">
        <w:t>has been retained</w:t>
      </w:r>
      <w:r w:rsidR="41818F2A">
        <w:t xml:space="preserve"> as it is anticipated that settlements and payments will continue to be made under the former scheme for the foreseeable future.</w:t>
      </w:r>
      <w:r w:rsidR="00B60AF6" w:rsidRPr="00871A72">
        <w:rPr>
          <w:rStyle w:val="Referencingstyle"/>
        </w:rPr>
        <w:t xml:space="preserve"> </w:t>
      </w:r>
    </w:p>
    <w:p w14:paraId="06F4A247" w14:textId="5C3D80B8" w:rsidR="00E426BF" w:rsidRPr="00BB7F78" w:rsidRDefault="00E426BF" w:rsidP="00E426BF">
      <w:pPr>
        <w:pStyle w:val="Bullet"/>
        <w:numPr>
          <w:ilvl w:val="0"/>
          <w:numId w:val="0"/>
        </w:numPr>
        <w:rPr>
          <w:i/>
          <w:u w:val="single"/>
        </w:rPr>
      </w:pPr>
      <w:r w:rsidRPr="00BB7F78">
        <w:rPr>
          <w:u w:val="single"/>
        </w:rPr>
        <w:t>Items 17 - 2</w:t>
      </w:r>
      <w:r w:rsidR="0091388E">
        <w:rPr>
          <w:u w:val="single"/>
        </w:rPr>
        <w:t>2</w:t>
      </w:r>
      <w:r w:rsidRPr="00BB7F78">
        <w:rPr>
          <w:u w:val="single"/>
        </w:rPr>
        <w:t xml:space="preserve"> - Amendments to the </w:t>
      </w:r>
      <w:r w:rsidRPr="00BB7F78">
        <w:rPr>
          <w:i/>
          <w:u w:val="single"/>
        </w:rPr>
        <w:t xml:space="preserve">Foreign Acquisitions and Takeovers </w:t>
      </w:r>
      <w:r w:rsidR="00A77596" w:rsidRPr="00BB7F78">
        <w:rPr>
          <w:i/>
          <w:u w:val="single"/>
        </w:rPr>
        <w:t xml:space="preserve">Fees Imposition </w:t>
      </w:r>
      <w:r w:rsidRPr="00BB7F78">
        <w:rPr>
          <w:i/>
          <w:u w:val="single"/>
        </w:rPr>
        <w:t>Re</w:t>
      </w:r>
      <w:r w:rsidR="00A77596" w:rsidRPr="00BB7F78">
        <w:rPr>
          <w:i/>
          <w:u w:val="single"/>
        </w:rPr>
        <w:t>gulations 2020</w:t>
      </w:r>
    </w:p>
    <w:p w14:paraId="470BD899" w14:textId="3A1D60A0" w:rsidR="00CA339E" w:rsidRDefault="00CA339E" w:rsidP="00CA339E">
      <w:pPr>
        <w:pStyle w:val="Bullet"/>
        <w:numPr>
          <w:ilvl w:val="0"/>
          <w:numId w:val="0"/>
        </w:numPr>
        <w:spacing w:after="200"/>
        <w:rPr>
          <w:szCs w:val="20"/>
        </w:rPr>
      </w:pPr>
      <w:r w:rsidRPr="00C20028">
        <w:rPr>
          <w:szCs w:val="20"/>
        </w:rPr>
        <w:t>Item</w:t>
      </w:r>
      <w:r>
        <w:rPr>
          <w:szCs w:val="20"/>
        </w:rPr>
        <w:t xml:space="preserve"> </w:t>
      </w:r>
      <w:r w:rsidRPr="00CA339E">
        <w:rPr>
          <w:szCs w:val="20"/>
        </w:rPr>
        <w:t>20</w:t>
      </w:r>
      <w:r>
        <w:rPr>
          <w:szCs w:val="20"/>
        </w:rPr>
        <w:t xml:space="preserve"> inserts a new provision in the </w:t>
      </w:r>
      <w:r>
        <w:rPr>
          <w:i/>
          <w:szCs w:val="20"/>
        </w:rPr>
        <w:t>Foreign Acquisitions and Takeovers Fees Imposition Regulations 2020</w:t>
      </w:r>
      <w:r>
        <w:rPr>
          <w:szCs w:val="20"/>
        </w:rPr>
        <w:t xml:space="preserve"> to provide that if the fee calculated under the regulations results in a decimal, then the fee is to be rounded to the nearest whole dollar. </w:t>
      </w:r>
    </w:p>
    <w:p w14:paraId="2C813768" w14:textId="320F1E66" w:rsidR="00CA339E" w:rsidRDefault="00CA339E" w:rsidP="00CA339E">
      <w:pPr>
        <w:pStyle w:val="Bullet"/>
        <w:numPr>
          <w:ilvl w:val="0"/>
          <w:numId w:val="0"/>
        </w:numPr>
        <w:spacing w:after="200"/>
        <w:rPr>
          <w:szCs w:val="20"/>
        </w:rPr>
      </w:pPr>
      <w:r w:rsidRPr="00C20028">
        <w:rPr>
          <w:szCs w:val="20"/>
        </w:rPr>
        <w:t xml:space="preserve">For example, an applicant applies for approval for a reviewable national security action relating to acquiring a business with a consideration value of $10 million. The fee for voluntarily notifying a reviewable national security action is currently $1,587.50, as this is 25 per cent of the fee that would have been payable for a business acquisition. </w:t>
      </w:r>
      <w:proofErr w:type="gramStart"/>
      <w:r>
        <w:rPr>
          <w:szCs w:val="20"/>
        </w:rPr>
        <w:t>However</w:t>
      </w:r>
      <w:proofErr w:type="gramEnd"/>
      <w:r>
        <w:rPr>
          <w:szCs w:val="20"/>
        </w:rPr>
        <w:t xml:space="preserve"> the rounding </w:t>
      </w:r>
      <w:r w:rsidR="002B3589">
        <w:rPr>
          <w:szCs w:val="20"/>
        </w:rPr>
        <w:t>provision provides that the $1,</w:t>
      </w:r>
      <w:r>
        <w:rPr>
          <w:szCs w:val="20"/>
        </w:rPr>
        <w:t xml:space="preserve">587.50 fee will be rounded </w:t>
      </w:r>
      <w:r w:rsidR="002B3589">
        <w:rPr>
          <w:szCs w:val="20"/>
        </w:rPr>
        <w:t>up to $1,588.</w:t>
      </w:r>
    </w:p>
    <w:p w14:paraId="743751BE" w14:textId="7ACAE72C" w:rsidR="00CA339E" w:rsidRDefault="00CA339E" w:rsidP="00CA339E">
      <w:pPr>
        <w:pStyle w:val="Bullet"/>
        <w:numPr>
          <w:ilvl w:val="0"/>
          <w:numId w:val="0"/>
        </w:numPr>
        <w:spacing w:after="200"/>
        <w:rPr>
          <w:szCs w:val="20"/>
        </w:rPr>
      </w:pPr>
      <w:r>
        <w:rPr>
          <w:szCs w:val="20"/>
        </w:rPr>
        <w:t xml:space="preserve">Items 17 to 19 make the necessary consequential amendments </w:t>
      </w:r>
      <w:r w:rsidR="00537483">
        <w:rPr>
          <w:szCs w:val="20"/>
        </w:rPr>
        <w:t xml:space="preserve">to provide for the new rounding provision, </w:t>
      </w:r>
      <w:r>
        <w:rPr>
          <w:szCs w:val="20"/>
        </w:rPr>
        <w:t xml:space="preserve">including updating headings in the </w:t>
      </w:r>
      <w:r>
        <w:rPr>
          <w:i/>
          <w:szCs w:val="20"/>
        </w:rPr>
        <w:t>Foreign Acquisitions and Takeovers Fees Imposition Regulations 2020</w:t>
      </w:r>
      <w:r>
        <w:rPr>
          <w:szCs w:val="20"/>
        </w:rPr>
        <w:t xml:space="preserve">. </w:t>
      </w:r>
    </w:p>
    <w:p w14:paraId="277BDA6C" w14:textId="4DFDD7DB" w:rsidR="00A073FE" w:rsidRDefault="00A073FE" w:rsidP="00A073FE">
      <w:pPr>
        <w:pStyle w:val="Bullet"/>
        <w:numPr>
          <w:ilvl w:val="0"/>
          <w:numId w:val="0"/>
        </w:numPr>
        <w:rPr>
          <w:szCs w:val="20"/>
        </w:rPr>
      </w:pPr>
      <w:r>
        <w:rPr>
          <w:szCs w:val="20"/>
        </w:rPr>
        <w:t xml:space="preserve">Item </w:t>
      </w:r>
      <w:r w:rsidR="0091388E">
        <w:rPr>
          <w:szCs w:val="20"/>
        </w:rPr>
        <w:t>22</w:t>
      </w:r>
      <w:r>
        <w:rPr>
          <w:szCs w:val="20"/>
        </w:rPr>
        <w:t xml:space="preserve"> provides that the amendments apply in relation to fees that become payable on or after the commencement of the instrument. </w:t>
      </w:r>
      <w:r w:rsidR="0091388E">
        <w:rPr>
          <w:szCs w:val="20"/>
        </w:rPr>
        <w:t xml:space="preserve">Item 21 makes a consequential amendment </w:t>
      </w:r>
      <w:r w:rsidR="00DC02A6">
        <w:rPr>
          <w:szCs w:val="20"/>
        </w:rPr>
        <w:t>to enable the insertion of the</w:t>
      </w:r>
      <w:r w:rsidR="0091388E">
        <w:rPr>
          <w:szCs w:val="20"/>
        </w:rPr>
        <w:t xml:space="preserve"> application provision.</w:t>
      </w:r>
    </w:p>
    <w:p w14:paraId="7202219B" w14:textId="3F336F28" w:rsidR="00E426BF" w:rsidRDefault="00E426BF" w:rsidP="00E426BF">
      <w:pPr>
        <w:pStyle w:val="Bullet"/>
        <w:numPr>
          <w:ilvl w:val="0"/>
          <w:numId w:val="0"/>
        </w:numPr>
        <w:spacing w:after="200"/>
        <w:ind w:left="567" w:hanging="567"/>
        <w:rPr>
          <w:szCs w:val="20"/>
        </w:rPr>
      </w:pPr>
    </w:p>
    <w:p w14:paraId="7263E095" w14:textId="5839E69D" w:rsidR="00BB7F78" w:rsidRPr="00BB7F78" w:rsidRDefault="00BB7F78" w:rsidP="00BB7F78">
      <w:pPr>
        <w:pStyle w:val="Bullet"/>
        <w:numPr>
          <w:ilvl w:val="0"/>
          <w:numId w:val="0"/>
        </w:numPr>
        <w:jc w:val="center"/>
        <w:rPr>
          <w:b/>
          <w:u w:val="single"/>
        </w:rPr>
      </w:pPr>
      <w:r w:rsidRPr="00BB7F78">
        <w:rPr>
          <w:b/>
          <w:u w:val="single"/>
        </w:rPr>
        <w:t>Part 2</w:t>
      </w:r>
      <w:r>
        <w:rPr>
          <w:b/>
          <w:u w:val="single"/>
        </w:rPr>
        <w:t xml:space="preserve"> – Other amendments</w:t>
      </w:r>
    </w:p>
    <w:p w14:paraId="2F9693FF" w14:textId="3741FA9D" w:rsidR="00A77596" w:rsidRPr="00BB7F78" w:rsidRDefault="00A77596" w:rsidP="00A77596">
      <w:pPr>
        <w:pStyle w:val="Bullet"/>
        <w:numPr>
          <w:ilvl w:val="0"/>
          <w:numId w:val="0"/>
        </w:numPr>
        <w:rPr>
          <w:i/>
          <w:u w:val="single"/>
        </w:rPr>
      </w:pPr>
      <w:r w:rsidRPr="00BB7F78">
        <w:rPr>
          <w:u w:val="single"/>
        </w:rPr>
        <w:t xml:space="preserve">Item </w:t>
      </w:r>
      <w:r w:rsidR="0091388E">
        <w:rPr>
          <w:u w:val="single"/>
        </w:rPr>
        <w:t>23</w:t>
      </w:r>
      <w:r w:rsidR="0091388E" w:rsidRPr="00BB7F78">
        <w:rPr>
          <w:u w:val="single"/>
        </w:rPr>
        <w:t xml:space="preserve"> </w:t>
      </w:r>
      <w:r w:rsidRPr="00BB7F78">
        <w:rPr>
          <w:u w:val="single"/>
        </w:rPr>
        <w:t xml:space="preserve">- Amendments to the </w:t>
      </w:r>
      <w:r w:rsidRPr="00BB7F78">
        <w:rPr>
          <w:i/>
          <w:u w:val="single"/>
        </w:rPr>
        <w:t>Foreign Acquisitions and Takeovers Regulation 2015</w:t>
      </w:r>
    </w:p>
    <w:p w14:paraId="705987FC" w14:textId="7938186C" w:rsidR="000178FF" w:rsidRDefault="00CA339E" w:rsidP="00CA339E">
      <w:pPr>
        <w:pStyle w:val="Bullet"/>
        <w:numPr>
          <w:ilvl w:val="0"/>
          <w:numId w:val="0"/>
        </w:numPr>
        <w:spacing w:after="200"/>
      </w:pPr>
      <w:r>
        <w:t xml:space="preserve">Item </w:t>
      </w:r>
      <w:r w:rsidR="0091388E">
        <w:t xml:space="preserve">23 </w:t>
      </w:r>
      <w:r>
        <w:t xml:space="preserve">makes consequential amendments to the note at section 60 of the </w:t>
      </w:r>
      <w:r w:rsidRPr="165047A1">
        <w:rPr>
          <w:i/>
          <w:iCs/>
        </w:rPr>
        <w:t>Foreign Acquisitions and Takeovers Regulations 2015</w:t>
      </w:r>
      <w:r w:rsidR="000178FF">
        <w:rPr>
          <w:iCs/>
        </w:rPr>
        <w:t xml:space="preserve"> to support a proposed amendment to the </w:t>
      </w:r>
      <w:r w:rsidR="000178FF" w:rsidRPr="000178FF">
        <w:rPr>
          <w:i/>
          <w:iCs/>
        </w:rPr>
        <w:t>Foreign Acquisitions and Takeovers Act 1975</w:t>
      </w:r>
      <w:r w:rsidR="000178FF">
        <w:rPr>
          <w:iCs/>
        </w:rPr>
        <w:t xml:space="preserve">. The proposed amendment is </w:t>
      </w:r>
      <w:r>
        <w:t>made by the Treasury Laws Amendment (Measures for Consultation) Bill 2021: Miscellaneous and Technical Amendments</w:t>
      </w:r>
      <w:r w:rsidR="000178FF">
        <w:t>, and it</w:t>
      </w:r>
      <w:r>
        <w:t xml:space="preserve"> provides that the Treasurer may extend the decision period by up to 90 days for exemption certificates. </w:t>
      </w:r>
    </w:p>
    <w:p w14:paraId="2E79EE1A" w14:textId="780DDAB2" w:rsidR="00CA339E" w:rsidRDefault="000178FF" w:rsidP="00CA339E">
      <w:pPr>
        <w:pStyle w:val="Bullet"/>
        <w:numPr>
          <w:ilvl w:val="0"/>
          <w:numId w:val="0"/>
        </w:numPr>
        <w:spacing w:after="200"/>
        <w:rPr>
          <w:szCs w:val="20"/>
        </w:rPr>
      </w:pPr>
      <w:r>
        <w:t xml:space="preserve">Item </w:t>
      </w:r>
      <w:r w:rsidR="0091388E">
        <w:t xml:space="preserve">23 </w:t>
      </w:r>
      <w:r>
        <w:t>amends t</w:t>
      </w:r>
      <w:r w:rsidR="00CA339E">
        <w:t>he note in section 60</w:t>
      </w:r>
      <w:r w:rsidR="00CA339E">
        <w:rPr>
          <w:szCs w:val="20"/>
        </w:rPr>
        <w:t xml:space="preserve"> of the </w:t>
      </w:r>
      <w:r w:rsidR="00CA339E">
        <w:rPr>
          <w:i/>
          <w:szCs w:val="20"/>
        </w:rPr>
        <w:t>Foreign Acquisitions and Takeovers Regulations 2015</w:t>
      </w:r>
      <w:r w:rsidR="00CA339E">
        <w:rPr>
          <w:szCs w:val="20"/>
        </w:rPr>
        <w:t xml:space="preserve"> to reflect that the Treasurer’s decision to grant an exemption certificate needs to be made before the end of </w:t>
      </w:r>
      <w:proofErr w:type="gramStart"/>
      <w:r w:rsidR="00CA339E">
        <w:rPr>
          <w:szCs w:val="20"/>
        </w:rPr>
        <w:t>30 day</w:t>
      </w:r>
      <w:proofErr w:type="gramEnd"/>
      <w:r w:rsidR="00CA339E">
        <w:rPr>
          <w:szCs w:val="20"/>
        </w:rPr>
        <w:t xml:space="preserve"> period or the</w:t>
      </w:r>
      <w:r w:rsidR="00A073FE">
        <w:rPr>
          <w:szCs w:val="20"/>
        </w:rPr>
        <w:t xml:space="preserve"> period extended under the Act.</w:t>
      </w:r>
    </w:p>
    <w:p w14:paraId="419FE55A" w14:textId="7E6D8257" w:rsidR="0069479C" w:rsidRPr="00BB7F78" w:rsidRDefault="0069479C" w:rsidP="006A2711">
      <w:pPr>
        <w:pStyle w:val="Bullet"/>
        <w:keepNext/>
        <w:keepLines/>
        <w:numPr>
          <w:ilvl w:val="0"/>
          <w:numId w:val="0"/>
        </w:numPr>
        <w:rPr>
          <w:u w:val="single"/>
        </w:rPr>
      </w:pPr>
      <w:r w:rsidRPr="00BB7F78">
        <w:rPr>
          <w:u w:val="single"/>
        </w:rPr>
        <w:lastRenderedPageBreak/>
        <w:t xml:space="preserve">Item </w:t>
      </w:r>
      <w:r w:rsidR="0091388E">
        <w:rPr>
          <w:u w:val="single"/>
        </w:rPr>
        <w:t>24</w:t>
      </w:r>
      <w:r w:rsidR="0091388E" w:rsidRPr="00BB7F78">
        <w:rPr>
          <w:u w:val="single"/>
        </w:rPr>
        <w:t xml:space="preserve"> </w:t>
      </w:r>
      <w:r w:rsidRPr="00BB7F78">
        <w:rPr>
          <w:u w:val="single"/>
        </w:rPr>
        <w:t xml:space="preserve">- Amendments to the </w:t>
      </w:r>
      <w:r w:rsidRPr="00990013">
        <w:rPr>
          <w:i/>
          <w:u w:val="single"/>
        </w:rPr>
        <w:t>Business Names Registration Regulations 2011</w:t>
      </w:r>
    </w:p>
    <w:p w14:paraId="3FE9B861" w14:textId="6300B67E" w:rsidR="0069479C" w:rsidRDefault="008E68B6" w:rsidP="00ED0ED7">
      <w:pPr>
        <w:pStyle w:val="Bullet"/>
        <w:numPr>
          <w:ilvl w:val="0"/>
          <w:numId w:val="0"/>
        </w:numPr>
        <w:spacing w:after="200"/>
        <w:rPr>
          <w:i/>
          <w:szCs w:val="20"/>
        </w:rPr>
      </w:pPr>
      <w:r>
        <w:rPr>
          <w:szCs w:val="20"/>
        </w:rPr>
        <w:t xml:space="preserve">Item </w:t>
      </w:r>
      <w:r w:rsidR="0091388E">
        <w:rPr>
          <w:szCs w:val="20"/>
        </w:rPr>
        <w:t xml:space="preserve">24 </w:t>
      </w:r>
      <w:r w:rsidR="003C46CF">
        <w:rPr>
          <w:szCs w:val="20"/>
        </w:rPr>
        <w:t>amends</w:t>
      </w:r>
      <w:r>
        <w:rPr>
          <w:szCs w:val="20"/>
        </w:rPr>
        <w:t xml:space="preserve"> s</w:t>
      </w:r>
      <w:r w:rsidR="0069479C">
        <w:rPr>
          <w:szCs w:val="20"/>
        </w:rPr>
        <w:t>ection 13</w:t>
      </w:r>
      <w:r>
        <w:rPr>
          <w:szCs w:val="20"/>
        </w:rPr>
        <w:t xml:space="preserve"> of the</w:t>
      </w:r>
      <w:r w:rsidR="0069479C">
        <w:rPr>
          <w:szCs w:val="20"/>
        </w:rPr>
        <w:t xml:space="preserve"> </w:t>
      </w:r>
      <w:r w:rsidRPr="008E68B6">
        <w:rPr>
          <w:i/>
          <w:szCs w:val="20"/>
        </w:rPr>
        <w:t>Business Names Registration Regulations 2011</w:t>
      </w:r>
      <w:r>
        <w:rPr>
          <w:b/>
          <w:i/>
          <w:szCs w:val="20"/>
        </w:rPr>
        <w:t xml:space="preserve"> </w:t>
      </w:r>
      <w:r w:rsidR="003C46CF" w:rsidRPr="003C46CF">
        <w:rPr>
          <w:szCs w:val="20"/>
        </w:rPr>
        <w:t>to</w:t>
      </w:r>
      <w:r w:rsidR="003C46CF">
        <w:rPr>
          <w:b/>
          <w:i/>
          <w:szCs w:val="20"/>
        </w:rPr>
        <w:t xml:space="preserve"> </w:t>
      </w:r>
      <w:r w:rsidR="00010258" w:rsidRPr="00010258">
        <w:rPr>
          <w:szCs w:val="20"/>
        </w:rPr>
        <w:t xml:space="preserve">allow the </w:t>
      </w:r>
      <w:r w:rsidR="00010258">
        <w:rPr>
          <w:szCs w:val="20"/>
        </w:rPr>
        <w:t xml:space="preserve">Minister’s powers to be delegated to certain people in </w:t>
      </w:r>
      <w:r w:rsidR="00CB0C0B">
        <w:rPr>
          <w:szCs w:val="20"/>
        </w:rPr>
        <w:t>the Australian Securities and Investments Commission (ASIC)</w:t>
      </w:r>
      <w:r w:rsidR="00010258">
        <w:rPr>
          <w:szCs w:val="20"/>
        </w:rPr>
        <w:t xml:space="preserve">. </w:t>
      </w:r>
      <w:proofErr w:type="gramStart"/>
      <w:r w:rsidR="00010258">
        <w:rPr>
          <w:szCs w:val="20"/>
        </w:rPr>
        <w:t>Specifically</w:t>
      </w:r>
      <w:proofErr w:type="gramEnd"/>
      <w:r w:rsidR="00010258">
        <w:rPr>
          <w:szCs w:val="20"/>
        </w:rPr>
        <w:t xml:space="preserve"> the item </w:t>
      </w:r>
      <w:r w:rsidR="0069479C">
        <w:rPr>
          <w:szCs w:val="20"/>
        </w:rPr>
        <w:t>include</w:t>
      </w:r>
      <w:r w:rsidR="00010258">
        <w:rPr>
          <w:szCs w:val="20"/>
        </w:rPr>
        <w:t>s</w:t>
      </w:r>
      <w:r w:rsidR="0069479C">
        <w:rPr>
          <w:szCs w:val="20"/>
        </w:rPr>
        <w:t xml:space="preserve"> </w:t>
      </w:r>
      <w:r>
        <w:rPr>
          <w:szCs w:val="20"/>
        </w:rPr>
        <w:t xml:space="preserve">the Minister’s powers in </w:t>
      </w:r>
      <w:r w:rsidR="0069479C">
        <w:rPr>
          <w:szCs w:val="20"/>
        </w:rPr>
        <w:t xml:space="preserve">sections 9(1) and (2) of the </w:t>
      </w:r>
      <w:r w:rsidR="0069479C">
        <w:rPr>
          <w:i/>
          <w:szCs w:val="20"/>
        </w:rPr>
        <w:t>Business Names</w:t>
      </w:r>
      <w:r>
        <w:rPr>
          <w:i/>
          <w:szCs w:val="20"/>
        </w:rPr>
        <w:t xml:space="preserve"> Registration (Availability of Names) Determination 2015</w:t>
      </w:r>
      <w:r>
        <w:rPr>
          <w:szCs w:val="20"/>
        </w:rPr>
        <w:t xml:space="preserve"> as powers that can be delegated under section 80 of the </w:t>
      </w:r>
      <w:r>
        <w:rPr>
          <w:i/>
          <w:szCs w:val="20"/>
        </w:rPr>
        <w:t>Business Names Registration Act 2011</w:t>
      </w:r>
      <w:r>
        <w:rPr>
          <w:szCs w:val="20"/>
        </w:rPr>
        <w:t>.</w:t>
      </w:r>
      <w:r w:rsidR="0069479C">
        <w:rPr>
          <w:i/>
          <w:szCs w:val="20"/>
        </w:rPr>
        <w:t xml:space="preserve"> </w:t>
      </w:r>
    </w:p>
    <w:p w14:paraId="3BC73EC7" w14:textId="0EE5AC1E" w:rsidR="008E68B6" w:rsidRDefault="008E68B6" w:rsidP="00ED0ED7">
      <w:pPr>
        <w:pStyle w:val="Bullet"/>
        <w:numPr>
          <w:ilvl w:val="0"/>
          <w:numId w:val="0"/>
        </w:numPr>
        <w:spacing w:after="200"/>
        <w:rPr>
          <w:szCs w:val="20"/>
        </w:rPr>
      </w:pPr>
      <w:r>
        <w:rPr>
          <w:szCs w:val="20"/>
        </w:rPr>
        <w:t xml:space="preserve">Sections 9(1) and (2) of the </w:t>
      </w:r>
      <w:r>
        <w:rPr>
          <w:i/>
          <w:szCs w:val="20"/>
        </w:rPr>
        <w:t>Business Names Registration (Availability of Names) Determination 2015</w:t>
      </w:r>
      <w:r>
        <w:rPr>
          <w:szCs w:val="20"/>
        </w:rPr>
        <w:t xml:space="preserve"> provides the Minister with the power to give written consent to the use of restricted words or expressions in </w:t>
      </w:r>
      <w:r w:rsidR="008E2DA0">
        <w:rPr>
          <w:szCs w:val="20"/>
        </w:rPr>
        <w:t>relation to entities or businesses, or words or expressions that are similar to restricted words or expressions.</w:t>
      </w:r>
    </w:p>
    <w:p w14:paraId="24B18265" w14:textId="266DDD40" w:rsidR="008E2DA0" w:rsidRDefault="008E2DA0" w:rsidP="00ED0ED7">
      <w:pPr>
        <w:pStyle w:val="Bullet"/>
        <w:numPr>
          <w:ilvl w:val="0"/>
          <w:numId w:val="0"/>
        </w:numPr>
        <w:spacing w:after="200"/>
        <w:rPr>
          <w:szCs w:val="20"/>
        </w:rPr>
      </w:pPr>
      <w:r>
        <w:rPr>
          <w:szCs w:val="20"/>
        </w:rPr>
        <w:t xml:space="preserve">The amendment would allow </w:t>
      </w:r>
      <w:r w:rsidR="003C46CF">
        <w:rPr>
          <w:szCs w:val="20"/>
        </w:rPr>
        <w:t>these</w:t>
      </w:r>
      <w:r>
        <w:rPr>
          <w:szCs w:val="20"/>
        </w:rPr>
        <w:t xml:space="preserve"> power</w:t>
      </w:r>
      <w:r w:rsidR="003C46CF">
        <w:rPr>
          <w:szCs w:val="20"/>
        </w:rPr>
        <w:t>s</w:t>
      </w:r>
      <w:r>
        <w:rPr>
          <w:szCs w:val="20"/>
        </w:rPr>
        <w:t xml:space="preserve"> to be delegated by the Minister to an ASIC member, or to </w:t>
      </w:r>
      <w:r w:rsidR="00347BF8">
        <w:rPr>
          <w:szCs w:val="20"/>
        </w:rPr>
        <w:t>a</w:t>
      </w:r>
      <w:r>
        <w:rPr>
          <w:szCs w:val="20"/>
        </w:rPr>
        <w:t xml:space="preserve"> senior staff member </w:t>
      </w:r>
      <w:r w:rsidR="00D7645F">
        <w:rPr>
          <w:szCs w:val="20"/>
        </w:rPr>
        <w:t>of ASIC. However, the power</w:t>
      </w:r>
      <w:r w:rsidR="003C46CF">
        <w:rPr>
          <w:szCs w:val="20"/>
        </w:rPr>
        <w:t>s</w:t>
      </w:r>
      <w:r w:rsidR="00D7645F">
        <w:rPr>
          <w:szCs w:val="20"/>
        </w:rPr>
        <w:t xml:space="preserve"> </w:t>
      </w:r>
      <w:r w:rsidR="00010258">
        <w:rPr>
          <w:szCs w:val="20"/>
        </w:rPr>
        <w:t xml:space="preserve">can only be delegated </w:t>
      </w:r>
      <w:r w:rsidR="00D7645F">
        <w:rPr>
          <w:szCs w:val="20"/>
        </w:rPr>
        <w:t xml:space="preserve">to the extent that </w:t>
      </w:r>
      <w:r w:rsidR="003C46CF">
        <w:rPr>
          <w:szCs w:val="20"/>
        </w:rPr>
        <w:t>they are</w:t>
      </w:r>
      <w:r w:rsidR="00D7645F">
        <w:rPr>
          <w:szCs w:val="20"/>
        </w:rPr>
        <w:t xml:space="preserve"> exercised in relation to a </w:t>
      </w:r>
      <w:r w:rsidR="00010258">
        <w:rPr>
          <w:szCs w:val="20"/>
        </w:rPr>
        <w:t>particular entity or business</w:t>
      </w:r>
      <w:r w:rsidR="00D7645F">
        <w:rPr>
          <w:szCs w:val="20"/>
        </w:rPr>
        <w:t xml:space="preserve">. This ensures that there is no sub-delegation </w:t>
      </w:r>
      <w:r w:rsidR="003C46CF">
        <w:rPr>
          <w:szCs w:val="20"/>
        </w:rPr>
        <w:t xml:space="preserve">of </w:t>
      </w:r>
      <w:r w:rsidR="00D7645F">
        <w:rPr>
          <w:szCs w:val="20"/>
        </w:rPr>
        <w:t>powers</w:t>
      </w:r>
      <w:r w:rsidR="003C46CF">
        <w:rPr>
          <w:szCs w:val="20"/>
        </w:rPr>
        <w:t>,</w:t>
      </w:r>
      <w:r w:rsidR="00D7645F">
        <w:rPr>
          <w:szCs w:val="20"/>
        </w:rPr>
        <w:t xml:space="preserve"> </w:t>
      </w:r>
      <w:r w:rsidR="003C46CF">
        <w:rPr>
          <w:szCs w:val="20"/>
        </w:rPr>
        <w:t>and that only the Minister’s</w:t>
      </w:r>
      <w:r w:rsidR="00D7645F">
        <w:rPr>
          <w:szCs w:val="20"/>
        </w:rPr>
        <w:t xml:space="preserve"> administrative </w:t>
      </w:r>
      <w:r w:rsidR="003C46CF">
        <w:rPr>
          <w:szCs w:val="20"/>
        </w:rPr>
        <w:t>functions</w:t>
      </w:r>
      <w:r w:rsidR="00AA4DB4">
        <w:rPr>
          <w:szCs w:val="20"/>
        </w:rPr>
        <w:t xml:space="preserve"> can be delegated</w:t>
      </w:r>
      <w:r w:rsidR="003C46CF">
        <w:rPr>
          <w:szCs w:val="20"/>
        </w:rPr>
        <w:t>.</w:t>
      </w:r>
    </w:p>
    <w:p w14:paraId="137E4D61" w14:textId="465537D4" w:rsidR="00482B81" w:rsidRPr="00EA4DD8" w:rsidRDefault="003C46CF" w:rsidP="00DE471C">
      <w:pPr>
        <w:pStyle w:val="Bullet"/>
        <w:numPr>
          <w:ilvl w:val="0"/>
          <w:numId w:val="0"/>
        </w:numPr>
        <w:spacing w:after="200"/>
      </w:pPr>
      <w:r>
        <w:rPr>
          <w:szCs w:val="20"/>
        </w:rPr>
        <w:t xml:space="preserve">The powers can only be delegated down to a senior </w:t>
      </w:r>
      <w:r w:rsidR="00607A02">
        <w:rPr>
          <w:szCs w:val="20"/>
        </w:rPr>
        <w:t xml:space="preserve">staff member </w:t>
      </w:r>
      <w:r w:rsidR="005948BF">
        <w:rPr>
          <w:szCs w:val="20"/>
        </w:rPr>
        <w:t>of ASIC</w:t>
      </w:r>
      <w:r w:rsidR="00347BF8">
        <w:rPr>
          <w:szCs w:val="20"/>
        </w:rPr>
        <w:t xml:space="preserve">. Senior staff members are </w:t>
      </w:r>
      <w:r w:rsidR="004B6598">
        <w:rPr>
          <w:szCs w:val="20"/>
        </w:rPr>
        <w:t>generally</w:t>
      </w:r>
      <w:r w:rsidR="00607A02">
        <w:rPr>
          <w:szCs w:val="20"/>
        </w:rPr>
        <w:t xml:space="preserve"> </w:t>
      </w:r>
      <w:r w:rsidR="00D121A2">
        <w:rPr>
          <w:szCs w:val="20"/>
        </w:rPr>
        <w:t>‘senior executive service’</w:t>
      </w:r>
      <w:r w:rsidR="00607A02">
        <w:rPr>
          <w:szCs w:val="20"/>
        </w:rPr>
        <w:t xml:space="preserve"> employee</w:t>
      </w:r>
      <w:r w:rsidR="00986C53">
        <w:rPr>
          <w:szCs w:val="20"/>
        </w:rPr>
        <w:t xml:space="preserve"> equivalent.</w:t>
      </w:r>
      <w:r w:rsidR="004B6598">
        <w:rPr>
          <w:szCs w:val="20"/>
        </w:rPr>
        <w:t xml:space="preserve"> The ASIC Chairperson can identify which staff members are a ‘senior staff member’ in a </w:t>
      </w:r>
      <w:r w:rsidR="00FD2A6E">
        <w:rPr>
          <w:szCs w:val="20"/>
        </w:rPr>
        <w:t>legislative</w:t>
      </w:r>
      <w:r w:rsidR="004B6598">
        <w:rPr>
          <w:szCs w:val="20"/>
        </w:rPr>
        <w:t xml:space="preserve"> instrument.</w:t>
      </w:r>
      <w:r w:rsidR="00FD2A6E">
        <w:rPr>
          <w:szCs w:val="20"/>
        </w:rPr>
        <w:t xml:space="preserve"> </w:t>
      </w:r>
      <w:r w:rsidR="00986C53">
        <w:rPr>
          <w:szCs w:val="20"/>
        </w:rPr>
        <w:t>This</w:t>
      </w:r>
      <w:r>
        <w:rPr>
          <w:szCs w:val="20"/>
        </w:rPr>
        <w:t xml:space="preserve"> ensures that only staff of </w:t>
      </w:r>
      <w:proofErr w:type="gramStart"/>
      <w:r>
        <w:rPr>
          <w:szCs w:val="20"/>
        </w:rPr>
        <w:t>sufficient</w:t>
      </w:r>
      <w:proofErr w:type="gramEnd"/>
      <w:r>
        <w:rPr>
          <w:szCs w:val="20"/>
        </w:rPr>
        <w:t xml:space="preserve"> seniority can be delegated the powers.</w:t>
      </w:r>
    </w:p>
    <w:sectPr w:rsidR="00482B81" w:rsidRPr="00EA4DD8" w:rsidSect="00A76171">
      <w:footerReference w:type="default" r:id="rId13"/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338D86" w14:textId="77777777" w:rsidR="00061980" w:rsidRDefault="00061980" w:rsidP="00954679">
      <w:pPr>
        <w:spacing w:before="0" w:after="0"/>
      </w:pPr>
      <w:r>
        <w:separator/>
      </w:r>
    </w:p>
  </w:endnote>
  <w:endnote w:type="continuationSeparator" w:id="0">
    <w:p w14:paraId="15226FD6" w14:textId="77777777" w:rsidR="00061980" w:rsidRDefault="00061980" w:rsidP="00954679">
      <w:pPr>
        <w:spacing w:before="0" w:after="0"/>
      </w:pPr>
      <w:r>
        <w:continuationSeparator/>
      </w:r>
    </w:p>
  </w:endnote>
  <w:endnote w:type="continuationNotice" w:id="1">
    <w:p w14:paraId="7467CFF4" w14:textId="77777777" w:rsidR="00061980" w:rsidRDefault="00061980">
      <w:pPr>
        <w:spacing w:before="0"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08619968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133290D6" w14:textId="27D01BFF" w:rsidR="00061980" w:rsidRDefault="00061980" w:rsidP="00013390">
            <w:pPr>
              <w:pStyle w:val="Footer"/>
              <w:jc w:val="right"/>
            </w:pPr>
            <w:r w:rsidRPr="00954679">
              <w:rPr>
                <w:bCs/>
                <w:szCs w:val="24"/>
              </w:rPr>
              <w:fldChar w:fldCharType="begin"/>
            </w:r>
            <w:r w:rsidRPr="00954679">
              <w:rPr>
                <w:bCs/>
              </w:rPr>
              <w:instrText xml:space="preserve"> PAGE </w:instrText>
            </w:r>
            <w:r w:rsidRPr="00954679">
              <w:rPr>
                <w:bCs/>
                <w:szCs w:val="24"/>
              </w:rPr>
              <w:fldChar w:fldCharType="separate"/>
            </w:r>
            <w:r w:rsidR="005C4338">
              <w:rPr>
                <w:bCs/>
                <w:noProof/>
              </w:rPr>
              <w:t>1</w:t>
            </w:r>
            <w:r w:rsidRPr="00954679">
              <w:rPr>
                <w:bCs/>
                <w:szCs w:val="24"/>
              </w:rPr>
              <w:fldChar w:fldCharType="end"/>
            </w:r>
            <w:r w:rsidRPr="00954679">
              <w:t xml:space="preserve"> of </w:t>
            </w:r>
            <w:r w:rsidRPr="00954679">
              <w:rPr>
                <w:bCs/>
                <w:szCs w:val="24"/>
              </w:rPr>
              <w:fldChar w:fldCharType="begin"/>
            </w:r>
            <w:r w:rsidRPr="00954679">
              <w:rPr>
                <w:bCs/>
              </w:rPr>
              <w:instrText xml:space="preserve"> NUMPAGES  </w:instrText>
            </w:r>
            <w:r w:rsidRPr="00954679">
              <w:rPr>
                <w:bCs/>
                <w:szCs w:val="24"/>
              </w:rPr>
              <w:fldChar w:fldCharType="separate"/>
            </w:r>
            <w:r w:rsidR="005C4338">
              <w:rPr>
                <w:bCs/>
                <w:noProof/>
              </w:rPr>
              <w:t>6</w:t>
            </w:r>
            <w:r w:rsidRPr="00954679">
              <w:rPr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638F30" w14:textId="77777777" w:rsidR="00061980" w:rsidRDefault="00061980" w:rsidP="00954679">
      <w:pPr>
        <w:spacing w:before="0" w:after="0"/>
      </w:pPr>
      <w:r>
        <w:separator/>
      </w:r>
    </w:p>
  </w:footnote>
  <w:footnote w:type="continuationSeparator" w:id="0">
    <w:p w14:paraId="3EDA73DA" w14:textId="77777777" w:rsidR="00061980" w:rsidRDefault="00061980" w:rsidP="00954679">
      <w:pPr>
        <w:spacing w:before="0" w:after="0"/>
      </w:pPr>
      <w:r>
        <w:continuationSeparator/>
      </w:r>
    </w:p>
  </w:footnote>
  <w:footnote w:type="continuationNotice" w:id="1">
    <w:p w14:paraId="28BE1295" w14:textId="77777777" w:rsidR="00061980" w:rsidRDefault="00061980">
      <w:pPr>
        <w:spacing w:before="0"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220900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1F176E2C"/>
    <w:multiLevelType w:val="multilevel"/>
    <w:tmpl w:val="51CEC5BC"/>
    <w:lvl w:ilvl="0">
      <w:start w:val="1"/>
      <w:numFmt w:val="bullet"/>
      <w:lvlText w:val="•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</w:rPr>
    </w:lvl>
    <w:lvl w:ilvl="1">
      <w:start w:val="1"/>
      <w:numFmt w:val="bullet"/>
      <w:lvlText w:val="–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C7552C0"/>
    <w:multiLevelType w:val="singleLevel"/>
    <w:tmpl w:val="BBF66F10"/>
    <w:lvl w:ilvl="0">
      <w:start w:val="1"/>
      <w:numFmt w:val="bullet"/>
      <w:pStyle w:val="Dotpoin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3" w15:restartNumberingAfterBreak="0">
    <w:nsid w:val="3A93616A"/>
    <w:multiLevelType w:val="multilevel"/>
    <w:tmpl w:val="BA806BF2"/>
    <w:name w:val="StandardNumberedList"/>
    <w:lvl w:ilvl="0">
      <w:start w:val="1"/>
      <w:numFmt w:val="decimal"/>
      <w:pStyle w:val="OutlineNumbered1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pStyle w:val="OutlineNumbered2"/>
      <w:lvlText w:val="%1.%2."/>
      <w:lvlJc w:val="left"/>
      <w:pPr>
        <w:tabs>
          <w:tab w:val="num" w:pos="1134"/>
        </w:tabs>
        <w:ind w:left="1134" w:hanging="567"/>
      </w:pPr>
    </w:lvl>
    <w:lvl w:ilvl="2">
      <w:start w:val="1"/>
      <w:numFmt w:val="decimal"/>
      <w:pStyle w:val="OutlineNumbered3"/>
      <w:lvlText w:val="%1.%2.%3."/>
      <w:lvlJc w:val="left"/>
      <w:pPr>
        <w:tabs>
          <w:tab w:val="num" w:pos="1701"/>
        </w:tabs>
        <w:ind w:left="1701" w:hanging="567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D714D4B"/>
    <w:multiLevelType w:val="multilevel"/>
    <w:tmpl w:val="A316FE50"/>
    <w:styleLink w:val="ChapterList"/>
    <w:lvl w:ilvl="0">
      <w:start w:val="1"/>
      <w:numFmt w:val="decimal"/>
      <w:lvlText w:val="Chapter %1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85"/>
        </w:tabs>
        <w:ind w:left="1134" w:firstLine="0"/>
      </w:pPr>
      <w:rPr>
        <w:rFonts w:hint="default"/>
      </w:rPr>
    </w:lvl>
    <w:lvl w:ilvl="2">
      <w:start w:val="1"/>
      <w:numFmt w:val="decimal"/>
      <w:lvlRestart w:val="1"/>
      <w:suff w:val="nothing"/>
      <w:lvlText w:val="Diagram %1.%3"/>
      <w:lvlJc w:val="left"/>
      <w:pPr>
        <w:ind w:left="1134" w:firstLine="0"/>
      </w:pPr>
      <w:rPr>
        <w:rFonts w:hint="default"/>
      </w:rPr>
    </w:lvl>
    <w:lvl w:ilvl="3">
      <w:start w:val="1"/>
      <w:numFmt w:val="decimal"/>
      <w:lvlRestart w:val="1"/>
      <w:suff w:val="nothing"/>
      <w:lvlText w:val="Example %1.%4"/>
      <w:lvlJc w:val="left"/>
      <w:pPr>
        <w:ind w:left="1134" w:firstLine="0"/>
      </w:pPr>
      <w:rPr>
        <w:rFonts w:hint="default"/>
      </w:rPr>
    </w:lvl>
    <w:lvl w:ilvl="4">
      <w:start w:val="1"/>
      <w:numFmt w:val="decimal"/>
      <w:lvlRestart w:val="1"/>
      <w:suff w:val="nothing"/>
      <w:lvlText w:val="Table %1.%5"/>
      <w:lvlJc w:val="left"/>
      <w:pPr>
        <w:ind w:left="113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AF361F3"/>
    <w:multiLevelType w:val="hybridMultilevel"/>
    <w:tmpl w:val="03AC5A36"/>
    <w:lvl w:ilvl="0" w:tplc="461605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BC74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884AE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A46F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42E7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F1A0CD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5D298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547D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349D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DF6494"/>
    <w:multiLevelType w:val="multilevel"/>
    <w:tmpl w:val="A316FE50"/>
    <w:lvl w:ilvl="0">
      <w:start w:val="1"/>
      <w:numFmt w:val="decimal"/>
      <w:lvlText w:val="Chapter %1"/>
      <w:lvlJc w:val="left"/>
      <w:pPr>
        <w:tabs>
          <w:tab w:val="num" w:pos="1134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85"/>
        </w:tabs>
        <w:ind w:left="1134" w:firstLine="0"/>
      </w:pPr>
      <w:rPr>
        <w:rFonts w:hint="default"/>
      </w:rPr>
    </w:lvl>
    <w:lvl w:ilvl="2">
      <w:start w:val="1"/>
      <w:numFmt w:val="decimal"/>
      <w:lvlRestart w:val="1"/>
      <w:suff w:val="nothing"/>
      <w:lvlText w:val="Diagram %1.%3"/>
      <w:lvlJc w:val="left"/>
      <w:pPr>
        <w:ind w:left="1134" w:firstLine="0"/>
      </w:pPr>
      <w:rPr>
        <w:rFonts w:hint="default"/>
      </w:rPr>
    </w:lvl>
    <w:lvl w:ilvl="3">
      <w:start w:val="1"/>
      <w:numFmt w:val="decimal"/>
      <w:lvlRestart w:val="1"/>
      <w:suff w:val="nothing"/>
      <w:lvlText w:val="Example %1.%4"/>
      <w:lvlJc w:val="left"/>
      <w:pPr>
        <w:ind w:left="1134" w:firstLine="0"/>
      </w:pPr>
      <w:rPr>
        <w:rFonts w:hint="default"/>
      </w:rPr>
    </w:lvl>
    <w:lvl w:ilvl="4">
      <w:start w:val="1"/>
      <w:numFmt w:val="decimal"/>
      <w:lvlRestart w:val="1"/>
      <w:suff w:val="nothing"/>
      <w:lvlText w:val="Table %1.%5"/>
      <w:lvlJc w:val="left"/>
      <w:pPr>
        <w:ind w:left="1134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67A43C0B"/>
    <w:multiLevelType w:val="multilevel"/>
    <w:tmpl w:val="37449BF8"/>
    <w:name w:val="StandardBulletedList"/>
    <w:lvl w:ilvl="0">
      <w:start w:val="1"/>
      <w:numFmt w:val="bullet"/>
      <w:pStyle w:val="Bullet"/>
      <w:lvlText w:val="•"/>
      <w:lvlJc w:val="left"/>
      <w:pPr>
        <w:tabs>
          <w:tab w:val="num" w:pos="1134"/>
        </w:tabs>
        <w:ind w:left="1134" w:hanging="567"/>
      </w:pPr>
      <w:rPr>
        <w:rFonts w:ascii="Times New Roman" w:hAnsi="Times New Roman" w:cs="Times New Roman"/>
      </w:rPr>
    </w:lvl>
    <w:lvl w:ilvl="1">
      <w:start w:val="1"/>
      <w:numFmt w:val="bullet"/>
      <w:pStyle w:val="Dash"/>
      <w:lvlText w:val="–"/>
      <w:lvlJc w:val="left"/>
      <w:pPr>
        <w:tabs>
          <w:tab w:val="num" w:pos="1701"/>
        </w:tabs>
        <w:ind w:left="1701" w:hanging="567"/>
      </w:pPr>
      <w:rPr>
        <w:rFonts w:ascii="Times New Roman" w:hAnsi="Times New Roman" w:cs="Times New Roman"/>
      </w:rPr>
    </w:lvl>
    <w:lvl w:ilvl="2">
      <w:start w:val="1"/>
      <w:numFmt w:val="bullet"/>
      <w:pStyle w:val="DoubleDot"/>
      <w:lvlText w:val=":"/>
      <w:lvlJc w:val="left"/>
      <w:pPr>
        <w:tabs>
          <w:tab w:val="num" w:pos="2268"/>
        </w:tabs>
        <w:ind w:left="2268" w:hanging="567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2007" w:hanging="360"/>
      </w:pPr>
    </w:lvl>
    <w:lvl w:ilvl="4">
      <w:start w:val="1"/>
      <w:numFmt w:val="lowerLetter"/>
      <w:lvlText w:val="(%5)"/>
      <w:lvlJc w:val="left"/>
      <w:pPr>
        <w:ind w:left="2367" w:hanging="360"/>
      </w:pPr>
    </w:lvl>
    <w:lvl w:ilvl="5">
      <w:start w:val="1"/>
      <w:numFmt w:val="lowerRoman"/>
      <w:lvlText w:val="(%6)"/>
      <w:lvlJc w:val="left"/>
      <w:pPr>
        <w:ind w:left="2727" w:hanging="360"/>
      </w:pPr>
    </w:lvl>
    <w:lvl w:ilvl="6">
      <w:start w:val="1"/>
      <w:numFmt w:val="decimal"/>
      <w:lvlText w:val="%7."/>
      <w:lvlJc w:val="left"/>
      <w:pPr>
        <w:ind w:left="3087" w:hanging="360"/>
      </w:pPr>
    </w:lvl>
    <w:lvl w:ilvl="7">
      <w:start w:val="1"/>
      <w:numFmt w:val="lowerLetter"/>
      <w:lvlText w:val="%8."/>
      <w:lvlJc w:val="left"/>
      <w:pPr>
        <w:ind w:left="3447" w:hanging="360"/>
      </w:pPr>
    </w:lvl>
    <w:lvl w:ilvl="8">
      <w:start w:val="1"/>
      <w:numFmt w:val="lowerRoman"/>
      <w:lvlText w:val="%9."/>
      <w:lvlJc w:val="left"/>
      <w:pPr>
        <w:ind w:left="3807" w:hanging="360"/>
      </w:pPr>
    </w:lvl>
  </w:abstractNum>
  <w:num w:numId="1">
    <w:abstractNumId w:val="5"/>
  </w:num>
  <w:num w:numId="2">
    <w:abstractNumId w:val="2"/>
  </w:num>
  <w:num w:numId="3">
    <w:abstractNumId w:val="7"/>
  </w:num>
  <w:num w:numId="4">
    <w:abstractNumId w:val="1"/>
  </w:num>
  <w:num w:numId="5">
    <w:abstractNumId w:val="0"/>
  </w:num>
  <w:num w:numId="6">
    <w:abstractNumId w:val="6"/>
    <w:lvlOverride w:ilvl="0">
      <w:lvl w:ilvl="0">
        <w:start w:val="1"/>
        <w:numFmt w:val="decimal"/>
        <w:lvlText w:val="Chapter %1"/>
        <w:lvlJc w:val="left"/>
        <w:pPr>
          <w:tabs>
            <w:tab w:val="num" w:pos="1134"/>
          </w:tabs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1985"/>
          </w:tabs>
          <w:ind w:left="1134" w:firstLine="0"/>
        </w:pPr>
        <w:rPr>
          <w:rFonts w:hint="default"/>
        </w:rPr>
      </w:lvl>
    </w:lvlOverride>
    <w:lvlOverride w:ilvl="2">
      <w:lvl w:ilvl="2">
        <w:start w:val="1"/>
        <w:numFmt w:val="decimal"/>
        <w:lvlRestart w:val="1"/>
        <w:suff w:val="nothing"/>
        <w:lvlText w:val="Diagram %1.%3"/>
        <w:lvlJc w:val="left"/>
        <w:pPr>
          <w:ind w:left="1134" w:firstLine="0"/>
        </w:pPr>
        <w:rPr>
          <w:rFonts w:hint="default"/>
        </w:rPr>
      </w:lvl>
    </w:lvlOverride>
    <w:lvlOverride w:ilvl="3">
      <w:lvl w:ilvl="3">
        <w:start w:val="1"/>
        <w:numFmt w:val="decimal"/>
        <w:lvlRestart w:val="1"/>
        <w:suff w:val="nothing"/>
        <w:lvlText w:val="Example %1.%4"/>
        <w:lvlJc w:val="left"/>
        <w:pPr>
          <w:ind w:left="1134" w:firstLine="0"/>
        </w:pPr>
        <w:rPr>
          <w:rFonts w:hint="default"/>
        </w:rPr>
      </w:lvl>
    </w:lvlOverride>
    <w:lvlOverride w:ilvl="4">
      <w:lvl w:ilvl="4">
        <w:start w:val="1"/>
        <w:numFmt w:val="decimal"/>
        <w:lvlRestart w:val="1"/>
        <w:suff w:val="nothing"/>
        <w:lvlText w:val="Table %1.%5"/>
        <w:lvlJc w:val="left"/>
        <w:pPr>
          <w:ind w:left="1134" w:firstLine="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7">
    <w:abstractNumId w:val="4"/>
  </w:num>
  <w:num w:numId="8">
    <w:abstractNumId w:val="7"/>
  </w:num>
  <w:num w:numId="9">
    <w:abstractNumId w:val="7"/>
  </w:num>
  <w:num w:numId="10">
    <w:abstractNumId w:val="7"/>
  </w:num>
  <w:num w:numId="11">
    <w:abstractNumId w:val="7"/>
  </w:num>
  <w:num w:numId="12">
    <w:abstractNumId w:val="7"/>
  </w:num>
  <w:num w:numId="13">
    <w:abstractNumId w:val="3"/>
  </w:num>
  <w:num w:numId="14">
    <w:abstractNumId w:val="7"/>
  </w:num>
  <w:num w:numId="15">
    <w:abstractNumId w:val="7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7785"/>
    <w:rsid w:val="00007F08"/>
    <w:rsid w:val="00010258"/>
    <w:rsid w:val="00013390"/>
    <w:rsid w:val="0001346B"/>
    <w:rsid w:val="00016EA2"/>
    <w:rsid w:val="000178FF"/>
    <w:rsid w:val="00017B44"/>
    <w:rsid w:val="0002721A"/>
    <w:rsid w:val="00027561"/>
    <w:rsid w:val="0005705A"/>
    <w:rsid w:val="00061980"/>
    <w:rsid w:val="00074843"/>
    <w:rsid w:val="00076178"/>
    <w:rsid w:val="0008778B"/>
    <w:rsid w:val="000877CB"/>
    <w:rsid w:val="00095211"/>
    <w:rsid w:val="000B1241"/>
    <w:rsid w:val="000B39A1"/>
    <w:rsid w:val="000B6B41"/>
    <w:rsid w:val="000B7315"/>
    <w:rsid w:val="000B7EEA"/>
    <w:rsid w:val="000C10DF"/>
    <w:rsid w:val="000C2450"/>
    <w:rsid w:val="000C6935"/>
    <w:rsid w:val="000D33C6"/>
    <w:rsid w:val="000D45BF"/>
    <w:rsid w:val="000D6DCE"/>
    <w:rsid w:val="000E32E3"/>
    <w:rsid w:val="00101FA2"/>
    <w:rsid w:val="001123B7"/>
    <w:rsid w:val="001126D0"/>
    <w:rsid w:val="00113B45"/>
    <w:rsid w:val="00115652"/>
    <w:rsid w:val="001266E7"/>
    <w:rsid w:val="001279A6"/>
    <w:rsid w:val="00127B2F"/>
    <w:rsid w:val="00136751"/>
    <w:rsid w:val="00142284"/>
    <w:rsid w:val="001427E3"/>
    <w:rsid w:val="00143BC0"/>
    <w:rsid w:val="00151787"/>
    <w:rsid w:val="00155104"/>
    <w:rsid w:val="00155586"/>
    <w:rsid w:val="00155DA5"/>
    <w:rsid w:val="001622AA"/>
    <w:rsid w:val="001634EA"/>
    <w:rsid w:val="00171209"/>
    <w:rsid w:val="00171F60"/>
    <w:rsid w:val="00172F79"/>
    <w:rsid w:val="001806BB"/>
    <w:rsid w:val="00190B11"/>
    <w:rsid w:val="00190D1F"/>
    <w:rsid w:val="00191AC5"/>
    <w:rsid w:val="001A3EBA"/>
    <w:rsid w:val="001B0A94"/>
    <w:rsid w:val="001B3704"/>
    <w:rsid w:val="001B6C4F"/>
    <w:rsid w:val="001B7535"/>
    <w:rsid w:val="001C2AE3"/>
    <w:rsid w:val="001C589C"/>
    <w:rsid w:val="001D1F7D"/>
    <w:rsid w:val="001E59D0"/>
    <w:rsid w:val="001E6228"/>
    <w:rsid w:val="001E6A74"/>
    <w:rsid w:val="001F41D0"/>
    <w:rsid w:val="001F6388"/>
    <w:rsid w:val="00200D86"/>
    <w:rsid w:val="00200FE8"/>
    <w:rsid w:val="00201F4C"/>
    <w:rsid w:val="00202513"/>
    <w:rsid w:val="00205363"/>
    <w:rsid w:val="00210763"/>
    <w:rsid w:val="00213E58"/>
    <w:rsid w:val="002152D0"/>
    <w:rsid w:val="00220F16"/>
    <w:rsid w:val="00226B97"/>
    <w:rsid w:val="00230EE1"/>
    <w:rsid w:val="00245E08"/>
    <w:rsid w:val="002502C5"/>
    <w:rsid w:val="0025138B"/>
    <w:rsid w:val="00254C5B"/>
    <w:rsid w:val="00263107"/>
    <w:rsid w:val="00274E03"/>
    <w:rsid w:val="00275B8F"/>
    <w:rsid w:val="00277C6E"/>
    <w:rsid w:val="00284668"/>
    <w:rsid w:val="00286B0B"/>
    <w:rsid w:val="002A2AFF"/>
    <w:rsid w:val="002A7CD8"/>
    <w:rsid w:val="002A7E1F"/>
    <w:rsid w:val="002B03A1"/>
    <w:rsid w:val="002B173B"/>
    <w:rsid w:val="002B2287"/>
    <w:rsid w:val="002B3589"/>
    <w:rsid w:val="002C226C"/>
    <w:rsid w:val="002C58F8"/>
    <w:rsid w:val="002C5C24"/>
    <w:rsid w:val="002C5CB7"/>
    <w:rsid w:val="002C5F28"/>
    <w:rsid w:val="002D25C9"/>
    <w:rsid w:val="002F023D"/>
    <w:rsid w:val="002F5A50"/>
    <w:rsid w:val="002F6A53"/>
    <w:rsid w:val="003041FA"/>
    <w:rsid w:val="00306BF3"/>
    <w:rsid w:val="003145FD"/>
    <w:rsid w:val="00316139"/>
    <w:rsid w:val="003342CD"/>
    <w:rsid w:val="00335042"/>
    <w:rsid w:val="003376C4"/>
    <w:rsid w:val="00341C57"/>
    <w:rsid w:val="00343675"/>
    <w:rsid w:val="003449CA"/>
    <w:rsid w:val="00346A02"/>
    <w:rsid w:val="00347BF8"/>
    <w:rsid w:val="00362B70"/>
    <w:rsid w:val="003663EA"/>
    <w:rsid w:val="00367D69"/>
    <w:rsid w:val="00392BBA"/>
    <w:rsid w:val="003954FD"/>
    <w:rsid w:val="003A30F2"/>
    <w:rsid w:val="003A4214"/>
    <w:rsid w:val="003B4066"/>
    <w:rsid w:val="003B49D5"/>
    <w:rsid w:val="003B72A2"/>
    <w:rsid w:val="003C3491"/>
    <w:rsid w:val="003C46CF"/>
    <w:rsid w:val="003C62A6"/>
    <w:rsid w:val="003C7907"/>
    <w:rsid w:val="003D60D7"/>
    <w:rsid w:val="003E1CE3"/>
    <w:rsid w:val="003E2425"/>
    <w:rsid w:val="003E4AC2"/>
    <w:rsid w:val="003F742D"/>
    <w:rsid w:val="0040295E"/>
    <w:rsid w:val="00417785"/>
    <w:rsid w:val="004238CA"/>
    <w:rsid w:val="00441F6B"/>
    <w:rsid w:val="0044353E"/>
    <w:rsid w:val="00443D01"/>
    <w:rsid w:val="00445ACA"/>
    <w:rsid w:val="0044739C"/>
    <w:rsid w:val="00453C2C"/>
    <w:rsid w:val="0045410A"/>
    <w:rsid w:val="00462095"/>
    <w:rsid w:val="00466B99"/>
    <w:rsid w:val="00467D01"/>
    <w:rsid w:val="00473095"/>
    <w:rsid w:val="00482B81"/>
    <w:rsid w:val="00482D4C"/>
    <w:rsid w:val="00497958"/>
    <w:rsid w:val="004A399F"/>
    <w:rsid w:val="004A44F8"/>
    <w:rsid w:val="004A67ED"/>
    <w:rsid w:val="004B1B60"/>
    <w:rsid w:val="004B3C0F"/>
    <w:rsid w:val="004B6598"/>
    <w:rsid w:val="004B665D"/>
    <w:rsid w:val="004C05E4"/>
    <w:rsid w:val="004E39E1"/>
    <w:rsid w:val="004F19C1"/>
    <w:rsid w:val="004F1AC5"/>
    <w:rsid w:val="004F56D0"/>
    <w:rsid w:val="0050292E"/>
    <w:rsid w:val="00503E44"/>
    <w:rsid w:val="00507204"/>
    <w:rsid w:val="00512961"/>
    <w:rsid w:val="00515283"/>
    <w:rsid w:val="00515916"/>
    <w:rsid w:val="00520357"/>
    <w:rsid w:val="00533926"/>
    <w:rsid w:val="00534070"/>
    <w:rsid w:val="00537483"/>
    <w:rsid w:val="00544194"/>
    <w:rsid w:val="005503F0"/>
    <w:rsid w:val="00550E8F"/>
    <w:rsid w:val="005557B1"/>
    <w:rsid w:val="0055675D"/>
    <w:rsid w:val="00566E8F"/>
    <w:rsid w:val="0057422E"/>
    <w:rsid w:val="00576613"/>
    <w:rsid w:val="005833BE"/>
    <w:rsid w:val="00585C45"/>
    <w:rsid w:val="005910DB"/>
    <w:rsid w:val="00592200"/>
    <w:rsid w:val="005948BF"/>
    <w:rsid w:val="005968A6"/>
    <w:rsid w:val="005B55F8"/>
    <w:rsid w:val="005B6881"/>
    <w:rsid w:val="005B6B54"/>
    <w:rsid w:val="005B7A5E"/>
    <w:rsid w:val="005C4338"/>
    <w:rsid w:val="005C4C2C"/>
    <w:rsid w:val="005C72D6"/>
    <w:rsid w:val="005C79A0"/>
    <w:rsid w:val="005D3013"/>
    <w:rsid w:val="005D5F8A"/>
    <w:rsid w:val="005D7D5A"/>
    <w:rsid w:val="005E371B"/>
    <w:rsid w:val="005E4BAC"/>
    <w:rsid w:val="005E4D2D"/>
    <w:rsid w:val="005F20F7"/>
    <w:rsid w:val="005F6652"/>
    <w:rsid w:val="0060130D"/>
    <w:rsid w:val="00607A02"/>
    <w:rsid w:val="0061077C"/>
    <w:rsid w:val="00611173"/>
    <w:rsid w:val="006118B7"/>
    <w:rsid w:val="0064129F"/>
    <w:rsid w:val="00643AF3"/>
    <w:rsid w:val="00647BB7"/>
    <w:rsid w:val="006630E5"/>
    <w:rsid w:val="00673592"/>
    <w:rsid w:val="00677F17"/>
    <w:rsid w:val="00680297"/>
    <w:rsid w:val="0068380E"/>
    <w:rsid w:val="00684756"/>
    <w:rsid w:val="00685CDB"/>
    <w:rsid w:val="006873CE"/>
    <w:rsid w:val="0069479C"/>
    <w:rsid w:val="006A0786"/>
    <w:rsid w:val="006A2711"/>
    <w:rsid w:val="006A46C0"/>
    <w:rsid w:val="006E4016"/>
    <w:rsid w:val="0070630C"/>
    <w:rsid w:val="007103D0"/>
    <w:rsid w:val="00710460"/>
    <w:rsid w:val="00710E94"/>
    <w:rsid w:val="007119AE"/>
    <w:rsid w:val="007125B7"/>
    <w:rsid w:val="00727780"/>
    <w:rsid w:val="00727D8A"/>
    <w:rsid w:val="00731FEA"/>
    <w:rsid w:val="00736F61"/>
    <w:rsid w:val="007412F8"/>
    <w:rsid w:val="00741D6A"/>
    <w:rsid w:val="00742253"/>
    <w:rsid w:val="00745930"/>
    <w:rsid w:val="0074646A"/>
    <w:rsid w:val="007522EF"/>
    <w:rsid w:val="0075398E"/>
    <w:rsid w:val="00761461"/>
    <w:rsid w:val="007643F6"/>
    <w:rsid w:val="007662C7"/>
    <w:rsid w:val="00767114"/>
    <w:rsid w:val="00770CF6"/>
    <w:rsid w:val="00775559"/>
    <w:rsid w:val="00776306"/>
    <w:rsid w:val="0077748B"/>
    <w:rsid w:val="00777F47"/>
    <w:rsid w:val="007847FC"/>
    <w:rsid w:val="00792BAB"/>
    <w:rsid w:val="007A1BF7"/>
    <w:rsid w:val="007A55A7"/>
    <w:rsid w:val="007B1F10"/>
    <w:rsid w:val="007B335E"/>
    <w:rsid w:val="007B7B0A"/>
    <w:rsid w:val="007C290B"/>
    <w:rsid w:val="007C51E4"/>
    <w:rsid w:val="007D5675"/>
    <w:rsid w:val="007D7559"/>
    <w:rsid w:val="007D7AF2"/>
    <w:rsid w:val="007E018D"/>
    <w:rsid w:val="007E4CC4"/>
    <w:rsid w:val="007E5B18"/>
    <w:rsid w:val="007E755C"/>
    <w:rsid w:val="007F0477"/>
    <w:rsid w:val="007F1B71"/>
    <w:rsid w:val="007F7E10"/>
    <w:rsid w:val="00807E7D"/>
    <w:rsid w:val="0081236D"/>
    <w:rsid w:val="00813990"/>
    <w:rsid w:val="00831675"/>
    <w:rsid w:val="00834285"/>
    <w:rsid w:val="0084386A"/>
    <w:rsid w:val="0084444E"/>
    <w:rsid w:val="008478D5"/>
    <w:rsid w:val="00865932"/>
    <w:rsid w:val="00871A72"/>
    <w:rsid w:val="0088467C"/>
    <w:rsid w:val="00886920"/>
    <w:rsid w:val="00894579"/>
    <w:rsid w:val="008A57CB"/>
    <w:rsid w:val="008A5B67"/>
    <w:rsid w:val="008A669C"/>
    <w:rsid w:val="008A6C0C"/>
    <w:rsid w:val="008A6CDC"/>
    <w:rsid w:val="008B07B8"/>
    <w:rsid w:val="008B6569"/>
    <w:rsid w:val="008C1FD8"/>
    <w:rsid w:val="008D09C5"/>
    <w:rsid w:val="008D16F7"/>
    <w:rsid w:val="008E1427"/>
    <w:rsid w:val="008E1861"/>
    <w:rsid w:val="008E217B"/>
    <w:rsid w:val="008E2DA0"/>
    <w:rsid w:val="008E507E"/>
    <w:rsid w:val="008E68B6"/>
    <w:rsid w:val="00900C8C"/>
    <w:rsid w:val="00905B36"/>
    <w:rsid w:val="00905E55"/>
    <w:rsid w:val="00911E4E"/>
    <w:rsid w:val="0091388E"/>
    <w:rsid w:val="009143A0"/>
    <w:rsid w:val="009322ED"/>
    <w:rsid w:val="00936028"/>
    <w:rsid w:val="00936902"/>
    <w:rsid w:val="00936F2E"/>
    <w:rsid w:val="00951ED5"/>
    <w:rsid w:val="00954679"/>
    <w:rsid w:val="00963B8C"/>
    <w:rsid w:val="00970343"/>
    <w:rsid w:val="00980B43"/>
    <w:rsid w:val="0098649E"/>
    <w:rsid w:val="00986C53"/>
    <w:rsid w:val="00990013"/>
    <w:rsid w:val="009905C5"/>
    <w:rsid w:val="00991391"/>
    <w:rsid w:val="00994430"/>
    <w:rsid w:val="009A1E0F"/>
    <w:rsid w:val="009A292F"/>
    <w:rsid w:val="009C0948"/>
    <w:rsid w:val="009C27F1"/>
    <w:rsid w:val="009C6A1E"/>
    <w:rsid w:val="009D0463"/>
    <w:rsid w:val="009D47DB"/>
    <w:rsid w:val="009E2F86"/>
    <w:rsid w:val="009E6CD0"/>
    <w:rsid w:val="009E7F85"/>
    <w:rsid w:val="009F7083"/>
    <w:rsid w:val="00A067F8"/>
    <w:rsid w:val="00A073FE"/>
    <w:rsid w:val="00A12209"/>
    <w:rsid w:val="00A2158C"/>
    <w:rsid w:val="00A2203D"/>
    <w:rsid w:val="00A36DF3"/>
    <w:rsid w:val="00A52399"/>
    <w:rsid w:val="00A532DD"/>
    <w:rsid w:val="00A7378E"/>
    <w:rsid w:val="00A74553"/>
    <w:rsid w:val="00A76171"/>
    <w:rsid w:val="00A77596"/>
    <w:rsid w:val="00A80BCF"/>
    <w:rsid w:val="00A8369C"/>
    <w:rsid w:val="00A85CE9"/>
    <w:rsid w:val="00AA1689"/>
    <w:rsid w:val="00AA4DB4"/>
    <w:rsid w:val="00AA5770"/>
    <w:rsid w:val="00AB171F"/>
    <w:rsid w:val="00AB4325"/>
    <w:rsid w:val="00AB439A"/>
    <w:rsid w:val="00AC1D15"/>
    <w:rsid w:val="00AC3017"/>
    <w:rsid w:val="00AC5FAD"/>
    <w:rsid w:val="00AC6526"/>
    <w:rsid w:val="00AC6E5C"/>
    <w:rsid w:val="00AD1DD6"/>
    <w:rsid w:val="00AD7AE8"/>
    <w:rsid w:val="00B01B0A"/>
    <w:rsid w:val="00B02335"/>
    <w:rsid w:val="00B047CB"/>
    <w:rsid w:val="00B07B0C"/>
    <w:rsid w:val="00B10F16"/>
    <w:rsid w:val="00B14571"/>
    <w:rsid w:val="00B24F1A"/>
    <w:rsid w:val="00B25563"/>
    <w:rsid w:val="00B26D48"/>
    <w:rsid w:val="00B3115D"/>
    <w:rsid w:val="00B33545"/>
    <w:rsid w:val="00B34C2D"/>
    <w:rsid w:val="00B37C46"/>
    <w:rsid w:val="00B42EE1"/>
    <w:rsid w:val="00B5137D"/>
    <w:rsid w:val="00B5161D"/>
    <w:rsid w:val="00B5504D"/>
    <w:rsid w:val="00B60006"/>
    <w:rsid w:val="00B60AF6"/>
    <w:rsid w:val="00B72AD6"/>
    <w:rsid w:val="00B741EF"/>
    <w:rsid w:val="00B8293D"/>
    <w:rsid w:val="00B831E3"/>
    <w:rsid w:val="00B92478"/>
    <w:rsid w:val="00B97A69"/>
    <w:rsid w:val="00BA5698"/>
    <w:rsid w:val="00BA6188"/>
    <w:rsid w:val="00BB5637"/>
    <w:rsid w:val="00BB7F78"/>
    <w:rsid w:val="00BD61A2"/>
    <w:rsid w:val="00BD739D"/>
    <w:rsid w:val="00BE3E68"/>
    <w:rsid w:val="00BE484D"/>
    <w:rsid w:val="00BE636C"/>
    <w:rsid w:val="00C01110"/>
    <w:rsid w:val="00C20028"/>
    <w:rsid w:val="00C2688A"/>
    <w:rsid w:val="00C272D1"/>
    <w:rsid w:val="00C37E05"/>
    <w:rsid w:val="00C45104"/>
    <w:rsid w:val="00C50144"/>
    <w:rsid w:val="00C54D78"/>
    <w:rsid w:val="00C55D29"/>
    <w:rsid w:val="00C67101"/>
    <w:rsid w:val="00C849AC"/>
    <w:rsid w:val="00C867F0"/>
    <w:rsid w:val="00C93C9D"/>
    <w:rsid w:val="00CA0BE9"/>
    <w:rsid w:val="00CA138D"/>
    <w:rsid w:val="00CA339E"/>
    <w:rsid w:val="00CA6D2D"/>
    <w:rsid w:val="00CB0C0B"/>
    <w:rsid w:val="00CC3446"/>
    <w:rsid w:val="00CC7641"/>
    <w:rsid w:val="00CD0937"/>
    <w:rsid w:val="00CD2865"/>
    <w:rsid w:val="00CE3075"/>
    <w:rsid w:val="00CF0469"/>
    <w:rsid w:val="00CF0D22"/>
    <w:rsid w:val="00CF6CD9"/>
    <w:rsid w:val="00D024A6"/>
    <w:rsid w:val="00D04285"/>
    <w:rsid w:val="00D05076"/>
    <w:rsid w:val="00D06FAD"/>
    <w:rsid w:val="00D10638"/>
    <w:rsid w:val="00D121A2"/>
    <w:rsid w:val="00D13794"/>
    <w:rsid w:val="00D1748E"/>
    <w:rsid w:val="00D24052"/>
    <w:rsid w:val="00D24386"/>
    <w:rsid w:val="00D30461"/>
    <w:rsid w:val="00D31575"/>
    <w:rsid w:val="00D34605"/>
    <w:rsid w:val="00D34626"/>
    <w:rsid w:val="00D34FB4"/>
    <w:rsid w:val="00D4257A"/>
    <w:rsid w:val="00D62665"/>
    <w:rsid w:val="00D75D9E"/>
    <w:rsid w:val="00D7645F"/>
    <w:rsid w:val="00D76991"/>
    <w:rsid w:val="00D82E47"/>
    <w:rsid w:val="00D85389"/>
    <w:rsid w:val="00D90883"/>
    <w:rsid w:val="00DB475F"/>
    <w:rsid w:val="00DC02A6"/>
    <w:rsid w:val="00DC0CDE"/>
    <w:rsid w:val="00DC4D72"/>
    <w:rsid w:val="00DC75F7"/>
    <w:rsid w:val="00DE014A"/>
    <w:rsid w:val="00DE2F87"/>
    <w:rsid w:val="00DE3035"/>
    <w:rsid w:val="00DE471C"/>
    <w:rsid w:val="00E052EE"/>
    <w:rsid w:val="00E0624D"/>
    <w:rsid w:val="00E1023A"/>
    <w:rsid w:val="00E10B2C"/>
    <w:rsid w:val="00E10C28"/>
    <w:rsid w:val="00E40976"/>
    <w:rsid w:val="00E426BF"/>
    <w:rsid w:val="00E4438C"/>
    <w:rsid w:val="00E457F3"/>
    <w:rsid w:val="00E5354E"/>
    <w:rsid w:val="00E57808"/>
    <w:rsid w:val="00E66769"/>
    <w:rsid w:val="00E71AB6"/>
    <w:rsid w:val="00E75513"/>
    <w:rsid w:val="00E827DB"/>
    <w:rsid w:val="00E849B7"/>
    <w:rsid w:val="00E94CC4"/>
    <w:rsid w:val="00E96CB5"/>
    <w:rsid w:val="00EA4DD8"/>
    <w:rsid w:val="00EB2AEF"/>
    <w:rsid w:val="00EB3C97"/>
    <w:rsid w:val="00EB6367"/>
    <w:rsid w:val="00EB64C0"/>
    <w:rsid w:val="00EB7E71"/>
    <w:rsid w:val="00EC024D"/>
    <w:rsid w:val="00EC3A8D"/>
    <w:rsid w:val="00ED0ED7"/>
    <w:rsid w:val="00ED39AD"/>
    <w:rsid w:val="00F03273"/>
    <w:rsid w:val="00F109D4"/>
    <w:rsid w:val="00F124D9"/>
    <w:rsid w:val="00F125A4"/>
    <w:rsid w:val="00F15CEA"/>
    <w:rsid w:val="00F15EE9"/>
    <w:rsid w:val="00F229E2"/>
    <w:rsid w:val="00F33262"/>
    <w:rsid w:val="00F359A8"/>
    <w:rsid w:val="00F37218"/>
    <w:rsid w:val="00F43496"/>
    <w:rsid w:val="00F43F7C"/>
    <w:rsid w:val="00F47585"/>
    <w:rsid w:val="00F50845"/>
    <w:rsid w:val="00F51FD3"/>
    <w:rsid w:val="00F557E7"/>
    <w:rsid w:val="00F62065"/>
    <w:rsid w:val="00F70347"/>
    <w:rsid w:val="00F764F7"/>
    <w:rsid w:val="00F76BED"/>
    <w:rsid w:val="00F85E6F"/>
    <w:rsid w:val="00FA19EB"/>
    <w:rsid w:val="00FB60E9"/>
    <w:rsid w:val="00FC101E"/>
    <w:rsid w:val="00FD2A6E"/>
    <w:rsid w:val="00FE04E4"/>
    <w:rsid w:val="00FE73F9"/>
    <w:rsid w:val="00FE78F3"/>
    <w:rsid w:val="00FE7E19"/>
    <w:rsid w:val="00FF0086"/>
    <w:rsid w:val="00FF1057"/>
    <w:rsid w:val="00FF3E25"/>
    <w:rsid w:val="00FF7221"/>
    <w:rsid w:val="165047A1"/>
    <w:rsid w:val="16AADB49"/>
    <w:rsid w:val="29689B16"/>
    <w:rsid w:val="41818F2A"/>
    <w:rsid w:val="619EF505"/>
    <w:rsid w:val="6639E451"/>
    <w:rsid w:val="6BDFE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0CE2FE"/>
  <w15:docId w15:val="{EA8CDA66-6C59-4C18-BACA-C8CEB7EBC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iPriority="0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130D"/>
    <w:pPr>
      <w:spacing w:before="120" w:after="120"/>
    </w:pPr>
    <w:rPr>
      <w:sz w:val="24"/>
    </w:rPr>
  </w:style>
  <w:style w:type="paragraph" w:styleId="Heading1">
    <w:name w:val="heading 1"/>
    <w:basedOn w:val="Normal"/>
    <w:next w:val="Normal"/>
    <w:qFormat/>
    <w:rsid w:val="00A12209"/>
    <w:pPr>
      <w:keepNext/>
      <w:spacing w:before="240" w:after="60"/>
      <w:jc w:val="center"/>
      <w:outlineLvl w:val="0"/>
    </w:pPr>
    <w:rPr>
      <w:rFonts w:ascii="Arial Bold" w:hAnsi="Arial Bold"/>
      <w:b/>
      <w:kern w:val="28"/>
      <w:sz w:val="28"/>
      <w:u w:val="single"/>
    </w:rPr>
  </w:style>
  <w:style w:type="paragraph" w:styleId="Heading2">
    <w:name w:val="heading 2"/>
    <w:basedOn w:val="Normal"/>
    <w:next w:val="Normal"/>
    <w:qFormat/>
    <w:rsid w:val="00A12209"/>
    <w:pPr>
      <w:keepNext/>
      <w:spacing w:before="240" w:after="60"/>
      <w:outlineLvl w:val="1"/>
    </w:pPr>
    <w:rPr>
      <w:b/>
      <w:sz w:val="28"/>
      <w:u w:val="single"/>
    </w:rPr>
  </w:style>
  <w:style w:type="paragraph" w:styleId="Heading3">
    <w:name w:val="heading 3"/>
    <w:basedOn w:val="Heading2"/>
    <w:next w:val="base-text-paragraph"/>
    <w:link w:val="Heading3Char"/>
    <w:qFormat/>
    <w:rsid w:val="003E1CE3"/>
    <w:pPr>
      <w:tabs>
        <w:tab w:val="left" w:pos="1987"/>
      </w:tabs>
      <w:spacing w:after="120"/>
      <w:outlineLvl w:val="2"/>
    </w:pPr>
    <w:rPr>
      <w:kern w:val="28"/>
      <w:sz w:val="24"/>
      <w:u w:val="none"/>
    </w:rPr>
  </w:style>
  <w:style w:type="paragraph" w:styleId="Heading4">
    <w:name w:val="heading 4"/>
    <w:basedOn w:val="Heading3"/>
    <w:next w:val="base-text-paragraph"/>
    <w:qFormat/>
    <w:rsid w:val="00E4438C"/>
    <w:pPr>
      <w:spacing w:before="120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392BBA"/>
    <w:pPr>
      <w:jc w:val="center"/>
    </w:pPr>
    <w:rPr>
      <w:b/>
    </w:rPr>
  </w:style>
  <w:style w:type="paragraph" w:styleId="BodyText">
    <w:name w:val="Body Text"/>
    <w:basedOn w:val="Normal"/>
    <w:rsid w:val="00392BBA"/>
  </w:style>
  <w:style w:type="paragraph" w:styleId="BodyText2">
    <w:name w:val="Body Text 2"/>
    <w:basedOn w:val="Normal"/>
    <w:rsid w:val="00392BBA"/>
    <w:rPr>
      <w:u w:val="single"/>
    </w:rPr>
  </w:style>
  <w:style w:type="paragraph" w:customStyle="1" w:styleId="Dotpoint">
    <w:name w:val="Dot point"/>
    <w:basedOn w:val="Normal"/>
    <w:rsid w:val="00392BBA"/>
    <w:pPr>
      <w:numPr>
        <w:numId w:val="2"/>
      </w:numPr>
      <w:tabs>
        <w:tab w:val="clear" w:pos="360"/>
        <w:tab w:val="num" w:pos="709"/>
        <w:tab w:val="left" w:pos="851"/>
      </w:tabs>
      <w:ind w:left="709" w:hanging="283"/>
    </w:pPr>
  </w:style>
  <w:style w:type="paragraph" w:styleId="TableofAuthorities">
    <w:name w:val="table of authorities"/>
    <w:basedOn w:val="Normal"/>
    <w:next w:val="Normal"/>
    <w:semiHidden/>
    <w:rsid w:val="00392BBA"/>
    <w:pPr>
      <w:ind w:left="200" w:hanging="200"/>
    </w:pPr>
  </w:style>
  <w:style w:type="paragraph" w:customStyle="1" w:styleId="base-text-paragraph">
    <w:name w:val="base-text-paragraph"/>
    <w:link w:val="base-text-paragraphChar"/>
    <w:qFormat/>
    <w:rsid w:val="00392BBA"/>
    <w:pPr>
      <w:tabs>
        <w:tab w:val="left" w:pos="1987"/>
      </w:tabs>
      <w:spacing w:before="120" w:after="120"/>
      <w:ind w:left="1140"/>
    </w:pPr>
    <w:rPr>
      <w:sz w:val="24"/>
    </w:rPr>
  </w:style>
  <w:style w:type="paragraph" w:customStyle="1" w:styleId="Default">
    <w:name w:val="Default"/>
    <w:link w:val="DefaultChar"/>
    <w:rsid w:val="005833B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532DD"/>
    <w:rPr>
      <w:color w:val="0000FF" w:themeColor="hyperlink"/>
      <w:u w:val="single"/>
    </w:rPr>
  </w:style>
  <w:style w:type="paragraph" w:customStyle="1" w:styleId="Bullet">
    <w:name w:val="Bullet"/>
    <w:basedOn w:val="Normal"/>
    <w:link w:val="BulletChar"/>
    <w:rsid w:val="00E0624D"/>
    <w:pPr>
      <w:numPr>
        <w:numId w:val="3"/>
      </w:numPr>
      <w:spacing w:before="240"/>
    </w:pPr>
    <w:rPr>
      <w:szCs w:val="23"/>
    </w:rPr>
  </w:style>
  <w:style w:type="character" w:customStyle="1" w:styleId="DefaultChar">
    <w:name w:val="Default Char"/>
    <w:basedOn w:val="DefaultParagraphFont"/>
    <w:link w:val="Default"/>
    <w:rsid w:val="00E0624D"/>
    <w:rPr>
      <w:color w:val="000000"/>
      <w:sz w:val="24"/>
      <w:szCs w:val="24"/>
    </w:rPr>
  </w:style>
  <w:style w:type="character" w:customStyle="1" w:styleId="BulletChar">
    <w:name w:val="Bullet Char"/>
    <w:basedOn w:val="DefaultChar"/>
    <w:link w:val="Bullet"/>
    <w:rsid w:val="00E0624D"/>
    <w:rPr>
      <w:color w:val="000000"/>
      <w:sz w:val="24"/>
      <w:szCs w:val="23"/>
    </w:rPr>
  </w:style>
  <w:style w:type="paragraph" w:customStyle="1" w:styleId="Dash">
    <w:name w:val="Dash"/>
    <w:basedOn w:val="Normal"/>
    <w:link w:val="DashChar"/>
    <w:rsid w:val="00E0624D"/>
    <w:pPr>
      <w:numPr>
        <w:ilvl w:val="1"/>
        <w:numId w:val="3"/>
      </w:numPr>
      <w:spacing w:before="240"/>
    </w:pPr>
    <w:rPr>
      <w:szCs w:val="23"/>
    </w:rPr>
  </w:style>
  <w:style w:type="character" w:customStyle="1" w:styleId="DashChar">
    <w:name w:val="Dash Char"/>
    <w:basedOn w:val="DefaultChar"/>
    <w:link w:val="Dash"/>
    <w:rsid w:val="00E0624D"/>
    <w:rPr>
      <w:color w:val="000000"/>
      <w:sz w:val="24"/>
      <w:szCs w:val="23"/>
    </w:rPr>
  </w:style>
  <w:style w:type="paragraph" w:customStyle="1" w:styleId="DoubleDot">
    <w:name w:val="Double Dot"/>
    <w:basedOn w:val="Normal"/>
    <w:link w:val="DoubleDotChar"/>
    <w:rsid w:val="00E0624D"/>
    <w:pPr>
      <w:numPr>
        <w:ilvl w:val="2"/>
        <w:numId w:val="3"/>
      </w:numPr>
      <w:spacing w:before="240"/>
    </w:pPr>
    <w:rPr>
      <w:szCs w:val="23"/>
    </w:rPr>
  </w:style>
  <w:style w:type="character" w:customStyle="1" w:styleId="DoubleDotChar">
    <w:name w:val="Double Dot Char"/>
    <w:basedOn w:val="DefaultChar"/>
    <w:link w:val="DoubleDot"/>
    <w:rsid w:val="00E0624D"/>
    <w:rPr>
      <w:color w:val="000000"/>
      <w:sz w:val="24"/>
      <w:szCs w:val="23"/>
    </w:rPr>
  </w:style>
  <w:style w:type="character" w:styleId="PlaceholderText">
    <w:name w:val="Placeholder Text"/>
    <w:basedOn w:val="DefaultParagraphFont"/>
    <w:uiPriority w:val="99"/>
    <w:semiHidden/>
    <w:rsid w:val="00A1220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20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209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3E1CE3"/>
    <w:rPr>
      <w:b/>
      <w:kern w:val="28"/>
      <w:sz w:val="24"/>
    </w:rPr>
  </w:style>
  <w:style w:type="paragraph" w:styleId="Header">
    <w:name w:val="header"/>
    <w:basedOn w:val="Normal"/>
    <w:link w:val="HeaderChar"/>
    <w:uiPriority w:val="99"/>
    <w:unhideWhenUsed/>
    <w:rsid w:val="00954679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954679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954679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954679"/>
    <w:rPr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E4B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E4BAC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4BA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4B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4BAC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680297"/>
    <w:rPr>
      <w:color w:val="800080" w:themeColor="followedHyperlink"/>
      <w:u w:val="single"/>
    </w:rPr>
  </w:style>
  <w:style w:type="character" w:customStyle="1" w:styleId="base-text-paragraphChar">
    <w:name w:val="base-text-paragraph Char"/>
    <w:basedOn w:val="DefaultParagraphFont"/>
    <w:link w:val="base-text-paragraph"/>
    <w:rsid w:val="00190B11"/>
    <w:rPr>
      <w:sz w:val="24"/>
    </w:rPr>
  </w:style>
  <w:style w:type="paragraph" w:customStyle="1" w:styleId="ChapterHeading">
    <w:name w:val="Chapter Heading"/>
    <w:next w:val="Heading2"/>
    <w:rsid w:val="00190B11"/>
    <w:pPr>
      <w:pBdr>
        <w:top w:val="single" w:sz="4" w:space="1" w:color="auto"/>
        <w:bottom w:val="single" w:sz="4" w:space="1" w:color="auto"/>
      </w:pBdr>
      <w:tabs>
        <w:tab w:val="num" w:pos="1134"/>
      </w:tabs>
      <w:spacing w:before="240" w:after="360" w:line="260" w:lineRule="atLeast"/>
    </w:pPr>
    <w:rPr>
      <w:rFonts w:ascii="Helvetica" w:hAnsi="Helvetica"/>
      <w:b/>
      <w:i/>
      <w:sz w:val="38"/>
    </w:rPr>
  </w:style>
  <w:style w:type="numbering" w:customStyle="1" w:styleId="ChapterList">
    <w:name w:val="ChapterList"/>
    <w:uiPriority w:val="99"/>
    <w:rsid w:val="00190B11"/>
    <w:pPr>
      <w:numPr>
        <w:numId w:val="7"/>
      </w:numPr>
    </w:pPr>
  </w:style>
  <w:style w:type="paragraph" w:customStyle="1" w:styleId="Diagram">
    <w:name w:val="Diagram"/>
    <w:basedOn w:val="Normal"/>
    <w:next w:val="Normal"/>
    <w:rsid w:val="00190B11"/>
    <w:pPr>
      <w:keepNext/>
      <w:spacing w:before="0" w:after="0"/>
      <w:ind w:left="1134"/>
    </w:pPr>
    <w:rPr>
      <w:b/>
      <w:sz w:val="22"/>
    </w:rPr>
  </w:style>
  <w:style w:type="paragraph" w:customStyle="1" w:styleId="ExampleHeading">
    <w:name w:val="Example Heading"/>
    <w:basedOn w:val="Normal"/>
    <w:next w:val="Normal"/>
    <w:rsid w:val="00190B11"/>
    <w:pPr>
      <w:keepNext/>
      <w:ind w:left="1134"/>
    </w:pPr>
    <w:rPr>
      <w:b/>
      <w:sz w:val="22"/>
    </w:rPr>
  </w:style>
  <w:style w:type="paragraph" w:customStyle="1" w:styleId="TableHeadingoutsidetable">
    <w:name w:val="Table Heading (outside table)"/>
    <w:basedOn w:val="Heading4"/>
    <w:rsid w:val="00190B11"/>
    <w:pPr>
      <w:tabs>
        <w:tab w:val="clear" w:pos="1987"/>
        <w:tab w:val="num" w:pos="360"/>
      </w:tabs>
      <w:spacing w:after="200"/>
      <w:ind w:left="1134"/>
    </w:pPr>
    <w:rPr>
      <w:b w:val="0"/>
      <w:iCs/>
      <w:kern w:val="0"/>
      <w:sz w:val="22"/>
    </w:rPr>
  </w:style>
  <w:style w:type="character" w:styleId="Emphasis">
    <w:name w:val="Emphasis"/>
    <w:basedOn w:val="DefaultParagraphFont"/>
    <w:uiPriority w:val="20"/>
    <w:qFormat/>
    <w:rsid w:val="00F125A4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C72D6"/>
    <w:rPr>
      <w:color w:val="605E5C"/>
      <w:shd w:val="clear" w:color="auto" w:fill="E1DFDD"/>
    </w:rPr>
  </w:style>
  <w:style w:type="paragraph" w:customStyle="1" w:styleId="OutlineNumbered1">
    <w:name w:val="Outline Numbered 1"/>
    <w:basedOn w:val="Normal"/>
    <w:link w:val="OutlineNumbered1Char"/>
    <w:rsid w:val="00274E03"/>
    <w:pPr>
      <w:numPr>
        <w:numId w:val="13"/>
      </w:numPr>
      <w:spacing w:after="200"/>
    </w:pPr>
    <w:rPr>
      <w:color w:val="000000"/>
      <w:szCs w:val="23"/>
    </w:rPr>
  </w:style>
  <w:style w:type="character" w:customStyle="1" w:styleId="OutlineNumbered1Char">
    <w:name w:val="Outline Numbered 1 Char"/>
    <w:basedOn w:val="BulletChar"/>
    <w:link w:val="OutlineNumbered1"/>
    <w:rsid w:val="00274E03"/>
    <w:rPr>
      <w:color w:val="000000"/>
      <w:sz w:val="24"/>
      <w:szCs w:val="23"/>
    </w:rPr>
  </w:style>
  <w:style w:type="paragraph" w:customStyle="1" w:styleId="OutlineNumbered2">
    <w:name w:val="Outline Numbered 2"/>
    <w:basedOn w:val="Normal"/>
    <w:link w:val="OutlineNumbered2Char"/>
    <w:rsid w:val="00274E03"/>
    <w:pPr>
      <w:numPr>
        <w:ilvl w:val="1"/>
        <w:numId w:val="13"/>
      </w:numPr>
      <w:spacing w:after="200"/>
    </w:pPr>
    <w:rPr>
      <w:color w:val="000000"/>
      <w:szCs w:val="23"/>
    </w:rPr>
  </w:style>
  <w:style w:type="character" w:customStyle="1" w:styleId="OutlineNumbered2Char">
    <w:name w:val="Outline Numbered 2 Char"/>
    <w:basedOn w:val="BulletChar"/>
    <w:link w:val="OutlineNumbered2"/>
    <w:rsid w:val="00274E03"/>
    <w:rPr>
      <w:color w:val="000000"/>
      <w:sz w:val="24"/>
      <w:szCs w:val="23"/>
    </w:rPr>
  </w:style>
  <w:style w:type="paragraph" w:customStyle="1" w:styleId="OutlineNumbered3">
    <w:name w:val="Outline Numbered 3"/>
    <w:basedOn w:val="Normal"/>
    <w:link w:val="OutlineNumbered3Char"/>
    <w:rsid w:val="00274E03"/>
    <w:pPr>
      <w:numPr>
        <w:ilvl w:val="2"/>
        <w:numId w:val="13"/>
      </w:numPr>
      <w:spacing w:after="200"/>
    </w:pPr>
    <w:rPr>
      <w:color w:val="000000"/>
      <w:szCs w:val="23"/>
    </w:rPr>
  </w:style>
  <w:style w:type="character" w:customStyle="1" w:styleId="OutlineNumbered3Char">
    <w:name w:val="Outline Numbered 3 Char"/>
    <w:basedOn w:val="BulletChar"/>
    <w:link w:val="OutlineNumbered3"/>
    <w:rsid w:val="00274E03"/>
    <w:rPr>
      <w:color w:val="000000"/>
      <w:sz w:val="24"/>
      <w:szCs w:val="23"/>
    </w:rPr>
  </w:style>
  <w:style w:type="paragraph" w:styleId="NormalWeb">
    <w:name w:val="Normal (Web)"/>
    <w:basedOn w:val="Normal"/>
    <w:uiPriority w:val="99"/>
    <w:unhideWhenUsed/>
    <w:rsid w:val="008A6CDC"/>
    <w:pPr>
      <w:spacing w:before="100" w:beforeAutospacing="1" w:after="100" w:afterAutospacing="1"/>
    </w:pPr>
    <w:rPr>
      <w:rFonts w:eastAsiaTheme="minorHAnsi"/>
      <w:szCs w:val="24"/>
    </w:rPr>
  </w:style>
  <w:style w:type="paragraph" w:styleId="Revision">
    <w:name w:val="Revision"/>
    <w:hidden/>
    <w:uiPriority w:val="99"/>
    <w:semiHidden/>
    <w:rsid w:val="009A1E0F"/>
    <w:rPr>
      <w:sz w:val="24"/>
    </w:rPr>
  </w:style>
  <w:style w:type="character" w:customStyle="1" w:styleId="Referencingstyle">
    <w:name w:val="Referencing style"/>
    <w:basedOn w:val="DefaultParagraphFont"/>
    <w:rsid w:val="00CF6CD9"/>
    <w:rPr>
      <w:rFonts w:ascii="Times New Roman" w:hAnsi="Times New Roman" w:cs="Times New Roman"/>
      <w:b/>
      <w:i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476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5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Treasury\Workgroup%20Templates\Legislation\Sub-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363A5D9E8574B46833563E52DF020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3F3262-926C-4992-A5A7-932C5D980C1C}"/>
      </w:docPartPr>
      <w:docPartBody>
        <w:p w:rsidR="002C535F" w:rsidRDefault="009B49F9">
          <w:pPr>
            <w:pStyle w:val="4363A5D9E8574B46833563E52DF02065"/>
          </w:pPr>
          <w:r w:rsidRPr="003C7907">
            <w:rPr>
              <w:rStyle w:val="PlaceholderText"/>
              <w:sz w:val="24"/>
              <w:szCs w:val="24"/>
            </w:rPr>
            <w:t>Select a Minister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9F9"/>
    <w:rsid w:val="00064D33"/>
    <w:rsid w:val="002C535F"/>
    <w:rsid w:val="002D4976"/>
    <w:rsid w:val="002F0DAF"/>
    <w:rsid w:val="00462DD6"/>
    <w:rsid w:val="00951D97"/>
    <w:rsid w:val="009B49F9"/>
    <w:rsid w:val="00B03548"/>
    <w:rsid w:val="00C248DC"/>
    <w:rsid w:val="00C25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B49F9"/>
    <w:rPr>
      <w:color w:val="808080"/>
    </w:rPr>
  </w:style>
  <w:style w:type="paragraph" w:customStyle="1" w:styleId="154202BE147E4B2EBDB158A46F17C828">
    <w:name w:val="154202BE147E4B2EBDB158A46F17C828"/>
  </w:style>
  <w:style w:type="paragraph" w:customStyle="1" w:styleId="93EA5DAF47BB416B832D3B6734ED51A2">
    <w:name w:val="93EA5DAF47BB416B832D3B6734ED51A2"/>
  </w:style>
  <w:style w:type="paragraph" w:customStyle="1" w:styleId="2E3D5DB45BD74161B880169D34E5D00C">
    <w:name w:val="2E3D5DB45BD74161B880169D34E5D00C"/>
  </w:style>
  <w:style w:type="paragraph" w:customStyle="1" w:styleId="A94ECA7B1FE2466E85CA862465407F18">
    <w:name w:val="A94ECA7B1FE2466E85CA862465407F18"/>
  </w:style>
  <w:style w:type="paragraph" w:customStyle="1" w:styleId="7AE83DB39EEC41A0B35DCF3356FF5469">
    <w:name w:val="7AE83DB39EEC41A0B35DCF3356FF5469"/>
    <w:rsid w:val="009B49F9"/>
  </w:style>
  <w:style w:type="paragraph" w:customStyle="1" w:styleId="4363A5D9E8574B46833563E52DF02065">
    <w:name w:val="4363A5D9E8574B46833563E52DF0206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b508a4dc5e84436a0fe496b536466aa xmlns="9f7bc583-7cbe-45b9-a2bd-8bbb6543b37e">
      <Terms xmlns="http://schemas.microsoft.com/office/infopath/2007/PartnerControls">
        <TermInfo xmlns="http://schemas.microsoft.com/office/infopath/2007/PartnerControls">
          <TermName xmlns="http://schemas.microsoft.com/office/infopath/2007/PartnerControls">AE-20260-Destroy 7 years after action completed</TermName>
          <TermId xmlns="http://schemas.microsoft.com/office/infopath/2007/PartnerControls">623f5ec9-ec5d-4824-8e13-9c9bfc51fe7e</TermId>
        </TermInfo>
      </Terms>
    </lb508a4dc5e84436a0fe496b536466aa>
    <IconOverlay xmlns="http://schemas.microsoft.com/sharepoint/v4" xsi:nil="true"/>
    <TaxCatchAll xmlns="0f563589-9cf9-4143-b1eb-fb0534803d38">
      <Value>1</Value>
    </TaxCatchAll>
    <_dlc_DocId xmlns="0f563589-9cf9-4143-b1eb-fb0534803d38">2021RG-136-61366</_dlc_DocId>
    <_dlc_DocIdUrl xmlns="0f563589-9cf9-4143-b1eb-fb0534803d38">
      <Url>http://tweb/sites/rg/ldp/_layouts/15/DocIdRedir.aspx?ID=2021RG-136-61366</Url>
      <Description>2021RG-136-61366</Description>
    </_dlc_DocIdUrl>
    <LMU_x0020_Number xmlns="687b78b0-2ddd-4441-8a8b-c9638c2a1939" xsi:nil="true"/>
    <Responsible_x0020_LDO_x0020_Officer xmlns="687b78b0-2ddd-4441-8a8b-c9638c2a1939">
      <UserInfo>
        <DisplayName>i:0#.w|olympus\aji</DisplayName>
        <AccountId>2932</AccountId>
        <AccountType/>
      </UserInfo>
    </Responsible_x0020_LDO_x0020_Officer>
    <Parliamentary_x0020_session xmlns="687b78b0-2ddd-4441-8a8b-c9638c2a1939">
      <Value>46th</Value>
    </Parliamentary_x0020_session>
    <Number_x0020_version xmlns="687b78b0-2ddd-4441-8a8b-c9638c2a1939" xsi:nil="true"/>
    <Status xmlns="687b78b0-2ddd-4441-8a8b-c9638c2a1939">
      <Value>Current</Value>
    </Status>
    <NAture_x0020_of_x0020_documents1 xmlns="687b78b0-2ddd-4441-8a8b-c9638c2a1939">
      <Value>Explanatory memorandum/statement</Value>
    </NAture_x0020_of_x0020_documents1>
    <i6880fa62fd2465ea894b48b45824d1c xmlns="9f7bc583-7cbe-45b9-a2bd-8bbb6543b37e">
      <Terms xmlns="http://schemas.microsoft.com/office/infopath/2007/PartnerControls"/>
    </i6880fa62fd2465ea894b48b45824d1c>
  </documentManagement>
</p:properties>
</file>

<file path=customXml/item2.xml><?xml version="1.0" encoding="utf-8"?>
<?mso-contentType ?>
<p:Policy xmlns:p="office.server.policy" id="" local="true">
  <p:Name>Treasury Document</p:Name>
  <p:Description/>
  <p:Statement/>
  <p:PolicyItems>
    <p:PolicyItem featureId="Microsoft.Office.RecordsManagement.PolicyFeatures.PolicyAudit" staticId="0x01010036BB8DE7EC542E42A8B2E98CC20CB697|1757814118" UniqueId="eb9354fb-4177-4e01-8c43-989761893d04">
      <p:Name>Auditing</p:Name>
      <p:Description>Audits user actions on documents and list items to the Audit Log.</p:Description>
      <p:CustomData>
        <Audit>
          <Update/>
          <DeleteRestore/>
        </Audit>
      </p:CustomData>
    </p:PolicyItem>
  </p:PolicyItems>
</p:Policy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Treasury Document" ma:contentTypeID="0x01010036BB8DE7EC542E42A8B2E98CC20CB69700AD614E3FF758BD46BB6A91BF499E7E08" ma:contentTypeVersion="37313" ma:contentTypeDescription="" ma:contentTypeScope="" ma:versionID="7f8cf0206719effb74c472b278a78cdd">
  <xsd:schema xmlns:xsd="http://www.w3.org/2001/XMLSchema" xmlns:xs="http://www.w3.org/2001/XMLSchema" xmlns:p="http://schemas.microsoft.com/office/2006/metadata/properties" xmlns:ns1="http://schemas.microsoft.com/sharepoint/v3" xmlns:ns2="0f563589-9cf9-4143-b1eb-fb0534803d38" xmlns:ns3="9f7bc583-7cbe-45b9-a2bd-8bbb6543b37e" xmlns:ns4="687b78b0-2ddd-4441-8a8b-c9638c2a1939" xmlns:ns5="http://schemas.microsoft.com/sharepoint/v4" targetNamespace="http://schemas.microsoft.com/office/2006/metadata/properties" ma:root="true" ma:fieldsID="3d2ffd508cf50a086b47d5dbb9950560" ns1:_="" ns2:_="" ns3:_="" ns4:_="" ns5:_="">
    <xsd:import namespace="http://schemas.microsoft.com/sharepoint/v3"/>
    <xsd:import namespace="0f563589-9cf9-4143-b1eb-fb0534803d38"/>
    <xsd:import namespace="9f7bc583-7cbe-45b9-a2bd-8bbb6543b37e"/>
    <xsd:import namespace="687b78b0-2ddd-4441-8a8b-c9638c2a1939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lb508a4dc5e84436a0fe496b536466aa" minOccurs="0"/>
                <xsd:element ref="ns2:TaxCatchAll" minOccurs="0"/>
                <xsd:element ref="ns2:TaxCatchAllLabel" minOccurs="0"/>
                <xsd:element ref="ns1:_dlc_Exempt" minOccurs="0"/>
                <xsd:element ref="ns5:IconOverlay" minOccurs="0"/>
                <xsd:element ref="ns4:LMU_x0020_Number" minOccurs="0"/>
                <xsd:element ref="ns4:Status" minOccurs="0"/>
                <xsd:element ref="ns4:Number_x0020_version" minOccurs="0"/>
                <xsd:element ref="ns4:NAture_x0020_of_x0020_documents1" minOccurs="0"/>
                <xsd:element ref="ns4:Parliamentary_x0020_session" minOccurs="0"/>
                <xsd:element ref="ns4:Responsible_x0020_LDO_x0020_Officer" minOccurs="0"/>
                <xsd:element ref="ns3:i6880fa62fd2465ea894b48b45824d1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5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3589-9cf9-4143-b1eb-fb0534803d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2" nillable="true" ma:displayName="Taxonomy Catch All Column" ma:hidden="true" ma:list="{a5426e91-c895-42ba-91bf-fe5e23c4f0ec}" ma:internalName="TaxCatchAll" ma:showField="CatchAllData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a5426e91-c895-42ba-91bf-fe5e23c4f0ec}" ma:internalName="TaxCatchAllLabel" ma:readOnly="true" ma:showField="CatchAllDataLabel" ma:web="9f7bc583-7cbe-45b9-a2bd-8bbb6543b3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7bc583-7cbe-45b9-a2bd-8bbb6543b37e" elementFormDefault="qualified">
    <xsd:import namespace="http://schemas.microsoft.com/office/2006/documentManagement/types"/>
    <xsd:import namespace="http://schemas.microsoft.com/office/infopath/2007/PartnerControls"/>
    <xsd:element name="lb508a4dc5e84436a0fe496b536466aa" ma:index="11" nillable="true" ma:taxonomy="true" ma:internalName="lb508a4dc5e84436a0fe496b536466aa" ma:taxonomyFieldName="TSYRecordClass" ma:displayName="Record Class" ma:readOnly="false" ma:default="7;#TSY RA-9236 - Retain as national archives|c6a225b4-6b93-473e-bcbb-6bc6ab25b623" ma:fieldId="{5b508a4d-c5e8-4436-a0fe-496b536466aa}" ma:sspId="77b7a547-5880-464f-83f8-cefe583c3af4" ma:termSetId="8c8a1de6-dea5-4e66-bd5a-b7b3daae0f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6880fa62fd2465ea894b48b45824d1c" ma:index="25" nillable="true" ma:taxonomy="true" ma:internalName="i6880fa62fd2465ea894b48b45824d1c" ma:taxonomyFieldName="TSYTopic" ma:displayName="TSYTopic" ma:default="" ma:fieldId="{26880fa6-2fd2-465e-a894-b48b45824d1c}" ma:sspId="77b7a547-5880-464f-83f8-cefe583c3af4" ma:termSetId="5ad9bdc0-881e-4a06-8325-cf02134be2c9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7b78b0-2ddd-4441-8a8b-c9638c2a1939" elementFormDefault="qualified">
    <xsd:import namespace="http://schemas.microsoft.com/office/2006/documentManagement/types"/>
    <xsd:import namespace="http://schemas.microsoft.com/office/infopath/2007/PartnerControls"/>
    <xsd:element name="LMU_x0020_Number" ma:index="18" nillable="true" ma:displayName="LMU Number" ma:internalName="LMU_x0020_Number">
      <xsd:simpleType>
        <xsd:restriction base="dms:Text">
          <xsd:maxLength value="255"/>
        </xsd:restriction>
      </xsd:simpleType>
    </xsd:element>
    <xsd:element name="Status" ma:index="19" nillable="true" ma:displayName="Status" ma:default="Current" ma:internalName="Status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urrent"/>
                    <xsd:enumeration value="Completed"/>
                    <xsd:enumeration value="Deferred"/>
                    <xsd:enumeration value="Not progressing"/>
                    <xsd:enumeration value="Archived"/>
                  </xsd:restriction>
                </xsd:simpleType>
              </xsd:element>
            </xsd:sequence>
          </xsd:extension>
        </xsd:complexContent>
      </xsd:complexType>
    </xsd:element>
    <xsd:element name="Number_x0020_version" ma:index="20" nillable="true" ma:displayName="Number version" ma:internalName="Number_x0020_version">
      <xsd:simpleType>
        <xsd:restriction base="dms:Text">
          <xsd:maxLength value="255"/>
        </xsd:restriction>
      </xsd:simpleType>
    </xsd:element>
    <xsd:element name="NAture_x0020_of_x0020_documents1" ma:index="21" nillable="true" ma:displayName="Nature of documents" ma:internalName="NAture_x0020_of_x0020_documents1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TO correspondence"/>
                    <xsd:enumeration value="BID"/>
                    <xsd:enumeration value="Drafting instructions"/>
                    <xsd:enumeration value="Explanatory memorandum/statement"/>
                    <xsd:enumeration value="Exposure Draft"/>
                    <xsd:enumeration value="Legal Advice"/>
                    <xsd:enumeration value="Legislation"/>
                    <xsd:enumeration value="Ministerial Correspondence"/>
                    <xsd:enumeration value="Other"/>
                    <xsd:enumeration value="Parliamentary"/>
                    <xsd:enumeration value="Policy"/>
                    <xsd:enumeration value="QA"/>
                    <xsd:enumeration value="Regulations"/>
                    <xsd:enumeration value="RIS"/>
                    <xsd:enumeration value="Stakeholder Correspondence"/>
                    <xsd:enumeration value="Submission"/>
                  </xsd:restriction>
                </xsd:simpleType>
              </xsd:element>
            </xsd:sequence>
          </xsd:extension>
        </xsd:complexContent>
      </xsd:complexType>
    </xsd:element>
    <xsd:element name="Parliamentary_x0020_session" ma:index="22" nillable="true" ma:displayName="Parliamentary session" ma:internalName="Parliamentary_x0020_session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TBD"/>
                    <xsd:enumeration value="46th"/>
                    <xsd:enumeration value="45th"/>
                    <xsd:enumeration value="44th"/>
                    <xsd:enumeration value="43rd"/>
                    <xsd:enumeration value="NA"/>
                  </xsd:restriction>
                </xsd:simpleType>
              </xsd:element>
            </xsd:sequence>
          </xsd:extension>
        </xsd:complexContent>
      </xsd:complexType>
    </xsd:element>
    <xsd:element name="Responsible_x0020_LDO_x0020_Officer" ma:index="23" nillable="true" ma:displayName="Responsible LDO Officer" ma:list="UserInfo" ma:SharePointGroup="0" ma:internalName="Responsible_x0020_LDO_x0020_Officer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278533-3486-40E5-9013-DD26FD164D39}">
  <ds:schemaRefs>
    <ds:schemaRef ds:uri="http://schemas.microsoft.com/office/2006/documentManagement/types"/>
    <ds:schemaRef ds:uri="http://schemas.microsoft.com/office/infopath/2007/PartnerControls"/>
    <ds:schemaRef ds:uri="0f563589-9cf9-4143-b1eb-fb0534803d38"/>
    <ds:schemaRef ds:uri="http://purl.org/dc/elements/1.1/"/>
    <ds:schemaRef ds:uri="http://schemas.microsoft.com/office/2006/metadata/properties"/>
    <ds:schemaRef ds:uri="http://schemas.microsoft.com/sharepoint/v3"/>
    <ds:schemaRef ds:uri="9f7bc583-7cbe-45b9-a2bd-8bbb6543b37e"/>
    <ds:schemaRef ds:uri="http://purl.org/dc/terms/"/>
    <ds:schemaRef ds:uri="http://schemas.openxmlformats.org/package/2006/metadata/core-properties"/>
    <ds:schemaRef ds:uri="http://schemas.microsoft.com/sharepoint/v4"/>
    <ds:schemaRef ds:uri="687b78b0-2ddd-4441-8a8b-c9638c2a1939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C9C95AF-DC3D-454D-876B-A90DFB6AC3F1}">
  <ds:schemaRefs>
    <ds:schemaRef ds:uri="office.server.policy"/>
  </ds:schemaRefs>
</ds:datastoreItem>
</file>

<file path=customXml/itemProps3.xml><?xml version="1.0" encoding="utf-8"?>
<ds:datastoreItem xmlns:ds="http://schemas.openxmlformats.org/officeDocument/2006/customXml" ds:itemID="{2597E7F2-3EFF-4EBD-91D7-D95D01A94AB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7FE07210-1BFA-44C2-84D3-51F40554627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E6430FD9-EEFD-4CAE-B199-3871BC2B0F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563589-9cf9-4143-b1eb-fb0534803d38"/>
    <ds:schemaRef ds:uri="9f7bc583-7cbe-45b9-a2bd-8bbb6543b37e"/>
    <ds:schemaRef ds:uri="687b78b0-2ddd-4441-8a8b-c9638c2a1939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FF84A062-DF2D-41FE-BA93-45CF079D2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Sub-ES.dotx</Template>
  <TotalTime>3</TotalTime>
  <Pages>6</Pages>
  <Words>1760</Words>
  <Characters>9439</Characters>
  <Application>Microsoft Office Word</Application>
  <DocSecurity>0</DocSecurity>
  <Lines>177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Explanatory statement for the regulations</vt:lpstr>
    </vt:vector>
  </TitlesOfParts>
  <Company>Treasury</Company>
  <LinksUpToDate>false</LinksUpToDate>
  <CharactersWithSpaces>11159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Explanatory statement for the regulations</dc:title>
  <dc:subject>Treasury Laws Amendment (Miscellaneous and Technical Amendments) Regulations 2021</dc:subject>
  <dc:creator>Treasury</dc:creator>
  <cp:lastModifiedBy>Hill, Christine</cp:lastModifiedBy>
  <cp:revision>6</cp:revision>
  <cp:lastPrinted>2021-04-20T00:38:00Z</cp:lastPrinted>
  <dcterms:created xsi:type="dcterms:W3CDTF">2021-04-20T11:49:00Z</dcterms:created>
  <dcterms:modified xsi:type="dcterms:W3CDTF">2021-04-27T05:03:00Z</dcterms:modified>
</cp:coreProperties>
</file>