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605CBB" w14:paraId="29AFEDDD" w14:textId="77777777" w:rsidTr="00605CBB">
        <w:tc>
          <w:tcPr>
            <w:tcW w:w="5000" w:type="pct"/>
            <w:shd w:val="clear" w:color="auto" w:fill="auto"/>
          </w:tcPr>
          <w:p w14:paraId="5F92DC62" w14:textId="77777777" w:rsidR="00605CBB" w:rsidRDefault="00605CBB" w:rsidP="00605CB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201D937D" w14:textId="77777777" w:rsidR="00605CBB" w:rsidRPr="00605CBB" w:rsidRDefault="00605CBB" w:rsidP="00605CBB">
            <w:pPr>
              <w:rPr>
                <w:b/>
                <w:sz w:val="20"/>
              </w:rPr>
            </w:pPr>
          </w:p>
        </w:tc>
      </w:tr>
    </w:tbl>
    <w:p w14:paraId="5D450DC0" w14:textId="77777777" w:rsidR="00605CBB" w:rsidRDefault="00605CBB" w:rsidP="00035B5D">
      <w:pPr>
        <w:rPr>
          <w:sz w:val="32"/>
          <w:szCs w:val="32"/>
        </w:rPr>
      </w:pPr>
    </w:p>
    <w:p w14:paraId="3D2D701E" w14:textId="77777777" w:rsidR="00664C63" w:rsidRPr="00932FA3" w:rsidRDefault="00664C63" w:rsidP="00035B5D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133301EC" w14:textId="77777777" w:rsidR="00664C63" w:rsidRDefault="00C520D9" w:rsidP="00035B5D">
      <w:pPr>
        <w:pStyle w:val="ShortT"/>
      </w:pPr>
      <w:r>
        <w:t>Treasury</w:t>
      </w:r>
      <w:bookmarkStart w:id="0" w:name="BK_S1P1L2C9"/>
      <w:bookmarkEnd w:id="0"/>
      <w:r>
        <w:t xml:space="preserve"> Laws Amendment (Measures for Consultation)</w:t>
      </w:r>
      <w:r w:rsidR="00AE59F7">
        <w:t xml:space="preserve"> Bill</w:t>
      </w:r>
      <w:bookmarkStart w:id="1" w:name="BK_S1P1L3C23"/>
      <w:bookmarkEnd w:id="1"/>
      <w:r w:rsidR="00AE59F7">
        <w:t xml:space="preserve"> 20</w:t>
      </w:r>
      <w:r w:rsidR="006E4AB2">
        <w:t>21</w:t>
      </w:r>
      <w:r w:rsidR="00664C63">
        <w:t xml:space="preserve">: </w:t>
      </w:r>
      <w:r>
        <w:t xml:space="preserve">Licensing </w:t>
      </w:r>
      <w:r w:rsidR="004B14AB">
        <w:t>exemptions for</w:t>
      </w:r>
      <w:r w:rsidR="00AE1196">
        <w:t xml:space="preserve"> </w:t>
      </w:r>
      <w:r>
        <w:t>foreign financial service providers</w:t>
      </w:r>
    </w:p>
    <w:p w14:paraId="26DD781A" w14:textId="77777777" w:rsidR="00664C63" w:rsidRDefault="00664C63" w:rsidP="00035B5D">
      <w:pPr>
        <w:jc w:val="center"/>
      </w:pPr>
    </w:p>
    <w:p w14:paraId="19554E38" w14:textId="77777777" w:rsidR="00664C63" w:rsidRDefault="00664C63" w:rsidP="00035B5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2875ED6C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8A68CD6" w14:textId="77777777" w:rsidR="00664C63" w:rsidRPr="00402376" w:rsidRDefault="00664C63" w:rsidP="00035B5D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54320BAF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20F7E" w14:textId="77777777" w:rsidR="00664C63" w:rsidRPr="00402376" w:rsidRDefault="00664C63" w:rsidP="00035B5D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924A5" w14:textId="77777777" w:rsidR="00664C63" w:rsidRPr="00402376" w:rsidRDefault="00664C63" w:rsidP="00035B5D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BFBFE9" w14:textId="77777777" w:rsidR="00664C63" w:rsidRPr="00402376" w:rsidRDefault="00664C63" w:rsidP="00035B5D">
            <w:pPr>
              <w:pStyle w:val="TableHeading"/>
            </w:pPr>
            <w:r w:rsidRPr="00402376">
              <w:t>Column 3</w:t>
            </w:r>
          </w:p>
        </w:tc>
      </w:tr>
      <w:tr w:rsidR="00664C63" w14:paraId="3D915109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EF721B3" w14:textId="77777777" w:rsidR="00664C63" w:rsidRPr="00402376" w:rsidRDefault="00664C63" w:rsidP="00035B5D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9D4A3CD" w14:textId="77777777" w:rsidR="00664C63" w:rsidRPr="00402376" w:rsidRDefault="00664C63" w:rsidP="00035B5D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D9CA5CC" w14:textId="77777777" w:rsidR="00664C63" w:rsidRPr="00402376" w:rsidRDefault="00664C63" w:rsidP="00035B5D">
            <w:pPr>
              <w:pStyle w:val="TableHeading"/>
            </w:pPr>
            <w:r w:rsidRPr="00402376">
              <w:t>Date/Details</w:t>
            </w:r>
          </w:p>
        </w:tc>
      </w:tr>
      <w:tr w:rsidR="00664C63" w14:paraId="2261326B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0ADE9C84" w14:textId="77777777" w:rsidR="00664C63" w:rsidRDefault="00664C63" w:rsidP="00035B5D">
            <w:pPr>
              <w:pStyle w:val="Tabletext"/>
            </w:pPr>
            <w:r>
              <w:t xml:space="preserve">1.  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19272A0E" w14:textId="77777777" w:rsidR="00664C63" w:rsidRDefault="00664C63" w:rsidP="00035B5D">
            <w:pPr>
              <w:pStyle w:val="Tabletext"/>
            </w:pP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0E85141C" w14:textId="77777777" w:rsidR="00664C63" w:rsidRDefault="00664C63" w:rsidP="00035B5D">
            <w:pPr>
              <w:pStyle w:val="Tabletext"/>
            </w:pPr>
          </w:p>
        </w:tc>
      </w:tr>
      <w:tr w:rsidR="00664C63" w14:paraId="68AB8764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5D7E7D9" w14:textId="77777777" w:rsidR="00664C63" w:rsidRDefault="00664C63" w:rsidP="00035B5D">
            <w:pPr>
              <w:pStyle w:val="Tabletext"/>
            </w:pPr>
            <w:r>
              <w:t xml:space="preserve">2.  </w:t>
            </w:r>
            <w:r w:rsidR="008C4840">
              <w:t>Schedule 1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6E6336B" w14:textId="77777777" w:rsidR="00664C63" w:rsidRDefault="009021F0" w:rsidP="00035B5D">
            <w:pPr>
              <w:pStyle w:val="Tabletext"/>
            </w:pPr>
            <w:r>
              <w:t>The day after this Act receives the Royal Assent</w:t>
            </w:r>
            <w:bookmarkStart w:id="2" w:name="BK_S1P1L26C7"/>
            <w:bookmarkEnd w:id="2"/>
            <w:r>
              <w:t>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084F6392" w14:textId="77777777" w:rsidR="00664C63" w:rsidRDefault="00664C63" w:rsidP="00035B5D">
            <w:pPr>
              <w:pStyle w:val="Tabletext"/>
            </w:pPr>
          </w:p>
        </w:tc>
      </w:tr>
      <w:tr w:rsidR="00664C63" w14:paraId="3F750C2B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1775FFBE" w14:textId="77777777" w:rsidR="00664C63" w:rsidRDefault="00664C63" w:rsidP="00035B5D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24E0CB88" w14:textId="77777777" w:rsidR="00664C63" w:rsidRDefault="00664C63" w:rsidP="00035B5D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5EECDA06" w14:textId="77777777" w:rsidR="00664C63" w:rsidRDefault="00664C63" w:rsidP="00035B5D">
            <w:pPr>
              <w:pStyle w:val="Tabletext"/>
            </w:pPr>
          </w:p>
        </w:tc>
      </w:tr>
    </w:tbl>
    <w:p w14:paraId="0860AE5B" w14:textId="77777777" w:rsidR="009021F0" w:rsidRDefault="008C4840" w:rsidP="00035B5D">
      <w:pPr>
        <w:pStyle w:val="ActHead6"/>
        <w:pageBreakBefore/>
      </w:pPr>
      <w:bookmarkStart w:id="3" w:name="_Toc89955705"/>
      <w:bookmarkStart w:id="4" w:name="opcAmSched"/>
      <w:bookmarkStart w:id="5" w:name="opcCurrentFind"/>
      <w:r w:rsidRPr="00605CBB">
        <w:rPr>
          <w:rStyle w:val="CharAmSchNo"/>
        </w:rPr>
        <w:lastRenderedPageBreak/>
        <w:t>Schedule 1</w:t>
      </w:r>
      <w:r w:rsidR="009021F0">
        <w:t>—</w:t>
      </w:r>
      <w:r w:rsidR="009021F0" w:rsidRPr="00605CBB">
        <w:rPr>
          <w:rStyle w:val="CharAmSchText"/>
        </w:rPr>
        <w:t xml:space="preserve">Licensing </w:t>
      </w:r>
      <w:r w:rsidR="004B14AB" w:rsidRPr="00605CBB">
        <w:rPr>
          <w:rStyle w:val="CharAmSchText"/>
        </w:rPr>
        <w:t xml:space="preserve">exemptions for </w:t>
      </w:r>
      <w:r w:rsidR="009021F0" w:rsidRPr="00605CBB">
        <w:rPr>
          <w:rStyle w:val="CharAmSchText"/>
        </w:rPr>
        <w:t>foreign financial service providers</w:t>
      </w:r>
      <w:bookmarkEnd w:id="3"/>
    </w:p>
    <w:bookmarkEnd w:id="4"/>
    <w:bookmarkEnd w:id="5"/>
    <w:p w14:paraId="000D9FA5" w14:textId="77777777" w:rsidR="00155666" w:rsidRPr="00605CBB" w:rsidRDefault="00155666" w:rsidP="00035B5D">
      <w:pPr>
        <w:pStyle w:val="Header"/>
      </w:pPr>
      <w:r w:rsidRPr="00605CBB">
        <w:rPr>
          <w:rStyle w:val="CharAmPartNo"/>
        </w:rPr>
        <w:t xml:space="preserve"> </w:t>
      </w:r>
      <w:r w:rsidRPr="00605CBB">
        <w:rPr>
          <w:rStyle w:val="CharAmPartText"/>
        </w:rPr>
        <w:t xml:space="preserve"> </w:t>
      </w:r>
    </w:p>
    <w:p w14:paraId="25B23477" w14:textId="77777777" w:rsidR="00FD10B2" w:rsidRPr="00EF2CAA" w:rsidRDefault="00FD10B2" w:rsidP="00035B5D">
      <w:pPr>
        <w:pStyle w:val="ActHead9"/>
        <w:rPr>
          <w:i w:val="0"/>
        </w:rPr>
      </w:pPr>
      <w:bookmarkStart w:id="6" w:name="_Toc89955706"/>
      <w:r w:rsidRPr="00FD10B2">
        <w:t>Corporations</w:t>
      </w:r>
      <w:bookmarkStart w:id="7" w:name="BK_S1P3L4C13"/>
      <w:bookmarkEnd w:id="7"/>
      <w:r w:rsidRPr="00FD10B2">
        <w:t xml:space="preserve"> Act 2001</w:t>
      </w:r>
      <w:bookmarkEnd w:id="6"/>
    </w:p>
    <w:p w14:paraId="40938390" w14:textId="77777777" w:rsidR="00341660" w:rsidRDefault="00E1239A" w:rsidP="00035B5D">
      <w:pPr>
        <w:pStyle w:val="ItemHead"/>
      </w:pPr>
      <w:proofErr w:type="gramStart"/>
      <w:r>
        <w:t>1</w:t>
      </w:r>
      <w:r w:rsidR="00341660">
        <w:t xml:space="preserve">  </w:t>
      </w:r>
      <w:r w:rsidR="00F5454E">
        <w:t>Section</w:t>
      </w:r>
      <w:proofErr w:type="gramEnd"/>
      <w:r w:rsidR="00F5454E">
        <w:t> 9</w:t>
      </w:r>
      <w:r w:rsidR="00341660">
        <w:t>10A</w:t>
      </w:r>
    </w:p>
    <w:p w14:paraId="762AF39E" w14:textId="77777777" w:rsidR="00341660" w:rsidRDefault="00341660" w:rsidP="00035B5D">
      <w:pPr>
        <w:pStyle w:val="Item"/>
      </w:pPr>
      <w:r>
        <w:t>Insert:</w:t>
      </w:r>
    </w:p>
    <w:p w14:paraId="68D0D91A" w14:textId="77777777" w:rsidR="00341660" w:rsidRPr="00341660" w:rsidRDefault="00341660" w:rsidP="00035B5D">
      <w:pPr>
        <w:pStyle w:val="Definition"/>
      </w:pPr>
      <w:r w:rsidRPr="00341660">
        <w:rPr>
          <w:b/>
          <w:i/>
        </w:rPr>
        <w:t>home jurisdiction</w:t>
      </w:r>
      <w:r w:rsidR="00C06D5F">
        <w:t xml:space="preserve">, for a person, </w:t>
      </w:r>
      <w:r>
        <w:t xml:space="preserve">has the meaning given by </w:t>
      </w:r>
      <w:r w:rsidR="00724CAC">
        <w:t>sub</w:t>
      </w:r>
      <w:r w:rsidR="000D2DFF">
        <w:t>paragraph 9</w:t>
      </w:r>
      <w:r w:rsidR="00106782">
        <w:t>11</w:t>
      </w:r>
      <w:r w:rsidR="003F3998">
        <w:t>A(</w:t>
      </w:r>
      <w:proofErr w:type="gramStart"/>
      <w:r w:rsidR="003F3998">
        <w:t>2)</w:t>
      </w:r>
      <w:r>
        <w:t>(</w:t>
      </w:r>
      <w:proofErr w:type="gramEnd"/>
      <w:r w:rsidR="003F3998">
        <w:t>ep</w:t>
      </w:r>
      <w:r>
        <w:t>)</w:t>
      </w:r>
      <w:r w:rsidR="003F3998">
        <w:t>(ii</w:t>
      </w:r>
      <w:r w:rsidR="00C444B5">
        <w:t>i</w:t>
      </w:r>
      <w:r w:rsidR="003F3998">
        <w:t>)</w:t>
      </w:r>
      <w:r>
        <w:t>.</w:t>
      </w:r>
    </w:p>
    <w:p w14:paraId="2F259915" w14:textId="77777777" w:rsidR="00341660" w:rsidRPr="00341660" w:rsidRDefault="00341660" w:rsidP="00035B5D">
      <w:pPr>
        <w:pStyle w:val="Definition"/>
      </w:pPr>
      <w:r w:rsidRPr="00341660">
        <w:rPr>
          <w:b/>
          <w:i/>
        </w:rPr>
        <w:t xml:space="preserve">home </w:t>
      </w:r>
      <w:r>
        <w:rPr>
          <w:b/>
          <w:i/>
        </w:rPr>
        <w:t>regulator</w:t>
      </w:r>
      <w:r w:rsidR="00C06D5F">
        <w:t xml:space="preserve">, for a person, </w:t>
      </w:r>
      <w:r>
        <w:t xml:space="preserve">has the meaning given by </w:t>
      </w:r>
      <w:r w:rsidR="00724CAC">
        <w:t>sub</w:t>
      </w:r>
      <w:r w:rsidR="000D2DFF">
        <w:t>paragraph 9</w:t>
      </w:r>
      <w:r w:rsidR="003F3998">
        <w:t>11A(</w:t>
      </w:r>
      <w:proofErr w:type="gramStart"/>
      <w:r w:rsidR="003F3998">
        <w:t>2)(</w:t>
      </w:r>
      <w:proofErr w:type="gramEnd"/>
      <w:r w:rsidR="003F3998">
        <w:t>ep)(i</w:t>
      </w:r>
      <w:r w:rsidR="00C444B5">
        <w:t>v</w:t>
      </w:r>
      <w:r w:rsidR="003F3998">
        <w:t>).</w:t>
      </w:r>
    </w:p>
    <w:p w14:paraId="506E7DEA" w14:textId="77777777" w:rsidR="00FE220A" w:rsidRDefault="00E1239A" w:rsidP="00035B5D">
      <w:pPr>
        <w:pStyle w:val="ItemHead"/>
      </w:pPr>
      <w:proofErr w:type="gramStart"/>
      <w:r>
        <w:t>2</w:t>
      </w:r>
      <w:r w:rsidR="00FE220A">
        <w:t xml:space="preserve">  Before</w:t>
      </w:r>
      <w:proofErr w:type="gramEnd"/>
      <w:r w:rsidR="00FE220A">
        <w:t xml:space="preserve"> </w:t>
      </w:r>
      <w:r w:rsidR="00724CAC">
        <w:t>section 9</w:t>
      </w:r>
      <w:r w:rsidR="00FE220A">
        <w:t>11A</w:t>
      </w:r>
    </w:p>
    <w:p w14:paraId="39E15832" w14:textId="77777777" w:rsidR="00FE220A" w:rsidRDefault="00FE220A" w:rsidP="00035B5D">
      <w:pPr>
        <w:pStyle w:val="Item"/>
      </w:pPr>
      <w:r>
        <w:t>Insert:</w:t>
      </w:r>
    </w:p>
    <w:p w14:paraId="15013602" w14:textId="77777777" w:rsidR="00FE220A" w:rsidRPr="00FE220A" w:rsidRDefault="00FE220A" w:rsidP="00035B5D">
      <w:pPr>
        <w:pStyle w:val="ActHead4"/>
      </w:pPr>
      <w:bookmarkStart w:id="8" w:name="_Toc89955707"/>
      <w:r w:rsidRPr="00605CBB">
        <w:rPr>
          <w:rStyle w:val="CharSubdNo"/>
        </w:rPr>
        <w:t>Subdivision</w:t>
      </w:r>
      <w:r w:rsidR="00B42018" w:rsidRPr="00605CBB">
        <w:rPr>
          <w:rStyle w:val="CharSubdNo"/>
        </w:rPr>
        <w:t xml:space="preserve"> </w:t>
      </w:r>
      <w:r w:rsidRPr="00605CBB">
        <w:rPr>
          <w:rStyle w:val="CharSubdNo"/>
        </w:rPr>
        <w:t>A</w:t>
      </w:r>
      <w:r>
        <w:t>—</w:t>
      </w:r>
      <w:r w:rsidRPr="00605CBB">
        <w:rPr>
          <w:rStyle w:val="CharSubdText"/>
        </w:rPr>
        <w:t>General</w:t>
      </w:r>
      <w:bookmarkEnd w:id="8"/>
    </w:p>
    <w:p w14:paraId="6A8194E9" w14:textId="77777777" w:rsidR="00FD10B2" w:rsidRDefault="00E1239A" w:rsidP="00035B5D">
      <w:pPr>
        <w:pStyle w:val="ItemHead"/>
      </w:pPr>
      <w:proofErr w:type="gramStart"/>
      <w:r>
        <w:t>3</w:t>
      </w:r>
      <w:r w:rsidR="00FD10B2">
        <w:t xml:space="preserve">  </w:t>
      </w:r>
      <w:r w:rsidR="00487B68">
        <w:t>After</w:t>
      </w:r>
      <w:proofErr w:type="gramEnd"/>
      <w:r w:rsidR="00487B68">
        <w:t xml:space="preserve"> </w:t>
      </w:r>
      <w:r w:rsidR="000D2DFF">
        <w:t>paragraph 9</w:t>
      </w:r>
      <w:r w:rsidR="00487B68">
        <w:t>11A(2)(</w:t>
      </w:r>
      <w:proofErr w:type="spellStart"/>
      <w:r w:rsidR="00487B68">
        <w:t>en</w:t>
      </w:r>
      <w:proofErr w:type="spellEnd"/>
      <w:r w:rsidR="00487B68">
        <w:t>)</w:t>
      </w:r>
    </w:p>
    <w:p w14:paraId="083A929A" w14:textId="77777777" w:rsidR="00487B68" w:rsidRDefault="00487B68" w:rsidP="00035B5D">
      <w:pPr>
        <w:pStyle w:val="Item"/>
      </w:pPr>
      <w:r>
        <w:t>Insert:</w:t>
      </w:r>
    </w:p>
    <w:p w14:paraId="4A16DD42" w14:textId="77777777" w:rsidR="00487B68" w:rsidRDefault="00487B68" w:rsidP="00035B5D">
      <w:pPr>
        <w:pStyle w:val="paragraph"/>
      </w:pPr>
      <w:r>
        <w:tab/>
        <w:t>(</w:t>
      </w:r>
      <w:proofErr w:type="spellStart"/>
      <w:r>
        <w:t>eo</w:t>
      </w:r>
      <w:proofErr w:type="spellEnd"/>
      <w:r>
        <w:t>)</w:t>
      </w:r>
      <w:r>
        <w:tab/>
      </w:r>
      <w:proofErr w:type="gramStart"/>
      <w:r w:rsidR="00185893">
        <w:t>all of</w:t>
      </w:r>
      <w:proofErr w:type="gramEnd"/>
      <w:r w:rsidR="00185893">
        <w:t xml:space="preserve"> the following apply:</w:t>
      </w:r>
    </w:p>
    <w:p w14:paraId="6A331978" w14:textId="77777777" w:rsidR="00B12474" w:rsidRDefault="00F60010" w:rsidP="00035B5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8E07AC">
        <w:t xml:space="preserve">the </w:t>
      </w:r>
      <w:r w:rsidR="00DD63A1">
        <w:t xml:space="preserve">financial </w:t>
      </w:r>
      <w:r w:rsidR="008E07AC">
        <w:t xml:space="preserve">service is provided only to </w:t>
      </w:r>
      <w:r w:rsidR="00ED49BE">
        <w:t xml:space="preserve">professional </w:t>
      </w:r>
      <w:proofErr w:type="gramStart"/>
      <w:r w:rsidR="00ED49BE">
        <w:t>investors;</w:t>
      </w:r>
      <w:proofErr w:type="gramEnd"/>
    </w:p>
    <w:p w14:paraId="45651165" w14:textId="77777777" w:rsidR="008E07AC" w:rsidRDefault="008E07AC" w:rsidP="00035B5D">
      <w:pPr>
        <w:pStyle w:val="paragraphsub"/>
      </w:pPr>
      <w:r>
        <w:tab/>
        <w:t>(ii)</w:t>
      </w:r>
      <w:r>
        <w:tab/>
        <w:t xml:space="preserve">the person provides </w:t>
      </w:r>
      <w:r w:rsidRPr="00B84490">
        <w:t xml:space="preserve">the financial service from </w:t>
      </w:r>
      <w:r>
        <w:t xml:space="preserve">a place </w:t>
      </w:r>
      <w:r w:rsidRPr="00B84490">
        <w:t xml:space="preserve">outside this </w:t>
      </w:r>
      <w:proofErr w:type="gramStart"/>
      <w:r w:rsidRPr="00B84490">
        <w:t>jurisdiction;</w:t>
      </w:r>
      <w:proofErr w:type="gramEnd"/>
    </w:p>
    <w:p w14:paraId="515932BF" w14:textId="77777777" w:rsidR="008E07AC" w:rsidRDefault="008E07AC" w:rsidP="00035B5D">
      <w:pPr>
        <w:pStyle w:val="paragraphsub"/>
      </w:pPr>
      <w:r>
        <w:tab/>
        <w:t>(iii)</w:t>
      </w:r>
      <w:r>
        <w:tab/>
      </w:r>
      <w:r w:rsidRPr="001F45D1">
        <w:t>the person</w:t>
      </w:r>
      <w:r>
        <w:t>’s</w:t>
      </w:r>
      <w:r w:rsidRPr="001F45D1">
        <w:t xml:space="preserve"> head</w:t>
      </w:r>
      <w:r>
        <w:t xml:space="preserve"> office and</w:t>
      </w:r>
      <w:r w:rsidRPr="001F45D1">
        <w:t xml:space="preserve"> principal place of business </w:t>
      </w:r>
      <w:r>
        <w:t>are</w:t>
      </w:r>
      <w:r w:rsidRPr="001F45D1">
        <w:t xml:space="preserve"> located </w:t>
      </w:r>
      <w:r>
        <w:t xml:space="preserve">at </w:t>
      </w:r>
      <w:r w:rsidR="00467167">
        <w:t xml:space="preserve">one or more </w:t>
      </w:r>
      <w:r>
        <w:t xml:space="preserve">places </w:t>
      </w:r>
      <w:r w:rsidRPr="001F45D1">
        <w:t xml:space="preserve">outside this </w:t>
      </w:r>
      <w:proofErr w:type="gramStart"/>
      <w:r w:rsidRPr="001F45D1">
        <w:t>jurisdiction;</w:t>
      </w:r>
      <w:proofErr w:type="gramEnd"/>
    </w:p>
    <w:p w14:paraId="65FCA82B" w14:textId="77777777" w:rsidR="008E07AC" w:rsidRDefault="008E07AC" w:rsidP="00035B5D">
      <w:pPr>
        <w:pStyle w:val="paragraphsub"/>
      </w:pPr>
      <w:r>
        <w:tab/>
        <w:t>(iv)</w:t>
      </w:r>
      <w:r>
        <w:tab/>
        <w:t>the person reason</w:t>
      </w:r>
      <w:bookmarkStart w:id="9" w:name="BK_S1P3L24C24"/>
      <w:bookmarkEnd w:id="9"/>
      <w:r>
        <w:t xml:space="preserve">ably believes that providing the financial service does not contravene any law applying in any of the places referred to in </w:t>
      </w:r>
      <w:r w:rsidR="00724CAC">
        <w:t>sub</w:t>
      </w:r>
      <w:r w:rsidR="000D2DFF">
        <w:t>paragraph (</w:t>
      </w:r>
      <w:r>
        <w:t>ii) or (iii</w:t>
      </w:r>
      <w:proofErr w:type="gramStart"/>
      <w:r>
        <w:t>);</w:t>
      </w:r>
      <w:proofErr w:type="gramEnd"/>
    </w:p>
    <w:p w14:paraId="28CC7135" w14:textId="77777777" w:rsidR="001603DB" w:rsidRPr="001603DB" w:rsidRDefault="001603DB" w:rsidP="00035B5D">
      <w:pPr>
        <w:pStyle w:val="noteToPara"/>
      </w:pPr>
      <w:r>
        <w:t>Note:</w:t>
      </w:r>
      <w:r>
        <w:tab/>
      </w:r>
      <w:r w:rsidR="00D6448F">
        <w:t>There may be exceptions that make this exemption unavailable, and this exemption is subject to conditions (see Subdivision B).</w:t>
      </w:r>
    </w:p>
    <w:p w14:paraId="461FD432" w14:textId="77777777" w:rsidR="00155666" w:rsidRDefault="00155666" w:rsidP="00035B5D">
      <w:pPr>
        <w:pStyle w:val="paragraph"/>
      </w:pPr>
      <w:r>
        <w:tab/>
        <w:t>(ep)</w:t>
      </w:r>
      <w:r>
        <w:tab/>
      </w:r>
      <w:proofErr w:type="gramStart"/>
      <w:r>
        <w:t>all of</w:t>
      </w:r>
      <w:proofErr w:type="gramEnd"/>
      <w:r>
        <w:t xml:space="preserve"> the following apply:</w:t>
      </w:r>
    </w:p>
    <w:p w14:paraId="4E1C691D" w14:textId="77777777" w:rsidR="00DD63A1" w:rsidRDefault="00DD63A1" w:rsidP="00035B5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the financial service is provided only to wholesale </w:t>
      </w:r>
      <w:proofErr w:type="gramStart"/>
      <w:r>
        <w:t>clients;</w:t>
      </w:r>
      <w:proofErr w:type="gramEnd"/>
    </w:p>
    <w:p w14:paraId="32F96D67" w14:textId="77777777" w:rsidR="00C444B5" w:rsidRDefault="00C444B5" w:rsidP="00035B5D">
      <w:pPr>
        <w:pStyle w:val="paragraphsub"/>
      </w:pPr>
      <w:r>
        <w:tab/>
        <w:t>(ii)</w:t>
      </w:r>
      <w:r>
        <w:tab/>
        <w:t xml:space="preserve">the person is a foreign </w:t>
      </w:r>
      <w:proofErr w:type="gramStart"/>
      <w:r>
        <w:t>company;</w:t>
      </w:r>
      <w:proofErr w:type="gramEnd"/>
    </w:p>
    <w:p w14:paraId="25E6E987" w14:textId="77777777" w:rsidR="00155666" w:rsidRDefault="00155666" w:rsidP="00035B5D">
      <w:pPr>
        <w:pStyle w:val="paragraphsub"/>
      </w:pPr>
      <w:r>
        <w:lastRenderedPageBreak/>
        <w:tab/>
        <w:t>(ii</w:t>
      </w:r>
      <w:r w:rsidR="00C444B5">
        <w:t>i</w:t>
      </w:r>
      <w:r>
        <w:t>)</w:t>
      </w:r>
      <w:r>
        <w:tab/>
        <w:t>the person has and maintains all authorisations, registrations or licen</w:t>
      </w:r>
      <w:r w:rsidR="00E803D5">
        <w:t>c</w:t>
      </w:r>
      <w:r>
        <w:t xml:space="preserve">es (however described) necessary to legally provide the same financial service in a place </w:t>
      </w:r>
      <w:r w:rsidR="00062A7E">
        <w:t xml:space="preserve">(the </w:t>
      </w:r>
      <w:r w:rsidR="00062A7E" w:rsidRPr="00C06D5F">
        <w:t>person’s</w:t>
      </w:r>
      <w:r w:rsidR="00062A7E" w:rsidRPr="003F36BE">
        <w:t xml:space="preserve"> </w:t>
      </w:r>
      <w:r w:rsidR="00062A7E" w:rsidRPr="00062A7E">
        <w:rPr>
          <w:b/>
          <w:i/>
        </w:rPr>
        <w:t>home jurisdiction</w:t>
      </w:r>
      <w:r w:rsidR="00062A7E">
        <w:t xml:space="preserve">) that is outside this </w:t>
      </w:r>
      <w:proofErr w:type="gramStart"/>
      <w:r w:rsidR="00062A7E">
        <w:t>jurisdiction</w:t>
      </w:r>
      <w:r>
        <w:t>;</w:t>
      </w:r>
      <w:proofErr w:type="gramEnd"/>
    </w:p>
    <w:p w14:paraId="2699A31B" w14:textId="77777777" w:rsidR="00155666" w:rsidRDefault="00155666" w:rsidP="00035B5D">
      <w:pPr>
        <w:pStyle w:val="paragraphsub"/>
      </w:pPr>
      <w:r>
        <w:tab/>
        <w:t>(i</w:t>
      </w:r>
      <w:r w:rsidR="00C444B5">
        <w:t>v</w:t>
      </w:r>
      <w:r>
        <w:t>)</w:t>
      </w:r>
      <w:r>
        <w:tab/>
        <w:t>the regulator administering those authorisations, registrations or licen</w:t>
      </w:r>
      <w:r w:rsidR="006626AC">
        <w:t>c</w:t>
      </w:r>
      <w:r>
        <w:t xml:space="preserve">es for that place is </w:t>
      </w:r>
      <w:r w:rsidR="001E3CD7">
        <w:t xml:space="preserve">a regulator determined under </w:t>
      </w:r>
      <w:r w:rsidR="00F73089">
        <w:t>subsection</w:t>
      </w:r>
      <w:r w:rsidR="000D2DFF">
        <w:t> 9</w:t>
      </w:r>
      <w:r w:rsidR="003D579E">
        <w:t>11</w:t>
      </w:r>
      <w:proofErr w:type="gramStart"/>
      <w:r w:rsidR="003D579E">
        <w:t>T</w:t>
      </w:r>
      <w:r w:rsidR="001E3CD7">
        <w:t>(</w:t>
      </w:r>
      <w:proofErr w:type="gramEnd"/>
      <w:r w:rsidR="001E3CD7">
        <w:t>1)</w:t>
      </w:r>
      <w:r w:rsidR="00062A7E">
        <w:t xml:space="preserve"> (the person’s </w:t>
      </w:r>
      <w:r w:rsidR="00062A7E" w:rsidRPr="00062A7E">
        <w:rPr>
          <w:b/>
          <w:i/>
        </w:rPr>
        <w:t>home regulator</w:t>
      </w:r>
      <w:r w:rsidR="00062A7E">
        <w:t>)</w:t>
      </w:r>
      <w:r w:rsidR="001E3CD7">
        <w:t>;</w:t>
      </w:r>
    </w:p>
    <w:p w14:paraId="6F130C16" w14:textId="77777777" w:rsidR="00D6448F" w:rsidRPr="001603DB" w:rsidRDefault="00D6448F" w:rsidP="00035B5D">
      <w:pPr>
        <w:pStyle w:val="noteToPara"/>
      </w:pPr>
      <w:r>
        <w:t>Note:</w:t>
      </w:r>
      <w:r>
        <w:tab/>
        <w:t>This exemption is subject to conditions (see Subdivision B).</w:t>
      </w:r>
    </w:p>
    <w:p w14:paraId="48C39A8F" w14:textId="77777777" w:rsidR="00487B68" w:rsidRDefault="00E1239A" w:rsidP="00035B5D">
      <w:pPr>
        <w:pStyle w:val="ItemHead"/>
      </w:pPr>
      <w:proofErr w:type="gramStart"/>
      <w:r>
        <w:t>4</w:t>
      </w:r>
      <w:r w:rsidR="00C7231B">
        <w:t xml:space="preserve">  </w:t>
      </w:r>
      <w:r w:rsidR="00B42018">
        <w:t>At</w:t>
      </w:r>
      <w:proofErr w:type="gramEnd"/>
      <w:r w:rsidR="00B42018">
        <w:t xml:space="preserve"> the end of </w:t>
      </w:r>
      <w:r w:rsidR="00F5454E">
        <w:t>Division 2</w:t>
      </w:r>
      <w:r w:rsidR="00B42018">
        <w:t xml:space="preserve"> of </w:t>
      </w:r>
      <w:r w:rsidR="00F5454E">
        <w:t>Part 7</w:t>
      </w:r>
      <w:r w:rsidR="00B42018">
        <w:t>.6</w:t>
      </w:r>
    </w:p>
    <w:p w14:paraId="130D2F74" w14:textId="77777777" w:rsidR="00B42018" w:rsidRDefault="00B42018" w:rsidP="00035B5D">
      <w:pPr>
        <w:pStyle w:val="Item"/>
      </w:pPr>
      <w:r>
        <w:t>Add:</w:t>
      </w:r>
    </w:p>
    <w:p w14:paraId="7BE21DE6" w14:textId="77777777" w:rsidR="00B42018" w:rsidRPr="00B42018" w:rsidRDefault="00B42018" w:rsidP="00035B5D">
      <w:pPr>
        <w:pStyle w:val="ActHead4"/>
      </w:pPr>
      <w:bookmarkStart w:id="10" w:name="_Toc89955708"/>
      <w:r w:rsidRPr="00605CBB">
        <w:rPr>
          <w:rStyle w:val="CharSubdNo"/>
        </w:rPr>
        <w:t>Subdivision B</w:t>
      </w:r>
      <w:r>
        <w:t>—</w:t>
      </w:r>
      <w:r w:rsidR="00027C7A" w:rsidRPr="00605CBB">
        <w:rPr>
          <w:rStyle w:val="CharSubdText"/>
        </w:rPr>
        <w:t xml:space="preserve">Exceptions and conditions for </w:t>
      </w:r>
      <w:r w:rsidR="00FF6941" w:rsidRPr="00605CBB">
        <w:rPr>
          <w:rStyle w:val="CharSubdText"/>
        </w:rPr>
        <w:t xml:space="preserve">certain </w:t>
      </w:r>
      <w:r w:rsidR="00027C7A" w:rsidRPr="00605CBB">
        <w:rPr>
          <w:rStyle w:val="CharSubdText"/>
        </w:rPr>
        <w:t>l</w:t>
      </w:r>
      <w:r w:rsidR="00903FE6" w:rsidRPr="00605CBB">
        <w:rPr>
          <w:rStyle w:val="CharSubdText"/>
        </w:rPr>
        <w:t>icensing exemptions for f</w:t>
      </w:r>
      <w:r w:rsidRPr="00605CBB">
        <w:rPr>
          <w:rStyle w:val="CharSubdText"/>
        </w:rPr>
        <w:t>oreign financial service providers</w:t>
      </w:r>
      <w:bookmarkEnd w:id="10"/>
    </w:p>
    <w:p w14:paraId="2CA1F991" w14:textId="77777777" w:rsidR="00027C7A" w:rsidRPr="00027C7A" w:rsidRDefault="009B1834" w:rsidP="00035B5D">
      <w:pPr>
        <w:pStyle w:val="ActHead5"/>
      </w:pPr>
      <w:bookmarkStart w:id="11" w:name="_Toc89955709"/>
      <w:r w:rsidRPr="00605CBB">
        <w:rPr>
          <w:rStyle w:val="CharSectno"/>
        </w:rPr>
        <w:t>911</w:t>
      </w:r>
      <w:proofErr w:type="gramStart"/>
      <w:r w:rsidRPr="00605CBB">
        <w:rPr>
          <w:rStyle w:val="CharSectno"/>
        </w:rPr>
        <w:t>E</w:t>
      </w:r>
      <w:r w:rsidR="00027C7A">
        <w:t xml:space="preserve">  Exemption</w:t>
      </w:r>
      <w:proofErr w:type="gramEnd"/>
      <w:r w:rsidR="00027C7A">
        <w:t xml:space="preserve"> for financial services provided to professional investors—regulations may provide exceptions</w:t>
      </w:r>
      <w:bookmarkEnd w:id="11"/>
    </w:p>
    <w:p w14:paraId="5CEFF0A3" w14:textId="77777777" w:rsidR="00027C7A" w:rsidRDefault="00027C7A" w:rsidP="00035B5D">
      <w:pPr>
        <w:pStyle w:val="subsection"/>
      </w:pPr>
      <w:r>
        <w:tab/>
      </w:r>
      <w:r>
        <w:tab/>
        <w:t xml:space="preserve">Despite </w:t>
      </w:r>
      <w:r w:rsidR="000D2DFF">
        <w:t>paragraph 9</w:t>
      </w:r>
      <w:r>
        <w:t>11A(</w:t>
      </w:r>
      <w:proofErr w:type="gramStart"/>
      <w:r>
        <w:t>2)(</w:t>
      </w:r>
      <w:proofErr w:type="spellStart"/>
      <w:proofErr w:type="gramEnd"/>
      <w:r>
        <w:t>eo</w:t>
      </w:r>
      <w:proofErr w:type="spellEnd"/>
      <w:r>
        <w:t>), the regulations may provide that the exemption under that paragraph does not apply in relation to:</w:t>
      </w:r>
    </w:p>
    <w:p w14:paraId="7BEF898F" w14:textId="77777777" w:rsidR="00027C7A" w:rsidRDefault="00027C7A" w:rsidP="00035B5D">
      <w:pPr>
        <w:pStyle w:val="paragraph"/>
      </w:pPr>
      <w:r>
        <w:tab/>
        <w:t>(a)</w:t>
      </w:r>
      <w:r>
        <w:tab/>
        <w:t>a particul</w:t>
      </w:r>
      <w:r w:rsidRPr="0041569C">
        <w:t xml:space="preserve">ar </w:t>
      </w:r>
      <w:r>
        <w:t xml:space="preserve">kind of </w:t>
      </w:r>
      <w:r w:rsidRPr="0041569C">
        <w:t xml:space="preserve">financial </w:t>
      </w:r>
      <w:r>
        <w:t>service;</w:t>
      </w:r>
      <w:r w:rsidRPr="0041569C">
        <w:t xml:space="preserve"> or</w:t>
      </w:r>
    </w:p>
    <w:p w14:paraId="2F7D25D1" w14:textId="77777777" w:rsidR="00027C7A" w:rsidRPr="0041569C" w:rsidRDefault="00027C7A" w:rsidP="00035B5D">
      <w:pPr>
        <w:pStyle w:val="paragraph"/>
      </w:pPr>
      <w:r>
        <w:tab/>
        <w:t>(b)</w:t>
      </w:r>
      <w:r>
        <w:tab/>
      </w:r>
      <w:r w:rsidRPr="0041569C">
        <w:t xml:space="preserve">a particular kind of financial </w:t>
      </w:r>
      <w:r>
        <w:t xml:space="preserve">service in relation to a particular kind of </w:t>
      </w:r>
      <w:r w:rsidRPr="0041569C">
        <w:t>financial product; or</w:t>
      </w:r>
    </w:p>
    <w:p w14:paraId="6F2087EF" w14:textId="77777777" w:rsidR="00027C7A" w:rsidRPr="0041569C" w:rsidRDefault="00027C7A" w:rsidP="00035B5D">
      <w:pPr>
        <w:pStyle w:val="paragraph"/>
      </w:pPr>
      <w:r>
        <w:tab/>
        <w:t>(c)</w:t>
      </w:r>
      <w:r>
        <w:tab/>
      </w:r>
      <w:r w:rsidRPr="0041569C">
        <w:t>a particular kind of financial product; or</w:t>
      </w:r>
    </w:p>
    <w:p w14:paraId="4E0BC0D4" w14:textId="77777777" w:rsidR="00027C7A" w:rsidRPr="0041569C" w:rsidRDefault="00027C7A" w:rsidP="00035B5D">
      <w:pPr>
        <w:pStyle w:val="paragraph"/>
      </w:pPr>
      <w:r w:rsidRPr="0041569C">
        <w:tab/>
        <w:t>(</w:t>
      </w:r>
      <w:r>
        <w:t>d</w:t>
      </w:r>
      <w:r w:rsidRPr="0041569C">
        <w:t>)</w:t>
      </w:r>
      <w:r w:rsidRPr="0041569C">
        <w:tab/>
        <w:t>a parti</w:t>
      </w:r>
      <w:r>
        <w:t>cular kind of professional investor.</w:t>
      </w:r>
    </w:p>
    <w:p w14:paraId="33F15929" w14:textId="77777777" w:rsidR="00FF6941" w:rsidRPr="00027C7A" w:rsidRDefault="00FF6941" w:rsidP="00035B5D">
      <w:pPr>
        <w:pStyle w:val="ActHead5"/>
      </w:pPr>
      <w:bookmarkStart w:id="12" w:name="_Toc89955710"/>
      <w:r w:rsidRPr="00605CBB">
        <w:rPr>
          <w:rStyle w:val="CharSectno"/>
        </w:rPr>
        <w:t>911</w:t>
      </w:r>
      <w:proofErr w:type="gramStart"/>
      <w:r w:rsidRPr="00605CBB">
        <w:rPr>
          <w:rStyle w:val="CharSectno"/>
        </w:rPr>
        <w:t>F</w:t>
      </w:r>
      <w:r>
        <w:t xml:space="preserve">  </w:t>
      </w:r>
      <w:r w:rsidRPr="00DF439E">
        <w:t>Certain</w:t>
      </w:r>
      <w:proofErr w:type="gramEnd"/>
      <w:r w:rsidRPr="00DF439E">
        <w:t xml:space="preserve"> licensing exemptions for foreign financial service providers are </w:t>
      </w:r>
      <w:r w:rsidRPr="00724CAC">
        <w:t>subject to conditions</w:t>
      </w:r>
      <w:bookmarkEnd w:id="12"/>
    </w:p>
    <w:p w14:paraId="4CF6530F" w14:textId="77777777" w:rsidR="00720347" w:rsidRPr="00720347" w:rsidRDefault="00720347" w:rsidP="00035B5D">
      <w:pPr>
        <w:pStyle w:val="SubsectionHead"/>
      </w:pPr>
      <w:r>
        <w:t>Conditions for the exemption for financial services provided to professional investors</w:t>
      </w:r>
    </w:p>
    <w:p w14:paraId="20DD4623" w14:textId="77777777" w:rsidR="003F5273" w:rsidRDefault="003F5273" w:rsidP="00035B5D">
      <w:pPr>
        <w:pStyle w:val="subsection"/>
      </w:pPr>
      <w:r>
        <w:tab/>
        <w:t>(1)</w:t>
      </w:r>
      <w:r>
        <w:tab/>
        <w:t>The exemption under paragraph 911A(</w:t>
      </w:r>
      <w:proofErr w:type="gramStart"/>
      <w:r>
        <w:t>2)(</w:t>
      </w:r>
      <w:proofErr w:type="spellStart"/>
      <w:proofErr w:type="gramEnd"/>
      <w:r>
        <w:t>eo</w:t>
      </w:r>
      <w:proofErr w:type="spellEnd"/>
      <w:r>
        <w:t>) appl</w:t>
      </w:r>
      <w:r w:rsidR="0014150D">
        <w:t>ies</w:t>
      </w:r>
      <w:r>
        <w:t xml:space="preserve"> to a person in relation to a financial service </w:t>
      </w:r>
      <w:r w:rsidR="0014150D">
        <w:t>subject to conditions. These conditions for the exemption are</w:t>
      </w:r>
      <w:r>
        <w:t>:</w:t>
      </w:r>
    </w:p>
    <w:p w14:paraId="63D85E77" w14:textId="77777777" w:rsidR="003F5273" w:rsidRDefault="003F5273" w:rsidP="00035B5D">
      <w:pPr>
        <w:pStyle w:val="paragraph"/>
      </w:pPr>
      <w:r>
        <w:tab/>
        <w:t>(a)</w:t>
      </w:r>
      <w:r>
        <w:tab/>
        <w:t>the conditions in sections 911G, 911H, 911J and 911K; and</w:t>
      </w:r>
    </w:p>
    <w:p w14:paraId="7EACEC72" w14:textId="77777777" w:rsidR="003F5273" w:rsidRDefault="003F5273" w:rsidP="00035B5D">
      <w:pPr>
        <w:pStyle w:val="paragraph"/>
      </w:pPr>
      <w:r>
        <w:tab/>
        <w:t>(b)</w:t>
      </w:r>
      <w:r>
        <w:tab/>
        <w:t>any additional conditions imposed under section 911Q for the exemption’s future application to the person.</w:t>
      </w:r>
    </w:p>
    <w:p w14:paraId="4AF7BCDC" w14:textId="77777777" w:rsidR="0041242D" w:rsidRDefault="0041242D" w:rsidP="00035B5D">
      <w:pPr>
        <w:pStyle w:val="notetext"/>
      </w:pPr>
      <w:r>
        <w:t>Note:</w:t>
      </w:r>
      <w:r>
        <w:tab/>
        <w:t>ASIC may cancel the exemption from applying to the person if:</w:t>
      </w:r>
    </w:p>
    <w:p w14:paraId="1D15300C" w14:textId="77777777" w:rsidR="0041242D" w:rsidRDefault="0041242D" w:rsidP="00035B5D">
      <w:pPr>
        <w:pStyle w:val="notepara"/>
      </w:pPr>
      <w:r>
        <w:lastRenderedPageBreak/>
        <w:t>(a)</w:t>
      </w:r>
      <w:r>
        <w:tab/>
        <w:t>the person contravenes any of these conditions; or</w:t>
      </w:r>
    </w:p>
    <w:p w14:paraId="50E0F3F5" w14:textId="77777777" w:rsidR="0041242D" w:rsidRDefault="0041242D" w:rsidP="00035B5D">
      <w:pPr>
        <w:pStyle w:val="notepara"/>
      </w:pPr>
      <w:r>
        <w:t>(b)</w:t>
      </w:r>
      <w:r>
        <w:tab/>
        <w:t>ASIC reasonably</w:t>
      </w:r>
      <w:r w:rsidRPr="005278B5">
        <w:t xml:space="preserve"> believe</w:t>
      </w:r>
      <w:r>
        <w:t>s</w:t>
      </w:r>
      <w:r w:rsidRPr="005278B5">
        <w:t xml:space="preserve"> that the person </w:t>
      </w:r>
      <w:r>
        <w:t xml:space="preserve">(or a related person) </w:t>
      </w:r>
      <w:r w:rsidRPr="005278B5">
        <w:t xml:space="preserve">is not a fit and proper </w:t>
      </w:r>
      <w:proofErr w:type="gramStart"/>
      <w:r w:rsidRPr="005278B5">
        <w:t>person</w:t>
      </w:r>
      <w:r>
        <w:t>;</w:t>
      </w:r>
      <w:proofErr w:type="gramEnd"/>
    </w:p>
    <w:p w14:paraId="60FBCF4D" w14:textId="77777777" w:rsidR="0041242D" w:rsidRDefault="0041242D" w:rsidP="00035B5D">
      <w:pPr>
        <w:pStyle w:val="notepara"/>
      </w:pPr>
      <w:bookmarkStart w:id="13" w:name="BK_S1P5L15C1"/>
      <w:bookmarkEnd w:id="13"/>
      <w:r>
        <w:t>(see sections 911M and 911N).</w:t>
      </w:r>
    </w:p>
    <w:p w14:paraId="374C99E2" w14:textId="77777777" w:rsidR="00467FC3" w:rsidRPr="00720347" w:rsidRDefault="00467FC3" w:rsidP="00035B5D">
      <w:pPr>
        <w:pStyle w:val="SubsectionHead"/>
      </w:pPr>
      <w:r>
        <w:t>Conditions for the exemption for comparably regulated providers</w:t>
      </w:r>
    </w:p>
    <w:p w14:paraId="10B855EF" w14:textId="77777777" w:rsidR="00027C7A" w:rsidRDefault="00027C7A" w:rsidP="00035B5D">
      <w:pPr>
        <w:pStyle w:val="subsection"/>
      </w:pPr>
      <w:r>
        <w:tab/>
        <w:t>(2)</w:t>
      </w:r>
      <w:r>
        <w:tab/>
      </w:r>
      <w:r w:rsidR="00250FB4">
        <w:t xml:space="preserve">The exemption </w:t>
      </w:r>
      <w:r>
        <w:t xml:space="preserve">under </w:t>
      </w:r>
      <w:r w:rsidR="000D2DFF">
        <w:t>paragraph 9</w:t>
      </w:r>
      <w:r>
        <w:t>11A(</w:t>
      </w:r>
      <w:proofErr w:type="gramStart"/>
      <w:r>
        <w:t>2)(</w:t>
      </w:r>
      <w:proofErr w:type="gramEnd"/>
      <w:r>
        <w:t xml:space="preserve">ep) </w:t>
      </w:r>
      <w:r w:rsidR="00250FB4">
        <w:t>appl</w:t>
      </w:r>
      <w:r w:rsidR="0014150D">
        <w:t>ies</w:t>
      </w:r>
      <w:r w:rsidR="00250FB4">
        <w:t xml:space="preserve"> to a person in relation to a financial service </w:t>
      </w:r>
      <w:r w:rsidR="0014150D">
        <w:t xml:space="preserve">subject to conditions. These conditions for the exemption </w:t>
      </w:r>
      <w:r w:rsidR="00250FB4">
        <w:t>are</w:t>
      </w:r>
      <w:r>
        <w:t>:</w:t>
      </w:r>
    </w:p>
    <w:p w14:paraId="0AC57BB5" w14:textId="77777777" w:rsidR="00027C7A" w:rsidRDefault="00027C7A" w:rsidP="00035B5D">
      <w:pPr>
        <w:pStyle w:val="paragraph"/>
      </w:pPr>
      <w:r>
        <w:tab/>
        <w:t>(a)</w:t>
      </w:r>
      <w:r>
        <w:tab/>
        <w:t xml:space="preserve">the conditions in </w:t>
      </w:r>
      <w:r w:rsidR="00724CAC">
        <w:t>sections 9</w:t>
      </w:r>
      <w:r w:rsidR="009B1834">
        <w:t>11G</w:t>
      </w:r>
      <w:r w:rsidR="006B1D27">
        <w:t xml:space="preserve">, </w:t>
      </w:r>
      <w:r w:rsidR="009B1834">
        <w:t>911H</w:t>
      </w:r>
      <w:r w:rsidR="006B1D27">
        <w:t xml:space="preserve">, </w:t>
      </w:r>
      <w:r w:rsidR="009B1834">
        <w:t>911J</w:t>
      </w:r>
      <w:r w:rsidR="006B1D27">
        <w:t xml:space="preserve"> and </w:t>
      </w:r>
      <w:r w:rsidR="009B1834">
        <w:t>911L</w:t>
      </w:r>
      <w:r>
        <w:t>; and</w:t>
      </w:r>
    </w:p>
    <w:p w14:paraId="552785FA" w14:textId="77777777" w:rsidR="00027C7A" w:rsidRDefault="00027C7A" w:rsidP="00035B5D">
      <w:pPr>
        <w:pStyle w:val="paragraph"/>
      </w:pPr>
      <w:r>
        <w:tab/>
        <w:t>(b)</w:t>
      </w:r>
      <w:r>
        <w:tab/>
        <w:t xml:space="preserve">any additional conditions imposed under </w:t>
      </w:r>
      <w:r w:rsidR="00724CAC">
        <w:t>section 9</w:t>
      </w:r>
      <w:r w:rsidR="009B1834">
        <w:t>11Q</w:t>
      </w:r>
      <w:r w:rsidR="002B7EF6">
        <w:t xml:space="preserve"> for the exemption’s future application to the person</w:t>
      </w:r>
      <w:r>
        <w:t>.</w:t>
      </w:r>
    </w:p>
    <w:p w14:paraId="684B9CA3" w14:textId="77777777" w:rsidR="00027C7A" w:rsidRDefault="00027C7A" w:rsidP="00035B5D">
      <w:pPr>
        <w:pStyle w:val="notetext"/>
      </w:pPr>
      <w:r>
        <w:t>Note:</w:t>
      </w:r>
      <w:r>
        <w:tab/>
        <w:t>ASIC may cancel the exemption from applying to the person if:</w:t>
      </w:r>
    </w:p>
    <w:p w14:paraId="37C50ABB" w14:textId="77777777" w:rsidR="00027C7A" w:rsidRDefault="00027C7A" w:rsidP="00035B5D">
      <w:pPr>
        <w:pStyle w:val="notepara"/>
      </w:pPr>
      <w:r>
        <w:t>(a)</w:t>
      </w:r>
      <w:r>
        <w:tab/>
        <w:t xml:space="preserve">the person </w:t>
      </w:r>
      <w:r w:rsidR="00467FC3">
        <w:t xml:space="preserve">contravenes </w:t>
      </w:r>
      <w:r>
        <w:t>any of these conditions; or</w:t>
      </w:r>
    </w:p>
    <w:p w14:paraId="1D3988E5" w14:textId="77777777" w:rsidR="00027C7A" w:rsidRDefault="00027C7A" w:rsidP="00035B5D">
      <w:pPr>
        <w:pStyle w:val="notepara"/>
      </w:pPr>
      <w:r>
        <w:t>(b)</w:t>
      </w:r>
      <w:r>
        <w:tab/>
        <w:t>ASIC reasonably</w:t>
      </w:r>
      <w:r w:rsidRPr="005278B5">
        <w:t xml:space="preserve"> believe</w:t>
      </w:r>
      <w:r>
        <w:t>s</w:t>
      </w:r>
      <w:r w:rsidRPr="005278B5">
        <w:t xml:space="preserve"> that the person </w:t>
      </w:r>
      <w:r>
        <w:t xml:space="preserve">(or a related person) </w:t>
      </w:r>
      <w:r w:rsidRPr="005278B5">
        <w:t xml:space="preserve">is not a fit and proper </w:t>
      </w:r>
      <w:proofErr w:type="gramStart"/>
      <w:r w:rsidRPr="005278B5">
        <w:t>person</w:t>
      </w:r>
      <w:r>
        <w:t>;</w:t>
      </w:r>
      <w:proofErr w:type="gramEnd"/>
    </w:p>
    <w:p w14:paraId="43456E51" w14:textId="77777777" w:rsidR="00027C7A" w:rsidRDefault="00027C7A" w:rsidP="00035B5D">
      <w:pPr>
        <w:pStyle w:val="notepara"/>
      </w:pPr>
      <w:bookmarkStart w:id="14" w:name="BK_S1P5L27C1"/>
      <w:bookmarkEnd w:id="14"/>
      <w:r>
        <w:t xml:space="preserve">(see </w:t>
      </w:r>
      <w:r w:rsidR="00724CAC">
        <w:t>sections 9</w:t>
      </w:r>
      <w:r w:rsidR="009B1834">
        <w:t>11M</w:t>
      </w:r>
      <w:r w:rsidR="001C410B">
        <w:t xml:space="preserve"> and </w:t>
      </w:r>
      <w:r w:rsidR="009B1834">
        <w:t>911N</w:t>
      </w:r>
      <w:r>
        <w:t>).</w:t>
      </w:r>
    </w:p>
    <w:p w14:paraId="59A5EAF2" w14:textId="77777777" w:rsidR="00A142EB" w:rsidRPr="00A142EB" w:rsidRDefault="00A142EB" w:rsidP="00035B5D">
      <w:pPr>
        <w:pStyle w:val="SubsectionHead"/>
      </w:pPr>
      <w:r>
        <w:t>Contravening a condition may result in a civil penalty</w:t>
      </w:r>
      <w:bookmarkStart w:id="15" w:name="BK_S1P5L28C55"/>
      <w:bookmarkEnd w:id="15"/>
    </w:p>
    <w:p w14:paraId="4D3337BB" w14:textId="77777777" w:rsidR="00027C7A" w:rsidRDefault="00027C7A" w:rsidP="00035B5D">
      <w:pPr>
        <w:pStyle w:val="subsection"/>
      </w:pPr>
      <w:r>
        <w:tab/>
        <w:t>(3)</w:t>
      </w:r>
      <w:r>
        <w:tab/>
      </w:r>
      <w:r w:rsidR="00003FDC">
        <w:t>A person contravenes this subsection i</w:t>
      </w:r>
      <w:r>
        <w:t>f:</w:t>
      </w:r>
    </w:p>
    <w:p w14:paraId="40EDD767" w14:textId="77777777" w:rsidR="00027C7A" w:rsidRDefault="00027C7A" w:rsidP="00035B5D">
      <w:pPr>
        <w:pStyle w:val="paragraph"/>
      </w:pPr>
      <w:r>
        <w:tab/>
        <w:t>(a)</w:t>
      </w:r>
      <w:r>
        <w:tab/>
        <w:t xml:space="preserve">apart from the exemption under </w:t>
      </w:r>
      <w:r w:rsidR="000D2DFF">
        <w:t>paragraph 9</w:t>
      </w:r>
      <w:r>
        <w:t>11A(</w:t>
      </w:r>
      <w:proofErr w:type="gramStart"/>
      <w:r>
        <w:t>2)(</w:t>
      </w:r>
      <w:proofErr w:type="spellStart"/>
      <w:proofErr w:type="gramEnd"/>
      <w:r>
        <w:t>eo</w:t>
      </w:r>
      <w:proofErr w:type="spellEnd"/>
      <w:r>
        <w:t xml:space="preserve">) or (ep), </w:t>
      </w:r>
      <w:r w:rsidR="00003FDC">
        <w:t>the</w:t>
      </w:r>
      <w:r>
        <w:t xml:space="preserve"> person would contravene </w:t>
      </w:r>
      <w:r w:rsidR="000D2DFF">
        <w:t>subsection 9</w:t>
      </w:r>
      <w:r>
        <w:t xml:space="preserve">11A(5B) in relation to </w:t>
      </w:r>
      <w:r w:rsidR="00A142EB">
        <w:t>providing</w:t>
      </w:r>
      <w:r>
        <w:t xml:space="preserve"> a financial service; and</w:t>
      </w:r>
    </w:p>
    <w:p w14:paraId="7F6D556B" w14:textId="77777777" w:rsidR="00027C7A" w:rsidRDefault="00027C7A" w:rsidP="00035B5D">
      <w:pPr>
        <w:pStyle w:val="paragraph"/>
      </w:pPr>
      <w:r>
        <w:tab/>
        <w:t>(b)</w:t>
      </w:r>
      <w:r>
        <w:tab/>
        <w:t xml:space="preserve">the person contravenes a condition </w:t>
      </w:r>
      <w:r w:rsidR="00F87067">
        <w:t>for</w:t>
      </w:r>
      <w:r>
        <w:t xml:space="preserve"> the exemption</w:t>
      </w:r>
      <w:r w:rsidR="00003FDC">
        <w:t>.</w:t>
      </w:r>
    </w:p>
    <w:p w14:paraId="2072E342" w14:textId="77777777" w:rsidR="00027C7A" w:rsidRDefault="00027C7A" w:rsidP="00035B5D">
      <w:pPr>
        <w:pStyle w:val="notetext"/>
      </w:pPr>
      <w:r w:rsidRPr="00027C7A">
        <w:t>Note</w:t>
      </w:r>
      <w:r w:rsidR="000A2ABA">
        <w:t xml:space="preserve"> 1</w:t>
      </w:r>
      <w:r w:rsidRPr="00027C7A">
        <w:t>:</w:t>
      </w:r>
      <w:r w:rsidRPr="00027C7A">
        <w:tab/>
        <w:t>This subsection is a civil penalty provision (see section 1317E).</w:t>
      </w:r>
    </w:p>
    <w:p w14:paraId="72851857" w14:textId="77777777" w:rsidR="001D318D" w:rsidRPr="00027C7A" w:rsidRDefault="000A2ABA" w:rsidP="00035B5D">
      <w:pPr>
        <w:pStyle w:val="notetext"/>
      </w:pPr>
      <w:r>
        <w:t>Note 2:</w:t>
      </w:r>
      <w:r>
        <w:tab/>
        <w:t>The</w:t>
      </w:r>
      <w:r w:rsidR="001D318D">
        <w:t xml:space="preserve"> conditions </w:t>
      </w:r>
      <w:r>
        <w:t xml:space="preserve">set out in this Subdivision apply only for </w:t>
      </w:r>
      <w:r w:rsidR="00AE0A61">
        <w:t>one</w:t>
      </w:r>
      <w:r>
        <w:t xml:space="preserve"> or </w:t>
      </w:r>
      <w:proofErr w:type="gramStart"/>
      <w:r>
        <w:t>both of the exemptions</w:t>
      </w:r>
      <w:proofErr w:type="gramEnd"/>
      <w:r w:rsidR="00B63522">
        <w:t xml:space="preserve"> referred to</w:t>
      </w:r>
      <w:r>
        <w:t xml:space="preserve"> in </w:t>
      </w:r>
      <w:r w:rsidR="00DF439E">
        <w:t>subsections (</w:t>
      </w:r>
      <w:r>
        <w:t>1) and (2).</w:t>
      </w:r>
    </w:p>
    <w:p w14:paraId="7703B8BD" w14:textId="77777777" w:rsidR="00495571" w:rsidRPr="00724CAC" w:rsidRDefault="009B1834" w:rsidP="00035B5D">
      <w:pPr>
        <w:pStyle w:val="ActHead5"/>
      </w:pPr>
      <w:bookmarkStart w:id="16" w:name="_Toc89955711"/>
      <w:bookmarkStart w:id="17" w:name="_Hlk89759958"/>
      <w:r w:rsidRPr="00605CBB">
        <w:rPr>
          <w:rStyle w:val="CharSectno"/>
        </w:rPr>
        <w:t>911</w:t>
      </w:r>
      <w:proofErr w:type="gramStart"/>
      <w:r w:rsidRPr="00605CBB">
        <w:rPr>
          <w:rStyle w:val="CharSectno"/>
        </w:rPr>
        <w:t>G</w:t>
      </w:r>
      <w:r w:rsidR="00A654B3" w:rsidRPr="00724CAC">
        <w:t xml:space="preserve">  </w:t>
      </w:r>
      <w:r w:rsidR="00FF6941" w:rsidRPr="00DF439E">
        <w:t>Certain</w:t>
      </w:r>
      <w:proofErr w:type="gramEnd"/>
      <w:r w:rsidR="00FF6941" w:rsidRPr="00DF439E">
        <w:t xml:space="preserve"> licensing exemptions for foreign financial service providers</w:t>
      </w:r>
      <w:r w:rsidR="00A654B3" w:rsidRPr="00724CAC">
        <w:t>—</w:t>
      </w:r>
      <w:r w:rsidR="008D3D00">
        <w:t xml:space="preserve">conditions </w:t>
      </w:r>
      <w:r w:rsidR="003F36BE">
        <w:t>about notifying or assisting ASIC</w:t>
      </w:r>
      <w:bookmarkEnd w:id="16"/>
    </w:p>
    <w:p w14:paraId="64D323AB" w14:textId="77777777" w:rsidR="003F1C01" w:rsidRDefault="003F1C01" w:rsidP="00035B5D">
      <w:pPr>
        <w:pStyle w:val="subsection"/>
      </w:pPr>
      <w:r>
        <w:tab/>
        <w:t>(1)</w:t>
      </w:r>
      <w:r>
        <w:tab/>
      </w:r>
      <w:r w:rsidR="008D3D00">
        <w:t xml:space="preserve">For the purposes of </w:t>
      </w:r>
      <w:r w:rsidR="00724CAC">
        <w:t>section 9</w:t>
      </w:r>
      <w:r w:rsidR="009B1834">
        <w:t>11F</w:t>
      </w:r>
      <w:r w:rsidR="008D3D00">
        <w:t>, t</w:t>
      </w:r>
      <w:r>
        <w:t xml:space="preserve">his section sets out conditions for a person that proposes to rely on the exemption under </w:t>
      </w:r>
      <w:r w:rsidR="000D2DFF">
        <w:t>paragraph 9</w:t>
      </w:r>
      <w:r>
        <w:t>11A(</w:t>
      </w:r>
      <w:proofErr w:type="gramStart"/>
      <w:r>
        <w:t>2)(</w:t>
      </w:r>
      <w:proofErr w:type="spellStart"/>
      <w:proofErr w:type="gramEnd"/>
      <w:r>
        <w:t>eo</w:t>
      </w:r>
      <w:proofErr w:type="spellEnd"/>
      <w:r>
        <w:t xml:space="preserve">) </w:t>
      </w:r>
      <w:r w:rsidR="008D3D00">
        <w:t xml:space="preserve">or (ep) </w:t>
      </w:r>
      <w:r w:rsidR="00776745">
        <w:t>in relation to</w:t>
      </w:r>
      <w:r>
        <w:t xml:space="preserve"> a financial service</w:t>
      </w:r>
      <w:r w:rsidR="008D3D00">
        <w:t>.</w:t>
      </w:r>
    </w:p>
    <w:p w14:paraId="130C3E73" w14:textId="77777777" w:rsidR="008D3D00" w:rsidRPr="003569E3" w:rsidRDefault="008D3D00" w:rsidP="00035B5D">
      <w:pPr>
        <w:pStyle w:val="SubsectionHead"/>
      </w:pPr>
      <w:r>
        <w:t xml:space="preserve">Notifying ASIC </w:t>
      </w:r>
      <w:r w:rsidR="00132372">
        <w:t>of</w:t>
      </w:r>
      <w:r>
        <w:t xml:space="preserve"> inten</w:t>
      </w:r>
      <w:r w:rsidR="00132372">
        <w:t>tion</w:t>
      </w:r>
      <w:r>
        <w:t xml:space="preserve"> to rely on the exemption</w:t>
      </w:r>
    </w:p>
    <w:p w14:paraId="57C487C2" w14:textId="77777777" w:rsidR="008D3D00" w:rsidRDefault="008D3D00" w:rsidP="00035B5D">
      <w:pPr>
        <w:pStyle w:val="subsection"/>
      </w:pPr>
      <w:r>
        <w:tab/>
        <w:t>(2)</w:t>
      </w:r>
      <w:r>
        <w:tab/>
        <w:t>The person must notify ASIC that the person intends to rely on the exemption:</w:t>
      </w:r>
    </w:p>
    <w:p w14:paraId="29991058" w14:textId="77777777" w:rsidR="008D3D00" w:rsidRDefault="008D3D00" w:rsidP="00035B5D">
      <w:pPr>
        <w:pStyle w:val="paragraph"/>
      </w:pPr>
      <w:r>
        <w:tab/>
        <w:t>(a)</w:t>
      </w:r>
      <w:r>
        <w:tab/>
        <w:t xml:space="preserve">as soon as practicable, and before the 15th business day, after the first time </w:t>
      </w:r>
      <w:r w:rsidR="00776745">
        <w:t xml:space="preserve">(the </w:t>
      </w:r>
      <w:r w:rsidR="00776745" w:rsidRPr="00776745">
        <w:rPr>
          <w:b/>
          <w:i/>
        </w:rPr>
        <w:t>start time</w:t>
      </w:r>
      <w:r w:rsidR="00776745">
        <w:t xml:space="preserve">) </w:t>
      </w:r>
      <w:r>
        <w:t xml:space="preserve">after the commencement of this </w:t>
      </w:r>
      <w:r>
        <w:lastRenderedPageBreak/>
        <w:t>section that the person starts to provide the financial service; and</w:t>
      </w:r>
    </w:p>
    <w:p w14:paraId="7014C4E6" w14:textId="77777777" w:rsidR="008D3D00" w:rsidRDefault="008D3D00" w:rsidP="00035B5D">
      <w:pPr>
        <w:pStyle w:val="paragraph"/>
      </w:pPr>
      <w:r>
        <w:tab/>
        <w:t>(b)</w:t>
      </w:r>
      <w:r>
        <w:tab/>
        <w:t>by giving ASIC the notice in a writt</w:t>
      </w:r>
      <w:bookmarkStart w:id="18" w:name="BK_S1P6L23C42"/>
      <w:bookmarkEnd w:id="18"/>
      <w:r>
        <w:t>en form that:</w:t>
      </w:r>
    </w:p>
    <w:p w14:paraId="67D2AFF3" w14:textId="77777777" w:rsidR="008D3D00" w:rsidRDefault="008D3D00" w:rsidP="00035B5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is approved by ASIC; and</w:t>
      </w:r>
    </w:p>
    <w:p w14:paraId="18B4FBFC" w14:textId="77777777" w:rsidR="00FF6941" w:rsidRDefault="00FF6941" w:rsidP="00035B5D">
      <w:pPr>
        <w:pStyle w:val="paragraphsub"/>
      </w:pPr>
      <w:r>
        <w:tab/>
        <w:t>(ii)</w:t>
      </w:r>
      <w:r>
        <w:tab/>
        <w:t>includes the person’s contact details; and</w:t>
      </w:r>
    </w:p>
    <w:p w14:paraId="7233ABF0" w14:textId="77777777" w:rsidR="008D3D00" w:rsidRDefault="008D3D00" w:rsidP="00035B5D">
      <w:pPr>
        <w:pStyle w:val="paragraphsub"/>
      </w:pPr>
      <w:r>
        <w:tab/>
        <w:t>(i</w:t>
      </w:r>
      <w:r w:rsidR="00FF6941">
        <w:t>i</w:t>
      </w:r>
      <w:r>
        <w:t>i)</w:t>
      </w:r>
      <w:r>
        <w:tab/>
        <w:t xml:space="preserve">includes the information, statements, </w:t>
      </w:r>
      <w:proofErr w:type="gramStart"/>
      <w:r>
        <w:t>explanations</w:t>
      </w:r>
      <w:proofErr w:type="gramEnd"/>
      <w:r>
        <w:t xml:space="preserve"> or other matters required by the approved form</w:t>
      </w:r>
      <w:bookmarkStart w:id="19" w:name="BK_S1P6L27C44"/>
      <w:bookmarkEnd w:id="19"/>
      <w:r>
        <w:t>; and</w:t>
      </w:r>
    </w:p>
    <w:p w14:paraId="43581BA3" w14:textId="77777777" w:rsidR="008D3D00" w:rsidRDefault="008D3D00" w:rsidP="00035B5D">
      <w:pPr>
        <w:pStyle w:val="paragraphsub"/>
      </w:pPr>
      <w:r>
        <w:tab/>
        <w:t>(i</w:t>
      </w:r>
      <w:r w:rsidR="00FF6941">
        <w:t>v</w:t>
      </w:r>
      <w:r>
        <w:t>)</w:t>
      </w:r>
      <w:r>
        <w:tab/>
        <w:t>is accompanied by any other material required by the approved form; and</w:t>
      </w:r>
    </w:p>
    <w:p w14:paraId="26290306" w14:textId="77777777" w:rsidR="008D3D00" w:rsidRDefault="008D3D00" w:rsidP="00035B5D">
      <w:pPr>
        <w:pStyle w:val="paragraphsub"/>
      </w:pPr>
      <w:r>
        <w:tab/>
        <w:t>(v)</w:t>
      </w:r>
      <w:r>
        <w:tab/>
        <w:t>is given in a manner required by the approved form (including in electronic form).</w:t>
      </w:r>
    </w:p>
    <w:p w14:paraId="0E65C99C" w14:textId="77777777" w:rsidR="008D3D00" w:rsidRPr="00CC09C1" w:rsidRDefault="008D3D00" w:rsidP="00035B5D">
      <w:pPr>
        <w:pStyle w:val="SubsectionHead"/>
      </w:pPr>
      <w:r>
        <w:t>Giving ASIC such assistance as ASIC reasonably requests</w:t>
      </w:r>
    </w:p>
    <w:p w14:paraId="71F423A3" w14:textId="77777777" w:rsidR="008D3D00" w:rsidRDefault="008D3D00" w:rsidP="00035B5D">
      <w:pPr>
        <w:pStyle w:val="subsection"/>
      </w:pPr>
      <w:r>
        <w:tab/>
        <w:t>(</w:t>
      </w:r>
      <w:r w:rsidR="003F36BE">
        <w:t>3</w:t>
      </w:r>
      <w:r>
        <w:t>)</w:t>
      </w:r>
      <w:r>
        <w:tab/>
        <w:t>The person must give such assistance to ASIC, or a person authorised by ASIC, as ASIC or the authorised person reasonably requests in relation to the performance of ASIC’s functions or the exercise of ASIC’s powers.</w:t>
      </w:r>
    </w:p>
    <w:p w14:paraId="3E08065F" w14:textId="77777777" w:rsidR="008D3D00" w:rsidRDefault="008D3D00" w:rsidP="00035B5D">
      <w:pPr>
        <w:pStyle w:val="subsection"/>
      </w:pPr>
      <w:r>
        <w:tab/>
        <w:t>(</w:t>
      </w:r>
      <w:r w:rsidR="003F36BE">
        <w:t>4</w:t>
      </w:r>
      <w:r>
        <w:t>)</w:t>
      </w:r>
      <w:r>
        <w:tab/>
        <w:t>Such assistance may include showing ASIC the person’s books, giving ASIC a copy of the person’s books, or giving ASIC other information.</w:t>
      </w:r>
    </w:p>
    <w:p w14:paraId="54E9428D" w14:textId="77777777" w:rsidR="008D3D00" w:rsidRDefault="008D3D00" w:rsidP="00035B5D">
      <w:pPr>
        <w:pStyle w:val="SubsectionHead"/>
      </w:pPr>
      <w:r>
        <w:t>Submitting to the non</w:t>
      </w:r>
      <w:r w:rsidR="00035B5D">
        <w:noBreakHyphen/>
      </w:r>
      <w:r>
        <w:t>exclusive jurisdiction of Australian courts</w:t>
      </w:r>
    </w:p>
    <w:p w14:paraId="13AB0579" w14:textId="77777777" w:rsidR="008D3D00" w:rsidRDefault="008D3D00" w:rsidP="00035B5D">
      <w:pPr>
        <w:pStyle w:val="subsection"/>
      </w:pPr>
      <w:r>
        <w:tab/>
        <w:t>(</w:t>
      </w:r>
      <w:r w:rsidR="003F36BE">
        <w:t>5</w:t>
      </w:r>
      <w:r>
        <w:t>)</w:t>
      </w:r>
      <w:r>
        <w:tab/>
        <w:t>The person must notify ASIC that the person agrees:</w:t>
      </w:r>
    </w:p>
    <w:p w14:paraId="22FDBC2A" w14:textId="77777777" w:rsidR="008D3D00" w:rsidRDefault="008D3D00" w:rsidP="00035B5D">
      <w:pPr>
        <w:pStyle w:val="paragraph"/>
      </w:pPr>
      <w:r>
        <w:tab/>
        <w:t>(</w:t>
      </w:r>
      <w:r w:rsidR="00035419">
        <w:t>a</w:t>
      </w:r>
      <w:r>
        <w:t>)</w:t>
      </w:r>
      <w:r>
        <w:tab/>
      </w:r>
      <w:r w:rsidR="00035419">
        <w:t xml:space="preserve">that </w:t>
      </w:r>
      <w:r>
        <w:t>legal proceedings relating to the provision of the financial service may be brought in a Court; and</w:t>
      </w:r>
    </w:p>
    <w:p w14:paraId="7B285C7D" w14:textId="77777777" w:rsidR="00035419" w:rsidRDefault="00035419" w:rsidP="00035B5D">
      <w:pPr>
        <w:pStyle w:val="paragraph"/>
      </w:pPr>
      <w:r>
        <w:tab/>
        <w:t>(b)</w:t>
      </w:r>
      <w:r>
        <w:tab/>
        <w:t>if such proceedings are brought in a Court—that the law relating to the provision of the financial service is the law in force in this jurisdiction; and</w:t>
      </w:r>
    </w:p>
    <w:p w14:paraId="56712151" w14:textId="77777777" w:rsidR="008D3D00" w:rsidRDefault="008D3D00" w:rsidP="00035B5D">
      <w:pPr>
        <w:pStyle w:val="paragraph"/>
      </w:pPr>
      <w:r>
        <w:tab/>
        <w:t>(c)</w:t>
      </w:r>
      <w:r>
        <w:tab/>
        <w:t>to comply with any order of a Court from such proceedings (to the extent that the order does not conflict with an order made by a court in the person’s home jurisdiction).</w:t>
      </w:r>
    </w:p>
    <w:p w14:paraId="4D180EA5" w14:textId="77777777" w:rsidR="008D3D00" w:rsidRDefault="008D3D00" w:rsidP="00035B5D">
      <w:pPr>
        <w:pStyle w:val="subsection"/>
      </w:pPr>
      <w:r>
        <w:tab/>
        <w:t>(</w:t>
      </w:r>
      <w:r w:rsidR="003F36BE">
        <w:t>6</w:t>
      </w:r>
      <w:r>
        <w:t>)</w:t>
      </w:r>
      <w:r>
        <w:tab/>
        <w:t>The person must give this notice to ASIC:</w:t>
      </w:r>
    </w:p>
    <w:p w14:paraId="2EF6B133" w14:textId="77777777" w:rsidR="008D3D00" w:rsidRDefault="008D3D00" w:rsidP="00035B5D">
      <w:pPr>
        <w:pStyle w:val="paragraph"/>
      </w:pPr>
      <w:r>
        <w:tab/>
        <w:t>(a)</w:t>
      </w:r>
      <w:r>
        <w:tab/>
        <w:t>as soon as practicable, and before the 15th business day, after the start time</w:t>
      </w:r>
      <w:r w:rsidR="00776745">
        <w:t xml:space="preserve"> (see </w:t>
      </w:r>
      <w:r w:rsidR="000D2DFF">
        <w:t>paragraph (</w:t>
      </w:r>
      <w:r w:rsidR="00776745">
        <w:t>2)(a))</w:t>
      </w:r>
      <w:r>
        <w:t>; and</w:t>
      </w:r>
    </w:p>
    <w:p w14:paraId="48F8C286" w14:textId="77777777" w:rsidR="008D3D00" w:rsidRDefault="008D3D00" w:rsidP="00035B5D">
      <w:pPr>
        <w:pStyle w:val="paragraph"/>
      </w:pPr>
      <w:r>
        <w:tab/>
        <w:t>(b)</w:t>
      </w:r>
      <w:r>
        <w:tab/>
        <w:t>in a written form that:</w:t>
      </w:r>
    </w:p>
    <w:p w14:paraId="0A4B7616" w14:textId="77777777" w:rsidR="008D3D00" w:rsidRDefault="008D3D00" w:rsidP="00035B5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is approved by ASIC; and</w:t>
      </w:r>
    </w:p>
    <w:p w14:paraId="0BFDD095" w14:textId="77777777" w:rsidR="008D3D00" w:rsidRDefault="008D3D00" w:rsidP="00035B5D">
      <w:pPr>
        <w:pStyle w:val="paragraphsub"/>
      </w:pPr>
      <w:r>
        <w:tab/>
        <w:t>(ii)</w:t>
      </w:r>
      <w:r>
        <w:tab/>
        <w:t xml:space="preserve">includes the information, statements, </w:t>
      </w:r>
      <w:proofErr w:type="gramStart"/>
      <w:r>
        <w:t>explanations</w:t>
      </w:r>
      <w:proofErr w:type="gramEnd"/>
      <w:r>
        <w:t xml:space="preserve"> or other matters required by the approved form; and</w:t>
      </w:r>
    </w:p>
    <w:p w14:paraId="2337AC83" w14:textId="77777777" w:rsidR="008D3D00" w:rsidRDefault="008D3D00" w:rsidP="00035B5D">
      <w:pPr>
        <w:pStyle w:val="paragraphsub"/>
      </w:pPr>
      <w:r>
        <w:lastRenderedPageBreak/>
        <w:tab/>
        <w:t>(iii)</w:t>
      </w:r>
      <w:r>
        <w:tab/>
        <w:t>is accompanied by any other material required by the approved form; and</w:t>
      </w:r>
    </w:p>
    <w:p w14:paraId="29E1E2E6" w14:textId="77777777" w:rsidR="008D3D00" w:rsidRDefault="008D3D00" w:rsidP="00035B5D">
      <w:pPr>
        <w:pStyle w:val="paragraphsub"/>
      </w:pPr>
      <w:r>
        <w:tab/>
        <w:t>(iv)</w:t>
      </w:r>
      <w:r>
        <w:tab/>
        <w:t>is given in a manner required by the approved form (including in electronic form).</w:t>
      </w:r>
    </w:p>
    <w:p w14:paraId="59CA6C11" w14:textId="77777777" w:rsidR="008D3D00" w:rsidRPr="00724CAC" w:rsidRDefault="009B1834" w:rsidP="00035B5D">
      <w:pPr>
        <w:pStyle w:val="ActHead5"/>
      </w:pPr>
      <w:bookmarkStart w:id="20" w:name="_Toc89955712"/>
      <w:r w:rsidRPr="00605CBB">
        <w:rPr>
          <w:rStyle w:val="CharSectno"/>
        </w:rPr>
        <w:t>911</w:t>
      </w:r>
      <w:proofErr w:type="gramStart"/>
      <w:r w:rsidRPr="00605CBB">
        <w:rPr>
          <w:rStyle w:val="CharSectno"/>
        </w:rPr>
        <w:t>H</w:t>
      </w:r>
      <w:r w:rsidR="008D3D00" w:rsidRPr="00724CAC">
        <w:t xml:space="preserve">  </w:t>
      </w:r>
      <w:r w:rsidR="00FF6941" w:rsidRPr="00DF439E">
        <w:t>Certain</w:t>
      </w:r>
      <w:proofErr w:type="gramEnd"/>
      <w:r w:rsidR="00FF6941" w:rsidRPr="00DF439E">
        <w:t xml:space="preserve"> licensing exemptions for foreign financial service providers</w:t>
      </w:r>
      <w:r w:rsidR="008D3D00" w:rsidRPr="00724CAC">
        <w:t>—</w:t>
      </w:r>
      <w:r w:rsidR="008D3D00">
        <w:t>condition to comply with ASIC directions</w:t>
      </w:r>
      <w:bookmarkEnd w:id="20"/>
    </w:p>
    <w:p w14:paraId="45A0B233" w14:textId="77777777" w:rsidR="008D3D00" w:rsidRDefault="008D3D00" w:rsidP="00035B5D">
      <w:pPr>
        <w:pStyle w:val="subsection"/>
      </w:pPr>
      <w:r>
        <w:tab/>
        <w:t>(1)</w:t>
      </w:r>
      <w:r>
        <w:tab/>
        <w:t xml:space="preserve">For the purposes of </w:t>
      </w:r>
      <w:r w:rsidR="00724CAC">
        <w:t>section 9</w:t>
      </w:r>
      <w:r w:rsidR="009B1834">
        <w:t>11F</w:t>
      </w:r>
      <w:r>
        <w:t xml:space="preserve">, this section sets out conditions for a person that proposes to rely on the exemption under </w:t>
      </w:r>
      <w:r w:rsidR="000D2DFF">
        <w:t>paragraph 9</w:t>
      </w:r>
      <w:r>
        <w:t>11A(</w:t>
      </w:r>
      <w:proofErr w:type="gramStart"/>
      <w:r>
        <w:t>2)(</w:t>
      </w:r>
      <w:proofErr w:type="spellStart"/>
      <w:proofErr w:type="gramEnd"/>
      <w:r>
        <w:t>eo</w:t>
      </w:r>
      <w:proofErr w:type="spellEnd"/>
      <w:r>
        <w:t xml:space="preserve">) or (ep) </w:t>
      </w:r>
      <w:r w:rsidR="00076F0E">
        <w:t xml:space="preserve">in relation to </w:t>
      </w:r>
      <w:r>
        <w:t>a financial service.</w:t>
      </w:r>
    </w:p>
    <w:p w14:paraId="40E12931" w14:textId="77777777" w:rsidR="008F066A" w:rsidRDefault="008F066A" w:rsidP="00035B5D">
      <w:pPr>
        <w:pStyle w:val="subsection"/>
      </w:pPr>
      <w:r>
        <w:tab/>
        <w:t>(</w:t>
      </w:r>
      <w:r w:rsidR="003F36BE">
        <w:t>2</w:t>
      </w:r>
      <w:r>
        <w:t>)</w:t>
      </w:r>
      <w:r>
        <w:tab/>
        <w:t xml:space="preserve">ASIC may, by giving written notice to the person, direct the person to </w:t>
      </w:r>
      <w:r w:rsidR="00620782">
        <w:t>give</w:t>
      </w:r>
      <w:r>
        <w:t xml:space="preserve"> ASIC a statement containing specified information about either or both of the following:</w:t>
      </w:r>
    </w:p>
    <w:p w14:paraId="18F60E67" w14:textId="77777777" w:rsidR="008F066A" w:rsidRDefault="008F066A" w:rsidP="00035B5D">
      <w:pPr>
        <w:pStyle w:val="paragraph"/>
      </w:pPr>
      <w:r>
        <w:tab/>
        <w:t>(a)</w:t>
      </w:r>
      <w:r>
        <w:tab/>
        <w:t xml:space="preserve">the financial </w:t>
      </w:r>
      <w:proofErr w:type="gramStart"/>
      <w:r>
        <w:t>service;</w:t>
      </w:r>
      <w:proofErr w:type="gramEnd"/>
    </w:p>
    <w:p w14:paraId="3293317A" w14:textId="77777777" w:rsidR="008F066A" w:rsidRDefault="008F066A" w:rsidP="00035B5D">
      <w:pPr>
        <w:pStyle w:val="paragraph"/>
      </w:pPr>
      <w:r>
        <w:tab/>
        <w:t>(b)</w:t>
      </w:r>
      <w:r>
        <w:tab/>
        <w:t>the person’s financial services business of which the financial service is a part.</w:t>
      </w:r>
    </w:p>
    <w:p w14:paraId="53DDE7AA" w14:textId="77777777" w:rsidR="008F066A" w:rsidRDefault="008F066A" w:rsidP="00035B5D">
      <w:pPr>
        <w:pStyle w:val="subsection"/>
      </w:pPr>
      <w:r>
        <w:tab/>
        <w:t>(</w:t>
      </w:r>
      <w:r w:rsidR="003F36BE">
        <w:t>3</w:t>
      </w:r>
      <w:r>
        <w:t>)</w:t>
      </w:r>
      <w:r>
        <w:tab/>
        <w:t xml:space="preserve">Directions given under </w:t>
      </w:r>
      <w:r w:rsidR="00724CAC">
        <w:t>subsection (</w:t>
      </w:r>
      <w:r w:rsidR="003F36BE">
        <w:t>2</w:t>
      </w:r>
      <w:r>
        <w:t>) to the person:</w:t>
      </w:r>
    </w:p>
    <w:p w14:paraId="030D5681" w14:textId="77777777" w:rsidR="008F066A" w:rsidRPr="003C3091" w:rsidRDefault="008F066A" w:rsidP="00035B5D">
      <w:pPr>
        <w:pStyle w:val="paragraph"/>
      </w:pPr>
      <w:r>
        <w:tab/>
        <w:t>(a)</w:t>
      </w:r>
      <w:r>
        <w:tab/>
        <w:t>may be given</w:t>
      </w:r>
      <w:r w:rsidRPr="003C3091">
        <w:t xml:space="preserve"> at any time; and</w:t>
      </w:r>
    </w:p>
    <w:p w14:paraId="31BC3C00" w14:textId="77777777" w:rsidR="008F066A" w:rsidRDefault="008F066A" w:rsidP="00035B5D">
      <w:pPr>
        <w:pStyle w:val="paragraph"/>
      </w:pPr>
      <w:r w:rsidRPr="003C3091">
        <w:tab/>
        <w:t>(b)</w:t>
      </w:r>
      <w:r w:rsidRPr="003C3091">
        <w:tab/>
        <w:t xml:space="preserve">may require a statement containing information to be </w:t>
      </w:r>
      <w:r w:rsidR="00620782">
        <w:t>given to</w:t>
      </w:r>
      <w:r>
        <w:t xml:space="preserve"> ASIC</w:t>
      </w:r>
      <w:r w:rsidRPr="003C3091">
        <w:t xml:space="preserve"> on a periodic basis, or each time a particular event or circumstance occurs, without ASIC having to give a further </w:t>
      </w:r>
      <w:r>
        <w:t>direction</w:t>
      </w:r>
      <w:r w:rsidR="00620782">
        <w:t>; and</w:t>
      </w:r>
    </w:p>
    <w:p w14:paraId="1D569B21" w14:textId="77777777" w:rsidR="00620782" w:rsidRDefault="00620782" w:rsidP="00035B5D">
      <w:pPr>
        <w:pStyle w:val="paragraph"/>
      </w:pPr>
      <w:r>
        <w:tab/>
        <w:t>(c)</w:t>
      </w:r>
      <w:r>
        <w:tab/>
        <w:t>may require each statement to be given to ASIC in a written form that:</w:t>
      </w:r>
    </w:p>
    <w:p w14:paraId="1E8A0447" w14:textId="77777777" w:rsidR="00620782" w:rsidRDefault="00620782" w:rsidP="00035B5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is approved by ASIC; and</w:t>
      </w:r>
    </w:p>
    <w:p w14:paraId="2FD2CF9E" w14:textId="77777777" w:rsidR="00620782" w:rsidRDefault="00620782" w:rsidP="00035B5D">
      <w:pPr>
        <w:pStyle w:val="paragraphsub"/>
      </w:pPr>
      <w:r>
        <w:tab/>
        <w:t>(ii)</w:t>
      </w:r>
      <w:r>
        <w:tab/>
        <w:t xml:space="preserve">includes the information, statements, </w:t>
      </w:r>
      <w:proofErr w:type="gramStart"/>
      <w:r>
        <w:t>explanations</w:t>
      </w:r>
      <w:proofErr w:type="gramEnd"/>
      <w:r>
        <w:t xml:space="preserve"> or other matters required by the approved form; and</w:t>
      </w:r>
    </w:p>
    <w:p w14:paraId="4573A03D" w14:textId="77777777" w:rsidR="00620782" w:rsidRDefault="00620782" w:rsidP="00035B5D">
      <w:pPr>
        <w:pStyle w:val="paragraphsub"/>
      </w:pPr>
      <w:r>
        <w:tab/>
        <w:t>(iii)</w:t>
      </w:r>
      <w:r>
        <w:tab/>
        <w:t>is accompanied by any other material required by the approved form; and</w:t>
      </w:r>
    </w:p>
    <w:p w14:paraId="7FD714B4" w14:textId="77777777" w:rsidR="00620782" w:rsidRDefault="00620782" w:rsidP="00035B5D">
      <w:pPr>
        <w:pStyle w:val="paragraphsub"/>
      </w:pPr>
      <w:r>
        <w:tab/>
        <w:t>(iv)</w:t>
      </w:r>
      <w:r>
        <w:tab/>
        <w:t>is given in a manner required by the approved form (including in electronic form).</w:t>
      </w:r>
    </w:p>
    <w:p w14:paraId="794247B5" w14:textId="77777777" w:rsidR="008F066A" w:rsidRDefault="008F066A" w:rsidP="00035B5D">
      <w:pPr>
        <w:pStyle w:val="subsection"/>
      </w:pPr>
      <w:r>
        <w:tab/>
        <w:t>(</w:t>
      </w:r>
      <w:r w:rsidR="003F36BE">
        <w:t>4</w:t>
      </w:r>
      <w:r>
        <w:t>)</w:t>
      </w:r>
      <w:r>
        <w:tab/>
        <w:t xml:space="preserve">The person must comply with a direction given under </w:t>
      </w:r>
      <w:r w:rsidR="00724CAC">
        <w:t>subsection (</w:t>
      </w:r>
      <w:r w:rsidR="003F36BE">
        <w:t>2</w:t>
      </w:r>
      <w:r>
        <w:t>):</w:t>
      </w:r>
    </w:p>
    <w:p w14:paraId="7EC5D094" w14:textId="77777777" w:rsidR="008F066A" w:rsidRPr="003C3091" w:rsidRDefault="008F066A" w:rsidP="00035B5D">
      <w:pPr>
        <w:pStyle w:val="paragraph"/>
      </w:pPr>
      <w:r>
        <w:tab/>
        <w:t>(a)</w:t>
      </w:r>
      <w:r>
        <w:tab/>
        <w:t xml:space="preserve">within </w:t>
      </w:r>
      <w:r w:rsidRPr="003C3091">
        <w:t>the time specified in the direction if that is a reasonable time; or</w:t>
      </w:r>
    </w:p>
    <w:p w14:paraId="05DFB847" w14:textId="77777777" w:rsidR="008F066A" w:rsidRDefault="008F066A" w:rsidP="00035B5D">
      <w:pPr>
        <w:pStyle w:val="paragraph"/>
      </w:pPr>
      <w:r w:rsidRPr="003C3091">
        <w:tab/>
        <w:t>(b)</w:t>
      </w:r>
      <w:r w:rsidRPr="003C3091">
        <w:tab/>
        <w:t>in any</w:t>
      </w:r>
      <w:r>
        <w:t xml:space="preserve"> other case—within a reasonable time.</w:t>
      </w:r>
    </w:p>
    <w:p w14:paraId="72AD2EAB" w14:textId="77777777" w:rsidR="008F066A" w:rsidRDefault="008F066A" w:rsidP="00035B5D">
      <w:pPr>
        <w:pStyle w:val="subsection2"/>
      </w:pPr>
      <w:r>
        <w:t>ASIC may extend the time within which the person must comply with the direction by giving written notice to the person.</w:t>
      </w:r>
    </w:p>
    <w:p w14:paraId="78E43CC5" w14:textId="77777777" w:rsidR="003F36BE" w:rsidRPr="00724CAC" w:rsidRDefault="009B1834" w:rsidP="00035B5D">
      <w:pPr>
        <w:pStyle w:val="ActHead5"/>
      </w:pPr>
      <w:bookmarkStart w:id="21" w:name="_Toc89955713"/>
      <w:r w:rsidRPr="00605CBB">
        <w:rPr>
          <w:rStyle w:val="CharSectno"/>
        </w:rPr>
        <w:lastRenderedPageBreak/>
        <w:t>911</w:t>
      </w:r>
      <w:proofErr w:type="gramStart"/>
      <w:r w:rsidRPr="00605CBB">
        <w:rPr>
          <w:rStyle w:val="CharSectno"/>
        </w:rPr>
        <w:t>J</w:t>
      </w:r>
      <w:r w:rsidR="003F36BE" w:rsidRPr="00724CAC">
        <w:t xml:space="preserve">  </w:t>
      </w:r>
      <w:r w:rsidR="00FF6941" w:rsidRPr="00DF439E">
        <w:t>Certain</w:t>
      </w:r>
      <w:proofErr w:type="gramEnd"/>
      <w:r w:rsidR="00FF6941" w:rsidRPr="00DF439E">
        <w:t xml:space="preserve"> licensing exemptions for foreign financial service providers</w:t>
      </w:r>
      <w:r w:rsidR="003F36BE" w:rsidRPr="00724CAC">
        <w:t>—</w:t>
      </w:r>
      <w:r w:rsidR="003F36BE">
        <w:t>condition about giving notice of the exemption to each recipient of the financial service</w:t>
      </w:r>
      <w:bookmarkEnd w:id="21"/>
    </w:p>
    <w:p w14:paraId="66FC4C12" w14:textId="77777777" w:rsidR="003F36BE" w:rsidRDefault="003F36BE" w:rsidP="00035B5D">
      <w:pPr>
        <w:pStyle w:val="subsection"/>
      </w:pPr>
      <w:r>
        <w:tab/>
        <w:t>(1)</w:t>
      </w:r>
      <w:r>
        <w:tab/>
        <w:t xml:space="preserve">For the purposes of </w:t>
      </w:r>
      <w:r w:rsidR="00724CAC">
        <w:t>section 9</w:t>
      </w:r>
      <w:r w:rsidR="009B1834">
        <w:t>11F</w:t>
      </w:r>
      <w:r>
        <w:t xml:space="preserve">, this section sets out </w:t>
      </w:r>
      <w:r w:rsidR="002A3018">
        <w:t xml:space="preserve">a </w:t>
      </w:r>
      <w:r>
        <w:t xml:space="preserve">condition for a person that proposes to rely on the exemption under </w:t>
      </w:r>
      <w:r w:rsidR="000D2DFF">
        <w:t>paragraph 9</w:t>
      </w:r>
      <w:r>
        <w:t>11A(</w:t>
      </w:r>
      <w:proofErr w:type="gramStart"/>
      <w:r>
        <w:t>2)(</w:t>
      </w:r>
      <w:proofErr w:type="spellStart"/>
      <w:proofErr w:type="gramEnd"/>
      <w:r>
        <w:t>eo</w:t>
      </w:r>
      <w:proofErr w:type="spellEnd"/>
      <w:r>
        <w:t xml:space="preserve">) or (ep) </w:t>
      </w:r>
      <w:r w:rsidR="00076F0E">
        <w:t xml:space="preserve">in relation to </w:t>
      </w:r>
      <w:r>
        <w:t>a financial service.</w:t>
      </w:r>
    </w:p>
    <w:p w14:paraId="77FF4E24" w14:textId="77777777" w:rsidR="003F36BE" w:rsidRDefault="003F36BE" w:rsidP="00035B5D">
      <w:pPr>
        <w:pStyle w:val="subsection"/>
      </w:pPr>
      <w:r>
        <w:tab/>
        <w:t>(2)</w:t>
      </w:r>
      <w:r>
        <w:tab/>
        <w:t>The person must provide written notice to each recipient of the financial service either:</w:t>
      </w:r>
    </w:p>
    <w:p w14:paraId="1865A1BC" w14:textId="77777777" w:rsidR="003F36BE" w:rsidRDefault="003F36BE" w:rsidP="00035B5D">
      <w:pPr>
        <w:pStyle w:val="paragraph"/>
      </w:pPr>
      <w:r>
        <w:tab/>
        <w:t>(a)</w:t>
      </w:r>
      <w:r>
        <w:tab/>
        <w:t>before the financial service is provided to the recipient; or</w:t>
      </w:r>
    </w:p>
    <w:p w14:paraId="0DFA5715" w14:textId="77777777" w:rsidR="003F36BE" w:rsidRDefault="003F36BE" w:rsidP="00035B5D">
      <w:pPr>
        <w:pStyle w:val="paragraph"/>
      </w:pPr>
      <w:r>
        <w:tab/>
        <w:t>(b)</w:t>
      </w:r>
      <w:r>
        <w:tab/>
        <w:t>if that is not practicable—as soon as practicable after starting to provide the financial service to the recipient.</w:t>
      </w:r>
    </w:p>
    <w:p w14:paraId="57EB736E" w14:textId="77777777" w:rsidR="003F36BE" w:rsidRDefault="003F36BE" w:rsidP="00035B5D">
      <w:pPr>
        <w:pStyle w:val="subsection"/>
      </w:pPr>
      <w:r>
        <w:tab/>
        <w:t>(3)</w:t>
      </w:r>
      <w:r>
        <w:tab/>
        <w:t xml:space="preserve">The notice must include a statement to the effect that the person is exempt under this Act from the requirement to hold </w:t>
      </w:r>
      <w:r w:rsidRPr="00B22B87">
        <w:t>an Australian financial services licence covering the provision of the financial service</w:t>
      </w:r>
      <w:r>
        <w:t>.</w:t>
      </w:r>
    </w:p>
    <w:p w14:paraId="7EB822A4" w14:textId="77777777" w:rsidR="00FF6941" w:rsidRDefault="00FF6941" w:rsidP="00035B5D">
      <w:pPr>
        <w:pStyle w:val="notetext"/>
      </w:pPr>
      <w:r>
        <w:t>Note 1:</w:t>
      </w:r>
      <w:r>
        <w:tab/>
        <w:t>The notice only needs to be given once to each recipient.</w:t>
      </w:r>
    </w:p>
    <w:p w14:paraId="7915EC0E" w14:textId="77777777" w:rsidR="003F36BE" w:rsidRDefault="003F36BE" w:rsidP="00035B5D">
      <w:pPr>
        <w:pStyle w:val="notetext"/>
      </w:pPr>
      <w:r>
        <w:t>Note</w:t>
      </w:r>
      <w:r w:rsidR="00FF6941">
        <w:t xml:space="preserve"> 2</w:t>
      </w:r>
      <w:r>
        <w:t>:</w:t>
      </w:r>
      <w:r>
        <w:tab/>
        <w:t xml:space="preserve">For </w:t>
      </w:r>
      <w:r w:rsidR="00724CAC">
        <w:t>subsection</w:t>
      </w:r>
      <w:bookmarkStart w:id="22" w:name="BK_S1P9L4C23"/>
      <w:bookmarkEnd w:id="22"/>
      <w:r w:rsidR="00724CAC">
        <w:t> (</w:t>
      </w:r>
      <w:r>
        <w:t>2), the recipient will be:</w:t>
      </w:r>
    </w:p>
    <w:p w14:paraId="590DC64D" w14:textId="77777777" w:rsidR="003F36BE" w:rsidRDefault="003F36BE" w:rsidP="00035B5D">
      <w:pPr>
        <w:pStyle w:val="notepara"/>
      </w:pPr>
      <w:r>
        <w:t>(a)</w:t>
      </w:r>
      <w:r>
        <w:tab/>
        <w:t xml:space="preserve">for the exemption under </w:t>
      </w:r>
      <w:r w:rsidR="000D2DFF">
        <w:t>paragraph 9</w:t>
      </w:r>
      <w:r>
        <w:t>11A(</w:t>
      </w:r>
      <w:proofErr w:type="gramStart"/>
      <w:r>
        <w:t>2)(</w:t>
      </w:r>
      <w:proofErr w:type="spellStart"/>
      <w:proofErr w:type="gramEnd"/>
      <w:r>
        <w:t>eo</w:t>
      </w:r>
      <w:proofErr w:type="spellEnd"/>
      <w:r>
        <w:t>)—a professional investor; or</w:t>
      </w:r>
    </w:p>
    <w:p w14:paraId="007D6380" w14:textId="77777777" w:rsidR="003F36BE" w:rsidRPr="008F066A" w:rsidRDefault="003F36BE" w:rsidP="00035B5D">
      <w:pPr>
        <w:pStyle w:val="notepara"/>
      </w:pPr>
      <w:r>
        <w:t>(b)</w:t>
      </w:r>
      <w:r>
        <w:tab/>
        <w:t xml:space="preserve">for the exemption under </w:t>
      </w:r>
      <w:r w:rsidR="000D2DFF">
        <w:t>paragraph 9</w:t>
      </w:r>
      <w:r>
        <w:t>11A(</w:t>
      </w:r>
      <w:proofErr w:type="gramStart"/>
      <w:r>
        <w:t>2)(</w:t>
      </w:r>
      <w:proofErr w:type="gramEnd"/>
      <w:r>
        <w:t>ep)—a wholesale client.</w:t>
      </w:r>
    </w:p>
    <w:p w14:paraId="655ECBB6" w14:textId="77777777" w:rsidR="00C7231B" w:rsidRPr="00C7231B" w:rsidRDefault="009B1834" w:rsidP="00035B5D">
      <w:pPr>
        <w:pStyle w:val="ActHead5"/>
      </w:pPr>
      <w:bookmarkStart w:id="23" w:name="_Toc89955714"/>
      <w:r w:rsidRPr="00605CBB">
        <w:rPr>
          <w:rStyle w:val="CharSectno"/>
        </w:rPr>
        <w:t>911</w:t>
      </w:r>
      <w:proofErr w:type="gramStart"/>
      <w:r w:rsidRPr="00605CBB">
        <w:rPr>
          <w:rStyle w:val="CharSectno"/>
        </w:rPr>
        <w:t>K</w:t>
      </w:r>
      <w:r w:rsidR="00C7231B">
        <w:t xml:space="preserve">  </w:t>
      </w:r>
      <w:r w:rsidR="00B42018">
        <w:t>Exemption</w:t>
      </w:r>
      <w:proofErr w:type="gramEnd"/>
      <w:r w:rsidR="00B42018">
        <w:t xml:space="preserve"> for financial services provided to professional investors—</w:t>
      </w:r>
      <w:r w:rsidR="00C7231B">
        <w:t>condition</w:t>
      </w:r>
      <w:r w:rsidR="00620782">
        <w:t xml:space="preserve"> to notify ASIC of changes to contact details</w:t>
      </w:r>
      <w:bookmarkEnd w:id="23"/>
    </w:p>
    <w:p w14:paraId="00B9F763" w14:textId="77777777" w:rsidR="002A3018" w:rsidRDefault="002A3018" w:rsidP="00035B5D">
      <w:pPr>
        <w:pStyle w:val="subsection"/>
      </w:pPr>
      <w:r>
        <w:tab/>
        <w:t>(1)</w:t>
      </w:r>
      <w:r>
        <w:tab/>
        <w:t xml:space="preserve">For the purposes of </w:t>
      </w:r>
      <w:r w:rsidR="000D2DFF">
        <w:t>subsection 9</w:t>
      </w:r>
      <w:r w:rsidR="009B1834">
        <w:t>11</w:t>
      </w:r>
      <w:proofErr w:type="gramStart"/>
      <w:r w:rsidR="009B1834">
        <w:t>F</w:t>
      </w:r>
      <w:r>
        <w:t>(</w:t>
      </w:r>
      <w:proofErr w:type="gramEnd"/>
      <w:r>
        <w:t xml:space="preserve">1), this section sets out a condition for a person that proposes to rely on the exemption under </w:t>
      </w:r>
      <w:r w:rsidR="000D2DFF">
        <w:t>paragraph 9</w:t>
      </w:r>
      <w:r>
        <w:t>11A(2)(</w:t>
      </w:r>
      <w:proofErr w:type="spellStart"/>
      <w:r>
        <w:t>eo</w:t>
      </w:r>
      <w:proofErr w:type="spellEnd"/>
      <w:r>
        <w:t xml:space="preserve">) </w:t>
      </w:r>
      <w:r w:rsidR="00076F0E">
        <w:t xml:space="preserve">in relation to </w:t>
      </w:r>
      <w:r>
        <w:t>a financial service.</w:t>
      </w:r>
    </w:p>
    <w:bookmarkEnd w:id="17"/>
    <w:p w14:paraId="79544FFA" w14:textId="77777777" w:rsidR="005E37FB" w:rsidRDefault="005E37FB" w:rsidP="00035B5D">
      <w:pPr>
        <w:pStyle w:val="subsection"/>
      </w:pPr>
      <w:r>
        <w:tab/>
        <w:t>(</w:t>
      </w:r>
      <w:r w:rsidR="003F36BE">
        <w:t>2</w:t>
      </w:r>
      <w:r>
        <w:t>)</w:t>
      </w:r>
      <w:r>
        <w:tab/>
        <w:t>The person must notify ASIC of any change to the person’s contact details:</w:t>
      </w:r>
    </w:p>
    <w:p w14:paraId="328D20CF" w14:textId="77777777" w:rsidR="005E37FB" w:rsidRDefault="005E37FB" w:rsidP="00035B5D">
      <w:pPr>
        <w:pStyle w:val="paragraph"/>
      </w:pPr>
      <w:r>
        <w:tab/>
        <w:t>(a)</w:t>
      </w:r>
      <w:r>
        <w:tab/>
        <w:t>as soon as practicable after the change happens; and</w:t>
      </w:r>
    </w:p>
    <w:p w14:paraId="6B30754C" w14:textId="77777777" w:rsidR="005E37FB" w:rsidRDefault="005E37FB" w:rsidP="00035B5D">
      <w:pPr>
        <w:pStyle w:val="paragraph"/>
      </w:pPr>
      <w:r>
        <w:tab/>
        <w:t>(b)</w:t>
      </w:r>
      <w:r>
        <w:tab/>
        <w:t xml:space="preserve">by </w:t>
      </w:r>
      <w:r w:rsidR="00DE66E6">
        <w:t xml:space="preserve">giving the notice to </w:t>
      </w:r>
      <w:r>
        <w:t xml:space="preserve">ASIC in </w:t>
      </w:r>
      <w:r w:rsidR="00DE66E6">
        <w:t>a written form that:</w:t>
      </w:r>
    </w:p>
    <w:p w14:paraId="3D10C51E" w14:textId="77777777" w:rsidR="00DE66E6" w:rsidRDefault="00DE66E6" w:rsidP="00035B5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is approved by ASIC; and</w:t>
      </w:r>
    </w:p>
    <w:p w14:paraId="4766E7F0" w14:textId="77777777" w:rsidR="00DE66E6" w:rsidRDefault="00DE66E6" w:rsidP="00035B5D">
      <w:pPr>
        <w:pStyle w:val="paragraphsub"/>
      </w:pPr>
      <w:r>
        <w:tab/>
        <w:t>(ii)</w:t>
      </w:r>
      <w:r>
        <w:tab/>
        <w:t xml:space="preserve">includes the information, statements, </w:t>
      </w:r>
      <w:proofErr w:type="gramStart"/>
      <w:r>
        <w:t>explanations</w:t>
      </w:r>
      <w:proofErr w:type="gramEnd"/>
      <w:r>
        <w:t xml:space="preserve"> or other matters required by the approved form; and</w:t>
      </w:r>
    </w:p>
    <w:p w14:paraId="51DCCC6F" w14:textId="77777777" w:rsidR="00DE66E6" w:rsidRDefault="00DE66E6" w:rsidP="00035B5D">
      <w:pPr>
        <w:pStyle w:val="paragraphsub"/>
      </w:pPr>
      <w:r>
        <w:tab/>
        <w:t>(iii)</w:t>
      </w:r>
      <w:r>
        <w:tab/>
        <w:t>is accompanied by any other material required by the approved form; and</w:t>
      </w:r>
    </w:p>
    <w:p w14:paraId="1E9BADE5" w14:textId="77777777" w:rsidR="00DE66E6" w:rsidRDefault="00DE66E6" w:rsidP="00035B5D">
      <w:pPr>
        <w:pStyle w:val="paragraphsub"/>
      </w:pPr>
      <w:r>
        <w:lastRenderedPageBreak/>
        <w:tab/>
        <w:t>(iv)</w:t>
      </w:r>
      <w:r>
        <w:tab/>
        <w:t>is given in a manner required by the approved form (including in electronic form).</w:t>
      </w:r>
    </w:p>
    <w:p w14:paraId="556AEF6D" w14:textId="77777777" w:rsidR="00D0720C" w:rsidRDefault="009B1834" w:rsidP="00035B5D">
      <w:pPr>
        <w:pStyle w:val="ActHead5"/>
      </w:pPr>
      <w:bookmarkStart w:id="24" w:name="_Toc89955715"/>
      <w:r w:rsidRPr="00605CBB">
        <w:rPr>
          <w:rStyle w:val="CharSectno"/>
        </w:rPr>
        <w:t>911</w:t>
      </w:r>
      <w:proofErr w:type="gramStart"/>
      <w:r w:rsidRPr="00605CBB">
        <w:rPr>
          <w:rStyle w:val="CharSectno"/>
        </w:rPr>
        <w:t>L</w:t>
      </w:r>
      <w:r w:rsidR="00D0720C">
        <w:t xml:space="preserve">  Exemption</w:t>
      </w:r>
      <w:proofErr w:type="gramEnd"/>
      <w:r w:rsidR="00D0720C">
        <w:t xml:space="preserve"> for comparably regulated providers—</w:t>
      </w:r>
      <w:r w:rsidR="00620782">
        <w:t xml:space="preserve">other </w:t>
      </w:r>
      <w:r w:rsidR="00D0720C">
        <w:t>conditions</w:t>
      </w:r>
      <w:bookmarkEnd w:id="24"/>
    </w:p>
    <w:p w14:paraId="026FFC26" w14:textId="77777777" w:rsidR="002A3018" w:rsidRDefault="002A3018" w:rsidP="00035B5D">
      <w:pPr>
        <w:pStyle w:val="subsection"/>
      </w:pPr>
      <w:r>
        <w:tab/>
        <w:t>(1)</w:t>
      </w:r>
      <w:r>
        <w:tab/>
        <w:t xml:space="preserve">For the purposes of </w:t>
      </w:r>
      <w:r w:rsidR="000D2DFF">
        <w:t>subsection 9</w:t>
      </w:r>
      <w:r w:rsidR="009B1834">
        <w:t>11</w:t>
      </w:r>
      <w:proofErr w:type="gramStart"/>
      <w:r w:rsidR="009B1834">
        <w:t>F</w:t>
      </w:r>
      <w:r>
        <w:t>(</w:t>
      </w:r>
      <w:proofErr w:type="gramEnd"/>
      <w:r>
        <w:t xml:space="preserve">2), this section sets out conditions for a person that proposes to rely on the exemption under </w:t>
      </w:r>
      <w:r w:rsidR="000D2DFF">
        <w:t>paragraph 9</w:t>
      </w:r>
      <w:r>
        <w:t xml:space="preserve">11A(2)(ep) </w:t>
      </w:r>
      <w:r w:rsidR="00AE62DB">
        <w:t xml:space="preserve">in relation to </w:t>
      </w:r>
      <w:r>
        <w:t>a financial service.</w:t>
      </w:r>
    </w:p>
    <w:p w14:paraId="1D28DF3A" w14:textId="77777777" w:rsidR="004A482B" w:rsidRPr="003569E3" w:rsidRDefault="004A482B" w:rsidP="00035B5D">
      <w:pPr>
        <w:pStyle w:val="SubsectionHead"/>
      </w:pPr>
      <w:r>
        <w:t>Consent to information sharing between ASIC and the</w:t>
      </w:r>
      <w:r w:rsidR="00341660">
        <w:t xml:space="preserve"> person’s</w:t>
      </w:r>
      <w:r>
        <w:t xml:space="preserve"> home regulator</w:t>
      </w:r>
    </w:p>
    <w:p w14:paraId="440867FF" w14:textId="77777777" w:rsidR="004A482B" w:rsidRDefault="004A482B" w:rsidP="00035B5D">
      <w:pPr>
        <w:pStyle w:val="subsection"/>
      </w:pPr>
      <w:r>
        <w:tab/>
        <w:t>(</w:t>
      </w:r>
      <w:r w:rsidR="002A3018">
        <w:t>2</w:t>
      </w:r>
      <w:r>
        <w:t>)</w:t>
      </w:r>
      <w:r>
        <w:tab/>
        <w:t xml:space="preserve">The person must notify ASIC that the person consents to ASIC and the </w:t>
      </w:r>
      <w:r w:rsidR="00341660">
        <w:t xml:space="preserve">person’s </w:t>
      </w:r>
      <w:r>
        <w:t>home regulator sharing information about the person</w:t>
      </w:r>
      <w:r w:rsidR="00BA4FF7">
        <w:t>. The person must do so:</w:t>
      </w:r>
    </w:p>
    <w:p w14:paraId="118A8DC3" w14:textId="77777777" w:rsidR="004A482B" w:rsidRDefault="004A482B" w:rsidP="00035B5D">
      <w:pPr>
        <w:pStyle w:val="paragraph"/>
      </w:pPr>
      <w:r>
        <w:tab/>
        <w:t>(a)</w:t>
      </w:r>
      <w:r>
        <w:tab/>
      </w:r>
      <w:r w:rsidR="00D46F4C">
        <w:t>as soon as practicable, and before the</w:t>
      </w:r>
      <w:r>
        <w:t xml:space="preserve"> 15</w:t>
      </w:r>
      <w:r w:rsidR="00D46F4C">
        <w:t>th</w:t>
      </w:r>
      <w:r>
        <w:t xml:space="preserve"> business day</w:t>
      </w:r>
      <w:r w:rsidR="00D46F4C">
        <w:t>,</w:t>
      </w:r>
      <w:r>
        <w:t xml:space="preserve"> after the start time</w:t>
      </w:r>
      <w:r w:rsidR="00AE62DB">
        <w:t xml:space="preserve"> (see </w:t>
      </w:r>
      <w:r w:rsidR="000D2DFF">
        <w:t>paragraph 9</w:t>
      </w:r>
      <w:r w:rsidR="00AE62DB">
        <w:t>11G(2)(a))</w:t>
      </w:r>
      <w:r>
        <w:t>; and</w:t>
      </w:r>
    </w:p>
    <w:p w14:paraId="0B6D2971" w14:textId="77777777" w:rsidR="00DE66E6" w:rsidRDefault="00DE66E6" w:rsidP="00035B5D">
      <w:pPr>
        <w:pStyle w:val="paragraph"/>
      </w:pPr>
      <w:r>
        <w:tab/>
        <w:t>(b)</w:t>
      </w:r>
      <w:r>
        <w:tab/>
        <w:t>by giving the notice to ASIC in a written form that:</w:t>
      </w:r>
    </w:p>
    <w:p w14:paraId="75DB7EFB" w14:textId="77777777" w:rsidR="00DE66E6" w:rsidRDefault="00DE66E6" w:rsidP="00035B5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is approved by ASIC; and</w:t>
      </w:r>
    </w:p>
    <w:p w14:paraId="00A36676" w14:textId="77777777" w:rsidR="00DE66E6" w:rsidRDefault="00DE66E6" w:rsidP="00035B5D">
      <w:pPr>
        <w:pStyle w:val="paragraphsub"/>
      </w:pPr>
      <w:r>
        <w:tab/>
        <w:t>(ii)</w:t>
      </w:r>
      <w:r>
        <w:tab/>
        <w:t xml:space="preserve">includes the information, statements, </w:t>
      </w:r>
      <w:proofErr w:type="gramStart"/>
      <w:r>
        <w:t>explanations</w:t>
      </w:r>
      <w:proofErr w:type="gramEnd"/>
      <w:r>
        <w:t xml:space="preserve"> or other matters required by the approved form; and</w:t>
      </w:r>
    </w:p>
    <w:p w14:paraId="179E7956" w14:textId="77777777" w:rsidR="00DE66E6" w:rsidRDefault="00DE66E6" w:rsidP="00035B5D">
      <w:pPr>
        <w:pStyle w:val="paragraphsub"/>
      </w:pPr>
      <w:r>
        <w:tab/>
        <w:t>(iii)</w:t>
      </w:r>
      <w:r>
        <w:tab/>
        <w:t>is accompanied by any other material required by the approved form; and</w:t>
      </w:r>
    </w:p>
    <w:p w14:paraId="35A1A220" w14:textId="77777777" w:rsidR="00DE66E6" w:rsidRDefault="00DE66E6" w:rsidP="00035B5D">
      <w:pPr>
        <w:pStyle w:val="paragraphsub"/>
      </w:pPr>
      <w:r>
        <w:tab/>
        <w:t>(iv)</w:t>
      </w:r>
      <w:r>
        <w:tab/>
        <w:t>is given in a manner required by the approved form (including in electronic form).</w:t>
      </w:r>
    </w:p>
    <w:p w14:paraId="14D5685A" w14:textId="77777777" w:rsidR="00862607" w:rsidRDefault="00862607" w:rsidP="00035B5D">
      <w:pPr>
        <w:pStyle w:val="SubsectionHead"/>
      </w:pPr>
      <w:r>
        <w:t>Notifying ASIC of breaches or investigations in other jurisdictions</w:t>
      </w:r>
    </w:p>
    <w:p w14:paraId="5A1101D6" w14:textId="77777777" w:rsidR="00862607" w:rsidRPr="00502606" w:rsidRDefault="00862607" w:rsidP="00035B5D">
      <w:pPr>
        <w:pStyle w:val="subsection"/>
      </w:pPr>
      <w:r>
        <w:tab/>
        <w:t>(</w:t>
      </w:r>
      <w:r w:rsidR="002A3018">
        <w:t>3</w:t>
      </w:r>
      <w:r>
        <w:t>)</w:t>
      </w:r>
      <w:r>
        <w:tab/>
        <w:t xml:space="preserve">The person must notify ASIC of any significant enforcement action taken, </w:t>
      </w:r>
      <w:r w:rsidR="00B9065A">
        <w:t xml:space="preserve">any </w:t>
      </w:r>
      <w:r>
        <w:t xml:space="preserve">disciplinary action </w:t>
      </w:r>
      <w:proofErr w:type="gramStart"/>
      <w:r>
        <w:t>taken</w:t>
      </w:r>
      <w:proofErr w:type="gramEnd"/>
      <w:r>
        <w:t xml:space="preserve"> or </w:t>
      </w:r>
      <w:r w:rsidR="00B9065A">
        <w:t xml:space="preserve">any </w:t>
      </w:r>
      <w:r>
        <w:t>significant investigation undertaken against the person in any place outside this jurisdiction:</w:t>
      </w:r>
    </w:p>
    <w:p w14:paraId="598050F9" w14:textId="77777777" w:rsidR="00862607" w:rsidRDefault="00862607" w:rsidP="00035B5D">
      <w:pPr>
        <w:pStyle w:val="paragraph"/>
      </w:pPr>
      <w:r>
        <w:tab/>
        <w:t>(a)</w:t>
      </w:r>
      <w:r>
        <w:tab/>
      </w:r>
      <w:r w:rsidR="001A5AD6">
        <w:t xml:space="preserve">as soon as practicable, and before the 15th business day, after the </w:t>
      </w:r>
      <w:r w:rsidR="00B9065A">
        <w:t xml:space="preserve">day on which </w:t>
      </w:r>
      <w:r>
        <w:t>the person becomes aware, or would reasonably be expected to have become aware, of the action or investigation; and</w:t>
      </w:r>
    </w:p>
    <w:p w14:paraId="2AAF3F51" w14:textId="77777777" w:rsidR="00DE66E6" w:rsidRDefault="00DE66E6" w:rsidP="00035B5D">
      <w:pPr>
        <w:pStyle w:val="paragraph"/>
      </w:pPr>
      <w:r>
        <w:tab/>
        <w:t>(b)</w:t>
      </w:r>
      <w:r>
        <w:tab/>
        <w:t>by giving the notice to ASIC in a written form that:</w:t>
      </w:r>
    </w:p>
    <w:p w14:paraId="201CDE9E" w14:textId="77777777" w:rsidR="00DE66E6" w:rsidRDefault="00DE66E6" w:rsidP="00035B5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is approved by ASIC; and</w:t>
      </w:r>
    </w:p>
    <w:p w14:paraId="0E952539" w14:textId="77777777" w:rsidR="00DE66E6" w:rsidRDefault="00DE66E6" w:rsidP="00035B5D">
      <w:pPr>
        <w:pStyle w:val="paragraphsub"/>
      </w:pPr>
      <w:r>
        <w:tab/>
        <w:t>(ii)</w:t>
      </w:r>
      <w:r>
        <w:tab/>
        <w:t xml:space="preserve">includes the information, statements, </w:t>
      </w:r>
      <w:proofErr w:type="gramStart"/>
      <w:r>
        <w:t>explanations</w:t>
      </w:r>
      <w:proofErr w:type="gramEnd"/>
      <w:r>
        <w:t xml:space="preserve"> or other matters required by the approved form; and</w:t>
      </w:r>
    </w:p>
    <w:p w14:paraId="0AC1BCAC" w14:textId="77777777" w:rsidR="00DE66E6" w:rsidRDefault="00DE66E6" w:rsidP="00035B5D">
      <w:pPr>
        <w:pStyle w:val="paragraphsub"/>
      </w:pPr>
      <w:r>
        <w:tab/>
        <w:t>(iii)</w:t>
      </w:r>
      <w:r>
        <w:tab/>
        <w:t>is accompanied by any other material required by the approved form; and</w:t>
      </w:r>
    </w:p>
    <w:p w14:paraId="456FD878" w14:textId="77777777" w:rsidR="00DE66E6" w:rsidRDefault="00DE66E6" w:rsidP="00035B5D">
      <w:pPr>
        <w:pStyle w:val="paragraphsub"/>
      </w:pPr>
      <w:r>
        <w:lastRenderedPageBreak/>
        <w:tab/>
        <w:t>(iv)</w:t>
      </w:r>
      <w:r>
        <w:tab/>
        <w:t>is given in a manner required by the approved form (including in electronic form).</w:t>
      </w:r>
    </w:p>
    <w:p w14:paraId="6ED04018" w14:textId="77777777" w:rsidR="00862607" w:rsidRPr="00B22B87" w:rsidRDefault="00862607" w:rsidP="00035B5D">
      <w:pPr>
        <w:pStyle w:val="subsection"/>
      </w:pPr>
      <w:r>
        <w:tab/>
        <w:t>(</w:t>
      </w:r>
      <w:r w:rsidR="002A3018">
        <w:t>4</w:t>
      </w:r>
      <w:r>
        <w:t>)</w:t>
      </w:r>
      <w:r>
        <w:tab/>
        <w:t>Subsection (</w:t>
      </w:r>
      <w:r w:rsidR="002A3018">
        <w:t>3</w:t>
      </w:r>
      <w:r>
        <w:t xml:space="preserve">) does not apply to the extent that complying with </w:t>
      </w:r>
      <w:r w:rsidR="00724CAC">
        <w:t>subsection (</w:t>
      </w:r>
      <w:r w:rsidR="002A3018">
        <w:t>3</w:t>
      </w:r>
      <w:r>
        <w:t>) would be contrary to another law</w:t>
      </w:r>
      <w:r w:rsidR="000E474A">
        <w:t xml:space="preserve"> in force in this jurisdiction or elsewhere</w:t>
      </w:r>
      <w:r>
        <w:t>.</w:t>
      </w:r>
    </w:p>
    <w:p w14:paraId="4637C404" w14:textId="77777777" w:rsidR="004A482B" w:rsidRDefault="00456E91" w:rsidP="00035B5D">
      <w:pPr>
        <w:pStyle w:val="SubsectionHead"/>
      </w:pPr>
      <w:r>
        <w:t>Having an agent when p</w:t>
      </w:r>
      <w:r w:rsidR="004A482B">
        <w:t>roviding the financial service</w:t>
      </w:r>
    </w:p>
    <w:p w14:paraId="6467AB7C" w14:textId="77777777" w:rsidR="004A482B" w:rsidRDefault="004A482B" w:rsidP="00035B5D">
      <w:pPr>
        <w:pStyle w:val="subsection"/>
      </w:pPr>
      <w:r>
        <w:tab/>
        <w:t>(</w:t>
      </w:r>
      <w:r w:rsidR="002A3018">
        <w:t>5</w:t>
      </w:r>
      <w:r>
        <w:t>)</w:t>
      </w:r>
      <w:r>
        <w:tab/>
        <w:t>The person must</w:t>
      </w:r>
      <w:r w:rsidR="00456E91">
        <w:t xml:space="preserve"> have an agent in this jurisdiction when</w:t>
      </w:r>
      <w:r>
        <w:t xml:space="preserve"> provid</w:t>
      </w:r>
      <w:r w:rsidR="00456E91">
        <w:t>ing</w:t>
      </w:r>
      <w:r>
        <w:t xml:space="preserve"> the financial service unless</w:t>
      </w:r>
      <w:r w:rsidR="00062730">
        <w:t xml:space="preserve"> </w:t>
      </w:r>
      <w:r>
        <w:t>the consecutive period during which the person provid</w:t>
      </w:r>
      <w:r w:rsidR="0005609A">
        <w:t>es</w:t>
      </w:r>
      <w:r>
        <w:t xml:space="preserve"> the financial service </w:t>
      </w:r>
      <w:r w:rsidR="00456E91">
        <w:t>without</w:t>
      </w:r>
      <w:r>
        <w:t xml:space="preserve"> an agent is less than</w:t>
      </w:r>
      <w:r w:rsidR="00382D8E">
        <w:t xml:space="preserve"> </w:t>
      </w:r>
      <w:r>
        <w:t>10 business days.</w:t>
      </w:r>
    </w:p>
    <w:p w14:paraId="782AB2AC" w14:textId="77777777" w:rsidR="004A482B" w:rsidRPr="00A1560F" w:rsidRDefault="004A482B" w:rsidP="00035B5D">
      <w:pPr>
        <w:pStyle w:val="SubsectionHead"/>
      </w:pPr>
      <w:r>
        <w:t>Sufficient oversight over representatives</w:t>
      </w:r>
    </w:p>
    <w:p w14:paraId="19156FA4" w14:textId="77777777" w:rsidR="004A482B" w:rsidRDefault="004A482B" w:rsidP="00035B5D">
      <w:pPr>
        <w:pStyle w:val="subsection"/>
      </w:pPr>
      <w:r>
        <w:tab/>
        <w:t>(</w:t>
      </w:r>
      <w:r w:rsidR="002A3018">
        <w:t>6</w:t>
      </w:r>
      <w:r>
        <w:t>)</w:t>
      </w:r>
      <w:r>
        <w:tab/>
        <w:t>The person must:</w:t>
      </w:r>
    </w:p>
    <w:p w14:paraId="6668A37E" w14:textId="77777777" w:rsidR="004A482B" w:rsidRDefault="004A482B" w:rsidP="00035B5D">
      <w:pPr>
        <w:pStyle w:val="paragraph"/>
      </w:pPr>
      <w:r>
        <w:tab/>
        <w:t>(a)</w:t>
      </w:r>
      <w:r>
        <w:tab/>
        <w:t>maintain sufficient oversight over its representatives</w:t>
      </w:r>
      <w:r w:rsidR="00062730">
        <w:t xml:space="preserve"> </w:t>
      </w:r>
      <w:r>
        <w:t>who provide the financial service; and</w:t>
      </w:r>
    </w:p>
    <w:p w14:paraId="57550C76" w14:textId="77777777" w:rsidR="00062730" w:rsidRDefault="004A482B" w:rsidP="00035B5D">
      <w:pPr>
        <w:pStyle w:val="paragraph"/>
      </w:pPr>
      <w:r>
        <w:tab/>
        <w:t>(b)</w:t>
      </w:r>
      <w:r>
        <w:tab/>
      </w:r>
      <w:r w:rsidR="00062730">
        <w:t>take reasonabl</w:t>
      </w:r>
      <w:r w:rsidR="00A7213C">
        <w:t>e</w:t>
      </w:r>
      <w:r w:rsidR="00062730">
        <w:t xml:space="preserve"> steps to ensure that </w:t>
      </w:r>
      <w:r w:rsidR="00AE62DB">
        <w:t>these</w:t>
      </w:r>
      <w:r w:rsidR="00062730">
        <w:t xml:space="preserve"> representatives comply with the financial services laws</w:t>
      </w:r>
      <w:r w:rsidR="00A7213C">
        <w:t xml:space="preserve"> in relation to providing the financial service</w:t>
      </w:r>
      <w:r w:rsidR="00062730">
        <w:t>.</w:t>
      </w:r>
    </w:p>
    <w:p w14:paraId="74CBF616" w14:textId="77777777" w:rsidR="009C66C8" w:rsidRPr="009C66C8" w:rsidRDefault="009B1834" w:rsidP="00035B5D">
      <w:pPr>
        <w:pStyle w:val="ActHead5"/>
      </w:pPr>
      <w:bookmarkStart w:id="25" w:name="_Toc89955716"/>
      <w:r w:rsidRPr="00605CBB">
        <w:rPr>
          <w:rStyle w:val="CharSectno"/>
        </w:rPr>
        <w:t>911</w:t>
      </w:r>
      <w:proofErr w:type="gramStart"/>
      <w:r w:rsidRPr="00605CBB">
        <w:rPr>
          <w:rStyle w:val="CharSectno"/>
        </w:rPr>
        <w:t>M</w:t>
      </w:r>
      <w:r w:rsidR="00C46BEA">
        <w:t xml:space="preserve">  </w:t>
      </w:r>
      <w:r w:rsidR="009C66C8">
        <w:t>Cancelling</w:t>
      </w:r>
      <w:proofErr w:type="gramEnd"/>
      <w:r w:rsidR="009C66C8">
        <w:t xml:space="preserve"> </w:t>
      </w:r>
      <w:r w:rsidR="00545904">
        <w:t>either</w:t>
      </w:r>
      <w:r w:rsidR="009C66C8">
        <w:t xml:space="preserve"> exemption</w:t>
      </w:r>
      <w:r w:rsidR="001C410B">
        <w:t xml:space="preserve">—person </w:t>
      </w:r>
      <w:r w:rsidR="00592C5D">
        <w:t>contravenes</w:t>
      </w:r>
      <w:r w:rsidR="009C66C8">
        <w:t xml:space="preserve"> a condition for the exemption</w:t>
      </w:r>
      <w:bookmarkEnd w:id="25"/>
    </w:p>
    <w:p w14:paraId="4FACA76C" w14:textId="77777777" w:rsidR="00C46BEA" w:rsidRDefault="00C46BEA" w:rsidP="00035B5D">
      <w:pPr>
        <w:pStyle w:val="subsection"/>
      </w:pPr>
      <w:r w:rsidRPr="006168FA">
        <w:tab/>
        <w:t>(1)</w:t>
      </w:r>
      <w:r w:rsidRPr="006168FA">
        <w:tab/>
        <w:t>ASIC may</w:t>
      </w:r>
      <w:r>
        <w:t>, in writing,</w:t>
      </w:r>
      <w:r w:rsidRPr="006168FA">
        <w:t xml:space="preserve"> </w:t>
      </w:r>
      <w:r>
        <w:t xml:space="preserve">decide to </w:t>
      </w:r>
      <w:r w:rsidRPr="006168FA">
        <w:t xml:space="preserve">cancel an </w:t>
      </w:r>
      <w:r>
        <w:t xml:space="preserve">exemption under </w:t>
      </w:r>
      <w:r w:rsidR="000D2DFF">
        <w:t>paragraph 9</w:t>
      </w:r>
      <w:r>
        <w:t>11A(</w:t>
      </w:r>
      <w:proofErr w:type="gramStart"/>
      <w:r>
        <w:t>2)(</w:t>
      </w:r>
      <w:proofErr w:type="spellStart"/>
      <w:proofErr w:type="gramEnd"/>
      <w:r>
        <w:t>eo</w:t>
      </w:r>
      <w:proofErr w:type="spellEnd"/>
      <w:r>
        <w:t xml:space="preserve">) or (ep) from applying to a person </w:t>
      </w:r>
      <w:r w:rsidR="009C66C8">
        <w:t xml:space="preserve">in relation to a financial service </w:t>
      </w:r>
      <w:r>
        <w:t>if</w:t>
      </w:r>
      <w:r w:rsidR="00DE66E6">
        <w:t xml:space="preserve"> </w:t>
      </w:r>
      <w:r w:rsidR="00724CAC">
        <w:t>subsection (</w:t>
      </w:r>
      <w:r w:rsidR="00531C58">
        <w:t>2</w:t>
      </w:r>
      <w:r w:rsidR="00DE66E6">
        <w:t>) or (</w:t>
      </w:r>
      <w:r w:rsidR="00531C58">
        <w:t>3</w:t>
      </w:r>
      <w:r w:rsidR="00DE66E6">
        <w:t>) of this section applies.</w:t>
      </w:r>
    </w:p>
    <w:p w14:paraId="2D9FB6C6" w14:textId="77777777" w:rsidR="0066426E" w:rsidRDefault="0066426E" w:rsidP="00035B5D">
      <w:pPr>
        <w:pStyle w:val="notetext"/>
      </w:pPr>
      <w:r>
        <w:t>Note:</w:t>
      </w:r>
      <w:r>
        <w:tab/>
        <w:t xml:space="preserve">For an alternative to cancelling the exemption, see </w:t>
      </w:r>
      <w:r w:rsidR="00724CAC">
        <w:t>section 9</w:t>
      </w:r>
      <w:r w:rsidR="009B1834">
        <w:t>11Q</w:t>
      </w:r>
      <w:r>
        <w:t>.</w:t>
      </w:r>
    </w:p>
    <w:p w14:paraId="633389EB" w14:textId="77777777" w:rsidR="00DE66E6" w:rsidRDefault="00DE66E6" w:rsidP="00035B5D">
      <w:pPr>
        <w:pStyle w:val="subsection"/>
      </w:pPr>
      <w:r>
        <w:tab/>
        <w:t>(2)</w:t>
      </w:r>
      <w:r>
        <w:tab/>
        <w:t xml:space="preserve">This </w:t>
      </w:r>
      <w:r w:rsidR="001C410B">
        <w:t>sub</w:t>
      </w:r>
      <w:r>
        <w:t xml:space="preserve">section applies if the person </w:t>
      </w:r>
      <w:r w:rsidR="00592C5D">
        <w:t xml:space="preserve">contravenes </w:t>
      </w:r>
      <w:r>
        <w:t xml:space="preserve">a condition </w:t>
      </w:r>
      <w:r w:rsidR="00592C5D">
        <w:t>for</w:t>
      </w:r>
      <w:r>
        <w:t xml:space="preserve"> the exemption</w:t>
      </w:r>
      <w:r w:rsidR="00956582">
        <w:t xml:space="preserve"> (see </w:t>
      </w:r>
      <w:r w:rsidR="000D2DFF">
        <w:t>subsection 9</w:t>
      </w:r>
      <w:r w:rsidR="00956582">
        <w:t>11</w:t>
      </w:r>
      <w:proofErr w:type="gramStart"/>
      <w:r w:rsidR="00956582">
        <w:t>F(</w:t>
      </w:r>
      <w:proofErr w:type="gramEnd"/>
      <w:r w:rsidR="00956582">
        <w:t>1) or (2))</w:t>
      </w:r>
      <w:r>
        <w:t>.</w:t>
      </w:r>
    </w:p>
    <w:p w14:paraId="4B3EDADB" w14:textId="77777777" w:rsidR="00DE66E6" w:rsidRDefault="00DE66E6" w:rsidP="00035B5D">
      <w:pPr>
        <w:pStyle w:val="subsection"/>
      </w:pPr>
      <w:r>
        <w:tab/>
        <w:t>(3)</w:t>
      </w:r>
      <w:r>
        <w:tab/>
        <w:t xml:space="preserve">This </w:t>
      </w:r>
      <w:r w:rsidR="001C410B">
        <w:t>sub</w:t>
      </w:r>
      <w:r>
        <w:t xml:space="preserve">section applies if the person does not provide ASIC with full particulars of the person’s </w:t>
      </w:r>
      <w:r w:rsidR="00956582">
        <w:t>contravention of</w:t>
      </w:r>
      <w:r>
        <w:t xml:space="preserve"> a condition </w:t>
      </w:r>
      <w:r w:rsidR="00956582">
        <w:t>for</w:t>
      </w:r>
      <w:r>
        <w:t xml:space="preserve"> the exemption:</w:t>
      </w:r>
    </w:p>
    <w:p w14:paraId="455EDF45" w14:textId="77777777" w:rsidR="00DE66E6" w:rsidRPr="00DE66E6" w:rsidRDefault="00DE66E6" w:rsidP="00035B5D">
      <w:pPr>
        <w:pStyle w:val="paragraph"/>
      </w:pPr>
      <w:r>
        <w:tab/>
        <w:t>(a)</w:t>
      </w:r>
      <w:r>
        <w:tab/>
        <w:t>as soon as practicable, and before the 15th business day, af</w:t>
      </w:r>
      <w:r w:rsidRPr="00DE66E6">
        <w:t xml:space="preserve">ter the day on which the person would reasonably be expected to have become aware of the </w:t>
      </w:r>
      <w:r w:rsidR="00956582">
        <w:t xml:space="preserve">contravention </w:t>
      </w:r>
      <w:r w:rsidRPr="00DE66E6">
        <w:t>after having made reasonable enquiries; and</w:t>
      </w:r>
    </w:p>
    <w:p w14:paraId="63A8407E" w14:textId="77777777" w:rsidR="00DE66E6" w:rsidRDefault="00DE66E6" w:rsidP="00035B5D">
      <w:pPr>
        <w:pStyle w:val="paragraph"/>
      </w:pPr>
      <w:r w:rsidRPr="00DE66E6">
        <w:tab/>
        <w:t>(</w:t>
      </w:r>
      <w:r w:rsidR="0066426E">
        <w:t>b</w:t>
      </w:r>
      <w:r w:rsidRPr="00DE66E6">
        <w:t>)</w:t>
      </w:r>
      <w:r w:rsidRPr="00DE66E6">
        <w:tab/>
        <w:t xml:space="preserve">by </w:t>
      </w:r>
      <w:r w:rsidR="0066426E">
        <w:t>giving</w:t>
      </w:r>
      <w:r>
        <w:t xml:space="preserve"> the particulars </w:t>
      </w:r>
      <w:r w:rsidR="0066426E">
        <w:t>to</w:t>
      </w:r>
      <w:r>
        <w:t xml:space="preserve"> ASIC in </w:t>
      </w:r>
      <w:r w:rsidR="0066426E">
        <w:t>a written form that:</w:t>
      </w:r>
    </w:p>
    <w:p w14:paraId="48BF073A" w14:textId="77777777" w:rsidR="0066426E" w:rsidRDefault="0066426E" w:rsidP="00035B5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is approved by ASIC; and</w:t>
      </w:r>
    </w:p>
    <w:p w14:paraId="638513A9" w14:textId="77777777" w:rsidR="0066426E" w:rsidRDefault="0066426E" w:rsidP="00035B5D">
      <w:pPr>
        <w:pStyle w:val="paragraphsub"/>
      </w:pPr>
      <w:r>
        <w:lastRenderedPageBreak/>
        <w:tab/>
        <w:t>(ii)</w:t>
      </w:r>
      <w:r>
        <w:tab/>
        <w:t xml:space="preserve">includes the information, statements, </w:t>
      </w:r>
      <w:proofErr w:type="gramStart"/>
      <w:r>
        <w:t>explanations</w:t>
      </w:r>
      <w:proofErr w:type="gramEnd"/>
      <w:r>
        <w:t xml:space="preserve"> or other matters required by the approved form; and</w:t>
      </w:r>
    </w:p>
    <w:p w14:paraId="03502133" w14:textId="77777777" w:rsidR="0066426E" w:rsidRDefault="0066426E" w:rsidP="00035B5D">
      <w:pPr>
        <w:pStyle w:val="paragraphsub"/>
      </w:pPr>
      <w:r>
        <w:tab/>
        <w:t>(iii)</w:t>
      </w:r>
      <w:r>
        <w:tab/>
        <w:t>is accompanied by any other material required by the approved form; and</w:t>
      </w:r>
    </w:p>
    <w:p w14:paraId="34165D19" w14:textId="77777777" w:rsidR="0066426E" w:rsidRDefault="0066426E" w:rsidP="00035B5D">
      <w:pPr>
        <w:pStyle w:val="paragraphsub"/>
      </w:pPr>
      <w:r>
        <w:tab/>
        <w:t>(iv)</w:t>
      </w:r>
      <w:r>
        <w:tab/>
        <w:t>is given in a manner required by the approved form (including in electronic form).</w:t>
      </w:r>
    </w:p>
    <w:p w14:paraId="58FE4B12" w14:textId="77777777" w:rsidR="009C66C8" w:rsidRPr="009C66C8" w:rsidRDefault="009B1834" w:rsidP="00035B5D">
      <w:pPr>
        <w:pStyle w:val="ActHead5"/>
      </w:pPr>
      <w:bookmarkStart w:id="26" w:name="_Toc89955717"/>
      <w:r w:rsidRPr="00605CBB">
        <w:rPr>
          <w:rStyle w:val="CharSectno"/>
        </w:rPr>
        <w:t>911</w:t>
      </w:r>
      <w:proofErr w:type="gramStart"/>
      <w:r w:rsidRPr="00605CBB">
        <w:rPr>
          <w:rStyle w:val="CharSectno"/>
        </w:rPr>
        <w:t>N</w:t>
      </w:r>
      <w:r w:rsidR="001C410B">
        <w:t xml:space="preserve">  </w:t>
      </w:r>
      <w:r w:rsidR="00880E44">
        <w:t>Cancelling</w:t>
      </w:r>
      <w:proofErr w:type="gramEnd"/>
      <w:r w:rsidR="00880E44">
        <w:t xml:space="preserve"> either exemption</w:t>
      </w:r>
      <w:r w:rsidR="001C410B">
        <w:t xml:space="preserve">—person fails </w:t>
      </w:r>
      <w:r w:rsidR="009C66C8">
        <w:t>the fit and proper person test</w:t>
      </w:r>
      <w:bookmarkEnd w:id="26"/>
    </w:p>
    <w:p w14:paraId="2E92CADB" w14:textId="77777777" w:rsidR="007838D7" w:rsidRDefault="007838D7" w:rsidP="00035B5D">
      <w:pPr>
        <w:pStyle w:val="subsection"/>
      </w:pPr>
      <w:r>
        <w:tab/>
        <w:t>(</w:t>
      </w:r>
      <w:r w:rsidR="002C2B11">
        <w:t>1</w:t>
      </w:r>
      <w:r>
        <w:t>)</w:t>
      </w:r>
      <w:r>
        <w:tab/>
      </w:r>
      <w:r w:rsidRPr="006168FA">
        <w:t>ASIC may</w:t>
      </w:r>
      <w:r>
        <w:t>, in writing,</w:t>
      </w:r>
      <w:r w:rsidRPr="006168FA">
        <w:t xml:space="preserve"> </w:t>
      </w:r>
      <w:r>
        <w:t xml:space="preserve">decide to </w:t>
      </w:r>
      <w:r w:rsidRPr="006168FA">
        <w:t xml:space="preserve">cancel an </w:t>
      </w:r>
      <w:r>
        <w:t xml:space="preserve">exemption under </w:t>
      </w:r>
      <w:r w:rsidR="0041242D">
        <w:t>paragraph 911A(</w:t>
      </w:r>
      <w:proofErr w:type="gramStart"/>
      <w:r w:rsidR="0041242D">
        <w:t>2)(</w:t>
      </w:r>
      <w:proofErr w:type="spellStart"/>
      <w:proofErr w:type="gramEnd"/>
      <w:r w:rsidR="0041242D">
        <w:t>eo</w:t>
      </w:r>
      <w:proofErr w:type="spellEnd"/>
      <w:r w:rsidR="0041242D">
        <w:t xml:space="preserve">) or (ep) </w:t>
      </w:r>
      <w:r>
        <w:t xml:space="preserve">from applying to a person in relation to a financial service if </w:t>
      </w:r>
      <w:r w:rsidRPr="005278B5">
        <w:t xml:space="preserve">ASIC </w:t>
      </w:r>
      <w:r>
        <w:t>reasonably</w:t>
      </w:r>
      <w:r w:rsidRPr="005278B5">
        <w:t xml:space="preserve"> believe</w:t>
      </w:r>
      <w:r>
        <w:t>s</w:t>
      </w:r>
      <w:r w:rsidRPr="005278B5">
        <w:t xml:space="preserve"> that</w:t>
      </w:r>
      <w:r>
        <w:t>:</w:t>
      </w:r>
    </w:p>
    <w:p w14:paraId="507CFAD1" w14:textId="77777777" w:rsidR="007838D7" w:rsidRDefault="007838D7" w:rsidP="00035B5D">
      <w:pPr>
        <w:pStyle w:val="paragraph"/>
      </w:pPr>
      <w:r>
        <w:tab/>
        <w:t>(a)</w:t>
      </w:r>
      <w:r>
        <w:tab/>
      </w:r>
      <w:r w:rsidRPr="005278B5">
        <w:t xml:space="preserve">the person </w:t>
      </w:r>
      <w:r>
        <w:t xml:space="preserve">(the </w:t>
      </w:r>
      <w:r w:rsidRPr="007838D7">
        <w:rPr>
          <w:b/>
          <w:i/>
        </w:rPr>
        <w:t>first person</w:t>
      </w:r>
      <w:r>
        <w:t xml:space="preserve">) </w:t>
      </w:r>
      <w:r w:rsidRPr="005278B5">
        <w:t>is not a fit and proper person to</w:t>
      </w:r>
      <w:r>
        <w:t xml:space="preserve"> provide </w:t>
      </w:r>
      <w:r w:rsidR="0018142A">
        <w:t xml:space="preserve">the </w:t>
      </w:r>
      <w:r>
        <w:t>financial service; or</w:t>
      </w:r>
    </w:p>
    <w:p w14:paraId="65AEF3CC" w14:textId="77777777" w:rsidR="007838D7" w:rsidRDefault="007838D7" w:rsidP="00035B5D">
      <w:pPr>
        <w:pStyle w:val="paragraph"/>
      </w:pPr>
      <w:r>
        <w:tab/>
        <w:t>(b)</w:t>
      </w:r>
      <w:r>
        <w:tab/>
      </w:r>
      <w:r w:rsidR="00ED016D">
        <w:t>a</w:t>
      </w:r>
      <w:r>
        <w:t xml:space="preserve"> person mentioned in a paragraph of </w:t>
      </w:r>
      <w:r w:rsidR="000D2DFF">
        <w:t>subsection 9</w:t>
      </w:r>
      <w:r>
        <w:t>13</w:t>
      </w:r>
      <w:proofErr w:type="gramStart"/>
      <w:r>
        <w:t>BA(</w:t>
      </w:r>
      <w:proofErr w:type="gramEnd"/>
      <w:r>
        <w:t xml:space="preserve">1) in relation to the first person is not a fit and proper person </w:t>
      </w:r>
      <w:r w:rsidR="0018142A">
        <w:t xml:space="preserve">for a purpose mentioned in that </w:t>
      </w:r>
      <w:r w:rsidR="000D2DFF">
        <w:t>paragraph (</w:t>
      </w:r>
      <w:r w:rsidR="0018142A">
        <w:t xml:space="preserve">assuming any reference </w:t>
      </w:r>
      <w:r w:rsidR="00047885">
        <w:t xml:space="preserve">in that paragraph </w:t>
      </w:r>
      <w:r w:rsidR="0018142A">
        <w:t>to a licence were a reference to the exemption).</w:t>
      </w:r>
    </w:p>
    <w:p w14:paraId="03CBCB14" w14:textId="77777777" w:rsidR="009C66C8" w:rsidRDefault="009C66C8" w:rsidP="00035B5D">
      <w:pPr>
        <w:pStyle w:val="subsection"/>
      </w:pPr>
      <w:r>
        <w:tab/>
        <w:t>(</w:t>
      </w:r>
      <w:r w:rsidR="007D3F8E">
        <w:t>2</w:t>
      </w:r>
      <w:r>
        <w:t>)</w:t>
      </w:r>
      <w:r>
        <w:tab/>
        <w:t xml:space="preserve">In considering whether </w:t>
      </w:r>
      <w:r w:rsidR="0018142A">
        <w:t xml:space="preserve">a person referred to in </w:t>
      </w:r>
      <w:r w:rsidR="000D2DFF">
        <w:t>paragraph (</w:t>
      </w:r>
      <w:r w:rsidR="007D3F8E">
        <w:t>1</w:t>
      </w:r>
      <w:r w:rsidR="0018142A">
        <w:t>)</w:t>
      </w:r>
      <w:r w:rsidR="00047885">
        <w:t>(a) or (b)</w:t>
      </w:r>
      <w:r w:rsidR="0018142A">
        <w:t xml:space="preserve"> is fit and proper for a purpose referred to in that </w:t>
      </w:r>
      <w:r w:rsidR="00047885">
        <w:t>paragraph</w:t>
      </w:r>
      <w:r>
        <w:t xml:space="preserve">, </w:t>
      </w:r>
      <w:r w:rsidRPr="00411768">
        <w:t xml:space="preserve">ASIC must have regard to the matters in </w:t>
      </w:r>
      <w:r w:rsidR="00724CAC">
        <w:t>section 9</w:t>
      </w:r>
      <w:r w:rsidRPr="00411768">
        <w:t>13BB.</w:t>
      </w:r>
    </w:p>
    <w:p w14:paraId="3C3A7C4F" w14:textId="77777777" w:rsidR="009C66C8" w:rsidRPr="009C66C8" w:rsidRDefault="009B1834" w:rsidP="00035B5D">
      <w:pPr>
        <w:pStyle w:val="ActHead5"/>
      </w:pPr>
      <w:bookmarkStart w:id="27" w:name="_Toc89955718"/>
      <w:r w:rsidRPr="00605CBB">
        <w:rPr>
          <w:rStyle w:val="CharSectno"/>
        </w:rPr>
        <w:t>911</w:t>
      </w:r>
      <w:proofErr w:type="gramStart"/>
      <w:r w:rsidRPr="00605CBB">
        <w:rPr>
          <w:rStyle w:val="CharSectno"/>
        </w:rPr>
        <w:t>P</w:t>
      </w:r>
      <w:r w:rsidR="009C66C8">
        <w:t xml:space="preserve">  Procedures</w:t>
      </w:r>
      <w:proofErr w:type="gramEnd"/>
      <w:r w:rsidR="009C66C8">
        <w:t xml:space="preserve"> for cancelling an exemption</w:t>
      </w:r>
      <w:bookmarkEnd w:id="27"/>
    </w:p>
    <w:p w14:paraId="2ABFA576" w14:textId="77777777" w:rsidR="00C46BEA" w:rsidRPr="00973115" w:rsidRDefault="00C46BEA" w:rsidP="00035B5D">
      <w:pPr>
        <w:pStyle w:val="SubsectionHead"/>
      </w:pPr>
      <w:r>
        <w:t>ASIC must first give a show cause notice</w:t>
      </w:r>
    </w:p>
    <w:p w14:paraId="153B73A4" w14:textId="77777777" w:rsidR="00C46BEA" w:rsidRDefault="00C46BEA" w:rsidP="00035B5D">
      <w:pPr>
        <w:pStyle w:val="subsection"/>
      </w:pPr>
      <w:r>
        <w:tab/>
        <w:t>(</w:t>
      </w:r>
      <w:r w:rsidR="009C2B61">
        <w:t>1</w:t>
      </w:r>
      <w:r>
        <w:t>)</w:t>
      </w:r>
      <w:r>
        <w:tab/>
        <w:t xml:space="preserve">ASIC may only decide </w:t>
      </w:r>
      <w:r w:rsidR="009C2B61">
        <w:t xml:space="preserve">under </w:t>
      </w:r>
      <w:r w:rsidR="00724CAC">
        <w:t>section 9</w:t>
      </w:r>
      <w:r w:rsidR="009B1834">
        <w:t>11M</w:t>
      </w:r>
      <w:r w:rsidR="009C2B61">
        <w:t xml:space="preserve"> </w:t>
      </w:r>
      <w:r w:rsidR="001C410B">
        <w:t xml:space="preserve">or </w:t>
      </w:r>
      <w:r w:rsidR="009B1834">
        <w:t>911N</w:t>
      </w:r>
      <w:r w:rsidR="001C410B">
        <w:t xml:space="preserve"> </w:t>
      </w:r>
      <w:r>
        <w:t xml:space="preserve">to cancel </w:t>
      </w:r>
      <w:r w:rsidR="009C2B61">
        <w:t>an</w:t>
      </w:r>
      <w:r>
        <w:t xml:space="preserve"> exemption from applying to </w:t>
      </w:r>
      <w:r w:rsidR="009C2B61">
        <w:t>a</w:t>
      </w:r>
      <w:r>
        <w:t xml:space="preserve"> person after:</w:t>
      </w:r>
    </w:p>
    <w:p w14:paraId="24D010E7" w14:textId="77777777" w:rsidR="00C46BEA" w:rsidRDefault="00C46BEA" w:rsidP="00035B5D">
      <w:pPr>
        <w:pStyle w:val="paragraph"/>
      </w:pPr>
      <w:r>
        <w:tab/>
        <w:t>(a)</w:t>
      </w:r>
      <w:r>
        <w:tab/>
      </w:r>
      <w:r w:rsidR="009438CE">
        <w:t xml:space="preserve">taking reasonable steps to </w:t>
      </w:r>
      <w:r w:rsidRPr="003A6DF4">
        <w:t>giv</w:t>
      </w:r>
      <w:r w:rsidR="009438CE">
        <w:t>e</w:t>
      </w:r>
      <w:r>
        <w:t xml:space="preserve"> the person</w:t>
      </w:r>
      <w:r w:rsidRPr="003A6DF4">
        <w:t xml:space="preserve"> written notice </w:t>
      </w:r>
      <w:r>
        <w:t>of:</w:t>
      </w:r>
    </w:p>
    <w:p w14:paraId="5D253BD8" w14:textId="77777777" w:rsidR="00C46BEA" w:rsidRDefault="00C46BEA" w:rsidP="00035B5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proposed cancellation and the reasons for it; and</w:t>
      </w:r>
    </w:p>
    <w:p w14:paraId="7875A3B5" w14:textId="77777777" w:rsidR="00C46BEA" w:rsidRDefault="00C46BEA" w:rsidP="00035B5D">
      <w:pPr>
        <w:pStyle w:val="paragraphsub"/>
      </w:pPr>
      <w:r>
        <w:tab/>
        <w:t>(ii)</w:t>
      </w:r>
      <w:r>
        <w:tab/>
        <w:t>the opportunity to appear (or be represented) at a hearing before ASIC that takes place in private, and to make submissions to ASIC in relation to the matter; and</w:t>
      </w:r>
    </w:p>
    <w:p w14:paraId="54165994" w14:textId="77777777" w:rsidR="00C46BEA" w:rsidRDefault="00C46BEA" w:rsidP="00035B5D">
      <w:pPr>
        <w:pStyle w:val="paragraph"/>
      </w:pPr>
      <w:r>
        <w:tab/>
        <w:t>(b)</w:t>
      </w:r>
      <w:r>
        <w:tab/>
      </w:r>
      <w:proofErr w:type="gramStart"/>
      <w:r>
        <w:t>taking into account</w:t>
      </w:r>
      <w:proofErr w:type="gramEnd"/>
      <w:r>
        <w:t xml:space="preserve"> any information given to ASIC at such a hearing</w:t>
      </w:r>
      <w:r w:rsidR="00B9078F">
        <w:t xml:space="preserve"> or in such submissions</w:t>
      </w:r>
      <w:r>
        <w:t>.</w:t>
      </w:r>
    </w:p>
    <w:p w14:paraId="7877624C" w14:textId="77777777" w:rsidR="006948A1" w:rsidRPr="00FB0423" w:rsidRDefault="006948A1" w:rsidP="00035B5D">
      <w:pPr>
        <w:pStyle w:val="notetext"/>
      </w:pPr>
      <w:r>
        <w:t>Note:</w:t>
      </w:r>
      <w:r>
        <w:tab/>
        <w:t xml:space="preserve">A hearing mentioned in </w:t>
      </w:r>
      <w:r w:rsidR="00724CAC">
        <w:t>sub</w:t>
      </w:r>
      <w:r w:rsidR="000D2DFF">
        <w:t>paragraph (</w:t>
      </w:r>
      <w:r>
        <w:t xml:space="preserve">a)(ii) could take place virtually (see </w:t>
      </w:r>
      <w:r w:rsidR="00724CAC">
        <w:t>section 9</w:t>
      </w:r>
      <w:r w:rsidR="009B1834">
        <w:t>11S</w:t>
      </w:r>
      <w:r>
        <w:t>).</w:t>
      </w:r>
    </w:p>
    <w:p w14:paraId="1702EE28" w14:textId="77777777" w:rsidR="00C46BEA" w:rsidRDefault="00C46BEA" w:rsidP="00035B5D">
      <w:pPr>
        <w:pStyle w:val="SubsectionHead"/>
      </w:pPr>
      <w:r>
        <w:lastRenderedPageBreak/>
        <w:t>Notice of cancellation</w:t>
      </w:r>
    </w:p>
    <w:p w14:paraId="66772169" w14:textId="77777777" w:rsidR="00C46BEA" w:rsidRDefault="00C46BEA" w:rsidP="00035B5D">
      <w:pPr>
        <w:pStyle w:val="subsection"/>
      </w:pPr>
      <w:r>
        <w:tab/>
        <w:t>(</w:t>
      </w:r>
      <w:r w:rsidR="0070064D">
        <w:t>2</w:t>
      </w:r>
      <w:r>
        <w:t>)</w:t>
      </w:r>
      <w:r>
        <w:tab/>
        <w:t xml:space="preserve">If ASIC decides under </w:t>
      </w:r>
      <w:r w:rsidR="00724CAC">
        <w:t>section 9</w:t>
      </w:r>
      <w:r w:rsidR="009B1834">
        <w:t>11M</w:t>
      </w:r>
      <w:r>
        <w:t xml:space="preserve"> </w:t>
      </w:r>
      <w:r w:rsidR="001C410B">
        <w:t xml:space="preserve">or </w:t>
      </w:r>
      <w:r w:rsidR="009B1834">
        <w:t>911N</w:t>
      </w:r>
      <w:r w:rsidR="001C410B">
        <w:t xml:space="preserve"> </w:t>
      </w:r>
      <w:r>
        <w:t xml:space="preserve">to </w:t>
      </w:r>
      <w:r w:rsidRPr="006168FA">
        <w:t xml:space="preserve">cancel </w:t>
      </w:r>
      <w:r w:rsidR="009C2B61">
        <w:t>an</w:t>
      </w:r>
      <w:r w:rsidRPr="006168FA">
        <w:t xml:space="preserve"> </w:t>
      </w:r>
      <w:r>
        <w:t xml:space="preserve">exemption from applying to </w:t>
      </w:r>
      <w:r w:rsidR="009C2B61">
        <w:t>a</w:t>
      </w:r>
      <w:r>
        <w:t xml:space="preserve"> person, ASIC must </w:t>
      </w:r>
      <w:r w:rsidR="00EE47B1">
        <w:t xml:space="preserve">take reasonable steps to </w:t>
      </w:r>
      <w:r>
        <w:t>give the person written notice of:</w:t>
      </w:r>
    </w:p>
    <w:p w14:paraId="0349B1C8" w14:textId="77777777" w:rsidR="00C46BEA" w:rsidRPr="0076778C" w:rsidRDefault="00C46BEA" w:rsidP="00035B5D">
      <w:pPr>
        <w:pStyle w:val="paragraph"/>
      </w:pPr>
      <w:r>
        <w:tab/>
        <w:t>(a)</w:t>
      </w:r>
      <w:r>
        <w:tab/>
        <w:t>the cancellation and the reasons for it</w:t>
      </w:r>
      <w:r w:rsidRPr="0076778C">
        <w:t>;</w:t>
      </w:r>
      <w:r>
        <w:t xml:space="preserve"> and</w:t>
      </w:r>
    </w:p>
    <w:p w14:paraId="3D360A11" w14:textId="77777777" w:rsidR="00C46BEA" w:rsidRDefault="00C46BEA" w:rsidP="00035B5D">
      <w:pPr>
        <w:pStyle w:val="paragraph"/>
      </w:pPr>
      <w:r w:rsidRPr="0076778C">
        <w:tab/>
        <w:t>(</w:t>
      </w:r>
      <w:r>
        <w:t>b</w:t>
      </w:r>
      <w:r w:rsidRPr="0076778C">
        <w:t>)</w:t>
      </w:r>
      <w:r w:rsidRPr="0076778C">
        <w:tab/>
        <w:t xml:space="preserve">the day the </w:t>
      </w:r>
      <w:r>
        <w:t>cancell</w:t>
      </w:r>
      <w:r w:rsidRPr="0076778C">
        <w:t xml:space="preserve">ation is to take effect (which must not be before the day the notice is given to the </w:t>
      </w:r>
      <w:r>
        <w:t>person</w:t>
      </w:r>
      <w:r w:rsidRPr="0076778C">
        <w:t>)</w:t>
      </w:r>
      <w:r>
        <w:t>.</w:t>
      </w:r>
    </w:p>
    <w:p w14:paraId="5D2D01CC" w14:textId="77777777" w:rsidR="00C46BEA" w:rsidRDefault="00C46BEA" w:rsidP="00035B5D">
      <w:pPr>
        <w:pStyle w:val="notetext"/>
      </w:pPr>
      <w:r>
        <w:t>Note:</w:t>
      </w:r>
      <w:r>
        <w:tab/>
        <w:t xml:space="preserve">The notice could also include notice of the person’s right to seek review of the decision (see </w:t>
      </w:r>
      <w:r w:rsidR="00F5454E">
        <w:t>subsection 1</w:t>
      </w:r>
      <w:r>
        <w:t>317</w:t>
      </w:r>
      <w:proofErr w:type="gramStart"/>
      <w:r>
        <w:t>D(</w:t>
      </w:r>
      <w:proofErr w:type="gramEnd"/>
      <w:r>
        <w:t>2)).</w:t>
      </w:r>
    </w:p>
    <w:p w14:paraId="22AAD4DD" w14:textId="77777777" w:rsidR="00E17424" w:rsidRDefault="009B1834" w:rsidP="00035B5D">
      <w:pPr>
        <w:pStyle w:val="ActHead5"/>
      </w:pPr>
      <w:bookmarkStart w:id="28" w:name="_Toc89955719"/>
      <w:r w:rsidRPr="00605CBB">
        <w:rPr>
          <w:rStyle w:val="CharSectno"/>
        </w:rPr>
        <w:t>911</w:t>
      </w:r>
      <w:proofErr w:type="gramStart"/>
      <w:r w:rsidRPr="00605CBB">
        <w:rPr>
          <w:rStyle w:val="CharSectno"/>
        </w:rPr>
        <w:t>Q</w:t>
      </w:r>
      <w:r w:rsidR="00E17424">
        <w:t xml:space="preserve">  </w:t>
      </w:r>
      <w:r w:rsidR="00DF6EB1">
        <w:t>Imposing</w:t>
      </w:r>
      <w:proofErr w:type="gramEnd"/>
      <w:r w:rsidR="00DF6EB1">
        <w:t xml:space="preserve"> additional conditions as an a</w:t>
      </w:r>
      <w:r w:rsidR="00E17424">
        <w:t xml:space="preserve">lternative to cancelling </w:t>
      </w:r>
      <w:r w:rsidR="00CC467F">
        <w:t>an</w:t>
      </w:r>
      <w:r w:rsidR="00E17424">
        <w:t xml:space="preserve"> exemption</w:t>
      </w:r>
      <w:bookmarkEnd w:id="28"/>
    </w:p>
    <w:p w14:paraId="0EB4EF64" w14:textId="77777777" w:rsidR="00E17424" w:rsidRDefault="00E17424" w:rsidP="00035B5D">
      <w:pPr>
        <w:pStyle w:val="subsection"/>
      </w:pPr>
      <w:r>
        <w:tab/>
      </w:r>
      <w:r w:rsidRPr="001B2E68">
        <w:t>(1)</w:t>
      </w:r>
      <w:r w:rsidRPr="001B2E68">
        <w:tab/>
      </w:r>
      <w:r w:rsidR="001B2E68" w:rsidRPr="001B2E68">
        <w:t xml:space="preserve">If </w:t>
      </w:r>
      <w:r w:rsidR="000D2DFF">
        <w:t>subsection 9</w:t>
      </w:r>
      <w:r w:rsidR="009B1834">
        <w:t>11</w:t>
      </w:r>
      <w:proofErr w:type="gramStart"/>
      <w:r w:rsidR="009B1834">
        <w:t>M</w:t>
      </w:r>
      <w:r w:rsidR="001B2E68" w:rsidRPr="001B2E68">
        <w:t>(</w:t>
      </w:r>
      <w:proofErr w:type="gramEnd"/>
      <w:r w:rsidR="001C410B">
        <w:t>2</w:t>
      </w:r>
      <w:r w:rsidR="001B2E68" w:rsidRPr="001B2E68">
        <w:t>)</w:t>
      </w:r>
      <w:r w:rsidR="001C410B">
        <w:t xml:space="preserve"> or (3)</w:t>
      </w:r>
      <w:r w:rsidR="001B2E68">
        <w:t xml:space="preserve"> applies to a person and </w:t>
      </w:r>
      <w:r w:rsidR="00CC467F">
        <w:t>an</w:t>
      </w:r>
      <w:r w:rsidR="001B2E68">
        <w:t xml:space="preserve"> exemption, ASIC may, in writing, decide to impose one or more additional conditions for the </w:t>
      </w:r>
      <w:r w:rsidR="00591E2D">
        <w:t xml:space="preserve">exemption’s </w:t>
      </w:r>
      <w:r w:rsidR="00107BB6">
        <w:t>future</w:t>
      </w:r>
      <w:r w:rsidR="00591E2D">
        <w:t xml:space="preserve"> application to the </w:t>
      </w:r>
      <w:r w:rsidR="001B2E68">
        <w:t>person.</w:t>
      </w:r>
    </w:p>
    <w:p w14:paraId="4E507F48" w14:textId="77777777" w:rsidR="00062A7E" w:rsidRDefault="00B20EAB" w:rsidP="00035B5D">
      <w:pPr>
        <w:pStyle w:val="notetext"/>
      </w:pPr>
      <w:r>
        <w:t>Note</w:t>
      </w:r>
      <w:r w:rsidR="0070064D">
        <w:t xml:space="preserve"> 1</w:t>
      </w:r>
      <w:r>
        <w:t>:</w:t>
      </w:r>
      <w:r>
        <w:tab/>
      </w:r>
      <w:r w:rsidR="00062A7E">
        <w:t xml:space="preserve">If the person </w:t>
      </w:r>
      <w:r w:rsidR="0070064D">
        <w:t>contravenes</w:t>
      </w:r>
      <w:r w:rsidR="00062A7E">
        <w:t xml:space="preserve"> any of these additional conditions, </w:t>
      </w:r>
      <w:r>
        <w:t>ASIC may</w:t>
      </w:r>
      <w:r w:rsidR="00062A7E">
        <w:t>:</w:t>
      </w:r>
    </w:p>
    <w:p w14:paraId="012FD097" w14:textId="77777777" w:rsidR="00062A7E" w:rsidRDefault="00062A7E" w:rsidP="00035B5D">
      <w:pPr>
        <w:pStyle w:val="notepara"/>
      </w:pPr>
      <w:r>
        <w:t>(a)</w:t>
      </w:r>
      <w:r>
        <w:tab/>
      </w:r>
      <w:r w:rsidR="00B20EAB">
        <w:t xml:space="preserve">cancel the exemption </w:t>
      </w:r>
      <w:r>
        <w:t xml:space="preserve">(see </w:t>
      </w:r>
      <w:r w:rsidR="00724CAC">
        <w:t>section 9</w:t>
      </w:r>
      <w:r w:rsidR="009B1834">
        <w:t>11M</w:t>
      </w:r>
      <w:r>
        <w:t>); or</w:t>
      </w:r>
    </w:p>
    <w:p w14:paraId="2261E5C2" w14:textId="77777777" w:rsidR="00B20EAB" w:rsidRDefault="00062A7E" w:rsidP="00035B5D">
      <w:pPr>
        <w:pStyle w:val="notepara"/>
      </w:pPr>
      <w:r>
        <w:t>(b)</w:t>
      </w:r>
      <w:r>
        <w:tab/>
        <w:t>vary the additional condition, or impose another additional condition, under this section.</w:t>
      </w:r>
    </w:p>
    <w:p w14:paraId="20B80019" w14:textId="77777777" w:rsidR="0070064D" w:rsidRPr="0070064D" w:rsidRDefault="0070064D" w:rsidP="00035B5D">
      <w:pPr>
        <w:pStyle w:val="notetext"/>
      </w:pPr>
      <w:r>
        <w:t>Note 2:</w:t>
      </w:r>
      <w:r>
        <w:tab/>
        <w:t xml:space="preserve">The contravention may also result in a civil penalty (see </w:t>
      </w:r>
      <w:r w:rsidR="000D2DFF">
        <w:t>subsection 9</w:t>
      </w:r>
      <w:r>
        <w:t>11</w:t>
      </w:r>
      <w:proofErr w:type="gramStart"/>
      <w:r>
        <w:t>F(</w:t>
      </w:r>
      <w:proofErr w:type="gramEnd"/>
      <w:r>
        <w:t>3)).</w:t>
      </w:r>
    </w:p>
    <w:p w14:paraId="4DE87C09" w14:textId="77777777" w:rsidR="00DF6EB1" w:rsidRDefault="001B2E68" w:rsidP="00035B5D">
      <w:pPr>
        <w:pStyle w:val="subsection"/>
      </w:pPr>
      <w:r>
        <w:tab/>
        <w:t>(2)</w:t>
      </w:r>
      <w:r>
        <w:tab/>
        <w:t>ASIC may, in writing, vary or revoke</w:t>
      </w:r>
      <w:r w:rsidR="00DF6EB1">
        <w:t xml:space="preserve"> a condition imposed under </w:t>
      </w:r>
      <w:r w:rsidR="00724CAC">
        <w:t>subsection (</w:t>
      </w:r>
      <w:r w:rsidR="00DF6EB1">
        <w:t>1):</w:t>
      </w:r>
    </w:p>
    <w:p w14:paraId="6AEB4942" w14:textId="77777777" w:rsidR="00DF6EB1" w:rsidRDefault="00DF6EB1" w:rsidP="00035B5D">
      <w:pPr>
        <w:pStyle w:val="paragraph"/>
      </w:pPr>
      <w:r>
        <w:tab/>
        <w:t>(a)</w:t>
      </w:r>
      <w:r>
        <w:tab/>
        <w:t xml:space="preserve">on the person’s request under </w:t>
      </w:r>
      <w:r w:rsidR="00724CAC">
        <w:t>subsection (</w:t>
      </w:r>
      <w:r>
        <w:t>3); or</w:t>
      </w:r>
    </w:p>
    <w:p w14:paraId="5F66655B" w14:textId="77777777" w:rsidR="00DF6EB1" w:rsidRPr="00DF6EB1" w:rsidRDefault="00DF6EB1" w:rsidP="00035B5D">
      <w:pPr>
        <w:pStyle w:val="paragraph"/>
      </w:pPr>
      <w:r>
        <w:tab/>
        <w:t>(b)</w:t>
      </w:r>
      <w:r>
        <w:tab/>
        <w:t>on ASIC’s own initiative.</w:t>
      </w:r>
    </w:p>
    <w:p w14:paraId="764B41FA" w14:textId="77777777" w:rsidR="00426E90" w:rsidRDefault="00DF6EB1" w:rsidP="00035B5D">
      <w:pPr>
        <w:pStyle w:val="subsection"/>
      </w:pPr>
      <w:r>
        <w:tab/>
        <w:t>(3)</w:t>
      </w:r>
      <w:r>
        <w:tab/>
        <w:t xml:space="preserve">The person may request a condition imposed under </w:t>
      </w:r>
      <w:r w:rsidR="00724CAC">
        <w:t>subsection (</w:t>
      </w:r>
      <w:r>
        <w:t xml:space="preserve">1) to be varied or revoked by </w:t>
      </w:r>
      <w:r w:rsidR="00426E90">
        <w:t>giving</w:t>
      </w:r>
      <w:r>
        <w:t xml:space="preserve"> the request </w:t>
      </w:r>
      <w:r w:rsidR="00426E90">
        <w:t>to</w:t>
      </w:r>
      <w:r>
        <w:t xml:space="preserve"> ASIC </w:t>
      </w:r>
      <w:r w:rsidR="00426E90">
        <w:t>in a written form that:</w:t>
      </w:r>
    </w:p>
    <w:p w14:paraId="402EFF91" w14:textId="77777777" w:rsidR="00426E90" w:rsidRPr="00426E90" w:rsidRDefault="00426E90" w:rsidP="00035B5D">
      <w:pPr>
        <w:pStyle w:val="paragraph"/>
      </w:pPr>
      <w:r>
        <w:tab/>
        <w:t>(a)</w:t>
      </w:r>
      <w:r>
        <w:tab/>
        <w:t>is a</w:t>
      </w:r>
      <w:r w:rsidRPr="00426E90">
        <w:t>pproved by ASIC; and</w:t>
      </w:r>
    </w:p>
    <w:p w14:paraId="660F3F4E" w14:textId="77777777" w:rsidR="00426E90" w:rsidRPr="00426E90" w:rsidRDefault="00426E90" w:rsidP="00035B5D">
      <w:pPr>
        <w:pStyle w:val="paragraph"/>
      </w:pPr>
      <w:r w:rsidRPr="00426E90">
        <w:tab/>
        <w:t>(</w:t>
      </w:r>
      <w:r>
        <w:t>b</w:t>
      </w:r>
      <w:r w:rsidRPr="00426E90">
        <w:t>)</w:t>
      </w:r>
      <w:r w:rsidRPr="00426E90">
        <w:tab/>
        <w:t xml:space="preserve">includes the information, statements, </w:t>
      </w:r>
      <w:proofErr w:type="gramStart"/>
      <w:r w:rsidRPr="00426E90">
        <w:t>explanations</w:t>
      </w:r>
      <w:proofErr w:type="gramEnd"/>
      <w:r w:rsidRPr="00426E90">
        <w:t xml:space="preserve"> or other matters required by the approved form; and</w:t>
      </w:r>
    </w:p>
    <w:p w14:paraId="71FC872C" w14:textId="77777777" w:rsidR="00426E90" w:rsidRPr="00426E90" w:rsidRDefault="00426E90" w:rsidP="00035B5D">
      <w:pPr>
        <w:pStyle w:val="paragraph"/>
      </w:pPr>
      <w:r w:rsidRPr="00426E90">
        <w:tab/>
        <w:t>(</w:t>
      </w:r>
      <w:r>
        <w:t>c</w:t>
      </w:r>
      <w:r w:rsidRPr="00426E90">
        <w:t>)</w:t>
      </w:r>
      <w:r w:rsidRPr="00426E90">
        <w:tab/>
        <w:t>is accompanied by any other material required by the approved form; and</w:t>
      </w:r>
    </w:p>
    <w:p w14:paraId="7FDA9C24" w14:textId="77777777" w:rsidR="00426E90" w:rsidRDefault="00426E90" w:rsidP="00035B5D">
      <w:pPr>
        <w:pStyle w:val="paragraph"/>
      </w:pPr>
      <w:r w:rsidRPr="00426E90">
        <w:tab/>
        <w:t>(</w:t>
      </w:r>
      <w:r>
        <w:t>d</w:t>
      </w:r>
      <w:r w:rsidRPr="00426E90">
        <w:t>)</w:t>
      </w:r>
      <w:r w:rsidRPr="00426E90">
        <w:tab/>
        <w:t>is g</w:t>
      </w:r>
      <w:r>
        <w:t>iven in a manner required by the approved form (including in electronic form).</w:t>
      </w:r>
    </w:p>
    <w:p w14:paraId="00A50658" w14:textId="77777777" w:rsidR="00DF6EB1" w:rsidRDefault="009B1834" w:rsidP="00035B5D">
      <w:pPr>
        <w:pStyle w:val="ActHead5"/>
      </w:pPr>
      <w:bookmarkStart w:id="29" w:name="_Toc89955720"/>
      <w:r w:rsidRPr="00605CBB">
        <w:rPr>
          <w:rStyle w:val="CharSectno"/>
        </w:rPr>
        <w:lastRenderedPageBreak/>
        <w:t>911</w:t>
      </w:r>
      <w:proofErr w:type="gramStart"/>
      <w:r w:rsidRPr="00605CBB">
        <w:rPr>
          <w:rStyle w:val="CharSectno"/>
        </w:rPr>
        <w:t>R</w:t>
      </w:r>
      <w:r w:rsidR="00DF6EB1">
        <w:t xml:space="preserve">  Procedures</w:t>
      </w:r>
      <w:proofErr w:type="gramEnd"/>
      <w:r w:rsidR="00DF6EB1">
        <w:t xml:space="preserve"> for additional conditions</w:t>
      </w:r>
      <w:bookmarkEnd w:id="29"/>
    </w:p>
    <w:p w14:paraId="55F11BC9" w14:textId="77777777" w:rsidR="00DF6EB1" w:rsidRDefault="00DF6EB1" w:rsidP="00035B5D">
      <w:pPr>
        <w:pStyle w:val="subsection"/>
      </w:pPr>
      <w:r>
        <w:tab/>
        <w:t>(1)</w:t>
      </w:r>
      <w:r>
        <w:tab/>
        <w:t xml:space="preserve">This section applies if ASIC is proposing to </w:t>
      </w:r>
      <w:r w:rsidR="007E2567">
        <w:t>make</w:t>
      </w:r>
      <w:r>
        <w:t xml:space="preserve"> any of the following </w:t>
      </w:r>
      <w:r w:rsidR="007E2567">
        <w:t>decisions</w:t>
      </w:r>
      <w:r>
        <w:t xml:space="preserve"> (the </w:t>
      </w:r>
      <w:r w:rsidR="007E2567">
        <w:rPr>
          <w:b/>
          <w:i/>
        </w:rPr>
        <w:t>proposed</w:t>
      </w:r>
      <w:r w:rsidRPr="00DF6EB1">
        <w:rPr>
          <w:b/>
          <w:i/>
        </w:rPr>
        <w:t xml:space="preserve"> </w:t>
      </w:r>
      <w:r w:rsidR="007E2567">
        <w:rPr>
          <w:b/>
          <w:i/>
        </w:rPr>
        <w:t>decision</w:t>
      </w:r>
      <w:r>
        <w:t xml:space="preserve">) under </w:t>
      </w:r>
      <w:r w:rsidR="00724CAC">
        <w:t>section 9</w:t>
      </w:r>
      <w:r w:rsidR="009B1834">
        <w:t>11Q</w:t>
      </w:r>
      <w:r>
        <w:t xml:space="preserve"> in relation to a person:</w:t>
      </w:r>
    </w:p>
    <w:p w14:paraId="1DC3C23E" w14:textId="77777777" w:rsidR="00DF6EB1" w:rsidRDefault="00DF6EB1" w:rsidP="00035B5D">
      <w:pPr>
        <w:pStyle w:val="paragraph"/>
      </w:pPr>
      <w:r>
        <w:tab/>
        <w:t>(a)</w:t>
      </w:r>
      <w:r>
        <w:tab/>
        <w:t xml:space="preserve">impose an additional </w:t>
      </w:r>
      <w:proofErr w:type="gramStart"/>
      <w:r>
        <w:t>condition;</w:t>
      </w:r>
      <w:proofErr w:type="gramEnd"/>
    </w:p>
    <w:p w14:paraId="79FF89C1" w14:textId="77777777" w:rsidR="00DF6EB1" w:rsidRDefault="00DF6EB1" w:rsidP="00035B5D">
      <w:pPr>
        <w:pStyle w:val="paragraph"/>
      </w:pPr>
      <w:r>
        <w:tab/>
        <w:t>(b)</w:t>
      </w:r>
      <w:r>
        <w:tab/>
        <w:t xml:space="preserve">vary an additional condition on ASIC’s own </w:t>
      </w:r>
      <w:proofErr w:type="gramStart"/>
      <w:r>
        <w:t>initiative;</w:t>
      </w:r>
      <w:proofErr w:type="gramEnd"/>
    </w:p>
    <w:p w14:paraId="5B54AB05" w14:textId="77777777" w:rsidR="00DF6EB1" w:rsidRPr="00DF6EB1" w:rsidRDefault="00DF6EB1" w:rsidP="00035B5D">
      <w:pPr>
        <w:pStyle w:val="paragraph"/>
      </w:pPr>
      <w:r>
        <w:tab/>
        <w:t>(c)</w:t>
      </w:r>
      <w:r>
        <w:tab/>
        <w:t xml:space="preserve">refuse to comply with a request made by the person under </w:t>
      </w:r>
      <w:r w:rsidR="000D2DFF">
        <w:t>subsection 9</w:t>
      </w:r>
      <w:r w:rsidR="009B1834">
        <w:t>11</w:t>
      </w:r>
      <w:proofErr w:type="gramStart"/>
      <w:r w:rsidR="009B1834">
        <w:t>Q</w:t>
      </w:r>
      <w:r>
        <w:t>(</w:t>
      </w:r>
      <w:proofErr w:type="gramEnd"/>
      <w:r>
        <w:t>3).</w:t>
      </w:r>
    </w:p>
    <w:p w14:paraId="5A31CD09" w14:textId="77777777" w:rsidR="00DF6EB1" w:rsidRPr="00973115" w:rsidRDefault="00DF6EB1" w:rsidP="00035B5D">
      <w:pPr>
        <w:pStyle w:val="SubsectionHead"/>
      </w:pPr>
      <w:r>
        <w:t>ASIC must first give a show cause notice</w:t>
      </w:r>
    </w:p>
    <w:p w14:paraId="4393B387" w14:textId="77777777" w:rsidR="00DF6EB1" w:rsidRDefault="00DF6EB1" w:rsidP="00035B5D">
      <w:pPr>
        <w:pStyle w:val="subsection"/>
      </w:pPr>
      <w:r>
        <w:tab/>
        <w:t>(</w:t>
      </w:r>
      <w:r w:rsidR="007E2567">
        <w:t>2</w:t>
      </w:r>
      <w:r>
        <w:t>)</w:t>
      </w:r>
      <w:r>
        <w:tab/>
        <w:t xml:space="preserve">ASIC may only </w:t>
      </w:r>
      <w:r w:rsidR="007E2567">
        <w:t xml:space="preserve">make the proposed decision </w:t>
      </w:r>
      <w:r>
        <w:t>after:</w:t>
      </w:r>
    </w:p>
    <w:p w14:paraId="145B130B" w14:textId="77777777" w:rsidR="00DF6EB1" w:rsidRDefault="00DF6EB1" w:rsidP="00035B5D">
      <w:pPr>
        <w:pStyle w:val="paragraph"/>
      </w:pPr>
      <w:r>
        <w:tab/>
        <w:t>(a)</w:t>
      </w:r>
      <w:r>
        <w:tab/>
      </w:r>
      <w:r w:rsidR="00EE47B1">
        <w:t xml:space="preserve">taking reasonable steps to </w:t>
      </w:r>
      <w:r w:rsidR="00EE47B1" w:rsidRPr="003A6DF4">
        <w:t>giv</w:t>
      </w:r>
      <w:r w:rsidR="00EE47B1">
        <w:t xml:space="preserve">e </w:t>
      </w:r>
      <w:r>
        <w:t>the person</w:t>
      </w:r>
      <w:r w:rsidRPr="003A6DF4">
        <w:t xml:space="preserve"> written notice </w:t>
      </w:r>
      <w:r>
        <w:t>of:</w:t>
      </w:r>
    </w:p>
    <w:p w14:paraId="04F64E0A" w14:textId="77777777" w:rsidR="00DF6EB1" w:rsidRDefault="00DF6EB1" w:rsidP="00035B5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the proposed </w:t>
      </w:r>
      <w:r w:rsidR="007E2567">
        <w:t>decision</w:t>
      </w:r>
      <w:r>
        <w:t xml:space="preserve"> and the reasons for it; and</w:t>
      </w:r>
    </w:p>
    <w:p w14:paraId="781C7C38" w14:textId="77777777" w:rsidR="00DF6EB1" w:rsidRDefault="00DF6EB1" w:rsidP="00035B5D">
      <w:pPr>
        <w:pStyle w:val="paragraphsub"/>
      </w:pPr>
      <w:r>
        <w:tab/>
        <w:t>(ii)</w:t>
      </w:r>
      <w:r>
        <w:tab/>
        <w:t>the opportunity to appear (or be represented) at a hearing before ASIC that takes place in private, and to make submissions to ASIC in relation to the matter; and</w:t>
      </w:r>
    </w:p>
    <w:p w14:paraId="77D65F16" w14:textId="77777777" w:rsidR="00DF6EB1" w:rsidRDefault="00DF6EB1" w:rsidP="00035B5D">
      <w:pPr>
        <w:pStyle w:val="paragraph"/>
      </w:pPr>
      <w:r>
        <w:tab/>
        <w:t>(b)</w:t>
      </w:r>
      <w:r>
        <w:tab/>
      </w:r>
      <w:proofErr w:type="gramStart"/>
      <w:r>
        <w:t>taking into account</w:t>
      </w:r>
      <w:proofErr w:type="gramEnd"/>
      <w:r>
        <w:t xml:space="preserve"> any information given to ASIC at such a hearing</w:t>
      </w:r>
      <w:r w:rsidR="00F52197">
        <w:t xml:space="preserve"> or in such submissions</w:t>
      </w:r>
      <w:r>
        <w:t>.</w:t>
      </w:r>
    </w:p>
    <w:p w14:paraId="760ABAD0" w14:textId="77777777" w:rsidR="00DF6EB1" w:rsidRPr="00FB0423" w:rsidRDefault="00DF6EB1" w:rsidP="00035B5D">
      <w:pPr>
        <w:pStyle w:val="notetext"/>
      </w:pPr>
      <w:r>
        <w:t>Note:</w:t>
      </w:r>
      <w:r>
        <w:tab/>
        <w:t xml:space="preserve">A hearing mentioned in </w:t>
      </w:r>
      <w:r w:rsidR="00724CAC">
        <w:t>sub</w:t>
      </w:r>
      <w:r w:rsidR="000D2DFF">
        <w:t>paragraph (</w:t>
      </w:r>
      <w:r>
        <w:t>a)(ii) could take place virtually</w:t>
      </w:r>
      <w:r w:rsidR="006948A1">
        <w:t xml:space="preserve"> (see </w:t>
      </w:r>
      <w:r w:rsidR="00724CAC">
        <w:t>section 9</w:t>
      </w:r>
      <w:r w:rsidR="009B1834">
        <w:t>11S</w:t>
      </w:r>
      <w:r w:rsidR="006948A1">
        <w:t>)</w:t>
      </w:r>
      <w:r>
        <w:t>.</w:t>
      </w:r>
    </w:p>
    <w:p w14:paraId="14ADA617" w14:textId="77777777" w:rsidR="00DF6EB1" w:rsidRDefault="00DF6EB1" w:rsidP="00035B5D">
      <w:pPr>
        <w:pStyle w:val="SubsectionHead"/>
      </w:pPr>
      <w:r>
        <w:t xml:space="preserve">Notice of </w:t>
      </w:r>
      <w:r w:rsidR="007E2567">
        <w:t>making the proposed decision</w:t>
      </w:r>
    </w:p>
    <w:p w14:paraId="64C982D1" w14:textId="77777777" w:rsidR="00DF6EB1" w:rsidRDefault="00DF6EB1" w:rsidP="00035B5D">
      <w:pPr>
        <w:pStyle w:val="subsection"/>
      </w:pPr>
      <w:r>
        <w:tab/>
        <w:t>(</w:t>
      </w:r>
      <w:r w:rsidR="007E2567">
        <w:t>3</w:t>
      </w:r>
      <w:r>
        <w:t>)</w:t>
      </w:r>
      <w:r>
        <w:tab/>
        <w:t xml:space="preserve">If ASIC </w:t>
      </w:r>
      <w:r w:rsidR="007E2567">
        <w:t>makes the proposed decision</w:t>
      </w:r>
      <w:r>
        <w:t xml:space="preserve">, ASIC must </w:t>
      </w:r>
      <w:r w:rsidR="00EE47B1">
        <w:t xml:space="preserve">take reasonable steps to </w:t>
      </w:r>
      <w:r w:rsidR="00EE47B1" w:rsidRPr="003A6DF4">
        <w:t>giv</w:t>
      </w:r>
      <w:r w:rsidR="00EE47B1">
        <w:t xml:space="preserve">e </w:t>
      </w:r>
      <w:r>
        <w:t>the person written notice of:</w:t>
      </w:r>
    </w:p>
    <w:p w14:paraId="21AC6A30" w14:textId="77777777" w:rsidR="00DF6EB1" w:rsidRPr="0076778C" w:rsidRDefault="00DF6EB1" w:rsidP="00035B5D">
      <w:pPr>
        <w:pStyle w:val="paragraph"/>
      </w:pPr>
      <w:r>
        <w:tab/>
        <w:t>(a)</w:t>
      </w:r>
      <w:r>
        <w:tab/>
        <w:t xml:space="preserve">the </w:t>
      </w:r>
      <w:r w:rsidR="007E2567">
        <w:t>decision</w:t>
      </w:r>
      <w:r>
        <w:t xml:space="preserve"> and the reasons for it</w:t>
      </w:r>
      <w:r w:rsidRPr="0076778C">
        <w:t>;</w:t>
      </w:r>
      <w:r>
        <w:t xml:space="preserve"> and</w:t>
      </w:r>
    </w:p>
    <w:p w14:paraId="6E727A3E" w14:textId="77777777" w:rsidR="00DF6EB1" w:rsidRDefault="00DF6EB1" w:rsidP="00035B5D">
      <w:pPr>
        <w:pStyle w:val="paragraph"/>
      </w:pPr>
      <w:r w:rsidRPr="0076778C">
        <w:tab/>
        <w:t>(</w:t>
      </w:r>
      <w:r>
        <w:t>b</w:t>
      </w:r>
      <w:r w:rsidRPr="0076778C">
        <w:t>)</w:t>
      </w:r>
      <w:r w:rsidRPr="0076778C">
        <w:tab/>
        <w:t xml:space="preserve">the day the </w:t>
      </w:r>
      <w:r w:rsidR="007E2567">
        <w:t>decision</w:t>
      </w:r>
      <w:r w:rsidRPr="0076778C">
        <w:t xml:space="preserve"> is to take effect (which must not be before the day the notice is given to the </w:t>
      </w:r>
      <w:r>
        <w:t>person</w:t>
      </w:r>
      <w:r w:rsidRPr="0076778C">
        <w:t>)</w:t>
      </w:r>
      <w:r>
        <w:t>.</w:t>
      </w:r>
    </w:p>
    <w:p w14:paraId="38C88F50" w14:textId="77777777" w:rsidR="00DF6EB1" w:rsidRDefault="00DF6EB1" w:rsidP="00035B5D">
      <w:pPr>
        <w:pStyle w:val="notetext"/>
      </w:pPr>
      <w:r>
        <w:t>Note:</w:t>
      </w:r>
      <w:r>
        <w:tab/>
        <w:t xml:space="preserve">The notice could also include notice of the person’s right to seek review of the decision (see </w:t>
      </w:r>
      <w:r w:rsidR="00F5454E">
        <w:t>subsection 1</w:t>
      </w:r>
      <w:r>
        <w:t>317</w:t>
      </w:r>
      <w:proofErr w:type="gramStart"/>
      <w:r>
        <w:t>D(</w:t>
      </w:r>
      <w:proofErr w:type="gramEnd"/>
      <w:r>
        <w:t>2)).</w:t>
      </w:r>
    </w:p>
    <w:p w14:paraId="012ED465" w14:textId="77777777" w:rsidR="006948A1" w:rsidRDefault="009B1834" w:rsidP="00035B5D">
      <w:pPr>
        <w:pStyle w:val="ActHead5"/>
      </w:pPr>
      <w:bookmarkStart w:id="30" w:name="_Toc89955721"/>
      <w:r w:rsidRPr="00605CBB">
        <w:rPr>
          <w:rStyle w:val="CharSectno"/>
        </w:rPr>
        <w:t>911</w:t>
      </w:r>
      <w:proofErr w:type="gramStart"/>
      <w:r w:rsidRPr="00605CBB">
        <w:rPr>
          <w:rStyle w:val="CharSectno"/>
        </w:rPr>
        <w:t>S</w:t>
      </w:r>
      <w:r w:rsidR="006948A1">
        <w:t xml:space="preserve">  Proceedings</w:t>
      </w:r>
      <w:proofErr w:type="gramEnd"/>
      <w:r w:rsidR="006948A1">
        <w:t xml:space="preserve"> at hearings</w:t>
      </w:r>
      <w:bookmarkEnd w:id="30"/>
    </w:p>
    <w:p w14:paraId="7C96E27B" w14:textId="77777777" w:rsidR="006948A1" w:rsidRDefault="006948A1" w:rsidP="00035B5D">
      <w:pPr>
        <w:pStyle w:val="subsection"/>
      </w:pPr>
      <w:r>
        <w:tab/>
        <w:t>(1)</w:t>
      </w:r>
      <w:r>
        <w:tab/>
        <w:t xml:space="preserve">For the purposes of a hearing referred to in </w:t>
      </w:r>
      <w:r w:rsidR="00724CAC">
        <w:t>sub</w:t>
      </w:r>
      <w:r w:rsidR="000D2DFF">
        <w:t>paragraph 9</w:t>
      </w:r>
      <w:r w:rsidR="009B1834" w:rsidRPr="00724CAC">
        <w:t>11P</w:t>
      </w:r>
      <w:r w:rsidRPr="00724CAC">
        <w:t xml:space="preserve">(1)(a)(ii) or </w:t>
      </w:r>
      <w:r w:rsidR="009B1834">
        <w:t>911R</w:t>
      </w:r>
      <w:r>
        <w:t>(2)(a)(ii), ASIC may decide to hold all or part of the hearing:</w:t>
      </w:r>
    </w:p>
    <w:p w14:paraId="437B86F0" w14:textId="77777777" w:rsidR="006948A1" w:rsidRPr="006948A1" w:rsidRDefault="006948A1" w:rsidP="00035B5D">
      <w:pPr>
        <w:pStyle w:val="paragraph"/>
      </w:pPr>
      <w:r>
        <w:tab/>
        <w:t>(a)</w:t>
      </w:r>
      <w:r>
        <w:tab/>
        <w:t>at a particu</w:t>
      </w:r>
      <w:r w:rsidRPr="006948A1">
        <w:t>lar place; or</w:t>
      </w:r>
    </w:p>
    <w:p w14:paraId="74F48D1C" w14:textId="77777777" w:rsidR="006948A1" w:rsidRDefault="006948A1" w:rsidP="00035B5D">
      <w:pPr>
        <w:pStyle w:val="paragraph"/>
      </w:pPr>
      <w:r w:rsidRPr="006948A1">
        <w:tab/>
        <w:t>(b)</w:t>
      </w:r>
      <w:r w:rsidRPr="006948A1">
        <w:tab/>
        <w:t xml:space="preserve">using any technology that allows </w:t>
      </w:r>
      <w:r>
        <w:t>an individual</w:t>
      </w:r>
      <w:r w:rsidRPr="006948A1">
        <w:t xml:space="preserve"> to participate in the hearing, or t</w:t>
      </w:r>
      <w:r>
        <w:t>hat part of the hearing, without being physically present at the hearing or that part of the hearing.</w:t>
      </w:r>
    </w:p>
    <w:p w14:paraId="64D668E6" w14:textId="77777777" w:rsidR="006948A1" w:rsidRDefault="006948A1" w:rsidP="00035B5D">
      <w:pPr>
        <w:pStyle w:val="subsection"/>
      </w:pPr>
      <w:r>
        <w:lastRenderedPageBreak/>
        <w:tab/>
        <w:t>(2)</w:t>
      </w:r>
      <w:r>
        <w:tab/>
        <w:t xml:space="preserve">If ASIC decides to hold all or part of a hearing using technology of a kind mentioned in </w:t>
      </w:r>
      <w:r w:rsidR="000D2DFF">
        <w:t>paragraph (</w:t>
      </w:r>
      <w:r w:rsidR="00685722">
        <w:t>1)</w:t>
      </w:r>
      <w:r>
        <w:t>(b):</w:t>
      </w:r>
    </w:p>
    <w:p w14:paraId="108337F8" w14:textId="77777777" w:rsidR="006948A1" w:rsidRPr="006948A1" w:rsidRDefault="006948A1" w:rsidP="00035B5D">
      <w:pPr>
        <w:pStyle w:val="paragraph"/>
      </w:pPr>
      <w:r>
        <w:tab/>
        <w:t>(a)</w:t>
      </w:r>
      <w:r>
        <w:tab/>
        <w:t>each participant in the hearing (including ASIC and the person appearing at the hearing</w:t>
      </w:r>
      <w:r w:rsidRPr="006948A1">
        <w:t>) may use that technology to participate in the hearing or that part of the hearing; and</w:t>
      </w:r>
    </w:p>
    <w:p w14:paraId="1506D49A" w14:textId="77777777" w:rsidR="006948A1" w:rsidRDefault="006948A1" w:rsidP="00035B5D">
      <w:pPr>
        <w:pStyle w:val="paragraph"/>
      </w:pPr>
      <w:r w:rsidRPr="006948A1">
        <w:tab/>
        <w:t>(b)</w:t>
      </w:r>
      <w:r w:rsidRPr="006948A1">
        <w:tab/>
        <w:t>the</w:t>
      </w:r>
      <w:r>
        <w:t xml:space="preserve"> hearing or that part of the hearing may be held at 2 or more places at the same time.</w:t>
      </w:r>
    </w:p>
    <w:p w14:paraId="4216D191" w14:textId="77777777" w:rsidR="00993707" w:rsidRDefault="003D579E" w:rsidP="00035B5D">
      <w:pPr>
        <w:pStyle w:val="ActHead5"/>
      </w:pPr>
      <w:bookmarkStart w:id="31" w:name="_Toc89955722"/>
      <w:r w:rsidRPr="00605CBB">
        <w:rPr>
          <w:rStyle w:val="CharSectno"/>
        </w:rPr>
        <w:t>911</w:t>
      </w:r>
      <w:proofErr w:type="gramStart"/>
      <w:r w:rsidRPr="00605CBB">
        <w:rPr>
          <w:rStyle w:val="CharSectno"/>
        </w:rPr>
        <w:t>T</w:t>
      </w:r>
      <w:r w:rsidR="00993707">
        <w:t xml:space="preserve">  List</w:t>
      </w:r>
      <w:proofErr w:type="gramEnd"/>
      <w:r w:rsidR="00993707">
        <w:t xml:space="preserve"> of comparable regulators</w:t>
      </w:r>
      <w:bookmarkEnd w:id="31"/>
    </w:p>
    <w:p w14:paraId="0072754E" w14:textId="77777777" w:rsidR="00993707" w:rsidRDefault="00993707" w:rsidP="00035B5D">
      <w:pPr>
        <w:pStyle w:val="subsection"/>
      </w:pPr>
      <w:r>
        <w:tab/>
        <w:t>(1)</w:t>
      </w:r>
      <w:r>
        <w:tab/>
        <w:t>The Minister may</w:t>
      </w:r>
      <w:r w:rsidR="009A7DDF">
        <w:t>,</w:t>
      </w:r>
      <w:r>
        <w:t xml:space="preserve"> by legislative instrument</w:t>
      </w:r>
      <w:r w:rsidR="009A7DDF">
        <w:t xml:space="preserve">, </w:t>
      </w:r>
      <w:r>
        <w:t xml:space="preserve">determine regulators that administer comparable regulatory regimes of authorisations, </w:t>
      </w:r>
      <w:proofErr w:type="gramStart"/>
      <w:r>
        <w:t>registrations</w:t>
      </w:r>
      <w:proofErr w:type="gramEnd"/>
      <w:r>
        <w:t xml:space="preserve"> or licences (however described) necessary to legally provide financial services in places outside this jurisdiction</w:t>
      </w:r>
      <w:r w:rsidR="009A7DDF">
        <w:t>.</w:t>
      </w:r>
    </w:p>
    <w:p w14:paraId="420AEBB5" w14:textId="77777777" w:rsidR="009A7DDF" w:rsidRDefault="00993707" w:rsidP="00035B5D">
      <w:pPr>
        <w:pStyle w:val="notetext"/>
      </w:pPr>
      <w:r>
        <w:t>Note</w:t>
      </w:r>
      <w:r w:rsidR="009A7DDF">
        <w:t>:</w:t>
      </w:r>
      <w:r>
        <w:tab/>
        <w:t xml:space="preserve">Regulators determined under </w:t>
      </w:r>
      <w:r w:rsidR="009A7DDF">
        <w:t>this subsection</w:t>
      </w:r>
      <w:r>
        <w:t xml:space="preserve"> are relevant for</w:t>
      </w:r>
      <w:r w:rsidR="009A7DDF">
        <w:t>:</w:t>
      </w:r>
    </w:p>
    <w:p w14:paraId="38014557" w14:textId="77777777" w:rsidR="00993707" w:rsidRDefault="009A7DDF" w:rsidP="00035B5D">
      <w:pPr>
        <w:pStyle w:val="notepara"/>
      </w:pPr>
      <w:r>
        <w:t>(a)</w:t>
      </w:r>
      <w:r>
        <w:tab/>
      </w:r>
      <w:r w:rsidR="00993707">
        <w:t xml:space="preserve">the licensing exemption under </w:t>
      </w:r>
      <w:r w:rsidR="000D2DFF">
        <w:t>paragraph 9</w:t>
      </w:r>
      <w:r w:rsidR="00993707">
        <w:t>11A(</w:t>
      </w:r>
      <w:proofErr w:type="gramStart"/>
      <w:r w:rsidR="00993707">
        <w:t>2)(</w:t>
      </w:r>
      <w:proofErr w:type="gramEnd"/>
      <w:r w:rsidR="00993707">
        <w:t>ep)</w:t>
      </w:r>
      <w:r>
        <w:t>; and</w:t>
      </w:r>
    </w:p>
    <w:p w14:paraId="23CDDD98" w14:textId="77777777" w:rsidR="00993707" w:rsidRPr="001E3CD7" w:rsidRDefault="009A7DDF" w:rsidP="00035B5D">
      <w:pPr>
        <w:pStyle w:val="notepara"/>
      </w:pPr>
      <w:r>
        <w:t>(b)</w:t>
      </w:r>
      <w:r>
        <w:tab/>
      </w:r>
      <w:r w:rsidR="00993707">
        <w:t>the exemptions in sub</w:t>
      </w:r>
      <w:r w:rsidR="00724CAC">
        <w:t>sections 9</w:t>
      </w:r>
      <w:r w:rsidR="00993707">
        <w:t>13B(2A) and 914B(2A) from the fit and proper person test.</w:t>
      </w:r>
    </w:p>
    <w:p w14:paraId="2BBAD288" w14:textId="77777777" w:rsidR="00993707" w:rsidRPr="00767EBF" w:rsidRDefault="00993707" w:rsidP="00035B5D">
      <w:pPr>
        <w:pStyle w:val="SubsectionHead"/>
      </w:pPr>
      <w:r>
        <w:t>Matters to have regard when making determinations</w:t>
      </w:r>
    </w:p>
    <w:p w14:paraId="392B7BBB" w14:textId="77777777" w:rsidR="00993707" w:rsidRDefault="00993707" w:rsidP="00035B5D">
      <w:pPr>
        <w:pStyle w:val="subsection"/>
      </w:pPr>
      <w:r>
        <w:tab/>
        <w:t>(2)</w:t>
      </w:r>
      <w:r>
        <w:tab/>
        <w:t xml:space="preserve">In deciding whether to determine a regulator under </w:t>
      </w:r>
      <w:r w:rsidR="00F73089">
        <w:t>subsection</w:t>
      </w:r>
      <w:r w:rsidR="000D2DFF">
        <w:t> (</w:t>
      </w:r>
      <w:r>
        <w:t>1), the Minister must have regard to:</w:t>
      </w:r>
    </w:p>
    <w:p w14:paraId="543683FB" w14:textId="77777777" w:rsidR="00993707" w:rsidRDefault="00993707" w:rsidP="00035B5D">
      <w:pPr>
        <w:pStyle w:val="paragraph"/>
      </w:pPr>
      <w:r>
        <w:tab/>
        <w:t>(a)</w:t>
      </w:r>
      <w:r>
        <w:tab/>
        <w:t>whether the regulatory regime that the regulator administers produces comparable outcomes to this jurisdiction in regulating and improving the performance of:</w:t>
      </w:r>
    </w:p>
    <w:p w14:paraId="4A722639" w14:textId="77777777" w:rsidR="00993707" w:rsidRDefault="00993707" w:rsidP="00035B5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relevant financial services system; and</w:t>
      </w:r>
    </w:p>
    <w:p w14:paraId="18314415" w14:textId="77777777" w:rsidR="00993707" w:rsidRDefault="00993707" w:rsidP="00035B5D">
      <w:pPr>
        <w:pStyle w:val="paragraphsub"/>
      </w:pPr>
      <w:r>
        <w:tab/>
        <w:t>(ii)</w:t>
      </w:r>
      <w:r>
        <w:tab/>
        <w:t>the financial services providers in that system; and</w:t>
      </w:r>
    </w:p>
    <w:p w14:paraId="350D9845" w14:textId="77777777" w:rsidR="00993707" w:rsidRDefault="00993707" w:rsidP="00035B5D">
      <w:pPr>
        <w:pStyle w:val="paragraph"/>
      </w:pPr>
      <w:r>
        <w:tab/>
        <w:t>(b)</w:t>
      </w:r>
      <w:r>
        <w:tab/>
        <w:t xml:space="preserve">whether that regulatory regime is clear, transparent, </w:t>
      </w:r>
      <w:proofErr w:type="gramStart"/>
      <w:r>
        <w:t>certain</w:t>
      </w:r>
      <w:proofErr w:type="gramEnd"/>
      <w:r>
        <w:t xml:space="preserve"> and adequately enforced; and</w:t>
      </w:r>
    </w:p>
    <w:p w14:paraId="65976335" w14:textId="77777777" w:rsidR="00993707" w:rsidRDefault="00993707" w:rsidP="00035B5D">
      <w:pPr>
        <w:pStyle w:val="paragraph"/>
        <w:rPr>
          <w:color w:val="000000"/>
          <w:szCs w:val="22"/>
        </w:rPr>
      </w:pPr>
      <w:r>
        <w:tab/>
        <w:t>(c)</w:t>
      </w:r>
      <w:r>
        <w:tab/>
        <w:t>whether that regulatory regime is broadly consistent with the Objectives and Principles of Securities Regulation</w:t>
      </w:r>
      <w:r w:rsidRPr="00D102D4">
        <w:rPr>
          <w:szCs w:val="22"/>
        </w:rPr>
        <w:t xml:space="preserve">, developed by the </w:t>
      </w:r>
      <w:r w:rsidRPr="00D102D4">
        <w:rPr>
          <w:color w:val="000000"/>
          <w:szCs w:val="22"/>
        </w:rPr>
        <w:t>International Organization</w:t>
      </w:r>
      <w:bookmarkStart w:id="32" w:name="BK_S1P15L22C44"/>
      <w:bookmarkEnd w:id="32"/>
      <w:r w:rsidRPr="00D102D4">
        <w:rPr>
          <w:color w:val="000000"/>
          <w:szCs w:val="22"/>
        </w:rPr>
        <w:t xml:space="preserve"> of Securities Commissions</w:t>
      </w:r>
      <w:r>
        <w:rPr>
          <w:color w:val="000000"/>
          <w:szCs w:val="22"/>
        </w:rPr>
        <w:t xml:space="preserve"> (</w:t>
      </w:r>
      <w:r w:rsidRPr="00A612C2">
        <w:rPr>
          <w:b/>
          <w:i/>
          <w:color w:val="000000"/>
          <w:szCs w:val="22"/>
        </w:rPr>
        <w:t>IOSCO</w:t>
      </w:r>
      <w:r>
        <w:rPr>
          <w:color w:val="000000"/>
          <w:szCs w:val="22"/>
        </w:rPr>
        <w:t>) and as in force from time</w:t>
      </w:r>
      <w:bookmarkStart w:id="33" w:name="BK_S1P15L23C46"/>
      <w:bookmarkEnd w:id="33"/>
      <w:r>
        <w:rPr>
          <w:color w:val="000000"/>
          <w:szCs w:val="22"/>
        </w:rPr>
        <w:t xml:space="preserve"> to time; and</w:t>
      </w:r>
    </w:p>
    <w:p w14:paraId="7BC5E7C7" w14:textId="77777777" w:rsidR="00993707" w:rsidRDefault="00993707" w:rsidP="00035B5D">
      <w:pPr>
        <w:pStyle w:val="paragraph"/>
      </w:pPr>
      <w:r>
        <w:rPr>
          <w:color w:val="000000"/>
          <w:szCs w:val="22"/>
        </w:rPr>
        <w:tab/>
        <w:t>(d)</w:t>
      </w:r>
      <w:r>
        <w:rPr>
          <w:color w:val="000000"/>
          <w:szCs w:val="22"/>
        </w:rPr>
        <w:tab/>
      </w:r>
      <w:r>
        <w:t>whether the regulator:</w:t>
      </w:r>
    </w:p>
    <w:p w14:paraId="7259C356" w14:textId="77777777" w:rsidR="00993707" w:rsidRDefault="00993707" w:rsidP="00035B5D">
      <w:pPr>
        <w:pStyle w:val="paragraphsub"/>
        <w:rPr>
          <w:color w:val="000000"/>
          <w:szCs w:val="22"/>
        </w:rPr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is a signatory to the </w:t>
      </w:r>
      <w:r w:rsidRPr="00D102D4">
        <w:t>Multilateral Memorandum of Understanding Concerning Consultation and Cooperation and the Exchange of</w:t>
      </w:r>
      <w:r w:rsidRPr="00D102D4">
        <w:rPr>
          <w:szCs w:val="22"/>
        </w:rPr>
        <w:t xml:space="preserve"> Information, developed by the </w:t>
      </w:r>
      <w:r w:rsidRPr="00D102D4">
        <w:rPr>
          <w:color w:val="000000"/>
          <w:szCs w:val="22"/>
        </w:rPr>
        <w:t>I</w:t>
      </w:r>
      <w:r>
        <w:rPr>
          <w:color w:val="000000"/>
          <w:szCs w:val="22"/>
        </w:rPr>
        <w:t>OSCO and as in force from time</w:t>
      </w:r>
      <w:bookmarkStart w:id="34" w:name="BK_S1P15L29C49"/>
      <w:bookmarkEnd w:id="34"/>
      <w:r>
        <w:rPr>
          <w:color w:val="000000"/>
          <w:szCs w:val="22"/>
        </w:rPr>
        <w:t xml:space="preserve"> to time; or</w:t>
      </w:r>
    </w:p>
    <w:p w14:paraId="78A7B8CB" w14:textId="77777777" w:rsidR="00993707" w:rsidRDefault="00993707" w:rsidP="00035B5D">
      <w:pPr>
        <w:pStyle w:val="paragraphsub"/>
        <w:rPr>
          <w:color w:val="000000"/>
          <w:szCs w:val="22"/>
        </w:rPr>
      </w:pPr>
      <w:r>
        <w:rPr>
          <w:color w:val="000000"/>
          <w:szCs w:val="22"/>
        </w:rPr>
        <w:lastRenderedPageBreak/>
        <w:tab/>
        <w:t>(ii)</w:t>
      </w:r>
      <w:r>
        <w:rPr>
          <w:color w:val="000000"/>
          <w:szCs w:val="22"/>
        </w:rPr>
        <w:tab/>
        <w:t>is a party to any other effective cooperation arrangement with ASIC; and</w:t>
      </w:r>
    </w:p>
    <w:p w14:paraId="55693C01" w14:textId="77777777" w:rsidR="00090201" w:rsidRDefault="00090201" w:rsidP="00035B5D">
      <w:pPr>
        <w:pStyle w:val="paragraph"/>
      </w:pPr>
      <w:r>
        <w:tab/>
        <w:t>(e)</w:t>
      </w:r>
      <w:r>
        <w:tab/>
        <w:t xml:space="preserve">any relevant submission received from any entity in relation to the regulator or </w:t>
      </w:r>
      <w:r w:rsidR="00521B37">
        <w:t>that regulatory regime; and</w:t>
      </w:r>
    </w:p>
    <w:p w14:paraId="412FE0BC" w14:textId="77777777" w:rsidR="00993707" w:rsidRDefault="00993707" w:rsidP="00035B5D">
      <w:pPr>
        <w:pStyle w:val="paragraph"/>
      </w:pPr>
      <w:r>
        <w:tab/>
        <w:t>(</w:t>
      </w:r>
      <w:r w:rsidR="00521B37">
        <w:t>f)</w:t>
      </w:r>
      <w:r>
        <w:tab/>
        <w:t>any relevant advice (including any assessment) received from ASIC</w:t>
      </w:r>
      <w:r w:rsidR="00FC7F3D">
        <w:t xml:space="preserve"> in relation to the regulator or that regulatory regime</w:t>
      </w:r>
      <w:r>
        <w:t>; and</w:t>
      </w:r>
    </w:p>
    <w:p w14:paraId="64CD5520" w14:textId="77777777" w:rsidR="00993707" w:rsidRDefault="00993707" w:rsidP="00035B5D">
      <w:pPr>
        <w:pStyle w:val="paragraph"/>
      </w:pPr>
      <w:r>
        <w:tab/>
        <w:t>(</w:t>
      </w:r>
      <w:r w:rsidR="00521B37">
        <w:t>g</w:t>
      </w:r>
      <w:r>
        <w:t>)</w:t>
      </w:r>
      <w:r>
        <w:tab/>
        <w:t>any other matters prescribed by the regulation</w:t>
      </w:r>
      <w:bookmarkStart w:id="35" w:name="BK_S1P15L38C52"/>
      <w:bookmarkEnd w:id="35"/>
      <w:r>
        <w:t>s for the purposes of this paragraph.</w:t>
      </w:r>
    </w:p>
    <w:p w14:paraId="34479BBF" w14:textId="77777777" w:rsidR="00993707" w:rsidRPr="00DE1029" w:rsidRDefault="00993707" w:rsidP="00035B5D">
      <w:pPr>
        <w:pStyle w:val="subsection2"/>
      </w:pPr>
      <w:r w:rsidRPr="00DE1029">
        <w:t>The Minister may also have regard to any other matter that the Minister considers relevant.</w:t>
      </w:r>
    </w:p>
    <w:p w14:paraId="3A2EB02D" w14:textId="77777777" w:rsidR="00993707" w:rsidRPr="00D102D4" w:rsidRDefault="00993707" w:rsidP="00035B5D">
      <w:pPr>
        <w:pStyle w:val="notetext"/>
        <w:rPr>
          <w:szCs w:val="18"/>
        </w:rPr>
      </w:pPr>
      <w:r w:rsidRPr="00D102D4">
        <w:rPr>
          <w:szCs w:val="18"/>
        </w:rPr>
        <w:t>Note:</w:t>
      </w:r>
      <w:r w:rsidRPr="00D102D4">
        <w:rPr>
          <w:szCs w:val="18"/>
        </w:rPr>
        <w:tab/>
        <w:t xml:space="preserve">The </w:t>
      </w:r>
      <w:r>
        <w:rPr>
          <w:szCs w:val="18"/>
        </w:rPr>
        <w:t xml:space="preserve">regulation mentioned in </w:t>
      </w:r>
      <w:r w:rsidR="000D2DFF">
        <w:rPr>
          <w:szCs w:val="18"/>
        </w:rPr>
        <w:t>paragraph (</w:t>
      </w:r>
      <w:r>
        <w:rPr>
          <w:szCs w:val="18"/>
        </w:rPr>
        <w:t xml:space="preserve">c), and the </w:t>
      </w:r>
      <w:r w:rsidRPr="00D102D4">
        <w:rPr>
          <w:szCs w:val="18"/>
        </w:rPr>
        <w:t xml:space="preserve">memorandum </w:t>
      </w:r>
      <w:r>
        <w:rPr>
          <w:szCs w:val="18"/>
        </w:rPr>
        <w:t>mentioned</w:t>
      </w:r>
      <w:r w:rsidRPr="00D102D4">
        <w:rPr>
          <w:szCs w:val="18"/>
        </w:rPr>
        <w:t xml:space="preserve"> in </w:t>
      </w:r>
      <w:r w:rsidR="00724CAC">
        <w:rPr>
          <w:szCs w:val="18"/>
        </w:rPr>
        <w:t>sub</w:t>
      </w:r>
      <w:r w:rsidR="000D2DFF">
        <w:rPr>
          <w:szCs w:val="18"/>
        </w:rPr>
        <w:t>paragraph (</w:t>
      </w:r>
      <w:r>
        <w:rPr>
          <w:szCs w:val="18"/>
        </w:rPr>
        <w:t>d</w:t>
      </w:r>
      <w:r w:rsidRPr="00D102D4">
        <w:rPr>
          <w:szCs w:val="18"/>
        </w:rPr>
        <w:t>)</w:t>
      </w:r>
      <w:r>
        <w:rPr>
          <w:szCs w:val="18"/>
        </w:rPr>
        <w:t>(</w:t>
      </w:r>
      <w:proofErr w:type="spellStart"/>
      <w:r>
        <w:rPr>
          <w:szCs w:val="18"/>
        </w:rPr>
        <w:t>i</w:t>
      </w:r>
      <w:proofErr w:type="spellEnd"/>
      <w:r>
        <w:rPr>
          <w:szCs w:val="18"/>
        </w:rPr>
        <w:t>),</w:t>
      </w:r>
      <w:r w:rsidRPr="00D102D4">
        <w:rPr>
          <w:szCs w:val="18"/>
        </w:rPr>
        <w:t xml:space="preserve"> could in 2021 be viewed on IOSCO’s website (see https://www.iosco.org).</w:t>
      </w:r>
    </w:p>
    <w:p w14:paraId="2C297442" w14:textId="77777777" w:rsidR="00993707" w:rsidRDefault="00993707" w:rsidP="00035B5D">
      <w:pPr>
        <w:pStyle w:val="subsection"/>
      </w:pPr>
      <w:r>
        <w:tab/>
        <w:t>(3)</w:t>
      </w:r>
      <w:r>
        <w:tab/>
        <w:t xml:space="preserve">To assist the </w:t>
      </w:r>
      <w:proofErr w:type="gramStart"/>
      <w:r>
        <w:t>Minister</w:t>
      </w:r>
      <w:proofErr w:type="gramEnd"/>
      <w:r>
        <w:t xml:space="preserve"> decide whether to </w:t>
      </w:r>
      <w:r w:rsidR="0070064D">
        <w:t xml:space="preserve">determine a regulator </w:t>
      </w:r>
      <w:r>
        <w:t xml:space="preserve">under </w:t>
      </w:r>
      <w:r w:rsidR="00F73089">
        <w:t>subsection</w:t>
      </w:r>
      <w:r w:rsidR="000D2DFF">
        <w:t> (</w:t>
      </w:r>
      <w:r>
        <w:t>1), ASIC may:</w:t>
      </w:r>
    </w:p>
    <w:p w14:paraId="4D5DCD82" w14:textId="77777777" w:rsidR="00993707" w:rsidRDefault="00993707" w:rsidP="00035B5D">
      <w:pPr>
        <w:pStyle w:val="paragraph"/>
      </w:pPr>
      <w:r>
        <w:tab/>
        <w:t>(a)</w:t>
      </w:r>
      <w:r>
        <w:tab/>
        <w:t>give advice to the Minister; and</w:t>
      </w:r>
    </w:p>
    <w:p w14:paraId="22A1E3A6" w14:textId="77777777" w:rsidR="00993707" w:rsidRDefault="00993707" w:rsidP="00035B5D">
      <w:pPr>
        <w:pStyle w:val="paragraph"/>
      </w:pPr>
      <w:r>
        <w:tab/>
        <w:t>(b)</w:t>
      </w:r>
      <w:r>
        <w:tab/>
        <w:t xml:space="preserve">if the Minister requests, include with the advice an assessment of one or more of the matters in </w:t>
      </w:r>
      <w:r w:rsidR="00724CAC">
        <w:t>subsection (</w:t>
      </w:r>
      <w:r>
        <w:t>2) in relation to the regulator</w:t>
      </w:r>
      <w:r w:rsidR="00FC7F3D">
        <w:t xml:space="preserve"> or the regulatory regime that the regulator administers</w:t>
      </w:r>
      <w:r>
        <w:t>.</w:t>
      </w:r>
    </w:p>
    <w:p w14:paraId="37A70E9A" w14:textId="77777777" w:rsidR="00F104B9" w:rsidRDefault="00E1239A" w:rsidP="00035B5D">
      <w:pPr>
        <w:pStyle w:val="ItemHead"/>
      </w:pPr>
      <w:proofErr w:type="gramStart"/>
      <w:r>
        <w:t>5</w:t>
      </w:r>
      <w:r w:rsidR="00F104B9">
        <w:t xml:space="preserve">  At</w:t>
      </w:r>
      <w:proofErr w:type="gramEnd"/>
      <w:r w:rsidR="00F104B9">
        <w:t xml:space="preserve"> the end of </w:t>
      </w:r>
      <w:r w:rsidR="000D2DFF">
        <w:t>subsection 9</w:t>
      </w:r>
      <w:r w:rsidR="00F104B9">
        <w:t>13B(1)</w:t>
      </w:r>
    </w:p>
    <w:p w14:paraId="1EE805BC" w14:textId="77777777" w:rsidR="00F104B9" w:rsidRDefault="00F104B9" w:rsidP="00035B5D">
      <w:pPr>
        <w:pStyle w:val="Item"/>
      </w:pPr>
      <w:r>
        <w:t>Add:</w:t>
      </w:r>
    </w:p>
    <w:p w14:paraId="4630C454" w14:textId="77777777" w:rsidR="00F104B9" w:rsidRPr="007A5D39" w:rsidRDefault="00F104B9" w:rsidP="00035B5D">
      <w:pPr>
        <w:pStyle w:val="notetext"/>
      </w:pPr>
      <w:r>
        <w:t>Note 3:</w:t>
      </w:r>
      <w:r>
        <w:tab/>
        <w:t xml:space="preserve">There is an exemption from </w:t>
      </w:r>
      <w:r w:rsidR="000D2DFF">
        <w:t>paragraph (</w:t>
      </w:r>
      <w:r>
        <w:t xml:space="preserve">c) for certain foreign companies (see </w:t>
      </w:r>
      <w:r w:rsidR="00724CAC">
        <w:t>subsection (</w:t>
      </w:r>
      <w:r w:rsidR="00F52197">
        <w:t>2A)</w:t>
      </w:r>
      <w:r>
        <w:t>).</w:t>
      </w:r>
    </w:p>
    <w:p w14:paraId="57E8ABD9" w14:textId="77777777" w:rsidR="00F104B9" w:rsidRDefault="00E1239A" w:rsidP="00035B5D">
      <w:pPr>
        <w:pStyle w:val="ItemHead"/>
      </w:pPr>
      <w:proofErr w:type="gramStart"/>
      <w:r>
        <w:t>6</w:t>
      </w:r>
      <w:r w:rsidR="00F104B9">
        <w:t xml:space="preserve">  </w:t>
      </w:r>
      <w:r w:rsidR="0041555D">
        <w:t>After</w:t>
      </w:r>
      <w:proofErr w:type="gramEnd"/>
      <w:r w:rsidR="0041555D">
        <w:t xml:space="preserve"> </w:t>
      </w:r>
      <w:r w:rsidR="000D2DFF">
        <w:t>subsection 9</w:t>
      </w:r>
      <w:r w:rsidR="0041555D">
        <w:t>13B(2)</w:t>
      </w:r>
    </w:p>
    <w:p w14:paraId="14157BCD" w14:textId="77777777" w:rsidR="0041555D" w:rsidRDefault="0041555D" w:rsidP="00035B5D">
      <w:pPr>
        <w:pStyle w:val="Item"/>
      </w:pPr>
      <w:r>
        <w:t>Insert:</w:t>
      </w:r>
    </w:p>
    <w:p w14:paraId="173B2464" w14:textId="77777777" w:rsidR="00F104B9" w:rsidRDefault="00F104B9" w:rsidP="00035B5D">
      <w:pPr>
        <w:pStyle w:val="SubsectionHead"/>
      </w:pPr>
      <w:r>
        <w:t xml:space="preserve">Fit and proper person test </w:t>
      </w:r>
      <w:r w:rsidR="0041555D">
        <w:t xml:space="preserve">does </w:t>
      </w:r>
      <w:r>
        <w:t xml:space="preserve">not apply </w:t>
      </w:r>
      <w:r w:rsidR="0041555D">
        <w:t>to</w:t>
      </w:r>
      <w:r>
        <w:t xml:space="preserve"> certain foreign companies</w:t>
      </w:r>
    </w:p>
    <w:p w14:paraId="52EFDDA7" w14:textId="77777777" w:rsidR="00F104B9" w:rsidRDefault="00F104B9" w:rsidP="00035B5D">
      <w:pPr>
        <w:pStyle w:val="subsection"/>
      </w:pPr>
      <w:r>
        <w:tab/>
      </w:r>
      <w:r w:rsidR="0041555D">
        <w:t>(2A)</w:t>
      </w:r>
      <w:r>
        <w:tab/>
      </w:r>
      <w:r w:rsidR="00F5454E">
        <w:t>Paragraph (</w:t>
      </w:r>
      <w:r>
        <w:t xml:space="preserve">1)(c) does not apply </w:t>
      </w:r>
      <w:r w:rsidR="002E6D96">
        <w:t>to</w:t>
      </w:r>
      <w:r>
        <w:t xml:space="preserve"> an applicant for </w:t>
      </w:r>
      <w:r w:rsidRPr="007A5D39">
        <w:t>an Australian financial services licence</w:t>
      </w:r>
      <w:r>
        <w:t xml:space="preserve"> if:</w:t>
      </w:r>
    </w:p>
    <w:p w14:paraId="57173AE4" w14:textId="77777777" w:rsidR="00F104B9" w:rsidRDefault="00F104B9" w:rsidP="00035B5D">
      <w:pPr>
        <w:pStyle w:val="paragraph"/>
      </w:pPr>
      <w:r>
        <w:tab/>
        <w:t>(a)</w:t>
      </w:r>
      <w:r>
        <w:tab/>
        <w:t>the applicant is a foreign company; and</w:t>
      </w:r>
    </w:p>
    <w:p w14:paraId="313B13E5" w14:textId="77777777" w:rsidR="002E6D96" w:rsidRDefault="002E6D96" w:rsidP="00035B5D">
      <w:pPr>
        <w:pStyle w:val="paragraph"/>
      </w:pPr>
      <w:r>
        <w:tab/>
        <w:t>(b)</w:t>
      </w:r>
      <w:r>
        <w:tab/>
        <w:t>the licence</w:t>
      </w:r>
      <w:r w:rsidR="0056017A">
        <w:t>, if granted, would be</w:t>
      </w:r>
      <w:r>
        <w:t xml:space="preserve"> restricted to the provision of financial services to wholesale clients; and</w:t>
      </w:r>
    </w:p>
    <w:p w14:paraId="42771494" w14:textId="77777777" w:rsidR="00F104B9" w:rsidRDefault="00F104B9" w:rsidP="00035B5D">
      <w:pPr>
        <w:pStyle w:val="paragraph"/>
      </w:pPr>
      <w:r>
        <w:tab/>
        <w:t>(</w:t>
      </w:r>
      <w:r w:rsidR="002E6D96">
        <w:t>c</w:t>
      </w:r>
      <w:r>
        <w:t>)</w:t>
      </w:r>
      <w:r>
        <w:tab/>
        <w:t xml:space="preserve">the applicant holds </w:t>
      </w:r>
      <w:r w:rsidR="002E6D96">
        <w:t>one or more</w:t>
      </w:r>
      <w:r>
        <w:t xml:space="preserve"> authorisation</w:t>
      </w:r>
      <w:r w:rsidR="002E6D96">
        <w:t>s</w:t>
      </w:r>
      <w:r>
        <w:t xml:space="preserve">, </w:t>
      </w:r>
      <w:proofErr w:type="gramStart"/>
      <w:r>
        <w:t>registration</w:t>
      </w:r>
      <w:r w:rsidR="002E6D96">
        <w:t>s</w:t>
      </w:r>
      <w:proofErr w:type="gramEnd"/>
      <w:r>
        <w:t xml:space="preserve"> or licence</w:t>
      </w:r>
      <w:r w:rsidR="002E6D96">
        <w:t>s</w:t>
      </w:r>
      <w:r>
        <w:t xml:space="preserve"> (however described) that:</w:t>
      </w:r>
    </w:p>
    <w:p w14:paraId="6D5D4A2E" w14:textId="77777777" w:rsidR="00F104B9" w:rsidRDefault="00F104B9" w:rsidP="00035B5D">
      <w:pPr>
        <w:pStyle w:val="paragraphsub"/>
      </w:pPr>
      <w:r>
        <w:lastRenderedPageBreak/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2E6D96">
        <w:t>are</w:t>
      </w:r>
      <w:r>
        <w:t xml:space="preserve"> necessary to legally provide financial services in a place outside this jurisdiction; and</w:t>
      </w:r>
    </w:p>
    <w:p w14:paraId="2EF3AD70" w14:textId="77777777" w:rsidR="00F104B9" w:rsidRPr="007A5D39" w:rsidRDefault="00F104B9" w:rsidP="00035B5D">
      <w:pPr>
        <w:pStyle w:val="paragraphsub"/>
      </w:pPr>
      <w:r>
        <w:tab/>
        <w:t>(ii)</w:t>
      </w:r>
      <w:r>
        <w:tab/>
      </w:r>
      <w:r w:rsidR="002E6D96">
        <w:t>are</w:t>
      </w:r>
      <w:r>
        <w:t xml:space="preserve"> issued (however described) by a regulator </w:t>
      </w:r>
      <w:r w:rsidR="00767EBF">
        <w:t xml:space="preserve">determined under </w:t>
      </w:r>
      <w:r w:rsidR="00F73089">
        <w:t>subsection</w:t>
      </w:r>
      <w:r w:rsidR="000D2DFF">
        <w:t> 9</w:t>
      </w:r>
      <w:r w:rsidR="003D579E">
        <w:t>11</w:t>
      </w:r>
      <w:proofErr w:type="gramStart"/>
      <w:r w:rsidR="003D579E">
        <w:t>T</w:t>
      </w:r>
      <w:r w:rsidR="004C16E7">
        <w:t>(</w:t>
      </w:r>
      <w:proofErr w:type="gramEnd"/>
      <w:r w:rsidR="004C16E7">
        <w:t>1)</w:t>
      </w:r>
      <w:r w:rsidR="002E6D96">
        <w:t>.</w:t>
      </w:r>
    </w:p>
    <w:p w14:paraId="55517CB9" w14:textId="77777777" w:rsidR="00BA693F" w:rsidRDefault="00E1239A" w:rsidP="00035B5D">
      <w:pPr>
        <w:pStyle w:val="ItemHead"/>
      </w:pPr>
      <w:proofErr w:type="gramStart"/>
      <w:r>
        <w:t>7</w:t>
      </w:r>
      <w:r w:rsidR="00BA693F">
        <w:t xml:space="preserve">  Before</w:t>
      </w:r>
      <w:proofErr w:type="gramEnd"/>
      <w:r w:rsidR="00BA693F">
        <w:t xml:space="preserve"> </w:t>
      </w:r>
      <w:r w:rsidR="000D2DFF">
        <w:t>subsection 9</w:t>
      </w:r>
      <w:r w:rsidR="00BA693F">
        <w:t>14B(2)</w:t>
      </w:r>
    </w:p>
    <w:p w14:paraId="322AB9A6" w14:textId="77777777" w:rsidR="00BA693F" w:rsidRDefault="00BA693F" w:rsidP="00035B5D">
      <w:pPr>
        <w:pStyle w:val="Item"/>
      </w:pPr>
      <w:r>
        <w:t>Insert:</w:t>
      </w:r>
    </w:p>
    <w:p w14:paraId="2C20D31F" w14:textId="77777777" w:rsidR="00BA693F" w:rsidRPr="00BA693F" w:rsidRDefault="00BA693F" w:rsidP="00035B5D">
      <w:pPr>
        <w:pStyle w:val="SubsectionHead"/>
      </w:pPr>
      <w:r>
        <w:t>Refusing to grant the application if the fit and proper person test is not satisfied</w:t>
      </w:r>
    </w:p>
    <w:p w14:paraId="0250207C" w14:textId="77777777" w:rsidR="004B10D8" w:rsidRDefault="00E1239A" w:rsidP="00035B5D">
      <w:pPr>
        <w:pStyle w:val="ItemHead"/>
      </w:pPr>
      <w:proofErr w:type="gramStart"/>
      <w:r>
        <w:t>8</w:t>
      </w:r>
      <w:r w:rsidR="004B10D8">
        <w:t xml:space="preserve">  </w:t>
      </w:r>
      <w:r w:rsidR="00BA693F">
        <w:t>After</w:t>
      </w:r>
      <w:proofErr w:type="gramEnd"/>
      <w:r w:rsidR="00BA693F">
        <w:t xml:space="preserve"> </w:t>
      </w:r>
      <w:r w:rsidR="000D2DFF">
        <w:t>subsection 9</w:t>
      </w:r>
      <w:r w:rsidR="00BA693F">
        <w:t>14B(2)</w:t>
      </w:r>
    </w:p>
    <w:p w14:paraId="56FAEED1" w14:textId="77777777" w:rsidR="00BA693F" w:rsidRDefault="00BA693F" w:rsidP="00035B5D">
      <w:pPr>
        <w:pStyle w:val="Item"/>
      </w:pPr>
      <w:r>
        <w:t>Insert:</w:t>
      </w:r>
    </w:p>
    <w:p w14:paraId="73A8A37D" w14:textId="77777777" w:rsidR="00BA693F" w:rsidRDefault="00BA693F" w:rsidP="00035B5D">
      <w:pPr>
        <w:pStyle w:val="subsection"/>
      </w:pPr>
      <w:r>
        <w:tab/>
        <w:t>(2A)</w:t>
      </w:r>
      <w:r>
        <w:tab/>
        <w:t xml:space="preserve">However, </w:t>
      </w:r>
      <w:r w:rsidR="00724CAC">
        <w:t>subsection (</w:t>
      </w:r>
      <w:r>
        <w:t>2) does not apply if:</w:t>
      </w:r>
    </w:p>
    <w:p w14:paraId="2794E1E8" w14:textId="77777777" w:rsidR="00BA693F" w:rsidRDefault="00BA693F" w:rsidP="00035B5D">
      <w:pPr>
        <w:pStyle w:val="paragraph"/>
      </w:pPr>
      <w:r>
        <w:tab/>
        <w:t>(a)</w:t>
      </w:r>
      <w:r>
        <w:tab/>
        <w:t>the applicant is a foreign company; and</w:t>
      </w:r>
    </w:p>
    <w:p w14:paraId="15AB3F8D" w14:textId="77777777" w:rsidR="00BA693F" w:rsidRDefault="00BA693F" w:rsidP="00035B5D">
      <w:pPr>
        <w:pStyle w:val="paragraph"/>
      </w:pPr>
      <w:r>
        <w:tab/>
        <w:t>(</w:t>
      </w:r>
      <w:r w:rsidR="00633456">
        <w:t>b</w:t>
      </w:r>
      <w:r>
        <w:t>)</w:t>
      </w:r>
      <w:r>
        <w:tab/>
        <w:t xml:space="preserve">the licence, </w:t>
      </w:r>
      <w:r w:rsidR="00633456">
        <w:t>if the application is granted</w:t>
      </w:r>
      <w:r>
        <w:t>, would be restricted to the provision of financial services to wholesale clients; and</w:t>
      </w:r>
    </w:p>
    <w:p w14:paraId="65B1B586" w14:textId="77777777" w:rsidR="00BA693F" w:rsidRDefault="00BA693F" w:rsidP="00035B5D">
      <w:pPr>
        <w:pStyle w:val="paragraph"/>
      </w:pPr>
      <w:r>
        <w:tab/>
        <w:t>(</w:t>
      </w:r>
      <w:r w:rsidR="00633456">
        <w:t>c</w:t>
      </w:r>
      <w:r>
        <w:t>)</w:t>
      </w:r>
      <w:r>
        <w:tab/>
        <w:t xml:space="preserve">the applicant holds one or more authorisations, </w:t>
      </w:r>
      <w:proofErr w:type="gramStart"/>
      <w:r>
        <w:t>registrations</w:t>
      </w:r>
      <w:proofErr w:type="gramEnd"/>
      <w:r>
        <w:t xml:space="preserve"> or licences (however described) that:</w:t>
      </w:r>
    </w:p>
    <w:p w14:paraId="6D8DC372" w14:textId="77777777" w:rsidR="00BA693F" w:rsidRDefault="00BA693F" w:rsidP="00035B5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are necessary to legally provide financial services in a place outside this jurisdiction; and</w:t>
      </w:r>
    </w:p>
    <w:p w14:paraId="728FF096" w14:textId="77777777" w:rsidR="00BA693F" w:rsidRPr="007A5D39" w:rsidRDefault="00BA693F" w:rsidP="00035B5D">
      <w:pPr>
        <w:pStyle w:val="paragraphsub"/>
      </w:pPr>
      <w:r>
        <w:tab/>
        <w:t>(ii)</w:t>
      </w:r>
      <w:r>
        <w:tab/>
        <w:t xml:space="preserve">are issued (however described) by a regulator determined under </w:t>
      </w:r>
      <w:r w:rsidR="00F73089">
        <w:t>subsection</w:t>
      </w:r>
      <w:r w:rsidR="000D2DFF">
        <w:t> 9</w:t>
      </w:r>
      <w:r w:rsidR="003D579E">
        <w:t>11</w:t>
      </w:r>
      <w:proofErr w:type="gramStart"/>
      <w:r w:rsidR="003D579E">
        <w:t>T</w:t>
      </w:r>
      <w:r>
        <w:t>(</w:t>
      </w:r>
      <w:proofErr w:type="gramEnd"/>
      <w:r>
        <w:t>1).</w:t>
      </w:r>
    </w:p>
    <w:p w14:paraId="170D9438" w14:textId="77777777" w:rsidR="009A3B10" w:rsidRDefault="00E1239A" w:rsidP="00035B5D">
      <w:pPr>
        <w:pStyle w:val="ItemHead"/>
      </w:pPr>
      <w:proofErr w:type="gramStart"/>
      <w:r>
        <w:t>9</w:t>
      </w:r>
      <w:r w:rsidR="009A3B10">
        <w:t xml:space="preserve">  </w:t>
      </w:r>
      <w:r w:rsidR="00724CAC">
        <w:t>Subsection</w:t>
      </w:r>
      <w:proofErr w:type="gramEnd"/>
      <w:r w:rsidR="00724CAC">
        <w:t> 1</w:t>
      </w:r>
      <w:r w:rsidR="009A3B10">
        <w:t xml:space="preserve">317E(3) (after table item dealing with </w:t>
      </w:r>
      <w:r w:rsidR="000D2DFF">
        <w:t>subsection 9</w:t>
      </w:r>
      <w:r w:rsidR="009A3B10" w:rsidRPr="009A3B10">
        <w:t>11B(4)</w:t>
      </w:r>
      <w:r w:rsidR="009A3B10">
        <w:t>)</w:t>
      </w:r>
    </w:p>
    <w:p w14:paraId="7EFBE734" w14:textId="77777777" w:rsidR="009A3B10" w:rsidRDefault="009A3B10" w:rsidP="00035B5D">
      <w:pPr>
        <w:pStyle w:val="Item"/>
      </w:pPr>
      <w:r>
        <w:t>Insert:</w:t>
      </w:r>
    </w:p>
    <w:tbl>
      <w:tblPr>
        <w:tblW w:w="74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09"/>
        <w:gridCol w:w="3118"/>
        <w:gridCol w:w="1908"/>
      </w:tblGrid>
      <w:tr w:rsidR="00044BB2" w:rsidRPr="00BE3B05" w14:paraId="00B0F704" w14:textId="77777777" w:rsidTr="00044BB2">
        <w:tc>
          <w:tcPr>
            <w:tcW w:w="2409" w:type="dxa"/>
            <w:shd w:val="clear" w:color="auto" w:fill="auto"/>
          </w:tcPr>
          <w:p w14:paraId="20E1C54E" w14:textId="77777777" w:rsidR="00044BB2" w:rsidRPr="005D1557" w:rsidRDefault="000D2DFF" w:rsidP="00035B5D">
            <w:pPr>
              <w:pStyle w:val="Tabletext"/>
            </w:pPr>
            <w:r>
              <w:t>subsection 9</w:t>
            </w:r>
            <w:r w:rsidR="009B1834">
              <w:t>11</w:t>
            </w:r>
            <w:proofErr w:type="gramStart"/>
            <w:r w:rsidR="009B1834">
              <w:t>F</w:t>
            </w:r>
            <w:r w:rsidR="00044BB2" w:rsidRPr="005D1557">
              <w:t>(</w:t>
            </w:r>
            <w:proofErr w:type="gramEnd"/>
            <w:r w:rsidR="00044BB2">
              <w:t>3</w:t>
            </w:r>
            <w:r w:rsidR="00044BB2" w:rsidRPr="005D1557">
              <w:t>)</w:t>
            </w:r>
          </w:p>
        </w:tc>
        <w:tc>
          <w:tcPr>
            <w:tcW w:w="3118" w:type="dxa"/>
            <w:shd w:val="clear" w:color="auto" w:fill="auto"/>
          </w:tcPr>
          <w:p w14:paraId="105B0E4A" w14:textId="77777777" w:rsidR="00044BB2" w:rsidRPr="005D1557" w:rsidRDefault="00044BB2" w:rsidP="00035B5D">
            <w:pPr>
              <w:pStyle w:val="Tabletext"/>
            </w:pPr>
            <w:r>
              <w:t xml:space="preserve">contravening a condition of </w:t>
            </w:r>
            <w:r w:rsidR="00BD1A5D">
              <w:t xml:space="preserve">a </w:t>
            </w:r>
            <w:r>
              <w:t>licensing exemption for foreign financial services providers</w:t>
            </w:r>
          </w:p>
        </w:tc>
        <w:tc>
          <w:tcPr>
            <w:tcW w:w="1908" w:type="dxa"/>
            <w:shd w:val="clear" w:color="auto" w:fill="auto"/>
          </w:tcPr>
          <w:p w14:paraId="103FF544" w14:textId="77777777" w:rsidR="00044BB2" w:rsidRPr="005D1557" w:rsidRDefault="00044BB2" w:rsidP="00035B5D">
            <w:pPr>
              <w:pStyle w:val="Tabletext"/>
            </w:pPr>
            <w:r w:rsidRPr="005D1557">
              <w:t>uncategorised</w:t>
            </w:r>
          </w:p>
        </w:tc>
      </w:tr>
    </w:tbl>
    <w:p w14:paraId="2001089B" w14:textId="77777777" w:rsidR="004A482B" w:rsidRDefault="00E1239A" w:rsidP="00035B5D">
      <w:pPr>
        <w:pStyle w:val="ItemHead"/>
      </w:pPr>
      <w:proofErr w:type="gramStart"/>
      <w:r>
        <w:t>10</w:t>
      </w:r>
      <w:r w:rsidR="004A482B">
        <w:t xml:space="preserve">  In</w:t>
      </w:r>
      <w:proofErr w:type="gramEnd"/>
      <w:r w:rsidR="004A482B">
        <w:t xml:space="preserve"> the appropriate position in Chapter 10</w:t>
      </w:r>
    </w:p>
    <w:p w14:paraId="62B3E5F8" w14:textId="77777777" w:rsidR="004A482B" w:rsidRDefault="004A482B" w:rsidP="00035B5D">
      <w:pPr>
        <w:pStyle w:val="Item"/>
      </w:pPr>
      <w:r>
        <w:t>Insert:</w:t>
      </w:r>
    </w:p>
    <w:p w14:paraId="2A8A4143" w14:textId="77777777" w:rsidR="004A482B" w:rsidRDefault="00F5454E" w:rsidP="00035B5D">
      <w:pPr>
        <w:pStyle w:val="ActHead2"/>
      </w:pPr>
      <w:bookmarkStart w:id="36" w:name="_Toc89955723"/>
      <w:r w:rsidRPr="00605CBB">
        <w:rPr>
          <w:rStyle w:val="CharPartNo"/>
        </w:rPr>
        <w:lastRenderedPageBreak/>
        <w:t>Part 1</w:t>
      </w:r>
      <w:r w:rsidR="004A482B" w:rsidRPr="00605CBB">
        <w:rPr>
          <w:rStyle w:val="CharPartNo"/>
        </w:rPr>
        <w:t>0.</w:t>
      </w:r>
      <w:r w:rsidR="00BD1A5D" w:rsidRPr="00605CBB">
        <w:rPr>
          <w:rStyle w:val="CharPartNo"/>
        </w:rPr>
        <w:t>63</w:t>
      </w:r>
      <w:r w:rsidR="004A482B">
        <w:t>—</w:t>
      </w:r>
      <w:r w:rsidR="004A482B" w:rsidRPr="00605CBB">
        <w:rPr>
          <w:rStyle w:val="CharPartText"/>
        </w:rPr>
        <w:t>Transitional provisions relating to the Treasury</w:t>
      </w:r>
      <w:bookmarkStart w:id="37" w:name="BK_S1P18L2C10"/>
      <w:bookmarkEnd w:id="37"/>
      <w:r w:rsidR="004A482B" w:rsidRPr="00605CBB">
        <w:rPr>
          <w:rStyle w:val="CharPartText"/>
        </w:rPr>
        <w:t xml:space="preserve"> Laws Amendment (Measures for Consultation) Act 2021</w:t>
      </w:r>
      <w:bookmarkStart w:id="38" w:name="BK_S1P18L3C23"/>
      <w:bookmarkEnd w:id="36"/>
      <w:bookmarkEnd w:id="38"/>
    </w:p>
    <w:p w14:paraId="14F66130" w14:textId="77777777" w:rsidR="004A482B" w:rsidRPr="00605CBB" w:rsidRDefault="004A482B" w:rsidP="00035B5D">
      <w:pPr>
        <w:pStyle w:val="Header"/>
      </w:pPr>
      <w:r w:rsidRPr="00605CBB">
        <w:rPr>
          <w:rStyle w:val="CharDivNo"/>
        </w:rPr>
        <w:t xml:space="preserve"> </w:t>
      </w:r>
      <w:r w:rsidRPr="00605CBB">
        <w:rPr>
          <w:rStyle w:val="CharDivText"/>
        </w:rPr>
        <w:t xml:space="preserve"> </w:t>
      </w:r>
    </w:p>
    <w:p w14:paraId="4AFB2A9B" w14:textId="77777777" w:rsidR="00C17B4C" w:rsidRDefault="00BD1A5D" w:rsidP="00035B5D">
      <w:pPr>
        <w:pStyle w:val="ActHead5"/>
      </w:pPr>
      <w:bookmarkStart w:id="39" w:name="_Toc89955724"/>
      <w:proofErr w:type="gramStart"/>
      <w:r w:rsidRPr="00605CBB">
        <w:rPr>
          <w:rStyle w:val="CharSectno"/>
        </w:rPr>
        <w:t>1693</w:t>
      </w:r>
      <w:r w:rsidR="00C17B4C">
        <w:t xml:space="preserve">  Application</w:t>
      </w:r>
      <w:proofErr w:type="gramEnd"/>
      <w:r w:rsidR="00C17B4C">
        <w:t xml:space="preserve"> </w:t>
      </w:r>
      <w:r w:rsidR="0039316D">
        <w:t>of amendments—</w:t>
      </w:r>
      <w:r w:rsidR="00C17B4C">
        <w:t xml:space="preserve">exemptions </w:t>
      </w:r>
      <w:r w:rsidR="00C17B4C" w:rsidRPr="0041555D">
        <w:t>from the requirement to hold an Australian financial services licence</w:t>
      </w:r>
      <w:bookmarkEnd w:id="39"/>
    </w:p>
    <w:p w14:paraId="209E50AE" w14:textId="77777777" w:rsidR="00C17B4C" w:rsidRDefault="00C17B4C" w:rsidP="00035B5D">
      <w:pPr>
        <w:pStyle w:val="subsection"/>
      </w:pPr>
      <w:r>
        <w:tab/>
      </w:r>
      <w:r>
        <w:tab/>
        <w:t>Paragraphs 911A(</w:t>
      </w:r>
      <w:proofErr w:type="gramStart"/>
      <w:r>
        <w:t>2)(</w:t>
      </w:r>
      <w:proofErr w:type="spellStart"/>
      <w:proofErr w:type="gramEnd"/>
      <w:r>
        <w:t>eo</w:t>
      </w:r>
      <w:proofErr w:type="spellEnd"/>
      <w:r>
        <w:t xml:space="preserve">) and (ep), as inserted by </w:t>
      </w:r>
      <w:r w:rsidR="008C4840">
        <w:t>Schedule 1</w:t>
      </w:r>
      <w:r>
        <w:t xml:space="preserve"> to the </w:t>
      </w:r>
      <w:r w:rsidRPr="005E37FB">
        <w:rPr>
          <w:i/>
        </w:rPr>
        <w:t>Treasury</w:t>
      </w:r>
      <w:bookmarkStart w:id="40" w:name="BK_S1P18L9C10"/>
      <w:bookmarkEnd w:id="40"/>
      <w:r w:rsidRPr="005E37FB">
        <w:rPr>
          <w:i/>
        </w:rPr>
        <w:t xml:space="preserve"> Laws Amendment (Measures for Consultation)</w:t>
      </w:r>
      <w:r w:rsidRPr="007A53CA">
        <w:rPr>
          <w:i/>
        </w:rPr>
        <w:t xml:space="preserve"> Act 202</w:t>
      </w:r>
      <w:r>
        <w:rPr>
          <w:i/>
        </w:rPr>
        <w:t>1</w:t>
      </w:r>
      <w:r>
        <w:t>, apply in relation to financial services provided on or after the commencement of that Schedule.</w:t>
      </w:r>
    </w:p>
    <w:p w14:paraId="7489EAEA" w14:textId="77777777" w:rsidR="0039316D" w:rsidRDefault="00BD1A5D" w:rsidP="00035B5D">
      <w:pPr>
        <w:pStyle w:val="ActHead5"/>
      </w:pPr>
      <w:bookmarkStart w:id="41" w:name="_Toc89955725"/>
      <w:proofErr w:type="gramStart"/>
      <w:r w:rsidRPr="00605CBB">
        <w:rPr>
          <w:rStyle w:val="CharSectno"/>
        </w:rPr>
        <w:t>1694</w:t>
      </w:r>
      <w:r w:rsidR="0039316D">
        <w:t xml:space="preserve">  Application</w:t>
      </w:r>
      <w:proofErr w:type="gramEnd"/>
      <w:r w:rsidR="0039316D">
        <w:t xml:space="preserve"> of amendments—exemption from the </w:t>
      </w:r>
      <w:r w:rsidR="0039316D" w:rsidRPr="0041555D">
        <w:t>fit and proper person test</w:t>
      </w:r>
      <w:bookmarkEnd w:id="41"/>
    </w:p>
    <w:p w14:paraId="6A060CB0" w14:textId="77777777" w:rsidR="0039316D" w:rsidRDefault="0039316D" w:rsidP="00035B5D">
      <w:pPr>
        <w:pStyle w:val="subsection"/>
      </w:pPr>
      <w:r>
        <w:tab/>
        <w:t>(1)</w:t>
      </w:r>
      <w:r>
        <w:tab/>
      </w:r>
      <w:r w:rsidR="00F5454E">
        <w:t>Sub</w:t>
      </w:r>
      <w:r w:rsidR="00724CAC">
        <w:t>section 9</w:t>
      </w:r>
      <w:r>
        <w:t xml:space="preserve">13B(2A), as inserted by </w:t>
      </w:r>
      <w:r w:rsidR="008C4840">
        <w:t>Schedule 1</w:t>
      </w:r>
      <w:r>
        <w:t xml:space="preserve"> to the </w:t>
      </w:r>
      <w:r w:rsidRPr="005E37FB">
        <w:rPr>
          <w:i/>
        </w:rPr>
        <w:t>Treasury</w:t>
      </w:r>
      <w:bookmarkStart w:id="42" w:name="BK_S1P18L16C69"/>
      <w:bookmarkEnd w:id="42"/>
      <w:r w:rsidRPr="005E37FB">
        <w:rPr>
          <w:i/>
        </w:rPr>
        <w:t xml:space="preserve"> Laws Amendment (Measures for Consultation)</w:t>
      </w:r>
      <w:r w:rsidRPr="007A53CA">
        <w:rPr>
          <w:i/>
        </w:rPr>
        <w:t xml:space="preserve"> Act 202</w:t>
      </w:r>
      <w:r>
        <w:rPr>
          <w:i/>
        </w:rPr>
        <w:t>1</w:t>
      </w:r>
      <w:r>
        <w:t xml:space="preserve">, applies in relation to applications for </w:t>
      </w:r>
      <w:r w:rsidRPr="007A5D39">
        <w:t>Australian financial services licence</w:t>
      </w:r>
      <w:r>
        <w:t>s made on or after the commencement of that Schedule.</w:t>
      </w:r>
    </w:p>
    <w:p w14:paraId="0521BB8B" w14:textId="77777777" w:rsidR="0039316D" w:rsidRDefault="0039316D" w:rsidP="00035B5D">
      <w:pPr>
        <w:pStyle w:val="subsection"/>
      </w:pPr>
      <w:r>
        <w:tab/>
        <w:t>(2)</w:t>
      </w:r>
      <w:r>
        <w:tab/>
      </w:r>
      <w:r w:rsidR="00F5454E">
        <w:t>Sub</w:t>
      </w:r>
      <w:r w:rsidR="00724CAC">
        <w:t>section 9</w:t>
      </w:r>
      <w:r>
        <w:t xml:space="preserve">14B(2A), as inserted by </w:t>
      </w:r>
      <w:r w:rsidR="008C4840">
        <w:t>Schedule 1</w:t>
      </w:r>
      <w:r>
        <w:t xml:space="preserve"> to the </w:t>
      </w:r>
      <w:r w:rsidRPr="005E37FB">
        <w:rPr>
          <w:i/>
        </w:rPr>
        <w:t>Treasury</w:t>
      </w:r>
      <w:bookmarkStart w:id="43" w:name="BK_S1P18L20C69"/>
      <w:bookmarkEnd w:id="43"/>
      <w:r w:rsidRPr="005E37FB">
        <w:rPr>
          <w:i/>
        </w:rPr>
        <w:t xml:space="preserve"> Laws Amendment (Measures for Consultation)</w:t>
      </w:r>
      <w:r w:rsidRPr="007A53CA">
        <w:rPr>
          <w:i/>
        </w:rPr>
        <w:t xml:space="preserve"> Act 202</w:t>
      </w:r>
      <w:r>
        <w:rPr>
          <w:i/>
        </w:rPr>
        <w:t>1</w:t>
      </w:r>
      <w:r>
        <w:t>, applies in relation to applications:</w:t>
      </w:r>
    </w:p>
    <w:p w14:paraId="7A2483C8" w14:textId="77777777" w:rsidR="0039316D" w:rsidRDefault="0039316D" w:rsidP="00035B5D">
      <w:pPr>
        <w:pStyle w:val="paragraph"/>
      </w:pPr>
      <w:r>
        <w:tab/>
        <w:t>(a)</w:t>
      </w:r>
      <w:r>
        <w:tab/>
        <w:t xml:space="preserve">for ASIC to </w:t>
      </w:r>
      <w:r w:rsidR="005D7F74">
        <w:t>take certain action in relation to</w:t>
      </w:r>
      <w:r>
        <w:t xml:space="preserve"> </w:t>
      </w:r>
      <w:r w:rsidRPr="007A5D39">
        <w:t>Australian financial services licence</w:t>
      </w:r>
      <w:r>
        <w:t>s; and</w:t>
      </w:r>
    </w:p>
    <w:p w14:paraId="65E08A03" w14:textId="77777777" w:rsidR="0039316D" w:rsidRDefault="0039316D" w:rsidP="00035B5D">
      <w:pPr>
        <w:pStyle w:val="paragraph"/>
      </w:pPr>
      <w:r>
        <w:tab/>
        <w:t>(b)</w:t>
      </w:r>
      <w:r>
        <w:tab/>
        <w:t xml:space="preserve">that are made on or after the commencement of that </w:t>
      </w:r>
      <w:proofErr w:type="gramStart"/>
      <w:r>
        <w:t>Schedule;</w:t>
      </w:r>
      <w:proofErr w:type="gramEnd"/>
    </w:p>
    <w:p w14:paraId="721B86C1" w14:textId="77777777" w:rsidR="0039316D" w:rsidRPr="00536599" w:rsidRDefault="0039316D" w:rsidP="00035B5D">
      <w:pPr>
        <w:pStyle w:val="subsection2"/>
      </w:pPr>
      <w:r>
        <w:t>whether the licences were granted before, on or after that commencement.</w:t>
      </w:r>
    </w:p>
    <w:p w14:paraId="250D8902" w14:textId="77777777" w:rsidR="004A482B" w:rsidRDefault="00BD1A5D" w:rsidP="00035B5D">
      <w:pPr>
        <w:pStyle w:val="ActHead5"/>
      </w:pPr>
      <w:bookmarkStart w:id="44" w:name="_Toc89955726"/>
      <w:proofErr w:type="gramStart"/>
      <w:r w:rsidRPr="00605CBB">
        <w:rPr>
          <w:rStyle w:val="CharSectno"/>
        </w:rPr>
        <w:t>1695</w:t>
      </w:r>
      <w:r w:rsidR="004A482B">
        <w:t xml:space="preserve">  Transitional</w:t>
      </w:r>
      <w:proofErr w:type="gramEnd"/>
      <w:r w:rsidR="004A482B">
        <w:t>—first list of comparable regulators</w:t>
      </w:r>
      <w:bookmarkEnd w:id="44"/>
    </w:p>
    <w:p w14:paraId="134DE4FA" w14:textId="77777777" w:rsidR="004A482B" w:rsidRDefault="004A482B" w:rsidP="00035B5D">
      <w:pPr>
        <w:pStyle w:val="subsection"/>
      </w:pPr>
      <w:r>
        <w:tab/>
      </w:r>
      <w:r>
        <w:tab/>
      </w:r>
      <w:r w:rsidR="00F5454E">
        <w:t>Sub</w:t>
      </w:r>
      <w:r w:rsidR="00724CAC">
        <w:t>section 9</w:t>
      </w:r>
      <w:r w:rsidR="003D579E">
        <w:t>11</w:t>
      </w:r>
      <w:proofErr w:type="gramStart"/>
      <w:r w:rsidR="003D579E">
        <w:t>T</w:t>
      </w:r>
      <w:r>
        <w:t>(</w:t>
      </w:r>
      <w:proofErr w:type="gramEnd"/>
      <w:r>
        <w:t>2)</w:t>
      </w:r>
      <w:r w:rsidR="005E09D0">
        <w:t xml:space="preserve"> </w:t>
      </w:r>
      <w:r>
        <w:t>do</w:t>
      </w:r>
      <w:r w:rsidR="001760F2">
        <w:t>es</w:t>
      </w:r>
      <w:r>
        <w:t xml:space="preserve"> not apply in relation to the </w:t>
      </w:r>
      <w:r w:rsidR="00DF2C33">
        <w:t>determination</w:t>
      </w:r>
      <w:r>
        <w:t xml:space="preserve"> of a regulator in the first </w:t>
      </w:r>
      <w:r w:rsidR="00DF2C33">
        <w:t xml:space="preserve">legislative instrument made under </w:t>
      </w:r>
      <w:r w:rsidR="000D2DFF">
        <w:t>subsection 9</w:t>
      </w:r>
      <w:r w:rsidR="003D579E">
        <w:t>11T</w:t>
      </w:r>
      <w:r>
        <w:t>(1) after the commencement of this section if the Minister is satisfied that:</w:t>
      </w:r>
    </w:p>
    <w:p w14:paraId="2E55F6BB" w14:textId="77777777" w:rsidR="004A482B" w:rsidRDefault="004A482B" w:rsidP="00035B5D">
      <w:pPr>
        <w:pStyle w:val="paragraph"/>
      </w:pPr>
      <w:r>
        <w:tab/>
        <w:t>(a)</w:t>
      </w:r>
      <w:r>
        <w:tab/>
        <w:t>the regulator can be identified from a legislative instrument made by ASIC and in force immediately before the commencement of this section; and</w:t>
      </w:r>
    </w:p>
    <w:p w14:paraId="32E72858" w14:textId="77777777" w:rsidR="004A482B" w:rsidRPr="00165034" w:rsidRDefault="004A482B" w:rsidP="00035B5D">
      <w:pPr>
        <w:pStyle w:val="paragraph"/>
      </w:pPr>
      <w:r>
        <w:lastRenderedPageBreak/>
        <w:tab/>
        <w:t>(b)</w:t>
      </w:r>
      <w:r>
        <w:tab/>
        <w:t>the regulator is responsible for regulating the provision of financial services by providers in a place outside this jurisdiction; and</w:t>
      </w:r>
    </w:p>
    <w:p w14:paraId="69038B96" w14:textId="77777777" w:rsidR="004A482B" w:rsidRDefault="004A482B" w:rsidP="00035B5D">
      <w:pPr>
        <w:pStyle w:val="paragraph"/>
      </w:pPr>
      <w:r>
        <w:tab/>
        <w:t>(c)</w:t>
      </w:r>
      <w:r>
        <w:tab/>
        <w:t xml:space="preserve">the legislative instrument exempted those providers from certain provisions of </w:t>
      </w:r>
      <w:r w:rsidR="00F5454E">
        <w:t>Part 7</w:t>
      </w:r>
      <w:r>
        <w:t>.6 (about licensing of providers of financial services) in relation to the provision of financial services.</w:t>
      </w:r>
    </w:p>
    <w:p w14:paraId="480EEE9B" w14:textId="77777777" w:rsidR="0039316D" w:rsidRDefault="0039316D" w:rsidP="00035B5D">
      <w:pPr>
        <w:pStyle w:val="notedraft"/>
      </w:pPr>
    </w:p>
    <w:sectPr w:rsidR="0039316D" w:rsidSect="00035B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B51C2" w14:textId="77777777" w:rsidR="008D479A" w:rsidRDefault="008D479A" w:rsidP="00664C63">
      <w:pPr>
        <w:spacing w:line="240" w:lineRule="auto"/>
      </w:pPr>
      <w:r>
        <w:separator/>
      </w:r>
    </w:p>
  </w:endnote>
  <w:endnote w:type="continuationSeparator" w:id="0">
    <w:p w14:paraId="3E365981" w14:textId="77777777" w:rsidR="008D479A" w:rsidRDefault="008D479A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5610A" w14:textId="77777777" w:rsidR="00132372" w:rsidRPr="00BB4623" w:rsidRDefault="00132372" w:rsidP="00035B5D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25678B1" wp14:editId="5A60EEE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A619B" w14:textId="77777777" w:rsidR="00132372" w:rsidRPr="00D67311" w:rsidRDefault="00132372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35B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35B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678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Vo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CG2VaK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74FA619B" w14:textId="77777777" w:rsidR="00132372" w:rsidRPr="00D67311" w:rsidRDefault="00132372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35B5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35B5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4C8B15F" w14:textId="77777777" w:rsidR="00132372" w:rsidRPr="00BB4623" w:rsidRDefault="00132372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0249635B" w14:textId="77777777" w:rsidR="00132372" w:rsidRPr="00BB4623" w:rsidRDefault="00132372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3008B" w14:textId="77777777" w:rsidR="00132372" w:rsidRDefault="00132372" w:rsidP="00035B5D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3BABEA8" wp14:editId="3E311497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32A95" w14:textId="73BFAC42" w:rsidR="00132372" w:rsidRPr="00D67311" w:rsidRDefault="00132372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35B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35B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1C8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ABEA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" stroked="f" strokeweight=".5pt">
              <v:path arrowok="t"/>
              <v:textbox>
                <w:txbxContent>
                  <w:p w14:paraId="66A32A95" w14:textId="73BFAC42" w:rsidR="00132372" w:rsidRPr="00D67311" w:rsidRDefault="00132372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35B5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35B5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1C8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132372" w:rsidRPr="00B3608C" w14:paraId="10EA1979" w14:textId="77777777" w:rsidTr="00D3454D">
      <w:trPr>
        <w:trHeight w:val="280"/>
      </w:trPr>
      <w:tc>
        <w:tcPr>
          <w:tcW w:w="7087" w:type="dxa"/>
        </w:tcPr>
        <w:p w14:paraId="5268935C" w14:textId="77777777" w:rsidR="00132372" w:rsidRPr="00B3608C" w:rsidRDefault="00132372" w:rsidP="00D3454D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132372" w:rsidRPr="00B3608C" w14:paraId="4FFD0A49" w14:textId="77777777" w:rsidTr="00D3454D">
      <w:tc>
        <w:tcPr>
          <w:tcW w:w="7087" w:type="dxa"/>
        </w:tcPr>
        <w:p w14:paraId="7FE003C1" w14:textId="77777777" w:rsidR="00132372" w:rsidRPr="00B3608C" w:rsidRDefault="00132372" w:rsidP="00D3454D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39806012" w14:textId="77777777" w:rsidR="00132372" w:rsidRPr="00BB4623" w:rsidRDefault="00132372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BD14A" w14:textId="77777777" w:rsidR="00132372" w:rsidRPr="00BB4623" w:rsidRDefault="00132372" w:rsidP="00035B5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B1F8D7" wp14:editId="40A430C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090C5" w14:textId="77777777" w:rsidR="00132372" w:rsidRPr="00D67311" w:rsidRDefault="00132372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35B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35B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1F8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IV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smt1YuXX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HesIhW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71B090C5" w14:textId="77777777" w:rsidR="00132372" w:rsidRPr="00D67311" w:rsidRDefault="00132372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35B5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35B5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46ACD" w14:textId="77777777" w:rsidR="008D479A" w:rsidRDefault="008D479A" w:rsidP="00664C63">
      <w:pPr>
        <w:spacing w:line="240" w:lineRule="auto"/>
      </w:pPr>
      <w:r>
        <w:separator/>
      </w:r>
    </w:p>
  </w:footnote>
  <w:footnote w:type="continuationSeparator" w:id="0">
    <w:p w14:paraId="7B5B456D" w14:textId="77777777" w:rsidR="008D479A" w:rsidRDefault="008D479A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EBD4A" w14:textId="77777777" w:rsidR="00132372" w:rsidRPr="00BB4623" w:rsidRDefault="00132372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6DEAD91" wp14:editId="27B5537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F8ED0" w14:textId="77777777" w:rsidR="00132372" w:rsidRPr="00D67311" w:rsidRDefault="00132372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35B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35B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DEAD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LBpA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" stroked="f" strokeweight=".5pt">
              <v:path arrowok="t"/>
              <v:textbox>
                <w:txbxContent>
                  <w:p w14:paraId="75EF8ED0" w14:textId="77777777" w:rsidR="00132372" w:rsidRPr="00D67311" w:rsidRDefault="00132372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35B5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35B5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DF0A303" w14:textId="77777777" w:rsidR="00132372" w:rsidRPr="00BB4623" w:rsidRDefault="00132372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FFE71" w14:textId="77777777" w:rsidR="00132372" w:rsidRPr="00BB4623" w:rsidRDefault="00132372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4EDFA1" wp14:editId="56E60B9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D9FC7" w14:textId="4153EC47" w:rsidR="00132372" w:rsidRPr="00D67311" w:rsidRDefault="00132372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35B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35B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1C8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4EDF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lA2Cb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70BD9FC7" w14:textId="4153EC47" w:rsidR="00132372" w:rsidRPr="00D67311" w:rsidRDefault="00132372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35B5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35B5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1C8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AB1073F" w14:textId="77777777" w:rsidR="00132372" w:rsidRPr="00BB4623" w:rsidRDefault="00132372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1B70A" w14:textId="77777777" w:rsidR="00132372" w:rsidRPr="00BB4623" w:rsidRDefault="00132372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EFAB5C" wp14:editId="348DE5B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94CC1" w14:textId="77777777" w:rsidR="00132372" w:rsidRPr="00D67311" w:rsidRDefault="00132372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35B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35B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3F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FAB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Bci225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14B94CC1" w14:textId="77777777" w:rsidR="00132372" w:rsidRPr="00D67311" w:rsidRDefault="00132372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35B5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35B5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3F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74A36"/>
    <w:multiLevelType w:val="hybridMultilevel"/>
    <w:tmpl w:val="9D14869E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FBC7E8D"/>
    <w:multiLevelType w:val="singleLevel"/>
    <w:tmpl w:val="25301F76"/>
    <w:name w:val="BaseTextParagraphList"/>
    <w:lvl w:ilvl="0">
      <w:start w:val="1"/>
      <w:numFmt w:val="decimal"/>
      <w:lvlRestart w:val="0"/>
      <w:lvlText w:val="%1."/>
      <w:lvlJc w:val="left"/>
      <w:pPr>
        <w:tabs>
          <w:tab w:val="num" w:pos="1984"/>
        </w:tabs>
        <w:ind w:left="1140" w:firstLine="0"/>
      </w:pPr>
      <w:rPr>
        <w:b w:val="0"/>
        <w:i w:val="0"/>
        <w:color w:val="00000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20D9"/>
    <w:rsid w:val="00003FDC"/>
    <w:rsid w:val="00010F0F"/>
    <w:rsid w:val="000136AF"/>
    <w:rsid w:val="000149EF"/>
    <w:rsid w:val="00014B9A"/>
    <w:rsid w:val="00027C7A"/>
    <w:rsid w:val="00027E13"/>
    <w:rsid w:val="00033C37"/>
    <w:rsid w:val="00035419"/>
    <w:rsid w:val="00035B5D"/>
    <w:rsid w:val="00037CCE"/>
    <w:rsid w:val="000417C1"/>
    <w:rsid w:val="00044BB2"/>
    <w:rsid w:val="00047885"/>
    <w:rsid w:val="00052A47"/>
    <w:rsid w:val="00054112"/>
    <w:rsid w:val="00055D20"/>
    <w:rsid w:val="0005609A"/>
    <w:rsid w:val="000564F2"/>
    <w:rsid w:val="000614BF"/>
    <w:rsid w:val="00062730"/>
    <w:rsid w:val="00062A7E"/>
    <w:rsid w:val="00071C36"/>
    <w:rsid w:val="00073C5A"/>
    <w:rsid w:val="00076001"/>
    <w:rsid w:val="00076F0E"/>
    <w:rsid w:val="000815D3"/>
    <w:rsid w:val="00082E3A"/>
    <w:rsid w:val="000849BE"/>
    <w:rsid w:val="00087033"/>
    <w:rsid w:val="00090201"/>
    <w:rsid w:val="00090929"/>
    <w:rsid w:val="00095180"/>
    <w:rsid w:val="000A2ABA"/>
    <w:rsid w:val="000B105E"/>
    <w:rsid w:val="000B5F27"/>
    <w:rsid w:val="000C395E"/>
    <w:rsid w:val="000C74F9"/>
    <w:rsid w:val="000D05EF"/>
    <w:rsid w:val="000D2A0C"/>
    <w:rsid w:val="000D2DFF"/>
    <w:rsid w:val="000D3899"/>
    <w:rsid w:val="000D6CBE"/>
    <w:rsid w:val="000E474A"/>
    <w:rsid w:val="000F21C1"/>
    <w:rsid w:val="000F4126"/>
    <w:rsid w:val="000F6ADA"/>
    <w:rsid w:val="001016D1"/>
    <w:rsid w:val="0010240E"/>
    <w:rsid w:val="00106782"/>
    <w:rsid w:val="0010745C"/>
    <w:rsid w:val="00107BB6"/>
    <w:rsid w:val="0011206D"/>
    <w:rsid w:val="0011304C"/>
    <w:rsid w:val="00115A86"/>
    <w:rsid w:val="00120EF4"/>
    <w:rsid w:val="00122BE2"/>
    <w:rsid w:val="00130EA8"/>
    <w:rsid w:val="00132372"/>
    <w:rsid w:val="0014150D"/>
    <w:rsid w:val="00146FAA"/>
    <w:rsid w:val="00155666"/>
    <w:rsid w:val="001603DB"/>
    <w:rsid w:val="00165034"/>
    <w:rsid w:val="00166C2F"/>
    <w:rsid w:val="00170D3B"/>
    <w:rsid w:val="001760F2"/>
    <w:rsid w:val="00177809"/>
    <w:rsid w:val="0018142A"/>
    <w:rsid w:val="00182C9A"/>
    <w:rsid w:val="0018435F"/>
    <w:rsid w:val="00185804"/>
    <w:rsid w:val="00185893"/>
    <w:rsid w:val="001939E1"/>
    <w:rsid w:val="00195382"/>
    <w:rsid w:val="001A0E25"/>
    <w:rsid w:val="001A5AD6"/>
    <w:rsid w:val="001B0F61"/>
    <w:rsid w:val="001B2E68"/>
    <w:rsid w:val="001B5910"/>
    <w:rsid w:val="001B5F20"/>
    <w:rsid w:val="001B6BD4"/>
    <w:rsid w:val="001C0C3C"/>
    <w:rsid w:val="001C2A44"/>
    <w:rsid w:val="001C410B"/>
    <w:rsid w:val="001C4E60"/>
    <w:rsid w:val="001C69C4"/>
    <w:rsid w:val="001D318D"/>
    <w:rsid w:val="001D497D"/>
    <w:rsid w:val="001D525C"/>
    <w:rsid w:val="001E3590"/>
    <w:rsid w:val="001E3CD7"/>
    <w:rsid w:val="001E7407"/>
    <w:rsid w:val="001E7E08"/>
    <w:rsid w:val="001F30DD"/>
    <w:rsid w:val="00210B55"/>
    <w:rsid w:val="0021250A"/>
    <w:rsid w:val="002154F4"/>
    <w:rsid w:val="00221AC4"/>
    <w:rsid w:val="00226D1F"/>
    <w:rsid w:val="002277A0"/>
    <w:rsid w:val="002334FB"/>
    <w:rsid w:val="00240699"/>
    <w:rsid w:val="00240749"/>
    <w:rsid w:val="00250FB4"/>
    <w:rsid w:val="00252304"/>
    <w:rsid w:val="0025421A"/>
    <w:rsid w:val="00260C7C"/>
    <w:rsid w:val="00261AAE"/>
    <w:rsid w:val="0026714C"/>
    <w:rsid w:val="002705EB"/>
    <w:rsid w:val="00272678"/>
    <w:rsid w:val="002761BF"/>
    <w:rsid w:val="0028346D"/>
    <w:rsid w:val="0028554F"/>
    <w:rsid w:val="00296415"/>
    <w:rsid w:val="00297ECB"/>
    <w:rsid w:val="002A3018"/>
    <w:rsid w:val="002A41DA"/>
    <w:rsid w:val="002B7EF6"/>
    <w:rsid w:val="002C085A"/>
    <w:rsid w:val="002C1A46"/>
    <w:rsid w:val="002C1ED4"/>
    <w:rsid w:val="002C2B11"/>
    <w:rsid w:val="002C344C"/>
    <w:rsid w:val="002D043A"/>
    <w:rsid w:val="002D485C"/>
    <w:rsid w:val="002D7BC4"/>
    <w:rsid w:val="002E6D96"/>
    <w:rsid w:val="002F08B3"/>
    <w:rsid w:val="00310D5A"/>
    <w:rsid w:val="00311A4D"/>
    <w:rsid w:val="00313C6F"/>
    <w:rsid w:val="0031581A"/>
    <w:rsid w:val="003159DB"/>
    <w:rsid w:val="00317359"/>
    <w:rsid w:val="0033411C"/>
    <w:rsid w:val="00334771"/>
    <w:rsid w:val="003415D3"/>
    <w:rsid w:val="00341660"/>
    <w:rsid w:val="00351210"/>
    <w:rsid w:val="00352B0F"/>
    <w:rsid w:val="00354B3A"/>
    <w:rsid w:val="0035685E"/>
    <w:rsid w:val="003569E3"/>
    <w:rsid w:val="003638B3"/>
    <w:rsid w:val="0037032F"/>
    <w:rsid w:val="00382D8E"/>
    <w:rsid w:val="00384802"/>
    <w:rsid w:val="00390B07"/>
    <w:rsid w:val="0039316D"/>
    <w:rsid w:val="00394A90"/>
    <w:rsid w:val="003A0A22"/>
    <w:rsid w:val="003A2CF3"/>
    <w:rsid w:val="003A603B"/>
    <w:rsid w:val="003A6DF4"/>
    <w:rsid w:val="003B0F1E"/>
    <w:rsid w:val="003B2B9B"/>
    <w:rsid w:val="003C3091"/>
    <w:rsid w:val="003D0317"/>
    <w:rsid w:val="003D0BFE"/>
    <w:rsid w:val="003D1128"/>
    <w:rsid w:val="003D2D96"/>
    <w:rsid w:val="003D429F"/>
    <w:rsid w:val="003D5700"/>
    <w:rsid w:val="003D579E"/>
    <w:rsid w:val="003E2ED6"/>
    <w:rsid w:val="003F1C01"/>
    <w:rsid w:val="003F36BE"/>
    <w:rsid w:val="003F3998"/>
    <w:rsid w:val="003F5273"/>
    <w:rsid w:val="003F60D2"/>
    <w:rsid w:val="00402376"/>
    <w:rsid w:val="004043EE"/>
    <w:rsid w:val="0040616D"/>
    <w:rsid w:val="004116CD"/>
    <w:rsid w:val="00411768"/>
    <w:rsid w:val="0041242D"/>
    <w:rsid w:val="00414511"/>
    <w:rsid w:val="0041555D"/>
    <w:rsid w:val="0041569C"/>
    <w:rsid w:val="004168B4"/>
    <w:rsid w:val="00416BA9"/>
    <w:rsid w:val="00424CA9"/>
    <w:rsid w:val="00426E90"/>
    <w:rsid w:val="00427D10"/>
    <w:rsid w:val="004301C7"/>
    <w:rsid w:val="00441E6B"/>
    <w:rsid w:val="0044291A"/>
    <w:rsid w:val="00452624"/>
    <w:rsid w:val="00456E91"/>
    <w:rsid w:val="00466E52"/>
    <w:rsid w:val="00467167"/>
    <w:rsid w:val="004675C5"/>
    <w:rsid w:val="0046768C"/>
    <w:rsid w:val="00467FC3"/>
    <w:rsid w:val="00470CBA"/>
    <w:rsid w:val="004749F8"/>
    <w:rsid w:val="004766FE"/>
    <w:rsid w:val="00480042"/>
    <w:rsid w:val="00487B68"/>
    <w:rsid w:val="0049384B"/>
    <w:rsid w:val="00495571"/>
    <w:rsid w:val="00496F97"/>
    <w:rsid w:val="004A482B"/>
    <w:rsid w:val="004B10D8"/>
    <w:rsid w:val="004B14AB"/>
    <w:rsid w:val="004C16E7"/>
    <w:rsid w:val="004D174A"/>
    <w:rsid w:val="004D43CA"/>
    <w:rsid w:val="004E208B"/>
    <w:rsid w:val="004E3680"/>
    <w:rsid w:val="004E3C0B"/>
    <w:rsid w:val="00502606"/>
    <w:rsid w:val="005104CE"/>
    <w:rsid w:val="00510ACA"/>
    <w:rsid w:val="00514C47"/>
    <w:rsid w:val="00516B8D"/>
    <w:rsid w:val="00521B37"/>
    <w:rsid w:val="005278B5"/>
    <w:rsid w:val="00531C58"/>
    <w:rsid w:val="00532EB5"/>
    <w:rsid w:val="00536599"/>
    <w:rsid w:val="00537FBC"/>
    <w:rsid w:val="005427BD"/>
    <w:rsid w:val="00543850"/>
    <w:rsid w:val="00544959"/>
    <w:rsid w:val="00545904"/>
    <w:rsid w:val="0056017A"/>
    <w:rsid w:val="005634DF"/>
    <w:rsid w:val="005713FE"/>
    <w:rsid w:val="00575AAE"/>
    <w:rsid w:val="00584052"/>
    <w:rsid w:val="00584811"/>
    <w:rsid w:val="00587E3D"/>
    <w:rsid w:val="00591E2D"/>
    <w:rsid w:val="00592C5D"/>
    <w:rsid w:val="00593AA6"/>
    <w:rsid w:val="00594161"/>
    <w:rsid w:val="00594749"/>
    <w:rsid w:val="00594A81"/>
    <w:rsid w:val="005A6F34"/>
    <w:rsid w:val="005A77B4"/>
    <w:rsid w:val="005B24B0"/>
    <w:rsid w:val="005B4067"/>
    <w:rsid w:val="005B41F9"/>
    <w:rsid w:val="005C3F41"/>
    <w:rsid w:val="005C57AB"/>
    <w:rsid w:val="005C5800"/>
    <w:rsid w:val="005D4DEA"/>
    <w:rsid w:val="005D4EDC"/>
    <w:rsid w:val="005D7F74"/>
    <w:rsid w:val="005E09D0"/>
    <w:rsid w:val="005E37FB"/>
    <w:rsid w:val="005E3CCF"/>
    <w:rsid w:val="005F0457"/>
    <w:rsid w:val="005F2924"/>
    <w:rsid w:val="005F3D49"/>
    <w:rsid w:val="00600219"/>
    <w:rsid w:val="006025E0"/>
    <w:rsid w:val="00605CBB"/>
    <w:rsid w:val="00605E30"/>
    <w:rsid w:val="00611C2E"/>
    <w:rsid w:val="00615D8A"/>
    <w:rsid w:val="006168FA"/>
    <w:rsid w:val="00620782"/>
    <w:rsid w:val="00633456"/>
    <w:rsid w:val="0063532E"/>
    <w:rsid w:val="006354B9"/>
    <w:rsid w:val="006444FB"/>
    <w:rsid w:val="00650508"/>
    <w:rsid w:val="0065106B"/>
    <w:rsid w:val="006527A6"/>
    <w:rsid w:val="006578E6"/>
    <w:rsid w:val="006626AC"/>
    <w:rsid w:val="0066426E"/>
    <w:rsid w:val="00664C63"/>
    <w:rsid w:val="00671351"/>
    <w:rsid w:val="00677CC2"/>
    <w:rsid w:val="00681A4A"/>
    <w:rsid w:val="00681F34"/>
    <w:rsid w:val="00685487"/>
    <w:rsid w:val="00685722"/>
    <w:rsid w:val="0069207B"/>
    <w:rsid w:val="006948A1"/>
    <w:rsid w:val="006B1D27"/>
    <w:rsid w:val="006B404A"/>
    <w:rsid w:val="006B51F1"/>
    <w:rsid w:val="006C1C02"/>
    <w:rsid w:val="006C338F"/>
    <w:rsid w:val="006C7F8C"/>
    <w:rsid w:val="006D3764"/>
    <w:rsid w:val="006E4AB2"/>
    <w:rsid w:val="0070064D"/>
    <w:rsid w:val="00700B2C"/>
    <w:rsid w:val="00700FC8"/>
    <w:rsid w:val="00713084"/>
    <w:rsid w:val="007143C4"/>
    <w:rsid w:val="007173B8"/>
    <w:rsid w:val="00720347"/>
    <w:rsid w:val="00724CAC"/>
    <w:rsid w:val="00731E00"/>
    <w:rsid w:val="00732A85"/>
    <w:rsid w:val="007403B7"/>
    <w:rsid w:val="00740FD6"/>
    <w:rsid w:val="007440B7"/>
    <w:rsid w:val="007461B9"/>
    <w:rsid w:val="00747CB1"/>
    <w:rsid w:val="0075226A"/>
    <w:rsid w:val="00761368"/>
    <w:rsid w:val="007614E3"/>
    <w:rsid w:val="007627F4"/>
    <w:rsid w:val="00763B9A"/>
    <w:rsid w:val="0076601C"/>
    <w:rsid w:val="00767155"/>
    <w:rsid w:val="0076778C"/>
    <w:rsid w:val="00767EBF"/>
    <w:rsid w:val="007715C9"/>
    <w:rsid w:val="00774EDD"/>
    <w:rsid w:val="007757EC"/>
    <w:rsid w:val="00776745"/>
    <w:rsid w:val="007838D7"/>
    <w:rsid w:val="007845BF"/>
    <w:rsid w:val="00795FCE"/>
    <w:rsid w:val="007968AF"/>
    <w:rsid w:val="007A53CA"/>
    <w:rsid w:val="007A5D39"/>
    <w:rsid w:val="007A659A"/>
    <w:rsid w:val="007B081F"/>
    <w:rsid w:val="007B36B0"/>
    <w:rsid w:val="007B7613"/>
    <w:rsid w:val="007C251D"/>
    <w:rsid w:val="007C7E72"/>
    <w:rsid w:val="007D3F8E"/>
    <w:rsid w:val="007E2567"/>
    <w:rsid w:val="007E3262"/>
    <w:rsid w:val="007E48E7"/>
    <w:rsid w:val="007E4CC8"/>
    <w:rsid w:val="007E6B59"/>
    <w:rsid w:val="00810BBB"/>
    <w:rsid w:val="00812589"/>
    <w:rsid w:val="008228B6"/>
    <w:rsid w:val="00830815"/>
    <w:rsid w:val="00850364"/>
    <w:rsid w:val="00856A31"/>
    <w:rsid w:val="00862607"/>
    <w:rsid w:val="00873197"/>
    <w:rsid w:val="008754D0"/>
    <w:rsid w:val="00880E44"/>
    <w:rsid w:val="00883892"/>
    <w:rsid w:val="008914CF"/>
    <w:rsid w:val="008A6470"/>
    <w:rsid w:val="008A7F44"/>
    <w:rsid w:val="008B46A4"/>
    <w:rsid w:val="008B7BB2"/>
    <w:rsid w:val="008C4840"/>
    <w:rsid w:val="008D0EE0"/>
    <w:rsid w:val="008D3D00"/>
    <w:rsid w:val="008D479A"/>
    <w:rsid w:val="008D798C"/>
    <w:rsid w:val="008E05CA"/>
    <w:rsid w:val="008E07AC"/>
    <w:rsid w:val="008E7492"/>
    <w:rsid w:val="008F066A"/>
    <w:rsid w:val="008F26CC"/>
    <w:rsid w:val="009021F0"/>
    <w:rsid w:val="00903FE6"/>
    <w:rsid w:val="009053EA"/>
    <w:rsid w:val="00910B5D"/>
    <w:rsid w:val="00912F62"/>
    <w:rsid w:val="00913D1E"/>
    <w:rsid w:val="0091735F"/>
    <w:rsid w:val="00925B61"/>
    <w:rsid w:val="009274D0"/>
    <w:rsid w:val="00932377"/>
    <w:rsid w:val="00932A54"/>
    <w:rsid w:val="00932FA3"/>
    <w:rsid w:val="00933A3E"/>
    <w:rsid w:val="00933CA8"/>
    <w:rsid w:val="009438CE"/>
    <w:rsid w:val="0094621E"/>
    <w:rsid w:val="0095602D"/>
    <w:rsid w:val="00956582"/>
    <w:rsid w:val="00961187"/>
    <w:rsid w:val="009620C2"/>
    <w:rsid w:val="00966C0F"/>
    <w:rsid w:val="00967E4D"/>
    <w:rsid w:val="00973115"/>
    <w:rsid w:val="00992E5D"/>
    <w:rsid w:val="00993707"/>
    <w:rsid w:val="00996534"/>
    <w:rsid w:val="00997A53"/>
    <w:rsid w:val="009A0CCD"/>
    <w:rsid w:val="009A3B10"/>
    <w:rsid w:val="009A7DDF"/>
    <w:rsid w:val="009B1834"/>
    <w:rsid w:val="009C16A4"/>
    <w:rsid w:val="009C1A43"/>
    <w:rsid w:val="009C2B61"/>
    <w:rsid w:val="009C66C8"/>
    <w:rsid w:val="009D03C6"/>
    <w:rsid w:val="009D5495"/>
    <w:rsid w:val="009E620E"/>
    <w:rsid w:val="00A120DD"/>
    <w:rsid w:val="00A1292E"/>
    <w:rsid w:val="00A142EB"/>
    <w:rsid w:val="00A1560F"/>
    <w:rsid w:val="00A231E2"/>
    <w:rsid w:val="00A23745"/>
    <w:rsid w:val="00A25627"/>
    <w:rsid w:val="00A33528"/>
    <w:rsid w:val="00A34B7B"/>
    <w:rsid w:val="00A415B9"/>
    <w:rsid w:val="00A54AFF"/>
    <w:rsid w:val="00A612C2"/>
    <w:rsid w:val="00A6210D"/>
    <w:rsid w:val="00A64912"/>
    <w:rsid w:val="00A654B3"/>
    <w:rsid w:val="00A70A74"/>
    <w:rsid w:val="00A7213C"/>
    <w:rsid w:val="00A72962"/>
    <w:rsid w:val="00A7644F"/>
    <w:rsid w:val="00A92C10"/>
    <w:rsid w:val="00A93C9C"/>
    <w:rsid w:val="00A961A7"/>
    <w:rsid w:val="00AA5445"/>
    <w:rsid w:val="00AA5AD6"/>
    <w:rsid w:val="00AA61D8"/>
    <w:rsid w:val="00AA64EF"/>
    <w:rsid w:val="00AB5A90"/>
    <w:rsid w:val="00AB6AEA"/>
    <w:rsid w:val="00AB7407"/>
    <w:rsid w:val="00AD27B3"/>
    <w:rsid w:val="00AD4592"/>
    <w:rsid w:val="00AD5641"/>
    <w:rsid w:val="00AD6490"/>
    <w:rsid w:val="00AE0A61"/>
    <w:rsid w:val="00AE1196"/>
    <w:rsid w:val="00AE59F7"/>
    <w:rsid w:val="00AE62DB"/>
    <w:rsid w:val="00AE7BD7"/>
    <w:rsid w:val="00AF2411"/>
    <w:rsid w:val="00AF698D"/>
    <w:rsid w:val="00B00541"/>
    <w:rsid w:val="00B010F0"/>
    <w:rsid w:val="00B03550"/>
    <w:rsid w:val="00B0591E"/>
    <w:rsid w:val="00B05DED"/>
    <w:rsid w:val="00B07AD5"/>
    <w:rsid w:val="00B12474"/>
    <w:rsid w:val="00B20EAB"/>
    <w:rsid w:val="00B218A0"/>
    <w:rsid w:val="00B227F1"/>
    <w:rsid w:val="00B228C7"/>
    <w:rsid w:val="00B22B87"/>
    <w:rsid w:val="00B2379A"/>
    <w:rsid w:val="00B26413"/>
    <w:rsid w:val="00B30BBF"/>
    <w:rsid w:val="00B33B3C"/>
    <w:rsid w:val="00B340B6"/>
    <w:rsid w:val="00B3608C"/>
    <w:rsid w:val="00B36F21"/>
    <w:rsid w:val="00B372A6"/>
    <w:rsid w:val="00B42018"/>
    <w:rsid w:val="00B4238A"/>
    <w:rsid w:val="00B429C2"/>
    <w:rsid w:val="00B4695D"/>
    <w:rsid w:val="00B5660E"/>
    <w:rsid w:val="00B61C25"/>
    <w:rsid w:val="00B63522"/>
    <w:rsid w:val="00B64825"/>
    <w:rsid w:val="00B67824"/>
    <w:rsid w:val="00B709D2"/>
    <w:rsid w:val="00B70E56"/>
    <w:rsid w:val="00B759D7"/>
    <w:rsid w:val="00B83D41"/>
    <w:rsid w:val="00B9065A"/>
    <w:rsid w:val="00B9078F"/>
    <w:rsid w:val="00B93FFC"/>
    <w:rsid w:val="00B94C84"/>
    <w:rsid w:val="00BA2CB2"/>
    <w:rsid w:val="00BA4FF7"/>
    <w:rsid w:val="00BA693F"/>
    <w:rsid w:val="00BA7CFF"/>
    <w:rsid w:val="00BC30F2"/>
    <w:rsid w:val="00BC776D"/>
    <w:rsid w:val="00BD1655"/>
    <w:rsid w:val="00BD1A5D"/>
    <w:rsid w:val="00BD4CD5"/>
    <w:rsid w:val="00BD6CE6"/>
    <w:rsid w:val="00BE5F5A"/>
    <w:rsid w:val="00BE719A"/>
    <w:rsid w:val="00BE720A"/>
    <w:rsid w:val="00BF61C8"/>
    <w:rsid w:val="00C01A5B"/>
    <w:rsid w:val="00C0486A"/>
    <w:rsid w:val="00C063C3"/>
    <w:rsid w:val="00C06D5F"/>
    <w:rsid w:val="00C11A18"/>
    <w:rsid w:val="00C123F4"/>
    <w:rsid w:val="00C12F39"/>
    <w:rsid w:val="00C17B4C"/>
    <w:rsid w:val="00C226F2"/>
    <w:rsid w:val="00C30417"/>
    <w:rsid w:val="00C42BF8"/>
    <w:rsid w:val="00C444B5"/>
    <w:rsid w:val="00C46BEA"/>
    <w:rsid w:val="00C50043"/>
    <w:rsid w:val="00C520D9"/>
    <w:rsid w:val="00C53114"/>
    <w:rsid w:val="00C61C8C"/>
    <w:rsid w:val="00C7148F"/>
    <w:rsid w:val="00C7231B"/>
    <w:rsid w:val="00C723B9"/>
    <w:rsid w:val="00C7573B"/>
    <w:rsid w:val="00C75797"/>
    <w:rsid w:val="00C768BD"/>
    <w:rsid w:val="00C77D10"/>
    <w:rsid w:val="00C82DBE"/>
    <w:rsid w:val="00C9780B"/>
    <w:rsid w:val="00CA526A"/>
    <w:rsid w:val="00CA6669"/>
    <w:rsid w:val="00CB0EA8"/>
    <w:rsid w:val="00CC09C1"/>
    <w:rsid w:val="00CC16E5"/>
    <w:rsid w:val="00CC2215"/>
    <w:rsid w:val="00CC35E9"/>
    <w:rsid w:val="00CC3EEB"/>
    <w:rsid w:val="00CC467F"/>
    <w:rsid w:val="00CC6C5C"/>
    <w:rsid w:val="00CC724F"/>
    <w:rsid w:val="00CC7A09"/>
    <w:rsid w:val="00CF0BB2"/>
    <w:rsid w:val="00CF4975"/>
    <w:rsid w:val="00D04DFA"/>
    <w:rsid w:val="00D0720C"/>
    <w:rsid w:val="00D07F31"/>
    <w:rsid w:val="00D10003"/>
    <w:rsid w:val="00D102D4"/>
    <w:rsid w:val="00D12648"/>
    <w:rsid w:val="00D13441"/>
    <w:rsid w:val="00D156BF"/>
    <w:rsid w:val="00D206B9"/>
    <w:rsid w:val="00D22DA1"/>
    <w:rsid w:val="00D3213F"/>
    <w:rsid w:val="00D3454D"/>
    <w:rsid w:val="00D374CE"/>
    <w:rsid w:val="00D40252"/>
    <w:rsid w:val="00D467B9"/>
    <w:rsid w:val="00D46F4C"/>
    <w:rsid w:val="00D52AF3"/>
    <w:rsid w:val="00D534A5"/>
    <w:rsid w:val="00D56A61"/>
    <w:rsid w:val="00D6448F"/>
    <w:rsid w:val="00D67311"/>
    <w:rsid w:val="00D70DFB"/>
    <w:rsid w:val="00D7186F"/>
    <w:rsid w:val="00D766DF"/>
    <w:rsid w:val="00D9284D"/>
    <w:rsid w:val="00DC3AF3"/>
    <w:rsid w:val="00DD314D"/>
    <w:rsid w:val="00DD41E3"/>
    <w:rsid w:val="00DD63A1"/>
    <w:rsid w:val="00DE1029"/>
    <w:rsid w:val="00DE115A"/>
    <w:rsid w:val="00DE3A69"/>
    <w:rsid w:val="00DE4F50"/>
    <w:rsid w:val="00DE66E6"/>
    <w:rsid w:val="00DF2C33"/>
    <w:rsid w:val="00DF319E"/>
    <w:rsid w:val="00DF439E"/>
    <w:rsid w:val="00DF6EB1"/>
    <w:rsid w:val="00E03036"/>
    <w:rsid w:val="00E05704"/>
    <w:rsid w:val="00E10294"/>
    <w:rsid w:val="00E1239A"/>
    <w:rsid w:val="00E1363F"/>
    <w:rsid w:val="00E14BC6"/>
    <w:rsid w:val="00E167CE"/>
    <w:rsid w:val="00E17424"/>
    <w:rsid w:val="00E52591"/>
    <w:rsid w:val="00E54CAB"/>
    <w:rsid w:val="00E610F9"/>
    <w:rsid w:val="00E63F50"/>
    <w:rsid w:val="00E73C2B"/>
    <w:rsid w:val="00E74DC7"/>
    <w:rsid w:val="00E803D5"/>
    <w:rsid w:val="00E813A9"/>
    <w:rsid w:val="00E85CB9"/>
    <w:rsid w:val="00E92304"/>
    <w:rsid w:val="00E94998"/>
    <w:rsid w:val="00EA0F35"/>
    <w:rsid w:val="00EA694F"/>
    <w:rsid w:val="00ED016D"/>
    <w:rsid w:val="00ED1A6C"/>
    <w:rsid w:val="00ED49BE"/>
    <w:rsid w:val="00EE25A8"/>
    <w:rsid w:val="00EE47B1"/>
    <w:rsid w:val="00EE6DCC"/>
    <w:rsid w:val="00EE7DBF"/>
    <w:rsid w:val="00EF0C7B"/>
    <w:rsid w:val="00EF2CAA"/>
    <w:rsid w:val="00EF2E3A"/>
    <w:rsid w:val="00EF5CB5"/>
    <w:rsid w:val="00F0132A"/>
    <w:rsid w:val="00F014B2"/>
    <w:rsid w:val="00F05AB2"/>
    <w:rsid w:val="00F078DC"/>
    <w:rsid w:val="00F104B9"/>
    <w:rsid w:val="00F1413D"/>
    <w:rsid w:val="00F243F0"/>
    <w:rsid w:val="00F46365"/>
    <w:rsid w:val="00F5076A"/>
    <w:rsid w:val="00F52197"/>
    <w:rsid w:val="00F5454E"/>
    <w:rsid w:val="00F60010"/>
    <w:rsid w:val="00F6055D"/>
    <w:rsid w:val="00F70FB6"/>
    <w:rsid w:val="00F71234"/>
    <w:rsid w:val="00F73089"/>
    <w:rsid w:val="00F8103A"/>
    <w:rsid w:val="00F82417"/>
    <w:rsid w:val="00F87067"/>
    <w:rsid w:val="00F90054"/>
    <w:rsid w:val="00F91DF0"/>
    <w:rsid w:val="00F92898"/>
    <w:rsid w:val="00FA1570"/>
    <w:rsid w:val="00FA1C4C"/>
    <w:rsid w:val="00FA3991"/>
    <w:rsid w:val="00FA44F3"/>
    <w:rsid w:val="00FA6085"/>
    <w:rsid w:val="00FB0423"/>
    <w:rsid w:val="00FC104F"/>
    <w:rsid w:val="00FC7F3D"/>
    <w:rsid w:val="00FD10B2"/>
    <w:rsid w:val="00FD335C"/>
    <w:rsid w:val="00FE118C"/>
    <w:rsid w:val="00FE220A"/>
    <w:rsid w:val="00FE50F2"/>
    <w:rsid w:val="00FE7029"/>
    <w:rsid w:val="00FF0CED"/>
    <w:rsid w:val="00FF4B58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75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2C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1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1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1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1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1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1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1F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1F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1F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F2CAA"/>
  </w:style>
  <w:style w:type="paragraph" w:customStyle="1" w:styleId="OPCParaBase">
    <w:name w:val="OPCParaBase"/>
    <w:qFormat/>
    <w:rsid w:val="00EF2C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F2C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F2C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F2C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F2C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F2C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F2C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F2C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F2C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F2C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F2C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F2CAA"/>
  </w:style>
  <w:style w:type="paragraph" w:customStyle="1" w:styleId="Blocks">
    <w:name w:val="Blocks"/>
    <w:aliases w:val="bb"/>
    <w:basedOn w:val="OPCParaBase"/>
    <w:qFormat/>
    <w:rsid w:val="00EF2C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F2C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F2C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F2CAA"/>
    <w:rPr>
      <w:i/>
    </w:rPr>
  </w:style>
  <w:style w:type="paragraph" w:customStyle="1" w:styleId="BoxList">
    <w:name w:val="BoxList"/>
    <w:aliases w:val="bl"/>
    <w:basedOn w:val="BoxText"/>
    <w:qFormat/>
    <w:rsid w:val="00EF2C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F2C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F2C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F2CAA"/>
    <w:pPr>
      <w:ind w:left="1985" w:hanging="851"/>
    </w:pPr>
  </w:style>
  <w:style w:type="character" w:customStyle="1" w:styleId="CharAmPartNo">
    <w:name w:val="CharAmPartNo"/>
    <w:basedOn w:val="OPCCharBase"/>
    <w:qFormat/>
    <w:rsid w:val="00EF2CAA"/>
  </w:style>
  <w:style w:type="character" w:customStyle="1" w:styleId="CharAmPartText">
    <w:name w:val="CharAmPartText"/>
    <w:basedOn w:val="OPCCharBase"/>
    <w:qFormat/>
    <w:rsid w:val="00EF2CAA"/>
  </w:style>
  <w:style w:type="character" w:customStyle="1" w:styleId="CharAmSchNo">
    <w:name w:val="CharAmSchNo"/>
    <w:basedOn w:val="OPCCharBase"/>
    <w:qFormat/>
    <w:rsid w:val="00EF2CAA"/>
  </w:style>
  <w:style w:type="character" w:customStyle="1" w:styleId="CharAmSchText">
    <w:name w:val="CharAmSchText"/>
    <w:basedOn w:val="OPCCharBase"/>
    <w:qFormat/>
    <w:rsid w:val="00EF2CAA"/>
  </w:style>
  <w:style w:type="character" w:customStyle="1" w:styleId="CharBoldItalic">
    <w:name w:val="CharBoldItalic"/>
    <w:basedOn w:val="OPCCharBase"/>
    <w:uiPriority w:val="1"/>
    <w:qFormat/>
    <w:rsid w:val="00EF2CAA"/>
    <w:rPr>
      <w:b/>
      <w:i/>
    </w:rPr>
  </w:style>
  <w:style w:type="character" w:customStyle="1" w:styleId="CharChapNo">
    <w:name w:val="CharChapNo"/>
    <w:basedOn w:val="OPCCharBase"/>
    <w:uiPriority w:val="1"/>
    <w:qFormat/>
    <w:rsid w:val="00EF2CAA"/>
  </w:style>
  <w:style w:type="character" w:customStyle="1" w:styleId="CharChapText">
    <w:name w:val="CharChapText"/>
    <w:basedOn w:val="OPCCharBase"/>
    <w:uiPriority w:val="1"/>
    <w:qFormat/>
    <w:rsid w:val="00EF2CAA"/>
  </w:style>
  <w:style w:type="character" w:customStyle="1" w:styleId="CharDivNo">
    <w:name w:val="CharDivNo"/>
    <w:basedOn w:val="OPCCharBase"/>
    <w:uiPriority w:val="1"/>
    <w:qFormat/>
    <w:rsid w:val="00EF2CAA"/>
  </w:style>
  <w:style w:type="character" w:customStyle="1" w:styleId="CharDivText">
    <w:name w:val="CharDivText"/>
    <w:basedOn w:val="OPCCharBase"/>
    <w:uiPriority w:val="1"/>
    <w:qFormat/>
    <w:rsid w:val="00EF2CAA"/>
  </w:style>
  <w:style w:type="character" w:customStyle="1" w:styleId="CharItalic">
    <w:name w:val="CharItalic"/>
    <w:basedOn w:val="OPCCharBase"/>
    <w:uiPriority w:val="1"/>
    <w:qFormat/>
    <w:rsid w:val="00EF2CAA"/>
    <w:rPr>
      <w:i/>
    </w:rPr>
  </w:style>
  <w:style w:type="character" w:customStyle="1" w:styleId="CharPartNo">
    <w:name w:val="CharPartNo"/>
    <w:basedOn w:val="OPCCharBase"/>
    <w:uiPriority w:val="1"/>
    <w:qFormat/>
    <w:rsid w:val="00EF2CAA"/>
  </w:style>
  <w:style w:type="character" w:customStyle="1" w:styleId="CharPartText">
    <w:name w:val="CharPartText"/>
    <w:basedOn w:val="OPCCharBase"/>
    <w:uiPriority w:val="1"/>
    <w:qFormat/>
    <w:rsid w:val="00EF2CAA"/>
  </w:style>
  <w:style w:type="character" w:customStyle="1" w:styleId="CharSectno">
    <w:name w:val="CharSectno"/>
    <w:basedOn w:val="OPCCharBase"/>
    <w:qFormat/>
    <w:rsid w:val="00EF2CAA"/>
  </w:style>
  <w:style w:type="character" w:customStyle="1" w:styleId="CharSubdNo">
    <w:name w:val="CharSubdNo"/>
    <w:basedOn w:val="OPCCharBase"/>
    <w:uiPriority w:val="1"/>
    <w:qFormat/>
    <w:rsid w:val="00EF2CAA"/>
  </w:style>
  <w:style w:type="character" w:customStyle="1" w:styleId="CharSubdText">
    <w:name w:val="CharSubdText"/>
    <w:basedOn w:val="OPCCharBase"/>
    <w:uiPriority w:val="1"/>
    <w:qFormat/>
    <w:rsid w:val="00EF2CAA"/>
  </w:style>
  <w:style w:type="paragraph" w:customStyle="1" w:styleId="CTA--">
    <w:name w:val="CTA --"/>
    <w:basedOn w:val="OPCParaBase"/>
    <w:next w:val="Normal"/>
    <w:rsid w:val="00EF2C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F2C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F2C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F2C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F2C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F2C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F2C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F2C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F2C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F2C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F2C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F2C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F2C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F2C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F2C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F2CA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F2C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F2CA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F2C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F2C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F2C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F2C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F2C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F2C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F2C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F2C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F2C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F2C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F2C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F2C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F2C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F2C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F2C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F2C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F2C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F2C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F2C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F2C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F2C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F2C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F2C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F2C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F2C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F2C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F2C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F2C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F2C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F2C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F2C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F2C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EF2C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F2C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F2C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F2C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F2C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F2CAA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F2CAA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F2CAA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EF2CAA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F2CA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F2CA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F2CA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F2CA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F2CA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F2C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F2C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F2C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F2C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F2C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F2C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F2C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F2C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F2CAA"/>
    <w:rPr>
      <w:sz w:val="16"/>
    </w:rPr>
  </w:style>
  <w:style w:type="table" w:customStyle="1" w:styleId="CFlag">
    <w:name w:val="CFlag"/>
    <w:basedOn w:val="TableNormal"/>
    <w:uiPriority w:val="99"/>
    <w:rsid w:val="00EF2CAA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EF2CA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F2CAA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F2CAA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F2C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F2C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F2C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F2C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F2C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F2C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F2C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F2C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F2C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F2C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F2CAA"/>
  </w:style>
  <w:style w:type="character" w:customStyle="1" w:styleId="CharSubPartNoCASA">
    <w:name w:val="CharSubPartNo(CASA)"/>
    <w:basedOn w:val="OPCCharBase"/>
    <w:uiPriority w:val="1"/>
    <w:rsid w:val="00EF2CAA"/>
  </w:style>
  <w:style w:type="paragraph" w:customStyle="1" w:styleId="ENoteTTIndentHeadingSub">
    <w:name w:val="ENoteTTIndentHeadingSub"/>
    <w:aliases w:val="enTTHis"/>
    <w:basedOn w:val="OPCParaBase"/>
    <w:rsid w:val="00EF2C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F2C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F2C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F2C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F2C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35B5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F2C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F2CAA"/>
    <w:rPr>
      <w:sz w:val="22"/>
    </w:rPr>
  </w:style>
  <w:style w:type="paragraph" w:customStyle="1" w:styleId="SOTextNote">
    <w:name w:val="SO TextNote"/>
    <w:aliases w:val="sont"/>
    <w:basedOn w:val="SOText"/>
    <w:qFormat/>
    <w:rsid w:val="00EF2C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F2C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F2CAA"/>
    <w:rPr>
      <w:sz w:val="22"/>
    </w:rPr>
  </w:style>
  <w:style w:type="paragraph" w:customStyle="1" w:styleId="FileName">
    <w:name w:val="FileName"/>
    <w:basedOn w:val="Normal"/>
    <w:rsid w:val="00EF2CAA"/>
  </w:style>
  <w:style w:type="paragraph" w:customStyle="1" w:styleId="TableHeading">
    <w:name w:val="TableHeading"/>
    <w:aliases w:val="th"/>
    <w:basedOn w:val="OPCParaBase"/>
    <w:next w:val="Tabletext"/>
    <w:rsid w:val="00EF2C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F2C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F2C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F2C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F2C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F2C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F2C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F2C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F2C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F2C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F2C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F2C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F2CA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F2CA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F2CA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F2C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F2C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F2C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F2C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F2C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F2CAA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F2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F2CAA"/>
  </w:style>
  <w:style w:type="character" w:customStyle="1" w:styleId="Heading1Char">
    <w:name w:val="Heading 1 Char"/>
    <w:basedOn w:val="DefaultParagraphFont"/>
    <w:link w:val="Heading1"/>
    <w:uiPriority w:val="9"/>
    <w:rsid w:val="009021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1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1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1F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1F0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1F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1F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1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1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E7029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FE7029"/>
    <w:rPr>
      <w:rFonts w:eastAsia="Times New Roman" w:cs="Times New Roman"/>
      <w:sz w:val="22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044BB2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12</Value>
      <Value>47</Value>
      <Value>11</Value>
    </TaxCatchAll>
    <_dlc_DocId xmlns="0f563589-9cf9-4143-b1eb-fb0534803d38">2021A6EXK24D-1848193575-1474</_dlc_DocId>
    <_dlc_DocIdUrl xmlns="0f563589-9cf9-4143-b1eb-fb0534803d38">
      <Url>http://tweb/sites/fsr/finadv/_layouts/15/DocIdRedir.aspx?ID=2021A6EXK24D-1848193575-1474</Url>
      <Description>2021A6EXK24D-1848193575-1474</Description>
    </_dlc_DocIdUrl>
    <mad6820d043c45bdbfaec06364038ba1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RC 2.3</TermName>
          <TermId xmlns="http://schemas.microsoft.com/office/infopath/2007/PartnerControls">4bdd30a5-fe4c-4039-86cf-cc86d2d8adcc</TermId>
        </TermInfo>
        <TermInfo xmlns="http://schemas.microsoft.com/office/infopath/2007/PartnerControls">
          <TermName xmlns="http://schemas.microsoft.com/office/infopath/2007/PartnerControls">RC 2.6</TermName>
          <TermId xmlns="http://schemas.microsoft.com/office/infopath/2007/PartnerControls">ea61e6e5-b08e-4b18-b9e4-a7190217e1a6</TermId>
        </TermInfo>
      </Terms>
    </mad6820d043c45bdbfaec06364038ba1>
    <TaxKeywordTaxHTField xmlns="0f563589-9cf9-4143-b1eb-fb0534803d38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Financial Services Reform Document" ma:contentTypeID="0x010100BCBF50F8A60B9C40BFC256C0F7AAB54B00C81BF210190AB64590C7FB729413019E002504224D64852D47879DB512A2E9FC80" ma:contentTypeVersion="23490" ma:contentTypeDescription="" ma:contentTypeScope="" ma:versionID="bda2598b5ed88a1108e1e25b5986317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a3f3b895-a12d-40ed-bbf9-82c550ef3149" xmlns:ns4="http://schemas.microsoft.com/sharepoint/v4" targetNamespace="http://schemas.microsoft.com/office/2006/metadata/properties" ma:root="true" ma:fieldsID="65d039e865b547c70f68aade2e6598c0" ns1:_="" ns2:_="" ns3:_="" ns4:_="">
    <xsd:import namespace="http://schemas.microsoft.com/sharepoint/v3"/>
    <xsd:import namespace="0f563589-9cf9-4143-b1eb-fb0534803d38"/>
    <xsd:import namespace="a3f3b895-a12d-40ed-bbf9-82c550ef31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3:mad6820d043c45bdbfaec06364038ba1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e985234-3f4f-4a88-8988-bc112778147b}" ma:internalName="TaxCatchAll" ma:showField="CatchAllData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e985234-3f4f-4a88-8988-bc112778147b}" ma:internalName="TaxCatchAllLabel" ma:readOnly="true" ma:showField="CatchAllDataLabel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b895-a12d-40ed-bbf9-82c550ef3149" elementFormDefault="qualified">
    <xsd:import namespace="http://schemas.microsoft.com/office/2006/documentManagement/types"/>
    <xsd:import namespace="http://schemas.microsoft.com/office/infopath/2007/PartnerControls"/>
    <xsd:element name="mad6820d043c45bdbfaec06364038ba1" ma:index="16" nillable="true" ma:taxonomy="true" ma:internalName="mad6820d043c45bdbfaec06364038ba1" ma:taxonomyFieldName="Recommendation_x0020_number_x002F_s" ma:displayName="Recommendation number/s" ma:default="" ma:fieldId="{6ad6820d-043c-45bd-bfae-c06364038ba1}" ma:taxonomyMulti="true" ma:sspId="77b7a547-5880-464f-83f8-cefe583c3af4" ma:termSetId="364ed899-a317-44ff-a4aa-42ab0aab41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?mso-contentType ?>
<SharedContentType xmlns="Microsoft.SharePoint.Taxonomy.ContentTypeSync" SourceId="77b7a547-5880-464f-83f8-cefe583c3af4" ContentTypeId="0x010100BCBF50F8A60B9C40BFC256C0F7AAB54B" PreviousValue="false"/>
</file>

<file path=customXml/itemProps1.xml><?xml version="1.0" encoding="utf-8"?>
<ds:datastoreItem xmlns:ds="http://schemas.openxmlformats.org/officeDocument/2006/customXml" ds:itemID="{C750F8E2-08A3-4E3C-AFB6-6089636E942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4242570-D7DF-482C-BA47-C51F653D313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f563589-9cf9-4143-b1eb-fb0534803d38"/>
    <ds:schemaRef ds:uri="a3f3b895-a12d-40ed-bbf9-82c550ef3149"/>
  </ds:schemaRefs>
</ds:datastoreItem>
</file>

<file path=customXml/itemProps3.xml><?xml version="1.0" encoding="utf-8"?>
<ds:datastoreItem xmlns:ds="http://schemas.openxmlformats.org/officeDocument/2006/customXml" ds:itemID="{BFB8A61C-5F4B-4683-B079-DE7FAB02C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C6F594-F700-4917-A5F4-6830051F05C7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A9E29F77-8B64-4A12-BBFE-903864289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a3f3b895-a12d-40ed-bbf9-82c550ef31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F6451B2-518D-4659-9475-9845EC4CE5E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88B4442-8F4C-4CB3-AE83-6076721DF3E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</Pages>
  <Words>4170</Words>
  <Characters>21897</Characters>
  <Application>Microsoft Office Word</Application>
  <DocSecurity>2</DocSecurity>
  <PresentationFormat/>
  <Lines>576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Bill 2021: Licensing exemptions for foreign financial service providers</vt:lpstr>
    </vt:vector>
  </TitlesOfParts>
  <Manager/>
  <Company/>
  <LinksUpToDate>false</LinksUpToDate>
  <CharactersWithSpaces>25720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Bill 2021: Licensing exemptions for foreign financial service providers</dc:title>
  <dc:subject/>
  <dc:creator/>
  <cp:keywords/>
  <dc:description/>
  <cp:lastModifiedBy/>
  <cp:revision>1</cp:revision>
  <cp:lastPrinted>2021-12-07T04:25:00Z</cp:lastPrinted>
  <dcterms:created xsi:type="dcterms:W3CDTF">2021-12-09T04:29:00Z</dcterms:created>
  <dcterms:modified xsi:type="dcterms:W3CDTF">2021-12-17T04:31:00Z</dcterms:modified>
  <cp:category/>
  <cp:contentStatus/>
  <dc:language/>
  <cp:version/>
</cp:coreProperties>
</file>