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10867609" w:displacedByCustomXml="next"/>
    <w:sdt>
      <w:sdtPr>
        <w:id w:val="-1206409104"/>
        <w:docPartObj>
          <w:docPartGallery w:val="Cover Pages"/>
          <w:docPartUnique/>
        </w:docPartObj>
      </w:sdtPr>
      <w:sdtEndPr/>
      <w:sdtContent>
        <w:p w14:paraId="0129E82D" w14:textId="5B221A6C" w:rsidR="00A652B8" w:rsidRPr="006D0240" w:rsidRDefault="00A652B8" w:rsidP="008E6292">
          <w:r>
            <w:rPr>
              <w:noProof/>
              <w:lang w:eastAsia="zh-CN"/>
            </w:rPr>
            <w:drawing>
              <wp:anchor distT="0" distB="0" distL="114300" distR="114300" simplePos="0" relativeHeight="251658240" behindDoc="1" locked="0" layoutInCell="1" allowOverlap="1" wp14:anchorId="415482B7" wp14:editId="7E39F53B">
                <wp:simplePos x="0" y="0"/>
                <wp:positionH relativeFrom="page">
                  <wp:align>center</wp:align>
                </wp:positionH>
                <wp:positionV relativeFrom="page">
                  <wp:align>center</wp:align>
                </wp:positionV>
                <wp:extent cx="7558767" cy="10691998"/>
                <wp:effectExtent l="0" t="0" r="4445" b="0"/>
                <wp:wrapNone/>
                <wp:docPr id="8" name="Picture 8" descr="P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1#y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58767" cy="10691998"/>
                        </a:xfrm>
                        <a:prstGeom prst="rect">
                          <a:avLst/>
                        </a:prstGeom>
                      </pic:spPr>
                    </pic:pic>
                  </a:graphicData>
                </a:graphic>
                <wp14:sizeRelH relativeFrom="margin">
                  <wp14:pctWidth>0</wp14:pctWidth>
                </wp14:sizeRelH>
                <wp14:sizeRelV relativeFrom="margin">
                  <wp14:pctHeight>0</wp14:pctHeight>
                </wp14:sizeRelV>
              </wp:anchor>
            </w:drawing>
          </w:r>
          <w:r w:rsidR="004552DD">
            <w:rPr>
              <w:noProof/>
              <w:lang w:eastAsia="zh-CN"/>
            </w:rPr>
            <w:t>A</w:t>
          </w:r>
        </w:p>
        <w:p w14:paraId="3FBCBEEB" w14:textId="77777777" w:rsidR="00A652B8" w:rsidRPr="006D0240" w:rsidRDefault="00A652B8" w:rsidP="001D4EAA">
          <w:pPr>
            <w:pStyle w:val="Header"/>
            <w:spacing w:after="1320"/>
            <w:jc w:val="left"/>
          </w:pPr>
        </w:p>
        <w:p w14:paraId="46F51C88" w14:textId="67CAC2CC" w:rsidR="00A652B8" w:rsidRPr="001D4EAA" w:rsidRDefault="00506BE6" w:rsidP="00757D82">
          <w:pPr>
            <w:pStyle w:val="Title"/>
          </w:pPr>
          <w:r>
            <w:t>Climate</w:t>
          </w:r>
          <w:r w:rsidR="003E24C5">
            <w:t>-related financial</w:t>
          </w:r>
          <w:r>
            <w:t xml:space="preserve"> disclosure</w:t>
          </w:r>
        </w:p>
        <w:p w14:paraId="44546692" w14:textId="77777777" w:rsidR="00A652B8" w:rsidRPr="001D4EAA" w:rsidRDefault="00A652B8" w:rsidP="00757D82">
          <w:pPr>
            <w:pStyle w:val="Subtitle"/>
            <w:spacing w:after="240"/>
          </w:pPr>
          <w:r>
            <w:t>Consultation paper</w:t>
          </w:r>
        </w:p>
        <w:p w14:paraId="74EFCEB8" w14:textId="3CFA0E7D" w:rsidR="00A652B8" w:rsidRPr="00DF07B2" w:rsidRDefault="003E6A81" w:rsidP="00757D82">
          <w:pPr>
            <w:pStyle w:val="ReportDate"/>
            <w:rPr>
              <w:rFonts w:ascii="Rockwell" w:hAnsi="Rockwell"/>
              <w:sz w:val="24"/>
            </w:rPr>
          </w:pPr>
          <w:r>
            <w:rPr>
              <w:rStyle w:val="ReportDateChar"/>
            </w:rPr>
            <w:t>December</w:t>
          </w:r>
          <w:r w:rsidRPr="00DF07B2">
            <w:rPr>
              <w:rStyle w:val="ReportDateChar"/>
            </w:rPr>
            <w:t xml:space="preserve"> </w:t>
          </w:r>
          <w:r w:rsidR="00506BE6" w:rsidRPr="00DF07B2">
            <w:rPr>
              <w:rStyle w:val="ReportDateChar"/>
            </w:rPr>
            <w:t>2022</w:t>
          </w:r>
        </w:p>
        <w:p w14:paraId="2EDA6753" w14:textId="7DD2F6C4" w:rsidR="00A652B8" w:rsidRPr="00DF07B2" w:rsidRDefault="00A652B8" w:rsidP="00757D82">
          <w:pPr>
            <w:pStyle w:val="Instructions"/>
            <w:shd w:val="clear" w:color="auto" w:fill="auto"/>
            <w:tabs>
              <w:tab w:val="left" w:pos="3885"/>
            </w:tabs>
            <w:jc w:val="right"/>
          </w:pPr>
        </w:p>
        <w:p w14:paraId="1C5FA94F" w14:textId="77777777" w:rsidR="00757D82" w:rsidRDefault="00757D82" w:rsidP="00757D82">
          <w:pPr>
            <w:spacing w:after="1640"/>
          </w:pPr>
        </w:p>
        <w:p w14:paraId="13AC0245" w14:textId="77777777" w:rsidR="00A652B8" w:rsidRDefault="00A652B8" w:rsidP="00757D82">
          <w:pPr>
            <w:spacing w:after="1640"/>
          </w:pPr>
        </w:p>
        <w:p w14:paraId="48DFC6F1" w14:textId="77777777" w:rsidR="00A652B8" w:rsidRDefault="00A652B8">
          <w:pPr>
            <w:spacing w:before="0" w:after="160" w:line="259" w:lineRule="auto"/>
          </w:pPr>
          <w:r>
            <w:br w:type="page"/>
          </w:r>
        </w:p>
      </w:sdtContent>
    </w:sdt>
    <w:p w14:paraId="4BDFD607" w14:textId="77777777" w:rsidR="000E0B74" w:rsidRDefault="000E0B74" w:rsidP="000E0B74">
      <w:pPr>
        <w:sectPr w:rsidR="000E0B74" w:rsidSect="00555D14">
          <w:pgSz w:w="11906" w:h="16838" w:code="9"/>
          <w:pgMar w:top="1843" w:right="1418" w:bottom="1418" w:left="1418" w:header="709" w:footer="709" w:gutter="0"/>
          <w:pgNumType w:fmt="lowerRoman" w:start="0"/>
          <w:cols w:space="720"/>
          <w:titlePg/>
          <w:docGrid w:linePitch="299"/>
        </w:sectPr>
      </w:pPr>
    </w:p>
    <w:p w14:paraId="562A4A0F" w14:textId="3DD9167A" w:rsidR="000E0B74" w:rsidRDefault="000E0B74" w:rsidP="000E0B74">
      <w:pPr>
        <w:spacing w:before="240"/>
      </w:pPr>
      <w:r w:rsidRPr="00661BF0">
        <w:lastRenderedPageBreak/>
        <w:t xml:space="preserve">© Commonwealth of Australia </w:t>
      </w:r>
      <w:r w:rsidR="004552DD" w:rsidRPr="00DF07B2">
        <w:t>2022</w:t>
      </w:r>
    </w:p>
    <w:p w14:paraId="2F6817FD" w14:textId="3F985B56"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5"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6"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476D0606" w14:textId="77777777" w:rsidR="000E0B74" w:rsidRDefault="000E0B74" w:rsidP="000E0B74">
      <w:pPr>
        <w:pStyle w:val="ChartGraphic"/>
        <w:jc w:val="left"/>
      </w:pPr>
      <w:r w:rsidRPr="00E56DFB">
        <w:rPr>
          <w:noProof/>
          <w:lang w:eastAsia="zh-CN"/>
        </w:rPr>
        <w:drawing>
          <wp:inline distT="0" distB="0" distL="0" distR="0" wp14:anchorId="0A154FBA" wp14:editId="6EA03A34">
            <wp:extent cx="809625" cy="285750"/>
            <wp:effectExtent l="0" t="0" r="9525" b="0"/>
            <wp:docPr id="3" name="Picture 1" descr="P13#yIS1"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P13#yIS1" title="Creative Commons ic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3C8CE81A"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8"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04B0F1B5" w14:textId="77777777" w:rsidR="000E0B74" w:rsidRPr="0031276E" w:rsidRDefault="000E0B74" w:rsidP="0031276E">
      <w:pPr>
        <w:spacing w:before="240"/>
        <w:rPr>
          <w:b/>
        </w:rPr>
      </w:pPr>
      <w:r w:rsidRPr="0031276E">
        <w:rPr>
          <w:b/>
        </w:rPr>
        <w:t>Treasury material used ‘as supplied’.</w:t>
      </w:r>
    </w:p>
    <w:p w14:paraId="13357271" w14:textId="77777777" w:rsidR="000E0B74" w:rsidRPr="00476F09" w:rsidRDefault="000E0B74" w:rsidP="00823A6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047409AF" w14:textId="28EB53E2" w:rsidR="000E0B74" w:rsidRPr="00A13A11" w:rsidRDefault="000E0B74" w:rsidP="000E0B74">
      <w:pPr>
        <w:ind w:firstLine="720"/>
      </w:pPr>
      <w:r w:rsidRPr="002F1BC2">
        <w:rPr>
          <w:i/>
        </w:rPr>
        <w:t xml:space="preserve">Source: The </w:t>
      </w:r>
      <w:r w:rsidRPr="002F1BC2">
        <w:rPr>
          <w:i/>
          <w:iCs/>
        </w:rPr>
        <w:t>Australian Government the Treasury</w:t>
      </w:r>
    </w:p>
    <w:p w14:paraId="72A42DA0" w14:textId="77777777" w:rsidR="000E0B74" w:rsidRPr="006627B4" w:rsidRDefault="000E0B74" w:rsidP="000E0B74">
      <w:pPr>
        <w:spacing w:before="240"/>
      </w:pPr>
      <w:r w:rsidRPr="00CC63CC">
        <w:rPr>
          <w:b/>
        </w:rPr>
        <w:t>Derivative</w:t>
      </w:r>
      <w:r w:rsidRPr="006627B4">
        <w:t xml:space="preserve"> </w:t>
      </w:r>
      <w:r w:rsidRPr="00CC63CC">
        <w:rPr>
          <w:b/>
        </w:rPr>
        <w:t>material</w:t>
      </w:r>
    </w:p>
    <w:p w14:paraId="1F775607"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402C0A9B" w14:textId="567F9897" w:rsidR="000E0B74" w:rsidRPr="006627B4" w:rsidRDefault="000E0B74" w:rsidP="000E0B74">
      <w:pPr>
        <w:ind w:firstLine="720"/>
      </w:pPr>
      <w:r w:rsidRPr="002F1BC2">
        <w:rPr>
          <w:i/>
        </w:rPr>
        <w:t>Based on The Australian Government the Treasury data</w:t>
      </w:r>
    </w:p>
    <w:p w14:paraId="749FC1C2" w14:textId="77777777" w:rsidR="000E0B74" w:rsidRPr="006627B4" w:rsidRDefault="000E0B74" w:rsidP="000E0B74">
      <w:pPr>
        <w:spacing w:before="240"/>
        <w:rPr>
          <w:b/>
        </w:rPr>
      </w:pPr>
      <w:r w:rsidRPr="006627B4">
        <w:rPr>
          <w:b/>
        </w:rPr>
        <w:t>Use of the Coat of Arms</w:t>
      </w:r>
    </w:p>
    <w:p w14:paraId="2FD92D6F" w14:textId="77777777"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19" w:history="1">
        <w:r w:rsidRPr="005A283B">
          <w:rPr>
            <w:rStyle w:val="Hyperlink"/>
          </w:rPr>
          <w:t>www.pmc.gov.au/government/commonwealth-coat-arm</w:t>
        </w:r>
      </w:hyperlink>
      <w:r w:rsidRPr="004A7BC2">
        <w:t>s).</w:t>
      </w:r>
    </w:p>
    <w:p w14:paraId="39B0BBD7" w14:textId="77777777" w:rsidR="000E0B74" w:rsidRPr="006627B4" w:rsidRDefault="000E0B74" w:rsidP="000E0B74">
      <w:pPr>
        <w:spacing w:before="240"/>
        <w:rPr>
          <w:b/>
        </w:rPr>
      </w:pPr>
      <w:r>
        <w:rPr>
          <w:b/>
        </w:rPr>
        <w:t>Other u</w:t>
      </w:r>
      <w:r w:rsidRPr="006627B4">
        <w:rPr>
          <w:b/>
        </w:rPr>
        <w:t>ses</w:t>
      </w:r>
    </w:p>
    <w:p w14:paraId="4C22E9A4" w14:textId="77777777" w:rsidR="000E0B74" w:rsidRPr="006627B4" w:rsidRDefault="000E0B74" w:rsidP="000E0B74">
      <w:r>
        <w:t>E</w:t>
      </w:r>
      <w:r w:rsidRPr="006627B4">
        <w:t>nquiries regarding this licence and any other use of this document are welcome at:</w:t>
      </w:r>
    </w:p>
    <w:p w14:paraId="726A1DCE" w14:textId="77777777" w:rsidR="000E0B74" w:rsidRPr="002F1BC2" w:rsidRDefault="000E0B74" w:rsidP="000E0B74">
      <w:pPr>
        <w:ind w:left="720"/>
        <w:rPr>
          <w:rStyle w:val="Hyperlink"/>
        </w:rPr>
      </w:pPr>
      <w:r w:rsidRPr="006627B4">
        <w:t>Manager</w:t>
      </w:r>
      <w:r w:rsidR="009A668A">
        <w:br/>
      </w:r>
      <w:r>
        <w:t>Media and Speeches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20" w:history="1">
        <w:r w:rsidR="004A077D" w:rsidRPr="000951A5">
          <w:rPr>
            <w:rStyle w:val="Hyperlink"/>
          </w:rPr>
          <w:t>media@treasury.gov.au</w:t>
        </w:r>
      </w:hyperlink>
      <w:r w:rsidR="004A077D">
        <w:t xml:space="preserve"> </w:t>
      </w:r>
    </w:p>
    <w:p w14:paraId="6C0650E2" w14:textId="77777777" w:rsidR="000E0B74" w:rsidRDefault="000E0B74" w:rsidP="000E0B74">
      <w:pPr>
        <w:pStyle w:val="SingleParagraph"/>
        <w:sectPr w:rsidR="000E0B74" w:rsidSect="008043EA">
          <w:headerReference w:type="even" r:id="rId21"/>
          <w:headerReference w:type="default" r:id="rId22"/>
          <w:footerReference w:type="even" r:id="rId23"/>
          <w:pgSz w:w="11906" w:h="16838" w:code="9"/>
          <w:pgMar w:top="1843" w:right="1418" w:bottom="1418" w:left="1418" w:header="709" w:footer="709" w:gutter="0"/>
          <w:pgNumType w:fmt="lowerRoman"/>
          <w:cols w:space="708"/>
          <w:titlePg/>
          <w:docGrid w:linePitch="360"/>
        </w:sectPr>
      </w:pPr>
    </w:p>
    <w:p w14:paraId="4959E16A" w14:textId="77777777" w:rsidR="000E0B74" w:rsidRPr="00354FBB" w:rsidRDefault="000E0B74" w:rsidP="00354FBB">
      <w:pPr>
        <w:pStyle w:val="Heading1"/>
      </w:pPr>
      <w:bookmarkStart w:id="1" w:name="_Toc121390583"/>
      <w:r w:rsidRPr="00354FBB">
        <w:lastRenderedPageBreak/>
        <w:t>Contents</w:t>
      </w:r>
      <w:bookmarkEnd w:id="1"/>
    </w:p>
    <w:p w14:paraId="59D13A01" w14:textId="13C17C16" w:rsidR="00D33F85" w:rsidRDefault="00257AEE">
      <w:pPr>
        <w:pStyle w:val="TOC1"/>
        <w:rPr>
          <w:rFonts w:asciiTheme="minorHAnsi" w:eastAsiaTheme="minorEastAsia" w:hAnsiTheme="minorHAnsi" w:cstheme="minorBidi"/>
          <w:b w:val="0"/>
          <w:color w:val="auto"/>
        </w:rPr>
      </w:pPr>
      <w:r>
        <w:rPr>
          <w:color w:val="2C384A" w:themeColor="accent1"/>
        </w:rPr>
        <w:fldChar w:fldCharType="begin"/>
      </w:r>
      <w:r>
        <w:instrText xml:space="preserve"> TOC \o "1-2" \h \z \t "Heading 3,3,Chart Main Heading,3,Table Main Heading,3,Heading 3 Numbered,3,Table Heading Continued,3" </w:instrText>
      </w:r>
      <w:r>
        <w:rPr>
          <w:color w:val="2C384A" w:themeColor="accent1"/>
        </w:rPr>
        <w:fldChar w:fldCharType="separate"/>
      </w:r>
      <w:hyperlink w:anchor="_Toc121390583" w:history="1">
        <w:r w:rsidR="00D33F85" w:rsidRPr="00A2539C">
          <w:rPr>
            <w:rStyle w:val="Hyperlink"/>
          </w:rPr>
          <w:t>Contents</w:t>
        </w:r>
        <w:r w:rsidR="00D33F85">
          <w:rPr>
            <w:webHidden/>
          </w:rPr>
          <w:tab/>
        </w:r>
        <w:r w:rsidR="00D33F85">
          <w:rPr>
            <w:webHidden/>
          </w:rPr>
          <w:fldChar w:fldCharType="begin"/>
        </w:r>
        <w:r w:rsidR="00D33F85">
          <w:rPr>
            <w:webHidden/>
          </w:rPr>
          <w:instrText xml:space="preserve"> PAGEREF _Toc121390583 \h </w:instrText>
        </w:r>
        <w:r w:rsidR="00D33F85">
          <w:rPr>
            <w:webHidden/>
          </w:rPr>
        </w:r>
        <w:r w:rsidR="00D33F85">
          <w:rPr>
            <w:webHidden/>
          </w:rPr>
          <w:fldChar w:fldCharType="separate"/>
        </w:r>
        <w:r w:rsidR="008F238D">
          <w:rPr>
            <w:webHidden/>
          </w:rPr>
          <w:t>ii</w:t>
        </w:r>
        <w:r w:rsidR="00D33F85">
          <w:rPr>
            <w:webHidden/>
          </w:rPr>
          <w:fldChar w:fldCharType="end"/>
        </w:r>
      </w:hyperlink>
    </w:p>
    <w:p w14:paraId="4AAB1F64" w14:textId="70033AA2" w:rsidR="00D33F85" w:rsidRDefault="00444A76">
      <w:pPr>
        <w:pStyle w:val="TOC1"/>
        <w:rPr>
          <w:rFonts w:asciiTheme="minorHAnsi" w:eastAsiaTheme="minorEastAsia" w:hAnsiTheme="minorHAnsi" w:cstheme="minorBidi"/>
          <w:b w:val="0"/>
          <w:color w:val="auto"/>
        </w:rPr>
      </w:pPr>
      <w:hyperlink w:anchor="_Toc121390584" w:history="1">
        <w:r w:rsidR="00D33F85" w:rsidRPr="00A2539C">
          <w:rPr>
            <w:rStyle w:val="Hyperlink"/>
          </w:rPr>
          <w:t>Consultation Process</w:t>
        </w:r>
        <w:r w:rsidR="00D33F85">
          <w:rPr>
            <w:webHidden/>
          </w:rPr>
          <w:tab/>
        </w:r>
        <w:r w:rsidR="00D33F85">
          <w:rPr>
            <w:webHidden/>
          </w:rPr>
          <w:fldChar w:fldCharType="begin"/>
        </w:r>
        <w:r w:rsidR="00D33F85">
          <w:rPr>
            <w:webHidden/>
          </w:rPr>
          <w:instrText xml:space="preserve"> PAGEREF _Toc121390584 \h </w:instrText>
        </w:r>
        <w:r w:rsidR="00D33F85">
          <w:rPr>
            <w:webHidden/>
          </w:rPr>
        </w:r>
        <w:r w:rsidR="00D33F85">
          <w:rPr>
            <w:webHidden/>
          </w:rPr>
          <w:fldChar w:fldCharType="separate"/>
        </w:r>
        <w:r w:rsidR="008F238D">
          <w:rPr>
            <w:webHidden/>
          </w:rPr>
          <w:t>3</w:t>
        </w:r>
        <w:r w:rsidR="00D33F85">
          <w:rPr>
            <w:webHidden/>
          </w:rPr>
          <w:fldChar w:fldCharType="end"/>
        </w:r>
      </w:hyperlink>
    </w:p>
    <w:p w14:paraId="21E00FCE" w14:textId="169E8C87" w:rsidR="00D33F85" w:rsidRDefault="00444A76">
      <w:pPr>
        <w:pStyle w:val="TOC2"/>
        <w:rPr>
          <w:rFonts w:asciiTheme="minorHAnsi" w:eastAsiaTheme="minorEastAsia" w:hAnsiTheme="minorHAnsi" w:cstheme="minorBidi"/>
          <w:color w:val="auto"/>
          <w:szCs w:val="22"/>
        </w:rPr>
      </w:pPr>
      <w:hyperlink w:anchor="_Toc121390585" w:history="1">
        <w:r w:rsidR="00D33F85" w:rsidRPr="00A2539C">
          <w:rPr>
            <w:rStyle w:val="Hyperlink"/>
          </w:rPr>
          <w:t>Request for feedback and comments</w:t>
        </w:r>
        <w:r w:rsidR="00D33F85">
          <w:rPr>
            <w:webHidden/>
          </w:rPr>
          <w:tab/>
        </w:r>
        <w:r w:rsidR="00D33F85">
          <w:rPr>
            <w:webHidden/>
          </w:rPr>
          <w:fldChar w:fldCharType="begin"/>
        </w:r>
        <w:r w:rsidR="00D33F85">
          <w:rPr>
            <w:webHidden/>
          </w:rPr>
          <w:instrText xml:space="preserve"> PAGEREF _Toc121390585 \h </w:instrText>
        </w:r>
        <w:r w:rsidR="00D33F85">
          <w:rPr>
            <w:webHidden/>
          </w:rPr>
        </w:r>
        <w:r w:rsidR="00D33F85">
          <w:rPr>
            <w:webHidden/>
          </w:rPr>
          <w:fldChar w:fldCharType="separate"/>
        </w:r>
        <w:r w:rsidR="008F238D">
          <w:rPr>
            <w:webHidden/>
          </w:rPr>
          <w:t>3</w:t>
        </w:r>
        <w:r w:rsidR="00D33F85">
          <w:rPr>
            <w:webHidden/>
          </w:rPr>
          <w:fldChar w:fldCharType="end"/>
        </w:r>
      </w:hyperlink>
    </w:p>
    <w:p w14:paraId="2BCB0876" w14:textId="1FA1A6B4" w:rsidR="00D33F85" w:rsidRDefault="00444A76">
      <w:pPr>
        <w:pStyle w:val="TOC1"/>
        <w:rPr>
          <w:rFonts w:asciiTheme="minorHAnsi" w:eastAsiaTheme="minorEastAsia" w:hAnsiTheme="minorHAnsi" w:cstheme="minorBidi"/>
          <w:b w:val="0"/>
          <w:color w:val="auto"/>
        </w:rPr>
      </w:pPr>
      <w:hyperlink w:anchor="_Toc121390586" w:history="1">
        <w:r w:rsidR="00D33F85" w:rsidRPr="00A2539C">
          <w:rPr>
            <w:rStyle w:val="Hyperlink"/>
          </w:rPr>
          <w:t>Keywords and definitions</w:t>
        </w:r>
        <w:r w:rsidR="00D33F85">
          <w:rPr>
            <w:webHidden/>
          </w:rPr>
          <w:tab/>
        </w:r>
        <w:r w:rsidR="00D33F85">
          <w:rPr>
            <w:webHidden/>
          </w:rPr>
          <w:fldChar w:fldCharType="begin"/>
        </w:r>
        <w:r w:rsidR="00D33F85">
          <w:rPr>
            <w:webHidden/>
          </w:rPr>
          <w:instrText xml:space="preserve"> PAGEREF _Toc121390586 \h </w:instrText>
        </w:r>
        <w:r w:rsidR="00D33F85">
          <w:rPr>
            <w:webHidden/>
          </w:rPr>
        </w:r>
        <w:r w:rsidR="00D33F85">
          <w:rPr>
            <w:webHidden/>
          </w:rPr>
          <w:fldChar w:fldCharType="separate"/>
        </w:r>
        <w:r w:rsidR="008F238D">
          <w:rPr>
            <w:webHidden/>
          </w:rPr>
          <w:t>4</w:t>
        </w:r>
        <w:r w:rsidR="00D33F85">
          <w:rPr>
            <w:webHidden/>
          </w:rPr>
          <w:fldChar w:fldCharType="end"/>
        </w:r>
      </w:hyperlink>
    </w:p>
    <w:p w14:paraId="27105A4E" w14:textId="657332FB" w:rsidR="00D33F85" w:rsidRDefault="00444A76">
      <w:pPr>
        <w:pStyle w:val="TOC1"/>
        <w:rPr>
          <w:rFonts w:asciiTheme="minorHAnsi" w:eastAsiaTheme="minorEastAsia" w:hAnsiTheme="minorHAnsi" w:cstheme="minorBidi"/>
          <w:b w:val="0"/>
          <w:color w:val="auto"/>
        </w:rPr>
      </w:pPr>
      <w:hyperlink w:anchor="_Toc121390587" w:history="1">
        <w:r w:rsidR="00D33F85" w:rsidRPr="00A2539C">
          <w:rPr>
            <w:rStyle w:val="Hyperlink"/>
          </w:rPr>
          <w:t>Climate-related financial disclosure consultation</w:t>
        </w:r>
        <w:r w:rsidR="00D33F85">
          <w:rPr>
            <w:webHidden/>
          </w:rPr>
          <w:tab/>
        </w:r>
        <w:r w:rsidR="00D33F85">
          <w:rPr>
            <w:webHidden/>
          </w:rPr>
          <w:fldChar w:fldCharType="begin"/>
        </w:r>
        <w:r w:rsidR="00D33F85">
          <w:rPr>
            <w:webHidden/>
          </w:rPr>
          <w:instrText xml:space="preserve"> PAGEREF _Toc121390587 \h </w:instrText>
        </w:r>
        <w:r w:rsidR="00D33F85">
          <w:rPr>
            <w:webHidden/>
          </w:rPr>
        </w:r>
        <w:r w:rsidR="00D33F85">
          <w:rPr>
            <w:webHidden/>
          </w:rPr>
          <w:fldChar w:fldCharType="separate"/>
        </w:r>
        <w:r w:rsidR="008F238D">
          <w:rPr>
            <w:webHidden/>
          </w:rPr>
          <w:t>5</w:t>
        </w:r>
        <w:r w:rsidR="00D33F85">
          <w:rPr>
            <w:webHidden/>
          </w:rPr>
          <w:fldChar w:fldCharType="end"/>
        </w:r>
      </w:hyperlink>
    </w:p>
    <w:p w14:paraId="39652818" w14:textId="7CED4364" w:rsidR="00D33F85" w:rsidRDefault="00444A76">
      <w:pPr>
        <w:pStyle w:val="TOC2"/>
        <w:rPr>
          <w:rFonts w:asciiTheme="minorHAnsi" w:eastAsiaTheme="minorEastAsia" w:hAnsiTheme="minorHAnsi" w:cstheme="minorBidi"/>
          <w:color w:val="auto"/>
          <w:szCs w:val="22"/>
        </w:rPr>
      </w:pPr>
      <w:hyperlink w:anchor="_Toc121390588" w:history="1">
        <w:r w:rsidR="00D33F85" w:rsidRPr="00A2539C">
          <w:rPr>
            <w:rStyle w:val="Hyperlink"/>
          </w:rPr>
          <w:t>Introduction</w:t>
        </w:r>
        <w:r w:rsidR="00D33F85">
          <w:rPr>
            <w:webHidden/>
          </w:rPr>
          <w:tab/>
        </w:r>
        <w:r w:rsidR="00D33F85">
          <w:rPr>
            <w:webHidden/>
          </w:rPr>
          <w:fldChar w:fldCharType="begin"/>
        </w:r>
        <w:r w:rsidR="00D33F85">
          <w:rPr>
            <w:webHidden/>
          </w:rPr>
          <w:instrText xml:space="preserve"> PAGEREF _Toc121390588 \h </w:instrText>
        </w:r>
        <w:r w:rsidR="00D33F85">
          <w:rPr>
            <w:webHidden/>
          </w:rPr>
        </w:r>
        <w:r w:rsidR="00D33F85">
          <w:rPr>
            <w:webHidden/>
          </w:rPr>
          <w:fldChar w:fldCharType="separate"/>
        </w:r>
        <w:r w:rsidR="008F238D">
          <w:rPr>
            <w:webHidden/>
          </w:rPr>
          <w:t>5</w:t>
        </w:r>
        <w:r w:rsidR="00D33F85">
          <w:rPr>
            <w:webHidden/>
          </w:rPr>
          <w:fldChar w:fldCharType="end"/>
        </w:r>
      </w:hyperlink>
    </w:p>
    <w:p w14:paraId="78BFFEAD" w14:textId="56805C17" w:rsidR="00D33F85" w:rsidRDefault="00444A76">
      <w:pPr>
        <w:pStyle w:val="TOC2"/>
        <w:rPr>
          <w:rFonts w:asciiTheme="minorHAnsi" w:eastAsiaTheme="minorEastAsia" w:hAnsiTheme="minorHAnsi" w:cstheme="minorBidi"/>
          <w:color w:val="auto"/>
          <w:szCs w:val="22"/>
        </w:rPr>
      </w:pPr>
      <w:hyperlink w:anchor="_Toc121390589" w:history="1">
        <w:r w:rsidR="00D33F85" w:rsidRPr="00A2539C">
          <w:rPr>
            <w:rStyle w:val="Hyperlink"/>
          </w:rPr>
          <w:t>Reform principles</w:t>
        </w:r>
        <w:r w:rsidR="00D33F85">
          <w:rPr>
            <w:webHidden/>
          </w:rPr>
          <w:tab/>
        </w:r>
        <w:r w:rsidR="00D33F85">
          <w:rPr>
            <w:webHidden/>
          </w:rPr>
          <w:fldChar w:fldCharType="begin"/>
        </w:r>
        <w:r w:rsidR="00D33F85">
          <w:rPr>
            <w:webHidden/>
          </w:rPr>
          <w:instrText xml:space="preserve"> PAGEREF _Toc121390589 \h </w:instrText>
        </w:r>
        <w:r w:rsidR="00D33F85">
          <w:rPr>
            <w:webHidden/>
          </w:rPr>
        </w:r>
        <w:r w:rsidR="00D33F85">
          <w:rPr>
            <w:webHidden/>
          </w:rPr>
          <w:fldChar w:fldCharType="separate"/>
        </w:r>
        <w:r w:rsidR="008F238D">
          <w:rPr>
            <w:webHidden/>
          </w:rPr>
          <w:t>6</w:t>
        </w:r>
        <w:r w:rsidR="00D33F85">
          <w:rPr>
            <w:webHidden/>
          </w:rPr>
          <w:fldChar w:fldCharType="end"/>
        </w:r>
      </w:hyperlink>
    </w:p>
    <w:p w14:paraId="789A2A81" w14:textId="2F5DB7EE" w:rsidR="00D33F85" w:rsidRDefault="00444A76">
      <w:pPr>
        <w:pStyle w:val="TOC2"/>
        <w:rPr>
          <w:rFonts w:asciiTheme="minorHAnsi" w:eastAsiaTheme="minorEastAsia" w:hAnsiTheme="minorHAnsi" w:cstheme="minorBidi"/>
          <w:color w:val="auto"/>
          <w:szCs w:val="22"/>
        </w:rPr>
      </w:pPr>
      <w:hyperlink w:anchor="_Toc121390590" w:history="1">
        <w:r w:rsidR="00D33F85" w:rsidRPr="00A2539C">
          <w:rPr>
            <w:rStyle w:val="Hyperlink"/>
          </w:rPr>
          <w:t>Process</w:t>
        </w:r>
        <w:r w:rsidR="00D33F85">
          <w:rPr>
            <w:webHidden/>
          </w:rPr>
          <w:tab/>
        </w:r>
        <w:r w:rsidR="00D33F85">
          <w:rPr>
            <w:webHidden/>
          </w:rPr>
          <w:fldChar w:fldCharType="begin"/>
        </w:r>
        <w:r w:rsidR="00D33F85">
          <w:rPr>
            <w:webHidden/>
          </w:rPr>
          <w:instrText xml:space="preserve"> PAGEREF _Toc121390590 \h </w:instrText>
        </w:r>
        <w:r w:rsidR="00D33F85">
          <w:rPr>
            <w:webHidden/>
          </w:rPr>
        </w:r>
        <w:r w:rsidR="00D33F85">
          <w:rPr>
            <w:webHidden/>
          </w:rPr>
          <w:fldChar w:fldCharType="separate"/>
        </w:r>
        <w:r w:rsidR="008F238D">
          <w:rPr>
            <w:webHidden/>
          </w:rPr>
          <w:t>6</w:t>
        </w:r>
        <w:r w:rsidR="00D33F85">
          <w:rPr>
            <w:webHidden/>
          </w:rPr>
          <w:fldChar w:fldCharType="end"/>
        </w:r>
      </w:hyperlink>
    </w:p>
    <w:p w14:paraId="4D5D9A36" w14:textId="17B56D85" w:rsidR="00D33F85" w:rsidRDefault="00444A76">
      <w:pPr>
        <w:pStyle w:val="TOC2"/>
        <w:rPr>
          <w:rFonts w:asciiTheme="minorHAnsi" w:eastAsiaTheme="minorEastAsia" w:hAnsiTheme="minorHAnsi" w:cstheme="minorBidi"/>
          <w:color w:val="auto"/>
          <w:szCs w:val="22"/>
        </w:rPr>
      </w:pPr>
      <w:hyperlink w:anchor="_Toc121390591" w:history="1">
        <w:r w:rsidR="00D33F85" w:rsidRPr="00A2539C">
          <w:rPr>
            <w:rStyle w:val="Hyperlink"/>
          </w:rPr>
          <w:t>Key considerations</w:t>
        </w:r>
        <w:r w:rsidR="00D33F85">
          <w:rPr>
            <w:webHidden/>
          </w:rPr>
          <w:tab/>
        </w:r>
        <w:r w:rsidR="00D33F85">
          <w:rPr>
            <w:webHidden/>
          </w:rPr>
          <w:fldChar w:fldCharType="begin"/>
        </w:r>
        <w:r w:rsidR="00D33F85">
          <w:rPr>
            <w:webHidden/>
          </w:rPr>
          <w:instrText xml:space="preserve"> PAGEREF _Toc121390591 \h </w:instrText>
        </w:r>
        <w:r w:rsidR="00D33F85">
          <w:rPr>
            <w:webHidden/>
          </w:rPr>
        </w:r>
        <w:r w:rsidR="00D33F85">
          <w:rPr>
            <w:webHidden/>
          </w:rPr>
          <w:fldChar w:fldCharType="separate"/>
        </w:r>
        <w:r w:rsidR="008F238D">
          <w:rPr>
            <w:webHidden/>
          </w:rPr>
          <w:t>8</w:t>
        </w:r>
        <w:r w:rsidR="00D33F85">
          <w:rPr>
            <w:webHidden/>
          </w:rPr>
          <w:fldChar w:fldCharType="end"/>
        </w:r>
      </w:hyperlink>
    </w:p>
    <w:p w14:paraId="1AF1F37E" w14:textId="31CE58C9" w:rsidR="00D33F85" w:rsidRDefault="00444A76">
      <w:pPr>
        <w:pStyle w:val="TOC3"/>
        <w:rPr>
          <w:rFonts w:asciiTheme="minorHAnsi" w:eastAsiaTheme="minorEastAsia" w:hAnsiTheme="minorHAnsi" w:cstheme="minorBidi"/>
          <w:szCs w:val="22"/>
        </w:rPr>
      </w:pPr>
      <w:hyperlink w:anchor="_Toc121390592" w:history="1">
        <w:r w:rsidR="00D33F85" w:rsidRPr="00A2539C">
          <w:rPr>
            <w:rStyle w:val="Hyperlink"/>
          </w:rPr>
          <w:t>Covered entities and timing</w:t>
        </w:r>
        <w:r w:rsidR="00D33F85">
          <w:rPr>
            <w:webHidden/>
          </w:rPr>
          <w:tab/>
        </w:r>
        <w:r w:rsidR="00D33F85">
          <w:rPr>
            <w:webHidden/>
          </w:rPr>
          <w:fldChar w:fldCharType="begin"/>
        </w:r>
        <w:r w:rsidR="00D33F85">
          <w:rPr>
            <w:webHidden/>
          </w:rPr>
          <w:instrText xml:space="preserve"> PAGEREF _Toc121390592 \h </w:instrText>
        </w:r>
        <w:r w:rsidR="00D33F85">
          <w:rPr>
            <w:webHidden/>
          </w:rPr>
        </w:r>
        <w:r w:rsidR="00D33F85">
          <w:rPr>
            <w:webHidden/>
          </w:rPr>
          <w:fldChar w:fldCharType="separate"/>
        </w:r>
        <w:r w:rsidR="008F238D">
          <w:rPr>
            <w:webHidden/>
          </w:rPr>
          <w:t>8</w:t>
        </w:r>
        <w:r w:rsidR="00D33F85">
          <w:rPr>
            <w:webHidden/>
          </w:rPr>
          <w:fldChar w:fldCharType="end"/>
        </w:r>
      </w:hyperlink>
    </w:p>
    <w:p w14:paraId="4F16F580" w14:textId="75ABCD0C" w:rsidR="00D33F85" w:rsidRDefault="00444A76">
      <w:pPr>
        <w:pStyle w:val="TOC3"/>
        <w:rPr>
          <w:rFonts w:asciiTheme="minorHAnsi" w:eastAsiaTheme="minorEastAsia" w:hAnsiTheme="minorHAnsi" w:cstheme="minorBidi"/>
          <w:szCs w:val="22"/>
        </w:rPr>
      </w:pPr>
      <w:hyperlink w:anchor="_Toc121390593" w:history="1">
        <w:r w:rsidR="00D33F85" w:rsidRPr="00A2539C">
          <w:rPr>
            <w:rStyle w:val="Hyperlink"/>
          </w:rPr>
          <w:t>International alignment of disclosures</w:t>
        </w:r>
        <w:r w:rsidR="00D33F85">
          <w:rPr>
            <w:webHidden/>
          </w:rPr>
          <w:tab/>
        </w:r>
        <w:r w:rsidR="00D33F85">
          <w:rPr>
            <w:webHidden/>
          </w:rPr>
          <w:fldChar w:fldCharType="begin"/>
        </w:r>
        <w:r w:rsidR="00D33F85">
          <w:rPr>
            <w:webHidden/>
          </w:rPr>
          <w:instrText xml:space="preserve"> PAGEREF _Toc121390593 \h </w:instrText>
        </w:r>
        <w:r w:rsidR="00D33F85">
          <w:rPr>
            <w:webHidden/>
          </w:rPr>
        </w:r>
        <w:r w:rsidR="00D33F85">
          <w:rPr>
            <w:webHidden/>
          </w:rPr>
          <w:fldChar w:fldCharType="separate"/>
        </w:r>
        <w:r w:rsidR="008F238D">
          <w:rPr>
            <w:webHidden/>
          </w:rPr>
          <w:t>9</w:t>
        </w:r>
        <w:r w:rsidR="00D33F85">
          <w:rPr>
            <w:webHidden/>
          </w:rPr>
          <w:fldChar w:fldCharType="end"/>
        </w:r>
      </w:hyperlink>
    </w:p>
    <w:p w14:paraId="3ED50957" w14:textId="4C8C33B7" w:rsidR="00D33F85" w:rsidRDefault="00444A76">
      <w:pPr>
        <w:pStyle w:val="TOC3"/>
        <w:rPr>
          <w:rFonts w:asciiTheme="minorHAnsi" w:eastAsiaTheme="minorEastAsia" w:hAnsiTheme="minorHAnsi" w:cstheme="minorBidi"/>
          <w:szCs w:val="22"/>
        </w:rPr>
      </w:pPr>
      <w:hyperlink w:anchor="_Toc121390594" w:history="1">
        <w:r w:rsidR="00D33F85" w:rsidRPr="00A2539C">
          <w:rPr>
            <w:rStyle w:val="Hyperlink"/>
          </w:rPr>
          <w:t>Regulatory framework for required climate disclosures</w:t>
        </w:r>
        <w:r w:rsidR="00D33F85">
          <w:rPr>
            <w:webHidden/>
          </w:rPr>
          <w:tab/>
        </w:r>
        <w:r w:rsidR="00D33F85">
          <w:rPr>
            <w:webHidden/>
          </w:rPr>
          <w:fldChar w:fldCharType="begin"/>
        </w:r>
        <w:r w:rsidR="00D33F85">
          <w:rPr>
            <w:webHidden/>
          </w:rPr>
          <w:instrText xml:space="preserve"> PAGEREF _Toc121390594 \h </w:instrText>
        </w:r>
        <w:r w:rsidR="00D33F85">
          <w:rPr>
            <w:webHidden/>
          </w:rPr>
        </w:r>
        <w:r w:rsidR="00D33F85">
          <w:rPr>
            <w:webHidden/>
          </w:rPr>
          <w:fldChar w:fldCharType="separate"/>
        </w:r>
        <w:r w:rsidR="008F238D">
          <w:rPr>
            <w:webHidden/>
          </w:rPr>
          <w:t>10</w:t>
        </w:r>
        <w:r w:rsidR="00D33F85">
          <w:rPr>
            <w:webHidden/>
          </w:rPr>
          <w:fldChar w:fldCharType="end"/>
        </w:r>
      </w:hyperlink>
    </w:p>
    <w:p w14:paraId="0DD42048" w14:textId="1C60AE63" w:rsidR="00D33F85" w:rsidRDefault="00444A76">
      <w:pPr>
        <w:pStyle w:val="TOC3"/>
        <w:rPr>
          <w:rFonts w:asciiTheme="minorHAnsi" w:eastAsiaTheme="minorEastAsia" w:hAnsiTheme="minorHAnsi" w:cstheme="minorBidi"/>
          <w:szCs w:val="22"/>
        </w:rPr>
      </w:pPr>
      <w:hyperlink w:anchor="_Toc121390595" w:history="1">
        <w:r w:rsidR="00D33F85" w:rsidRPr="00A2539C">
          <w:rPr>
            <w:rStyle w:val="Hyperlink"/>
          </w:rPr>
          <w:t>Periodic reporting requirements</w:t>
        </w:r>
        <w:r w:rsidR="00D33F85">
          <w:rPr>
            <w:webHidden/>
          </w:rPr>
          <w:tab/>
        </w:r>
        <w:r w:rsidR="00D33F85">
          <w:rPr>
            <w:webHidden/>
          </w:rPr>
          <w:fldChar w:fldCharType="begin"/>
        </w:r>
        <w:r w:rsidR="00D33F85">
          <w:rPr>
            <w:webHidden/>
          </w:rPr>
          <w:instrText xml:space="preserve"> PAGEREF _Toc121390595 \h </w:instrText>
        </w:r>
        <w:r w:rsidR="00D33F85">
          <w:rPr>
            <w:webHidden/>
          </w:rPr>
        </w:r>
        <w:r w:rsidR="00D33F85">
          <w:rPr>
            <w:webHidden/>
          </w:rPr>
          <w:fldChar w:fldCharType="separate"/>
        </w:r>
        <w:r w:rsidR="008F238D">
          <w:rPr>
            <w:webHidden/>
          </w:rPr>
          <w:t>11</w:t>
        </w:r>
        <w:r w:rsidR="00D33F85">
          <w:rPr>
            <w:webHidden/>
          </w:rPr>
          <w:fldChar w:fldCharType="end"/>
        </w:r>
      </w:hyperlink>
    </w:p>
    <w:p w14:paraId="1DE71D2F" w14:textId="047A07BC" w:rsidR="00D33F85" w:rsidRDefault="00444A76">
      <w:pPr>
        <w:pStyle w:val="TOC3"/>
        <w:rPr>
          <w:rFonts w:asciiTheme="minorHAnsi" w:eastAsiaTheme="minorEastAsia" w:hAnsiTheme="minorHAnsi" w:cstheme="minorBidi"/>
          <w:szCs w:val="22"/>
        </w:rPr>
      </w:pPr>
      <w:hyperlink w:anchor="_Toc121390596" w:history="1">
        <w:r w:rsidR="00D33F85" w:rsidRPr="00A2539C">
          <w:rPr>
            <w:rStyle w:val="Hyperlink"/>
            <w:bCs/>
          </w:rPr>
          <w:t>Materiality of climate risks</w:t>
        </w:r>
        <w:r w:rsidR="00D33F85">
          <w:rPr>
            <w:webHidden/>
          </w:rPr>
          <w:tab/>
        </w:r>
        <w:r w:rsidR="00D33F85">
          <w:rPr>
            <w:webHidden/>
          </w:rPr>
          <w:fldChar w:fldCharType="begin"/>
        </w:r>
        <w:r w:rsidR="00D33F85">
          <w:rPr>
            <w:webHidden/>
          </w:rPr>
          <w:instrText xml:space="preserve"> PAGEREF _Toc121390596 \h </w:instrText>
        </w:r>
        <w:r w:rsidR="00D33F85">
          <w:rPr>
            <w:webHidden/>
          </w:rPr>
        </w:r>
        <w:r w:rsidR="00D33F85">
          <w:rPr>
            <w:webHidden/>
          </w:rPr>
          <w:fldChar w:fldCharType="separate"/>
        </w:r>
        <w:r w:rsidR="008F238D">
          <w:rPr>
            <w:webHidden/>
          </w:rPr>
          <w:t>12</w:t>
        </w:r>
        <w:r w:rsidR="00D33F85">
          <w:rPr>
            <w:webHidden/>
          </w:rPr>
          <w:fldChar w:fldCharType="end"/>
        </w:r>
      </w:hyperlink>
    </w:p>
    <w:p w14:paraId="4657624D" w14:textId="5FEC8A85" w:rsidR="00D33F85" w:rsidRDefault="00444A76">
      <w:pPr>
        <w:pStyle w:val="TOC3"/>
        <w:rPr>
          <w:rFonts w:asciiTheme="minorHAnsi" w:eastAsiaTheme="minorEastAsia" w:hAnsiTheme="minorHAnsi" w:cstheme="minorBidi"/>
          <w:szCs w:val="22"/>
        </w:rPr>
      </w:pPr>
      <w:hyperlink w:anchor="_Toc121390597" w:history="1">
        <w:r w:rsidR="00D33F85" w:rsidRPr="00A2539C">
          <w:rPr>
            <w:rStyle w:val="Hyperlink"/>
          </w:rPr>
          <w:t>Assurance of climate risks</w:t>
        </w:r>
        <w:r w:rsidR="00D33F85">
          <w:rPr>
            <w:webHidden/>
          </w:rPr>
          <w:tab/>
        </w:r>
        <w:r w:rsidR="00D33F85">
          <w:rPr>
            <w:webHidden/>
          </w:rPr>
          <w:fldChar w:fldCharType="begin"/>
        </w:r>
        <w:r w:rsidR="00D33F85">
          <w:rPr>
            <w:webHidden/>
          </w:rPr>
          <w:instrText xml:space="preserve"> PAGEREF _Toc121390597 \h </w:instrText>
        </w:r>
        <w:r w:rsidR="00D33F85">
          <w:rPr>
            <w:webHidden/>
          </w:rPr>
        </w:r>
        <w:r w:rsidR="00D33F85">
          <w:rPr>
            <w:webHidden/>
          </w:rPr>
          <w:fldChar w:fldCharType="separate"/>
        </w:r>
        <w:r w:rsidR="008F238D">
          <w:rPr>
            <w:webHidden/>
          </w:rPr>
          <w:t>12</w:t>
        </w:r>
        <w:r w:rsidR="00D33F85">
          <w:rPr>
            <w:webHidden/>
          </w:rPr>
          <w:fldChar w:fldCharType="end"/>
        </w:r>
      </w:hyperlink>
    </w:p>
    <w:p w14:paraId="2162EFBA" w14:textId="3F061285" w:rsidR="00D33F85" w:rsidRDefault="00444A76">
      <w:pPr>
        <w:pStyle w:val="TOC3"/>
        <w:rPr>
          <w:rFonts w:asciiTheme="minorHAnsi" w:eastAsiaTheme="minorEastAsia" w:hAnsiTheme="minorHAnsi" w:cstheme="minorBidi"/>
          <w:szCs w:val="22"/>
        </w:rPr>
      </w:pPr>
      <w:hyperlink w:anchor="_Toc121390598" w:history="1">
        <w:r w:rsidR="00D33F85" w:rsidRPr="00A2539C">
          <w:rPr>
            <w:rStyle w:val="Hyperlink"/>
          </w:rPr>
          <w:t>Reporting of metrics (including emissions), offsets and transition plans</w:t>
        </w:r>
        <w:r w:rsidR="00D33F85">
          <w:rPr>
            <w:webHidden/>
          </w:rPr>
          <w:tab/>
        </w:r>
        <w:r w:rsidR="00D33F85">
          <w:rPr>
            <w:webHidden/>
          </w:rPr>
          <w:fldChar w:fldCharType="begin"/>
        </w:r>
        <w:r w:rsidR="00D33F85">
          <w:rPr>
            <w:webHidden/>
          </w:rPr>
          <w:instrText xml:space="preserve"> PAGEREF _Toc121390598 \h </w:instrText>
        </w:r>
        <w:r w:rsidR="00D33F85">
          <w:rPr>
            <w:webHidden/>
          </w:rPr>
        </w:r>
        <w:r w:rsidR="00D33F85">
          <w:rPr>
            <w:webHidden/>
          </w:rPr>
          <w:fldChar w:fldCharType="separate"/>
        </w:r>
        <w:r w:rsidR="008F238D">
          <w:rPr>
            <w:webHidden/>
          </w:rPr>
          <w:t>13</w:t>
        </w:r>
        <w:r w:rsidR="00D33F85">
          <w:rPr>
            <w:webHidden/>
          </w:rPr>
          <w:fldChar w:fldCharType="end"/>
        </w:r>
      </w:hyperlink>
    </w:p>
    <w:p w14:paraId="6B937E8C" w14:textId="36D3D00F" w:rsidR="00D33F85" w:rsidRDefault="00444A76">
      <w:pPr>
        <w:pStyle w:val="TOC3"/>
        <w:rPr>
          <w:rFonts w:asciiTheme="minorHAnsi" w:eastAsiaTheme="minorEastAsia" w:hAnsiTheme="minorHAnsi" w:cstheme="minorBidi"/>
          <w:szCs w:val="22"/>
        </w:rPr>
      </w:pPr>
      <w:hyperlink w:anchor="_Toc121390599" w:history="1">
        <w:r w:rsidR="00D33F85" w:rsidRPr="00A2539C">
          <w:rPr>
            <w:rStyle w:val="Hyperlink"/>
          </w:rPr>
          <w:t>Data and capability to support climate reporting</w:t>
        </w:r>
        <w:r w:rsidR="00D33F85">
          <w:rPr>
            <w:webHidden/>
          </w:rPr>
          <w:tab/>
        </w:r>
        <w:r w:rsidR="00D33F85">
          <w:rPr>
            <w:webHidden/>
          </w:rPr>
          <w:fldChar w:fldCharType="begin"/>
        </w:r>
        <w:r w:rsidR="00D33F85">
          <w:rPr>
            <w:webHidden/>
          </w:rPr>
          <w:instrText xml:space="preserve"> PAGEREF _Toc121390599 \h </w:instrText>
        </w:r>
        <w:r w:rsidR="00D33F85">
          <w:rPr>
            <w:webHidden/>
          </w:rPr>
        </w:r>
        <w:r w:rsidR="00D33F85">
          <w:rPr>
            <w:webHidden/>
          </w:rPr>
          <w:fldChar w:fldCharType="separate"/>
        </w:r>
        <w:r w:rsidR="008F238D">
          <w:rPr>
            <w:webHidden/>
          </w:rPr>
          <w:t>14</w:t>
        </w:r>
        <w:r w:rsidR="00D33F85">
          <w:rPr>
            <w:webHidden/>
          </w:rPr>
          <w:fldChar w:fldCharType="end"/>
        </w:r>
      </w:hyperlink>
    </w:p>
    <w:p w14:paraId="146AA1BF" w14:textId="4AFA241D" w:rsidR="00D33F85" w:rsidRDefault="00444A76">
      <w:pPr>
        <w:pStyle w:val="TOC3"/>
        <w:rPr>
          <w:rFonts w:asciiTheme="minorHAnsi" w:eastAsiaTheme="minorEastAsia" w:hAnsiTheme="minorHAnsi" w:cstheme="minorBidi"/>
          <w:szCs w:val="22"/>
        </w:rPr>
      </w:pPr>
      <w:hyperlink w:anchor="_Toc121390600" w:history="1">
        <w:r w:rsidR="00D33F85" w:rsidRPr="00A2539C">
          <w:rPr>
            <w:rStyle w:val="Hyperlink"/>
          </w:rPr>
          <w:t>Governance of supporting information for disclosures</w:t>
        </w:r>
        <w:r w:rsidR="00D33F85">
          <w:rPr>
            <w:webHidden/>
          </w:rPr>
          <w:tab/>
        </w:r>
        <w:r w:rsidR="00D33F85">
          <w:rPr>
            <w:webHidden/>
          </w:rPr>
          <w:fldChar w:fldCharType="begin"/>
        </w:r>
        <w:r w:rsidR="00D33F85">
          <w:rPr>
            <w:webHidden/>
          </w:rPr>
          <w:instrText xml:space="preserve"> PAGEREF _Toc121390600 \h </w:instrText>
        </w:r>
        <w:r w:rsidR="00D33F85">
          <w:rPr>
            <w:webHidden/>
          </w:rPr>
        </w:r>
        <w:r w:rsidR="00D33F85">
          <w:rPr>
            <w:webHidden/>
          </w:rPr>
          <w:fldChar w:fldCharType="separate"/>
        </w:r>
        <w:r w:rsidR="008F238D">
          <w:rPr>
            <w:webHidden/>
          </w:rPr>
          <w:t>15</w:t>
        </w:r>
        <w:r w:rsidR="00D33F85">
          <w:rPr>
            <w:webHidden/>
          </w:rPr>
          <w:fldChar w:fldCharType="end"/>
        </w:r>
      </w:hyperlink>
    </w:p>
    <w:p w14:paraId="59CBCA9E" w14:textId="659B18B7" w:rsidR="00D33F85" w:rsidRDefault="00444A76">
      <w:pPr>
        <w:pStyle w:val="TOC3"/>
        <w:rPr>
          <w:rFonts w:asciiTheme="minorHAnsi" w:eastAsiaTheme="minorEastAsia" w:hAnsiTheme="minorHAnsi" w:cstheme="minorBidi"/>
          <w:szCs w:val="22"/>
        </w:rPr>
      </w:pPr>
      <w:hyperlink w:anchor="_Toc121390601" w:history="1">
        <w:r w:rsidR="00D33F85" w:rsidRPr="00A2539C">
          <w:rPr>
            <w:rStyle w:val="Hyperlink"/>
          </w:rPr>
          <w:t>Proportionate application of liability</w:t>
        </w:r>
        <w:r w:rsidR="00D33F85">
          <w:rPr>
            <w:webHidden/>
          </w:rPr>
          <w:tab/>
        </w:r>
        <w:r w:rsidR="00D33F85">
          <w:rPr>
            <w:webHidden/>
          </w:rPr>
          <w:fldChar w:fldCharType="begin"/>
        </w:r>
        <w:r w:rsidR="00D33F85">
          <w:rPr>
            <w:webHidden/>
          </w:rPr>
          <w:instrText xml:space="preserve"> PAGEREF _Toc121390601 \h </w:instrText>
        </w:r>
        <w:r w:rsidR="00D33F85">
          <w:rPr>
            <w:webHidden/>
          </w:rPr>
        </w:r>
        <w:r w:rsidR="00D33F85">
          <w:rPr>
            <w:webHidden/>
          </w:rPr>
          <w:fldChar w:fldCharType="separate"/>
        </w:r>
        <w:r w:rsidR="008F238D">
          <w:rPr>
            <w:webHidden/>
          </w:rPr>
          <w:t>15</w:t>
        </w:r>
        <w:r w:rsidR="00D33F85">
          <w:rPr>
            <w:webHidden/>
          </w:rPr>
          <w:fldChar w:fldCharType="end"/>
        </w:r>
      </w:hyperlink>
    </w:p>
    <w:p w14:paraId="7A28EC02" w14:textId="275F2AA1" w:rsidR="00D33F85" w:rsidRDefault="00444A76">
      <w:pPr>
        <w:pStyle w:val="TOC3"/>
        <w:rPr>
          <w:rFonts w:asciiTheme="minorHAnsi" w:eastAsiaTheme="minorEastAsia" w:hAnsiTheme="minorHAnsi" w:cstheme="minorBidi"/>
          <w:szCs w:val="22"/>
        </w:rPr>
      </w:pPr>
      <w:hyperlink w:anchor="_Toc121390602" w:history="1">
        <w:r w:rsidR="00D33F85" w:rsidRPr="00A2539C">
          <w:rPr>
            <w:rStyle w:val="Hyperlink"/>
          </w:rPr>
          <w:t>Interaction with other reporting obligations</w:t>
        </w:r>
        <w:r w:rsidR="00D33F85">
          <w:rPr>
            <w:webHidden/>
          </w:rPr>
          <w:tab/>
        </w:r>
        <w:r w:rsidR="00D33F85">
          <w:rPr>
            <w:webHidden/>
          </w:rPr>
          <w:fldChar w:fldCharType="begin"/>
        </w:r>
        <w:r w:rsidR="00D33F85">
          <w:rPr>
            <w:webHidden/>
          </w:rPr>
          <w:instrText xml:space="preserve"> PAGEREF _Toc121390602 \h </w:instrText>
        </w:r>
        <w:r w:rsidR="00D33F85">
          <w:rPr>
            <w:webHidden/>
          </w:rPr>
        </w:r>
        <w:r w:rsidR="00D33F85">
          <w:rPr>
            <w:webHidden/>
          </w:rPr>
          <w:fldChar w:fldCharType="separate"/>
        </w:r>
        <w:r w:rsidR="008F238D">
          <w:rPr>
            <w:webHidden/>
          </w:rPr>
          <w:t>15</w:t>
        </w:r>
        <w:r w:rsidR="00D33F85">
          <w:rPr>
            <w:webHidden/>
          </w:rPr>
          <w:fldChar w:fldCharType="end"/>
        </w:r>
      </w:hyperlink>
    </w:p>
    <w:p w14:paraId="0EF2F60D" w14:textId="7328192C" w:rsidR="00D33F85" w:rsidRDefault="00444A76">
      <w:pPr>
        <w:pStyle w:val="TOC3"/>
        <w:rPr>
          <w:rFonts w:asciiTheme="minorHAnsi" w:eastAsiaTheme="minorEastAsia" w:hAnsiTheme="minorHAnsi" w:cstheme="minorBidi"/>
          <w:szCs w:val="22"/>
        </w:rPr>
      </w:pPr>
      <w:hyperlink w:anchor="_Toc121390603" w:history="1">
        <w:r w:rsidR="00D33F85" w:rsidRPr="00A2539C">
          <w:rPr>
            <w:rStyle w:val="Hyperlink"/>
          </w:rPr>
          <w:t>Other implementation issues</w:t>
        </w:r>
        <w:r w:rsidR="00D33F85">
          <w:rPr>
            <w:webHidden/>
          </w:rPr>
          <w:tab/>
        </w:r>
        <w:r w:rsidR="00D33F85">
          <w:rPr>
            <w:webHidden/>
          </w:rPr>
          <w:fldChar w:fldCharType="begin"/>
        </w:r>
        <w:r w:rsidR="00D33F85">
          <w:rPr>
            <w:webHidden/>
          </w:rPr>
          <w:instrText xml:space="preserve"> PAGEREF _Toc121390603 \h </w:instrText>
        </w:r>
        <w:r w:rsidR="00D33F85">
          <w:rPr>
            <w:webHidden/>
          </w:rPr>
        </w:r>
        <w:r w:rsidR="00D33F85">
          <w:rPr>
            <w:webHidden/>
          </w:rPr>
          <w:fldChar w:fldCharType="separate"/>
        </w:r>
        <w:r w:rsidR="008F238D">
          <w:rPr>
            <w:webHidden/>
          </w:rPr>
          <w:t>16</w:t>
        </w:r>
        <w:r w:rsidR="00D33F85">
          <w:rPr>
            <w:webHidden/>
          </w:rPr>
          <w:fldChar w:fldCharType="end"/>
        </w:r>
      </w:hyperlink>
    </w:p>
    <w:p w14:paraId="19D604CD" w14:textId="04096F54" w:rsidR="00D33F85" w:rsidRDefault="00444A76">
      <w:pPr>
        <w:pStyle w:val="TOC2"/>
        <w:rPr>
          <w:rFonts w:asciiTheme="minorHAnsi" w:eastAsiaTheme="minorEastAsia" w:hAnsiTheme="minorHAnsi" w:cstheme="minorBidi"/>
          <w:color w:val="auto"/>
          <w:szCs w:val="22"/>
        </w:rPr>
      </w:pPr>
      <w:hyperlink w:anchor="_Toc121390604" w:history="1">
        <w:r w:rsidR="00D33F85" w:rsidRPr="00A2539C">
          <w:rPr>
            <w:rStyle w:val="Hyperlink"/>
          </w:rPr>
          <w:t>Ensuring the financial reporting framework is fit for purpose to support climate risk disclosures</w:t>
        </w:r>
        <w:r w:rsidR="00D33F85">
          <w:rPr>
            <w:webHidden/>
          </w:rPr>
          <w:tab/>
        </w:r>
        <w:r w:rsidR="00D33F85">
          <w:rPr>
            <w:webHidden/>
          </w:rPr>
          <w:fldChar w:fldCharType="begin"/>
        </w:r>
        <w:r w:rsidR="00D33F85">
          <w:rPr>
            <w:webHidden/>
          </w:rPr>
          <w:instrText xml:space="preserve"> PAGEREF _Toc121390604 \h </w:instrText>
        </w:r>
        <w:r w:rsidR="00D33F85">
          <w:rPr>
            <w:webHidden/>
          </w:rPr>
        </w:r>
        <w:r w:rsidR="00D33F85">
          <w:rPr>
            <w:webHidden/>
          </w:rPr>
          <w:fldChar w:fldCharType="separate"/>
        </w:r>
        <w:r w:rsidR="008F238D">
          <w:rPr>
            <w:webHidden/>
          </w:rPr>
          <w:t>17</w:t>
        </w:r>
        <w:r w:rsidR="00D33F85">
          <w:rPr>
            <w:webHidden/>
          </w:rPr>
          <w:fldChar w:fldCharType="end"/>
        </w:r>
      </w:hyperlink>
    </w:p>
    <w:p w14:paraId="4282E92A" w14:textId="27F8296C" w:rsidR="00D33F85" w:rsidRDefault="00444A76">
      <w:pPr>
        <w:pStyle w:val="TOC3"/>
        <w:rPr>
          <w:rFonts w:asciiTheme="minorHAnsi" w:eastAsiaTheme="minorEastAsia" w:hAnsiTheme="minorHAnsi" w:cstheme="minorBidi"/>
          <w:szCs w:val="22"/>
        </w:rPr>
      </w:pPr>
      <w:hyperlink w:anchor="_Toc121390605" w:history="1">
        <w:r w:rsidR="00D33F85" w:rsidRPr="00A2539C">
          <w:rPr>
            <w:rStyle w:val="Hyperlink"/>
          </w:rPr>
          <w:t>Potential Structure 1. Confirm the AASB as the entity responsible for developing, making and monitoring climate and sustainability related standards</w:t>
        </w:r>
        <w:r w:rsidR="00D33F85">
          <w:rPr>
            <w:webHidden/>
          </w:rPr>
          <w:tab/>
        </w:r>
        <w:r w:rsidR="00D33F85">
          <w:rPr>
            <w:webHidden/>
          </w:rPr>
          <w:fldChar w:fldCharType="begin"/>
        </w:r>
        <w:r w:rsidR="00D33F85">
          <w:rPr>
            <w:webHidden/>
          </w:rPr>
          <w:instrText xml:space="preserve"> PAGEREF _Toc121390605 \h </w:instrText>
        </w:r>
        <w:r w:rsidR="00D33F85">
          <w:rPr>
            <w:webHidden/>
          </w:rPr>
        </w:r>
        <w:r w:rsidR="00D33F85">
          <w:rPr>
            <w:webHidden/>
          </w:rPr>
          <w:fldChar w:fldCharType="separate"/>
        </w:r>
        <w:r w:rsidR="008F238D">
          <w:rPr>
            <w:webHidden/>
          </w:rPr>
          <w:t>17</w:t>
        </w:r>
        <w:r w:rsidR="00D33F85">
          <w:rPr>
            <w:webHidden/>
          </w:rPr>
          <w:fldChar w:fldCharType="end"/>
        </w:r>
      </w:hyperlink>
    </w:p>
    <w:p w14:paraId="3337CF0B" w14:textId="6EA29387" w:rsidR="00D33F85" w:rsidRDefault="00444A76">
      <w:pPr>
        <w:pStyle w:val="TOC3"/>
        <w:rPr>
          <w:rFonts w:asciiTheme="minorHAnsi" w:eastAsiaTheme="minorEastAsia" w:hAnsiTheme="minorHAnsi" w:cstheme="minorBidi"/>
          <w:szCs w:val="22"/>
        </w:rPr>
      </w:pPr>
      <w:hyperlink w:anchor="_Toc121390606" w:history="1">
        <w:r w:rsidR="00D33F85" w:rsidRPr="00A2539C">
          <w:rPr>
            <w:rStyle w:val="Hyperlink"/>
          </w:rPr>
          <w:t>Potential Structure 2. Establish a separate sustainability standards board</w:t>
        </w:r>
        <w:r w:rsidR="00D33F85">
          <w:rPr>
            <w:webHidden/>
          </w:rPr>
          <w:tab/>
        </w:r>
        <w:r w:rsidR="00D33F85">
          <w:rPr>
            <w:webHidden/>
          </w:rPr>
          <w:fldChar w:fldCharType="begin"/>
        </w:r>
        <w:r w:rsidR="00D33F85">
          <w:rPr>
            <w:webHidden/>
          </w:rPr>
          <w:instrText xml:space="preserve"> PAGEREF _Toc121390606 \h </w:instrText>
        </w:r>
        <w:r w:rsidR="00D33F85">
          <w:rPr>
            <w:webHidden/>
          </w:rPr>
        </w:r>
        <w:r w:rsidR="00D33F85">
          <w:rPr>
            <w:webHidden/>
          </w:rPr>
          <w:fldChar w:fldCharType="separate"/>
        </w:r>
        <w:r w:rsidR="008F238D">
          <w:rPr>
            <w:webHidden/>
          </w:rPr>
          <w:t>18</w:t>
        </w:r>
        <w:r w:rsidR="00D33F85">
          <w:rPr>
            <w:webHidden/>
          </w:rPr>
          <w:fldChar w:fldCharType="end"/>
        </w:r>
      </w:hyperlink>
    </w:p>
    <w:p w14:paraId="7F0EAA37" w14:textId="72234A27" w:rsidR="00D33F85" w:rsidRDefault="00444A76">
      <w:pPr>
        <w:pStyle w:val="TOC3"/>
        <w:rPr>
          <w:rFonts w:asciiTheme="minorHAnsi" w:eastAsiaTheme="minorEastAsia" w:hAnsiTheme="minorHAnsi" w:cstheme="minorBidi"/>
          <w:szCs w:val="22"/>
        </w:rPr>
      </w:pPr>
      <w:hyperlink w:anchor="_Toc121390607" w:history="1">
        <w:r w:rsidR="00D33F85" w:rsidRPr="00A2539C">
          <w:rPr>
            <w:rStyle w:val="Hyperlink"/>
          </w:rPr>
          <w:t>Potential Structure 3. Reform existing financial reporting bodies into a single, flexible entity</w:t>
        </w:r>
        <w:r w:rsidR="00D33F85">
          <w:rPr>
            <w:webHidden/>
          </w:rPr>
          <w:tab/>
        </w:r>
        <w:r w:rsidR="00D33F85">
          <w:rPr>
            <w:webHidden/>
          </w:rPr>
          <w:fldChar w:fldCharType="begin"/>
        </w:r>
        <w:r w:rsidR="00D33F85">
          <w:rPr>
            <w:webHidden/>
          </w:rPr>
          <w:instrText xml:space="preserve"> PAGEREF _Toc121390607 \h </w:instrText>
        </w:r>
        <w:r w:rsidR="00D33F85">
          <w:rPr>
            <w:webHidden/>
          </w:rPr>
        </w:r>
        <w:r w:rsidR="00D33F85">
          <w:rPr>
            <w:webHidden/>
          </w:rPr>
          <w:fldChar w:fldCharType="separate"/>
        </w:r>
        <w:r w:rsidR="008F238D">
          <w:rPr>
            <w:webHidden/>
          </w:rPr>
          <w:t>19</w:t>
        </w:r>
        <w:r w:rsidR="00D33F85">
          <w:rPr>
            <w:webHidden/>
          </w:rPr>
          <w:fldChar w:fldCharType="end"/>
        </w:r>
      </w:hyperlink>
    </w:p>
    <w:p w14:paraId="70A4FC49" w14:textId="1E43A14C" w:rsidR="00D33F85" w:rsidRDefault="00444A76">
      <w:pPr>
        <w:pStyle w:val="TOC1"/>
        <w:rPr>
          <w:rFonts w:asciiTheme="minorHAnsi" w:eastAsiaTheme="minorEastAsia" w:hAnsiTheme="minorHAnsi" w:cstheme="minorBidi"/>
          <w:b w:val="0"/>
          <w:color w:val="auto"/>
        </w:rPr>
      </w:pPr>
      <w:hyperlink w:anchor="_Toc121390608" w:history="1">
        <w:r w:rsidR="00D33F85" w:rsidRPr="00A2539C">
          <w:rPr>
            <w:rStyle w:val="Hyperlink"/>
          </w:rPr>
          <w:t>Key consultation questions</w:t>
        </w:r>
        <w:r w:rsidR="00D33F85">
          <w:rPr>
            <w:webHidden/>
          </w:rPr>
          <w:tab/>
        </w:r>
        <w:r w:rsidR="00D33F85">
          <w:rPr>
            <w:webHidden/>
          </w:rPr>
          <w:fldChar w:fldCharType="begin"/>
        </w:r>
        <w:r w:rsidR="00D33F85">
          <w:rPr>
            <w:webHidden/>
          </w:rPr>
          <w:instrText xml:space="preserve"> PAGEREF _Toc121390608 \h </w:instrText>
        </w:r>
        <w:r w:rsidR="00D33F85">
          <w:rPr>
            <w:webHidden/>
          </w:rPr>
        </w:r>
        <w:r w:rsidR="00D33F85">
          <w:rPr>
            <w:webHidden/>
          </w:rPr>
          <w:fldChar w:fldCharType="separate"/>
        </w:r>
        <w:r w:rsidR="008F238D">
          <w:rPr>
            <w:webHidden/>
          </w:rPr>
          <w:t>21</w:t>
        </w:r>
        <w:r w:rsidR="00D33F85">
          <w:rPr>
            <w:webHidden/>
          </w:rPr>
          <w:fldChar w:fldCharType="end"/>
        </w:r>
      </w:hyperlink>
    </w:p>
    <w:p w14:paraId="2A296756" w14:textId="046F638D" w:rsidR="000E0B74" w:rsidRDefault="00257AEE" w:rsidP="00656356">
      <w:pPr>
        <w:pStyle w:val="SingleParagraph"/>
        <w:tabs>
          <w:tab w:val="right" w:leader="dot" w:pos="9072"/>
        </w:tabs>
        <w:ind w:right="-2"/>
        <w:sectPr w:rsidR="000E0B74" w:rsidSect="008043EA">
          <w:footerReference w:type="default" r:id="rId24"/>
          <w:pgSz w:w="11906" w:h="16838" w:code="9"/>
          <w:pgMar w:top="1843" w:right="1418" w:bottom="1418" w:left="1418" w:header="709" w:footer="709" w:gutter="0"/>
          <w:pgNumType w:fmt="lowerRoman"/>
          <w:cols w:space="708"/>
          <w:titlePg/>
          <w:docGrid w:linePitch="360"/>
        </w:sectPr>
      </w:pPr>
      <w:r>
        <w:rPr>
          <w:noProof/>
          <w:color w:val="004A7F"/>
          <w:szCs w:val="22"/>
        </w:rPr>
        <w:fldChar w:fldCharType="end"/>
      </w:r>
    </w:p>
    <w:p w14:paraId="116E17D3" w14:textId="77777777" w:rsidR="000E0B74" w:rsidRDefault="000E0B74" w:rsidP="00354FBB">
      <w:pPr>
        <w:pStyle w:val="Heading1"/>
      </w:pPr>
      <w:bookmarkStart w:id="2" w:name="_Toc121390584"/>
      <w:bookmarkStart w:id="3" w:name="_Toc432067103"/>
      <w:r>
        <w:lastRenderedPageBreak/>
        <w:t>Consultation Process</w:t>
      </w:r>
      <w:bookmarkEnd w:id="2"/>
    </w:p>
    <w:p w14:paraId="4794BB5D" w14:textId="77777777" w:rsidR="000E0B74" w:rsidRDefault="000E0B74" w:rsidP="000E0B74">
      <w:pPr>
        <w:pStyle w:val="Heading2"/>
      </w:pPr>
      <w:bookmarkStart w:id="4" w:name="_Toc121390585"/>
      <w:r>
        <w:t>Request for feedback and comments</w:t>
      </w:r>
      <w:bookmarkEnd w:id="4"/>
    </w:p>
    <w:p w14:paraId="4D570E17" w14:textId="41456882" w:rsidR="00C3255A" w:rsidRDefault="00C3255A" w:rsidP="00C3255A">
      <w:r>
        <w:t>This consultation paper seeks initial views on key considerations for the design and implementation of standardised, internationally-aligned requirements for disclosure of climate-related financial risks and opportunities in Australia. Views are also sought on other matters relevant to climate disclosures, such as necessary changes to ensure Australia’s financial reporting bodies can keep pace with the expansion of international standard-setting priorities on climate and sustainability reporting.</w:t>
      </w:r>
    </w:p>
    <w:p w14:paraId="76437002" w14:textId="2B57E0A4" w:rsidR="000E0B74" w:rsidRDefault="000E0B74" w:rsidP="00257AEE">
      <w:pPr>
        <w:pStyle w:val="Heading3noTOC"/>
      </w:pPr>
      <w:r>
        <w:t xml:space="preserve">Closing date for submissions: </w:t>
      </w:r>
      <w:sdt>
        <w:sdtPr>
          <w:rPr>
            <w:rStyle w:val="Heading3Char"/>
          </w:rPr>
          <w:id w:val="1454836312"/>
          <w:placeholder>
            <w:docPart w:val="F9C4DFC8A3A940BC898FBC2AF48E6180"/>
          </w:placeholder>
          <w:date w:fullDate="2023-02-17T00:00:00Z">
            <w:dateFormat w:val="dd MMMM yyyy"/>
            <w:lid w:val="en-AU"/>
            <w:storeMappedDataAs w:val="dateTime"/>
            <w:calendar w:val="gregorian"/>
          </w:date>
        </w:sdtPr>
        <w:sdtEndPr>
          <w:rPr>
            <w:rStyle w:val="DefaultParagraphFont"/>
            <w:rFonts w:cs="Calibri"/>
            <w:b/>
          </w:rPr>
        </w:sdtEndPr>
        <w:sdtContent>
          <w:r w:rsidR="00C547DB">
            <w:rPr>
              <w:rStyle w:val="Heading3Char"/>
            </w:rPr>
            <w:t>17</w:t>
          </w:r>
          <w:r w:rsidR="003E6A81">
            <w:rPr>
              <w:rStyle w:val="Heading3Char"/>
            </w:rPr>
            <w:t xml:space="preserve"> February 2023</w:t>
          </w:r>
        </w:sdtContent>
      </w:sdt>
    </w:p>
    <w:tbl>
      <w:tblPr>
        <w:tblStyle w:val="TableGrid"/>
        <w:tblW w:w="0" w:type="auto"/>
        <w:tblLook w:val="04A0" w:firstRow="1" w:lastRow="0" w:firstColumn="1" w:lastColumn="0" w:noHBand="0" w:noVBand="1"/>
      </w:tblPr>
      <w:tblGrid>
        <w:gridCol w:w="1517"/>
        <w:gridCol w:w="7553"/>
      </w:tblGrid>
      <w:tr w:rsidR="000E0B74" w:rsidRPr="00B85F47" w14:paraId="1A7DE086" w14:textId="77777777" w:rsidTr="00900470">
        <w:trPr>
          <w:cnfStyle w:val="100000000000" w:firstRow="1" w:lastRow="0" w:firstColumn="0" w:lastColumn="0" w:oddVBand="0" w:evenVBand="0" w:oddHBand="0" w:evenHBand="0" w:firstRowFirstColumn="0" w:firstRowLastColumn="0" w:lastRowFirstColumn="0" w:lastRowLastColumn="0"/>
        </w:trPr>
        <w:tc>
          <w:tcPr>
            <w:tcW w:w="1517" w:type="dxa"/>
            <w:shd w:val="clear" w:color="auto" w:fill="auto"/>
          </w:tcPr>
          <w:p w14:paraId="142CEBC6" w14:textId="77777777" w:rsidR="000E0B74" w:rsidRPr="00B85F47" w:rsidRDefault="000E0B74" w:rsidP="0017089D">
            <w:pPr>
              <w:spacing w:before="96" w:after="96"/>
              <w:rPr>
                <w:sz w:val="22"/>
                <w:szCs w:val="22"/>
              </w:rPr>
            </w:pPr>
            <w:r w:rsidRPr="00B85F47">
              <w:rPr>
                <w:sz w:val="22"/>
                <w:szCs w:val="22"/>
              </w:rPr>
              <w:t>Email</w:t>
            </w:r>
          </w:p>
        </w:tc>
        <w:tc>
          <w:tcPr>
            <w:tcW w:w="7553" w:type="dxa"/>
            <w:shd w:val="clear" w:color="auto" w:fill="auto"/>
          </w:tcPr>
          <w:p w14:paraId="1A5DC5E7" w14:textId="4C15A724" w:rsidR="000E0B74" w:rsidRPr="00B85F47" w:rsidRDefault="004552DD" w:rsidP="00516785">
            <w:pPr>
              <w:spacing w:before="96" w:after="96"/>
              <w:rPr>
                <w:sz w:val="22"/>
                <w:szCs w:val="22"/>
              </w:rPr>
            </w:pPr>
            <w:r w:rsidRPr="004552DD">
              <w:rPr>
                <w:rFonts w:cs="Arial"/>
                <w:szCs w:val="22"/>
              </w:rPr>
              <w:t>climatereportingconsultation@treasury.gov.au</w:t>
            </w:r>
          </w:p>
        </w:tc>
      </w:tr>
      <w:tr w:rsidR="000E0B74" w:rsidRPr="00B85F47" w14:paraId="5EA1E01B" w14:textId="77777777" w:rsidTr="00900470">
        <w:tc>
          <w:tcPr>
            <w:tcW w:w="1517" w:type="dxa"/>
          </w:tcPr>
          <w:p w14:paraId="6A1B3198" w14:textId="77777777" w:rsidR="000E0B74" w:rsidRPr="00B85F47" w:rsidRDefault="000E0B74" w:rsidP="0017089D">
            <w:pPr>
              <w:rPr>
                <w:sz w:val="22"/>
                <w:szCs w:val="22"/>
              </w:rPr>
            </w:pPr>
            <w:r w:rsidRPr="00B85F47">
              <w:rPr>
                <w:sz w:val="22"/>
                <w:szCs w:val="22"/>
              </w:rPr>
              <w:t>Mail</w:t>
            </w:r>
          </w:p>
          <w:p w14:paraId="304A87E9" w14:textId="77777777" w:rsidR="008D7F38" w:rsidRPr="00B85F47" w:rsidRDefault="008D7F38" w:rsidP="0017089D">
            <w:pPr>
              <w:rPr>
                <w:sz w:val="22"/>
                <w:szCs w:val="22"/>
              </w:rPr>
            </w:pPr>
          </w:p>
          <w:p w14:paraId="364CBA81" w14:textId="77777777" w:rsidR="008D7F38" w:rsidRPr="00B85F47" w:rsidRDefault="008D7F38" w:rsidP="0017089D">
            <w:pPr>
              <w:rPr>
                <w:sz w:val="22"/>
                <w:szCs w:val="22"/>
              </w:rPr>
            </w:pPr>
          </w:p>
        </w:tc>
        <w:tc>
          <w:tcPr>
            <w:tcW w:w="7553" w:type="dxa"/>
          </w:tcPr>
          <w:p w14:paraId="389BBDEE" w14:textId="600AB297" w:rsidR="000E0B74" w:rsidRPr="00B85F47" w:rsidRDefault="002D468E" w:rsidP="0017089D">
            <w:pPr>
              <w:pStyle w:val="SingleParagraph"/>
              <w:rPr>
                <w:rFonts w:cs="Arial"/>
                <w:sz w:val="22"/>
                <w:szCs w:val="22"/>
              </w:rPr>
            </w:pPr>
            <w:r w:rsidRPr="00596154">
              <w:rPr>
                <w:rFonts w:cs="Arial"/>
                <w:sz w:val="22"/>
                <w:szCs w:val="22"/>
              </w:rPr>
              <w:t>Climate Disclosure Unit</w:t>
            </w:r>
          </w:p>
          <w:p w14:paraId="49D22FD9" w14:textId="770ADCA7" w:rsidR="000E0B74" w:rsidRPr="00B85F47" w:rsidRDefault="004552DD" w:rsidP="0017089D">
            <w:pPr>
              <w:pStyle w:val="SingleParagraph"/>
              <w:rPr>
                <w:rFonts w:cs="Arial"/>
                <w:sz w:val="22"/>
                <w:szCs w:val="22"/>
              </w:rPr>
            </w:pPr>
            <w:r w:rsidRPr="00596154">
              <w:rPr>
                <w:rFonts w:cs="Arial"/>
                <w:sz w:val="22"/>
                <w:szCs w:val="22"/>
              </w:rPr>
              <w:t>Market Conduct Division</w:t>
            </w:r>
          </w:p>
          <w:p w14:paraId="1F827040" w14:textId="77777777" w:rsidR="000E0B74" w:rsidRPr="00B85F47" w:rsidRDefault="000E0B74" w:rsidP="0017089D">
            <w:pPr>
              <w:pStyle w:val="SingleParagraph"/>
              <w:rPr>
                <w:rFonts w:cs="Arial"/>
                <w:sz w:val="22"/>
                <w:szCs w:val="22"/>
              </w:rPr>
            </w:pPr>
            <w:r w:rsidRPr="00B85F47">
              <w:rPr>
                <w:rFonts w:cs="Arial"/>
                <w:sz w:val="22"/>
                <w:szCs w:val="22"/>
              </w:rPr>
              <w:t>The Treasury</w:t>
            </w:r>
          </w:p>
          <w:p w14:paraId="6A19079C" w14:textId="77777777" w:rsidR="000E0B74" w:rsidRPr="00B85F47" w:rsidRDefault="000E0B74" w:rsidP="0017089D">
            <w:pPr>
              <w:pStyle w:val="SingleParagraph"/>
              <w:rPr>
                <w:rFonts w:cs="Arial"/>
                <w:sz w:val="22"/>
                <w:szCs w:val="22"/>
              </w:rPr>
            </w:pPr>
            <w:r w:rsidRPr="00B85F47">
              <w:rPr>
                <w:rFonts w:cs="Arial"/>
                <w:sz w:val="22"/>
                <w:szCs w:val="22"/>
              </w:rPr>
              <w:t>Langton Crescent</w:t>
            </w:r>
          </w:p>
          <w:p w14:paraId="5D45ECFF" w14:textId="77777777" w:rsidR="000E0B74" w:rsidRPr="00B85F47" w:rsidRDefault="000E0B74" w:rsidP="0017089D">
            <w:pPr>
              <w:pStyle w:val="SingleParagraph"/>
              <w:rPr>
                <w:sz w:val="22"/>
                <w:szCs w:val="22"/>
              </w:rPr>
            </w:pPr>
            <w:r w:rsidRPr="00B85F47">
              <w:rPr>
                <w:sz w:val="22"/>
                <w:szCs w:val="22"/>
              </w:rPr>
              <w:t>PARKES ACT 2600</w:t>
            </w:r>
          </w:p>
        </w:tc>
      </w:tr>
      <w:tr w:rsidR="000E0B74" w:rsidRPr="00B85F47" w14:paraId="37BD9F1C" w14:textId="77777777" w:rsidTr="00900470">
        <w:tc>
          <w:tcPr>
            <w:tcW w:w="1517" w:type="dxa"/>
          </w:tcPr>
          <w:p w14:paraId="031F541D" w14:textId="77777777" w:rsidR="000E0B74" w:rsidRPr="00B85F47" w:rsidRDefault="000E0B74" w:rsidP="0017089D">
            <w:pPr>
              <w:rPr>
                <w:sz w:val="22"/>
                <w:szCs w:val="22"/>
              </w:rPr>
            </w:pPr>
            <w:r w:rsidRPr="00B85F47">
              <w:rPr>
                <w:sz w:val="22"/>
                <w:szCs w:val="22"/>
              </w:rPr>
              <w:t>Enquiries</w:t>
            </w:r>
          </w:p>
        </w:tc>
        <w:tc>
          <w:tcPr>
            <w:tcW w:w="7553" w:type="dxa"/>
          </w:tcPr>
          <w:p w14:paraId="63EA8A04" w14:textId="76BFF7D0" w:rsidR="000E0B74" w:rsidRPr="00B85F47" w:rsidRDefault="000E0B74" w:rsidP="0017089D">
            <w:pPr>
              <w:rPr>
                <w:sz w:val="22"/>
                <w:szCs w:val="22"/>
              </w:rPr>
            </w:pPr>
            <w:r w:rsidRPr="00B85F47">
              <w:rPr>
                <w:rFonts w:cs="Arial"/>
                <w:sz w:val="22"/>
                <w:szCs w:val="22"/>
              </w:rPr>
              <w:t xml:space="preserve">Enquiries can be initially directed to </w:t>
            </w:r>
            <w:r w:rsidR="004552DD" w:rsidRPr="00596154">
              <w:rPr>
                <w:rFonts w:cs="Arial"/>
                <w:sz w:val="22"/>
                <w:szCs w:val="22"/>
              </w:rPr>
              <w:t>the above email address</w:t>
            </w:r>
            <w:r w:rsidR="004552DD">
              <w:rPr>
                <w:rFonts w:cs="Arial"/>
                <w:szCs w:val="22"/>
              </w:rPr>
              <w:t>.</w:t>
            </w:r>
          </w:p>
        </w:tc>
      </w:tr>
      <w:bookmarkEnd w:id="3"/>
    </w:tbl>
    <w:p w14:paraId="30F0665B" w14:textId="77777777" w:rsidR="008D7F38" w:rsidRPr="008D7F38" w:rsidRDefault="008D7F38" w:rsidP="008D7F38"/>
    <w:p w14:paraId="6F58FAB4" w14:textId="2D5D9DC0" w:rsidR="0035205E" w:rsidRPr="00B62EA6" w:rsidRDefault="00E10D39" w:rsidP="00B62EA6">
      <w:pPr>
        <w:spacing w:before="0" w:after="160" w:line="259" w:lineRule="auto"/>
        <w:rPr>
          <w:rFonts w:cs="Arial"/>
          <w:color w:val="004A7F"/>
          <w:kern w:val="32"/>
          <w:sz w:val="48"/>
          <w:szCs w:val="36"/>
        </w:rPr>
      </w:pPr>
      <w:r>
        <w:br w:type="page"/>
      </w:r>
    </w:p>
    <w:p w14:paraId="298BF94C" w14:textId="77777777" w:rsidR="00355346" w:rsidRDefault="00355346" w:rsidP="00355346">
      <w:pPr>
        <w:pStyle w:val="Heading1"/>
      </w:pPr>
      <w:bookmarkStart w:id="5" w:name="_Toc121390586"/>
      <w:r>
        <w:lastRenderedPageBreak/>
        <w:t>Keywords and definitions</w:t>
      </w:r>
      <w:bookmarkEnd w:id="5"/>
      <w:r>
        <w:t xml:space="preserve"> </w:t>
      </w:r>
    </w:p>
    <w:p w14:paraId="79E793E0" w14:textId="77777777" w:rsidR="00355346" w:rsidRDefault="00355346" w:rsidP="00355346"/>
    <w:tbl>
      <w:tblPr>
        <w:tblStyle w:val="TableGrid"/>
        <w:tblW w:w="0" w:type="auto"/>
        <w:tblLook w:val="04A0" w:firstRow="1" w:lastRow="0" w:firstColumn="1" w:lastColumn="0" w:noHBand="0" w:noVBand="1"/>
      </w:tblPr>
      <w:tblGrid>
        <w:gridCol w:w="1838"/>
        <w:gridCol w:w="7222"/>
      </w:tblGrid>
      <w:tr w:rsidR="00D0419F" w14:paraId="78161C14" w14:textId="77777777" w:rsidTr="003120D3">
        <w:trPr>
          <w:cnfStyle w:val="100000000000" w:firstRow="1" w:lastRow="0" w:firstColumn="0" w:lastColumn="0" w:oddVBand="0" w:evenVBand="0" w:oddHBand="0" w:evenHBand="0" w:firstRowFirstColumn="0" w:firstRowLastColumn="0" w:lastRowFirstColumn="0" w:lastRowLastColumn="0"/>
        </w:trPr>
        <w:tc>
          <w:tcPr>
            <w:tcW w:w="1838" w:type="dxa"/>
          </w:tcPr>
          <w:p w14:paraId="73398D6D" w14:textId="77777777" w:rsidR="00D0419F" w:rsidRDefault="00D0419F" w:rsidP="003120D3">
            <w:pPr>
              <w:spacing w:before="96" w:after="96"/>
            </w:pPr>
            <w:r>
              <w:t>Term</w:t>
            </w:r>
          </w:p>
        </w:tc>
        <w:tc>
          <w:tcPr>
            <w:tcW w:w="7222" w:type="dxa"/>
          </w:tcPr>
          <w:p w14:paraId="01F39134" w14:textId="77777777" w:rsidR="00D0419F" w:rsidRDefault="00D0419F" w:rsidP="003120D3">
            <w:pPr>
              <w:spacing w:before="96" w:after="96"/>
            </w:pPr>
            <w:r>
              <w:t xml:space="preserve">Definition </w:t>
            </w:r>
          </w:p>
        </w:tc>
      </w:tr>
      <w:tr w:rsidR="00D0419F" w14:paraId="099CF33F" w14:textId="77777777" w:rsidTr="003120D3">
        <w:tc>
          <w:tcPr>
            <w:tcW w:w="1838" w:type="dxa"/>
          </w:tcPr>
          <w:p w14:paraId="03402136" w14:textId="77777777" w:rsidR="00D0419F" w:rsidRPr="005272EF" w:rsidRDefault="00D0419F" w:rsidP="003120D3">
            <w:pPr>
              <w:pStyle w:val="Bullet"/>
              <w:numPr>
                <w:ilvl w:val="0"/>
                <w:numId w:val="0"/>
              </w:numPr>
              <w:ind w:left="520" w:hanging="520"/>
              <w:rPr>
                <w:b/>
              </w:rPr>
            </w:pPr>
            <w:r w:rsidRPr="00805503">
              <w:rPr>
                <w:b/>
              </w:rPr>
              <w:t>AASB</w:t>
            </w:r>
          </w:p>
        </w:tc>
        <w:tc>
          <w:tcPr>
            <w:tcW w:w="7222" w:type="dxa"/>
          </w:tcPr>
          <w:p w14:paraId="4E46B510" w14:textId="77777777" w:rsidR="00D0419F" w:rsidRDefault="00D0419F" w:rsidP="003120D3">
            <w:pPr>
              <w:pStyle w:val="Bullet"/>
              <w:numPr>
                <w:ilvl w:val="0"/>
                <w:numId w:val="0"/>
              </w:numPr>
            </w:pPr>
            <w:r>
              <w:t xml:space="preserve">The </w:t>
            </w:r>
            <w:r w:rsidRPr="0062798C">
              <w:t>Australian Accounting Standards Board</w:t>
            </w:r>
            <w:r>
              <w:t xml:space="preserve"> (AASB) </w:t>
            </w:r>
            <w:r w:rsidRPr="00F42321">
              <w:t>is an independent, non-corporate Commonwealth entity of the Australian Government</w:t>
            </w:r>
            <w:r>
              <w:t xml:space="preserve"> that </w:t>
            </w:r>
            <w:r w:rsidRPr="0062798C">
              <w:t>develops</w:t>
            </w:r>
            <w:r>
              <w:t>, issues and maintains</w:t>
            </w:r>
            <w:r w:rsidRPr="0062798C">
              <w:t xml:space="preserve"> </w:t>
            </w:r>
            <w:r>
              <w:t>accounting</w:t>
            </w:r>
            <w:r w:rsidRPr="0062798C">
              <w:t xml:space="preserve"> standards applicable to entities in the private and public sectors of the Australian economy.</w:t>
            </w:r>
          </w:p>
        </w:tc>
      </w:tr>
      <w:tr w:rsidR="00D0419F" w14:paraId="7C7A9EFF" w14:textId="77777777" w:rsidTr="003120D3">
        <w:tc>
          <w:tcPr>
            <w:tcW w:w="1838" w:type="dxa"/>
          </w:tcPr>
          <w:p w14:paraId="652C667D" w14:textId="77777777" w:rsidR="00D0419F" w:rsidRPr="00043DC4" w:rsidRDefault="00D0419F" w:rsidP="003120D3">
            <w:pPr>
              <w:pStyle w:val="Bullet"/>
              <w:numPr>
                <w:ilvl w:val="0"/>
                <w:numId w:val="0"/>
              </w:numPr>
              <w:ind w:left="520" w:hanging="520"/>
              <w:rPr>
                <w:b/>
              </w:rPr>
            </w:pPr>
            <w:r w:rsidRPr="00805503">
              <w:rPr>
                <w:b/>
              </w:rPr>
              <w:t>AUASB</w:t>
            </w:r>
          </w:p>
        </w:tc>
        <w:tc>
          <w:tcPr>
            <w:tcW w:w="7222" w:type="dxa"/>
          </w:tcPr>
          <w:p w14:paraId="7364C8DC" w14:textId="77777777" w:rsidR="00D0419F" w:rsidRDefault="00D0419F" w:rsidP="003120D3">
            <w:pPr>
              <w:pStyle w:val="Bullet"/>
              <w:numPr>
                <w:ilvl w:val="0"/>
                <w:numId w:val="0"/>
              </w:numPr>
            </w:pPr>
            <w:r w:rsidRPr="00F42321">
              <w:t>The Auditing and Assurance Standards Board (AUASB) is an independent, non-corporate Commonwealth entity of the Australian Government, responsible for developing, issuing and maintaining auditing and assurance standards.</w:t>
            </w:r>
          </w:p>
        </w:tc>
      </w:tr>
      <w:tr w:rsidR="00D0419F" w14:paraId="5A95890E" w14:textId="77777777" w:rsidTr="003120D3">
        <w:tc>
          <w:tcPr>
            <w:tcW w:w="1838" w:type="dxa"/>
          </w:tcPr>
          <w:p w14:paraId="07329F3E" w14:textId="77777777" w:rsidR="00D0419F" w:rsidRPr="005272EF" w:rsidRDefault="00D0419F" w:rsidP="003120D3">
            <w:pPr>
              <w:pStyle w:val="Bullet"/>
              <w:numPr>
                <w:ilvl w:val="0"/>
                <w:numId w:val="0"/>
              </w:numPr>
              <w:ind w:left="520" w:hanging="520"/>
              <w:rPr>
                <w:b/>
              </w:rPr>
            </w:pPr>
            <w:r w:rsidRPr="00805503">
              <w:rPr>
                <w:b/>
              </w:rPr>
              <w:t xml:space="preserve">FRC </w:t>
            </w:r>
          </w:p>
        </w:tc>
        <w:tc>
          <w:tcPr>
            <w:tcW w:w="7222" w:type="dxa"/>
          </w:tcPr>
          <w:p w14:paraId="3C13B1B7" w14:textId="77777777" w:rsidR="00D0419F" w:rsidRDefault="00D0419F" w:rsidP="003120D3">
            <w:pPr>
              <w:pStyle w:val="Bullet"/>
              <w:numPr>
                <w:ilvl w:val="0"/>
                <w:numId w:val="0"/>
              </w:numPr>
            </w:pPr>
            <w:r>
              <w:t xml:space="preserve">The Financial Reporting Council (FRC) is a statutory body that provides oversight of the processes for setting accounting and auditing standards in Australia, </w:t>
            </w:r>
            <w:r w:rsidRPr="0062798C">
              <w:t>monitors the development of international accounting and auditing standards, works to further the development of a single set of accounting and auditing standards for world-wide use and promotes the adoption of these standards.</w:t>
            </w:r>
          </w:p>
        </w:tc>
      </w:tr>
      <w:tr w:rsidR="00D0419F" w14:paraId="79E45116" w14:textId="77777777" w:rsidTr="003120D3">
        <w:tc>
          <w:tcPr>
            <w:tcW w:w="1838" w:type="dxa"/>
          </w:tcPr>
          <w:p w14:paraId="35B7B42E" w14:textId="77777777" w:rsidR="00D0419F" w:rsidRDefault="00D0419F" w:rsidP="003120D3">
            <w:pPr>
              <w:pStyle w:val="Bullet"/>
              <w:numPr>
                <w:ilvl w:val="0"/>
                <w:numId w:val="0"/>
              </w:numPr>
              <w:rPr>
                <w:b/>
              </w:rPr>
            </w:pPr>
            <w:r>
              <w:rPr>
                <w:b/>
              </w:rPr>
              <w:t>IFRS</w:t>
            </w:r>
          </w:p>
          <w:p w14:paraId="6388173C" w14:textId="77777777" w:rsidR="00D0419F" w:rsidRPr="00805503" w:rsidRDefault="00D0419F" w:rsidP="003120D3">
            <w:pPr>
              <w:pStyle w:val="Bullet"/>
              <w:numPr>
                <w:ilvl w:val="0"/>
                <w:numId w:val="0"/>
              </w:numPr>
              <w:ind w:left="520" w:hanging="520"/>
              <w:rPr>
                <w:b/>
              </w:rPr>
            </w:pPr>
          </w:p>
        </w:tc>
        <w:tc>
          <w:tcPr>
            <w:tcW w:w="7222" w:type="dxa"/>
          </w:tcPr>
          <w:p w14:paraId="76F0406B" w14:textId="77777777" w:rsidR="00D0419F" w:rsidRPr="00043DC4" w:rsidRDefault="00D0419F" w:rsidP="003120D3">
            <w:pPr>
              <w:pStyle w:val="Bullet"/>
              <w:numPr>
                <w:ilvl w:val="0"/>
                <w:numId w:val="0"/>
              </w:numPr>
              <w:rPr>
                <w:bCs/>
              </w:rPr>
            </w:pPr>
            <w:r>
              <w:rPr>
                <w:bCs/>
              </w:rPr>
              <w:t xml:space="preserve">The </w:t>
            </w:r>
            <w:r w:rsidRPr="003772BC">
              <w:rPr>
                <w:bCs/>
              </w:rPr>
              <w:t>International Financial Reporting Standards</w:t>
            </w:r>
            <w:r>
              <w:rPr>
                <w:bCs/>
              </w:rPr>
              <w:t xml:space="preserve"> (IFRS)</w:t>
            </w:r>
            <w:r w:rsidRPr="003772BC">
              <w:rPr>
                <w:bCs/>
              </w:rPr>
              <w:t xml:space="preserve"> Foundation</w:t>
            </w:r>
            <w:r>
              <w:rPr>
                <w:bCs/>
              </w:rPr>
              <w:t xml:space="preserve"> </w:t>
            </w:r>
            <w:r w:rsidRPr="003772BC">
              <w:rPr>
                <w:bCs/>
              </w:rPr>
              <w:t>is a not-for-profit established to develop a globally accepted accounting and sustainability disclosure standards</w:t>
            </w:r>
            <w:r>
              <w:rPr>
                <w:bCs/>
              </w:rPr>
              <w:t>, the</w:t>
            </w:r>
            <w:r w:rsidRPr="003772BC">
              <w:rPr>
                <w:bCs/>
              </w:rPr>
              <w:t xml:space="preserve"> Standards are developed by </w:t>
            </w:r>
            <w:r>
              <w:rPr>
                <w:bCs/>
              </w:rPr>
              <w:t>their</w:t>
            </w:r>
            <w:r w:rsidRPr="003772BC">
              <w:rPr>
                <w:bCs/>
              </w:rPr>
              <w:t xml:space="preserve"> two standard-setting boards, the International Accounting Standards Board (IASB) and the</w:t>
            </w:r>
            <w:r>
              <w:rPr>
                <w:bCs/>
              </w:rPr>
              <w:t xml:space="preserve"> ISSB</w:t>
            </w:r>
            <w:r w:rsidRPr="003772BC">
              <w:rPr>
                <w:bCs/>
              </w:rPr>
              <w:t>.</w:t>
            </w:r>
          </w:p>
        </w:tc>
      </w:tr>
      <w:tr w:rsidR="00D0419F" w14:paraId="2B13AAFD" w14:textId="77777777" w:rsidTr="003120D3">
        <w:trPr>
          <w:trHeight w:val="614"/>
        </w:trPr>
        <w:tc>
          <w:tcPr>
            <w:tcW w:w="1838" w:type="dxa"/>
          </w:tcPr>
          <w:p w14:paraId="4707C1E3" w14:textId="77777777" w:rsidR="00D0419F" w:rsidRPr="00805503" w:rsidRDefault="00D0419F" w:rsidP="003120D3">
            <w:pPr>
              <w:pStyle w:val="Bullet"/>
              <w:numPr>
                <w:ilvl w:val="0"/>
                <w:numId w:val="0"/>
              </w:numPr>
              <w:ind w:left="520" w:hanging="520"/>
              <w:rPr>
                <w:b/>
              </w:rPr>
            </w:pPr>
            <w:r w:rsidRPr="00805503">
              <w:rPr>
                <w:b/>
              </w:rPr>
              <w:t>ISSB</w:t>
            </w:r>
          </w:p>
          <w:p w14:paraId="0FA5F5EA" w14:textId="77777777" w:rsidR="00D0419F" w:rsidRDefault="00D0419F" w:rsidP="003120D3">
            <w:pPr>
              <w:pStyle w:val="Bullet"/>
              <w:numPr>
                <w:ilvl w:val="0"/>
                <w:numId w:val="0"/>
              </w:numPr>
            </w:pPr>
          </w:p>
        </w:tc>
        <w:tc>
          <w:tcPr>
            <w:tcW w:w="7222" w:type="dxa"/>
          </w:tcPr>
          <w:p w14:paraId="6CD7BA51" w14:textId="77777777" w:rsidR="00D0419F" w:rsidRDefault="00D0419F" w:rsidP="003120D3">
            <w:pPr>
              <w:pStyle w:val="Bullet"/>
              <w:numPr>
                <w:ilvl w:val="0"/>
                <w:numId w:val="0"/>
              </w:numPr>
            </w:pPr>
            <w:r>
              <w:t>Establishment of the</w:t>
            </w:r>
            <w:r w:rsidRPr="0062798C">
              <w:t xml:space="preserve"> International Sustainability Standards Board (ISSB)</w:t>
            </w:r>
            <w:r>
              <w:t xml:space="preserve"> was announced</w:t>
            </w:r>
            <w:r w:rsidRPr="0062798C">
              <w:t xml:space="preserve"> at COP26 </w:t>
            </w:r>
            <w:r>
              <w:t xml:space="preserve">in November 2021 </w:t>
            </w:r>
            <w:r w:rsidRPr="0062798C">
              <w:t>to develop a comprehensive global baseline of sustainability disclosures for the capital markets</w:t>
            </w:r>
            <w:r>
              <w:t>.</w:t>
            </w:r>
          </w:p>
        </w:tc>
      </w:tr>
      <w:tr w:rsidR="00D0419F" w14:paraId="6D1A7CD7" w14:textId="77777777" w:rsidTr="003120D3">
        <w:tc>
          <w:tcPr>
            <w:tcW w:w="1838" w:type="dxa"/>
          </w:tcPr>
          <w:p w14:paraId="2C93859A" w14:textId="77777777" w:rsidR="00D0419F" w:rsidRPr="00043DC4" w:rsidRDefault="00D0419F" w:rsidP="003120D3">
            <w:pPr>
              <w:pStyle w:val="Bullet"/>
              <w:numPr>
                <w:ilvl w:val="0"/>
                <w:numId w:val="0"/>
              </w:numPr>
              <w:ind w:left="520" w:hanging="520"/>
              <w:rPr>
                <w:b/>
              </w:rPr>
            </w:pPr>
            <w:r w:rsidRPr="00805503">
              <w:rPr>
                <w:b/>
              </w:rPr>
              <w:t>Scope 1, 2, and 3</w:t>
            </w:r>
          </w:p>
        </w:tc>
        <w:tc>
          <w:tcPr>
            <w:tcW w:w="7222" w:type="dxa"/>
          </w:tcPr>
          <w:p w14:paraId="327928AF" w14:textId="77777777" w:rsidR="00D0419F" w:rsidRDefault="00D0419F" w:rsidP="003120D3">
            <w:pPr>
              <w:pStyle w:val="Bullet"/>
              <w:numPr>
                <w:ilvl w:val="0"/>
                <w:numId w:val="0"/>
              </w:numPr>
            </w:pPr>
            <w:r w:rsidRPr="00F42321">
              <w:t xml:space="preserve">Scope 1 covers direct </w:t>
            </w:r>
            <w:r>
              <w:t>greenhouse gas</w:t>
            </w:r>
            <w:r w:rsidRPr="00F42321">
              <w:t xml:space="preserve"> emissions from owned or controlled sources. Scope 2 covers indirect </w:t>
            </w:r>
            <w:r>
              <w:t>greenhouse gas</w:t>
            </w:r>
            <w:r w:rsidRPr="00F42321">
              <w:t xml:space="preserve"> emissions from the generation of purchased electricity, steam, heating and cooling consumed by the reporting company. Scope 3 includes all other </w:t>
            </w:r>
            <w:r>
              <w:t>greenhouse gas</w:t>
            </w:r>
            <w:r w:rsidRPr="00F42321">
              <w:t xml:space="preserve"> emissions that occur </w:t>
            </w:r>
            <w:r>
              <w:t>upstream and downstream</w:t>
            </w:r>
            <w:r w:rsidRPr="00F42321">
              <w:t xml:space="preserve"> in a company’s value chain.</w:t>
            </w:r>
          </w:p>
        </w:tc>
      </w:tr>
      <w:tr w:rsidR="00D0419F" w14:paraId="0FE101B0" w14:textId="77777777" w:rsidTr="003120D3">
        <w:tc>
          <w:tcPr>
            <w:tcW w:w="1838" w:type="dxa"/>
          </w:tcPr>
          <w:p w14:paraId="2C3437F2" w14:textId="77777777" w:rsidR="00D0419F" w:rsidRPr="005272EF" w:rsidRDefault="00D0419F" w:rsidP="003120D3">
            <w:pPr>
              <w:pStyle w:val="Bullet"/>
              <w:numPr>
                <w:ilvl w:val="0"/>
                <w:numId w:val="0"/>
              </w:numPr>
              <w:ind w:left="520" w:hanging="520"/>
              <w:rPr>
                <w:b/>
              </w:rPr>
            </w:pPr>
            <w:r w:rsidRPr="00805503">
              <w:rPr>
                <w:b/>
              </w:rPr>
              <w:t>TCFD</w:t>
            </w:r>
          </w:p>
        </w:tc>
        <w:tc>
          <w:tcPr>
            <w:tcW w:w="7222" w:type="dxa"/>
          </w:tcPr>
          <w:p w14:paraId="6A5311DC" w14:textId="77777777" w:rsidR="00D0419F" w:rsidRDefault="00D0419F" w:rsidP="003120D3">
            <w:r w:rsidRPr="0062798C">
              <w:t xml:space="preserve">The Task Force on Climate-Related Financial Disclosures </w:t>
            </w:r>
            <w:r>
              <w:t>(</w:t>
            </w:r>
            <w:r w:rsidRPr="0062798C">
              <w:t>TCFD</w:t>
            </w:r>
            <w:r>
              <w:t>)</w:t>
            </w:r>
            <w:r w:rsidRPr="0062798C">
              <w:t xml:space="preserve"> was created by the Financial Stability Board (FSB)</w:t>
            </w:r>
            <w:r>
              <w:t>.</w:t>
            </w:r>
            <w:r w:rsidRPr="0062798C">
              <w:t xml:space="preserve"> In 2017, the TCFD released climate-related ﬁnancial disclosure recommendations.</w:t>
            </w:r>
          </w:p>
        </w:tc>
      </w:tr>
    </w:tbl>
    <w:p w14:paraId="29B48C35" w14:textId="77777777" w:rsidR="00355346" w:rsidRPr="004F47F1" w:rsidRDefault="00355346" w:rsidP="0056754D">
      <w:pPr>
        <w:pStyle w:val="OutlineNumbered1"/>
        <w:numPr>
          <w:ilvl w:val="0"/>
          <w:numId w:val="0"/>
        </w:numPr>
        <w:ind w:left="851"/>
      </w:pPr>
    </w:p>
    <w:p w14:paraId="7D7FC3EB" w14:textId="77777777" w:rsidR="00355346" w:rsidRDefault="00355346">
      <w:pPr>
        <w:spacing w:before="0" w:after="160" w:line="259" w:lineRule="auto"/>
        <w:rPr>
          <w:rFonts w:ascii="Calibri" w:hAnsi="Calibri" w:cs="Arial"/>
          <w:b/>
          <w:color w:val="5D779D" w:themeColor="accent3"/>
          <w:kern w:val="32"/>
          <w:sz w:val="44"/>
          <w:szCs w:val="36"/>
        </w:rPr>
      </w:pPr>
      <w:r>
        <w:br w:type="page"/>
      </w:r>
    </w:p>
    <w:p w14:paraId="323CCB95" w14:textId="3282C6A4" w:rsidR="0035205E" w:rsidRDefault="00C705F5" w:rsidP="0035205E">
      <w:pPr>
        <w:pStyle w:val="Heading1"/>
      </w:pPr>
      <w:bookmarkStart w:id="6" w:name="_Toc121390587"/>
      <w:r>
        <w:lastRenderedPageBreak/>
        <w:t>Climate</w:t>
      </w:r>
      <w:r w:rsidR="00EE0AAE">
        <w:t>-related financial</w:t>
      </w:r>
      <w:r>
        <w:t xml:space="preserve"> disclosure consultation</w:t>
      </w:r>
      <w:bookmarkEnd w:id="6"/>
      <w:r w:rsidR="0035205E">
        <w:t xml:space="preserve"> </w:t>
      </w:r>
    </w:p>
    <w:p w14:paraId="5032420B" w14:textId="3EAD6A2F" w:rsidR="0035205E" w:rsidRDefault="0035205E" w:rsidP="0035205E">
      <w:pPr>
        <w:pStyle w:val="Heading2"/>
      </w:pPr>
      <w:bookmarkStart w:id="7" w:name="_Toc121390588"/>
      <w:r>
        <w:t>Introduction</w:t>
      </w:r>
      <w:bookmarkEnd w:id="7"/>
    </w:p>
    <w:p w14:paraId="1A536F79" w14:textId="58E8BBE3" w:rsidR="000B7D69" w:rsidRDefault="00C9221E" w:rsidP="00DF07B2">
      <w:r>
        <w:t>C</w:t>
      </w:r>
      <w:r w:rsidR="00BF1144">
        <w:t xml:space="preserve">limate change </w:t>
      </w:r>
      <w:r>
        <w:t>is</w:t>
      </w:r>
      <w:r w:rsidR="00A117E7">
        <w:t xml:space="preserve"> recognised internationally as</w:t>
      </w:r>
      <w:r w:rsidR="00BF1144">
        <w:t xml:space="preserve"> a material risk to the </w:t>
      </w:r>
      <w:r>
        <w:t xml:space="preserve">global </w:t>
      </w:r>
      <w:r w:rsidR="00BF1144">
        <w:t>financial system</w:t>
      </w:r>
      <w:r w:rsidR="00D75911">
        <w:t xml:space="preserve"> – a risk which</w:t>
      </w:r>
      <w:r w:rsidR="00BF1144">
        <w:t xml:space="preserve"> needs to be managed by </w:t>
      </w:r>
      <w:r w:rsidR="004A0DF3">
        <w:t xml:space="preserve">capital markets, </w:t>
      </w:r>
      <w:r w:rsidR="00BF1144">
        <w:t>regulators and corporations.</w:t>
      </w:r>
      <w:r w:rsidR="000B7D69">
        <w:t xml:space="preserve"> This includes both the physical risks of climate</w:t>
      </w:r>
      <w:r w:rsidR="00A05339">
        <w:t xml:space="preserve"> change</w:t>
      </w:r>
      <w:r w:rsidR="000B7D69">
        <w:t xml:space="preserve"> and the transition risks associated with policy, regulatory and technological change brought on by efforts to mitigate climate change.</w:t>
      </w:r>
    </w:p>
    <w:p w14:paraId="6A531F57" w14:textId="737CC9DB" w:rsidR="004A0DF3" w:rsidRDefault="004A0DF3" w:rsidP="00DF07B2">
      <w:r>
        <w:t xml:space="preserve">A common and important tool to manage both individual and systemic climate-related </w:t>
      </w:r>
      <w:r w:rsidR="0083284D">
        <w:t xml:space="preserve">financial </w:t>
      </w:r>
      <w:r>
        <w:t xml:space="preserve">risks is disclosure of those risks. Since the Taskforce on Climate-related Financial Disclosures (TCFD) released its recommendations in 2017, there has been a steady increase in demand for disclosure by investors and jurisdictions mandating TCFD-aligned disclosures. </w:t>
      </w:r>
      <w:r w:rsidR="00E8094C">
        <w:t>In Australia, financial regulators have issued guidance that climate-related financial risks must be disclosed as part of existing obligations to disclose material risks, recommending TCFD as a framework for disclosure.</w:t>
      </w:r>
    </w:p>
    <w:p w14:paraId="443FE28F" w14:textId="5A6F794A" w:rsidR="002B017A" w:rsidRDefault="00115916" w:rsidP="00DF07B2">
      <w:r>
        <w:t>Driven by Australia’s</w:t>
      </w:r>
      <w:r w:rsidR="00DE2131">
        <w:t xml:space="preserve"> </w:t>
      </w:r>
      <w:r>
        <w:t>strong demand for foreign</w:t>
      </w:r>
      <w:r w:rsidR="00DE2131">
        <w:t xml:space="preserve"> capital</w:t>
      </w:r>
      <w:r>
        <w:t xml:space="preserve"> and position as an open and well-regulated economy</w:t>
      </w:r>
      <w:r w:rsidR="00DE2131">
        <w:t xml:space="preserve">, Australian </w:t>
      </w:r>
      <w:r w:rsidR="00540F6D">
        <w:t>businesses</w:t>
      </w:r>
      <w:r w:rsidR="00DE2131">
        <w:t xml:space="preserve"> have generally been on the front foot in meeting market </w:t>
      </w:r>
      <w:r w:rsidR="00E8094C">
        <w:t xml:space="preserve">and regulatory </w:t>
      </w:r>
      <w:r w:rsidR="00DE2131">
        <w:t xml:space="preserve">expectations. In 2021, Australia had the </w:t>
      </w:r>
      <w:r w:rsidR="00CB37B6">
        <w:t>4</w:t>
      </w:r>
      <w:r w:rsidR="00CB37B6" w:rsidRPr="008878CD">
        <w:rPr>
          <w:vertAlign w:val="superscript"/>
        </w:rPr>
        <w:t>th</w:t>
      </w:r>
      <w:r w:rsidR="00CB37B6">
        <w:t xml:space="preserve"> </w:t>
      </w:r>
      <w:r w:rsidR="00DE2131">
        <w:t>largest number of TCFD-supporting organisations by jurisdiction</w:t>
      </w:r>
      <w:r w:rsidR="003F1FA9">
        <w:t>.</w:t>
      </w:r>
      <w:r w:rsidR="008F238D">
        <w:rPr>
          <w:rFonts w:ascii="ZWAdobeF" w:hAnsi="ZWAdobeF" w:cs="ZWAdobeF"/>
          <w:sz w:val="2"/>
          <w:szCs w:val="2"/>
        </w:rPr>
        <w:t>0F</w:t>
      </w:r>
      <w:r w:rsidR="005362BA" w:rsidRPr="000D4668">
        <w:rPr>
          <w:rStyle w:val="FootnoteReference"/>
          <w:rFonts w:cs="Calibri Light"/>
          <w:szCs w:val="22"/>
          <w:vertAlign w:val="superscript"/>
        </w:rPr>
        <w:footnoteReference w:id="2"/>
      </w:r>
      <w:r w:rsidR="00DE2131">
        <w:t xml:space="preserve"> </w:t>
      </w:r>
      <w:r w:rsidR="0083284D">
        <w:t xml:space="preserve">However, the frontier of global best practice continues to shift outward as capital markets </w:t>
      </w:r>
      <w:r w:rsidR="0087749B">
        <w:t xml:space="preserve">and investors </w:t>
      </w:r>
      <w:r w:rsidR="0083284D">
        <w:t>demand better quality</w:t>
      </w:r>
      <w:r w:rsidR="0087749B">
        <w:t xml:space="preserve">, </w:t>
      </w:r>
      <w:r w:rsidR="003B55ED">
        <w:t>internationally-</w:t>
      </w:r>
      <w:r w:rsidR="0087749B">
        <w:t>comparable</w:t>
      </w:r>
      <w:r w:rsidR="0083284D">
        <w:t xml:space="preserve"> disclosures</w:t>
      </w:r>
      <w:r w:rsidR="00BF1F21">
        <w:t>.</w:t>
      </w:r>
      <w:r w:rsidR="0083284D">
        <w:t xml:space="preserve"> </w:t>
      </w:r>
      <w:r w:rsidR="00BF1F21">
        <w:t>S</w:t>
      </w:r>
      <w:r w:rsidR="0083284D">
        <w:t>everal</w:t>
      </w:r>
      <w:r w:rsidR="00CA41DA">
        <w:t xml:space="preserve"> jurisdictions are contemplating or have introduced mandatory requirements for large </w:t>
      </w:r>
      <w:r w:rsidR="00540F6D">
        <w:t>businesses</w:t>
      </w:r>
      <w:r w:rsidR="00CA41DA">
        <w:t xml:space="preserve"> to disclose their climate</w:t>
      </w:r>
      <w:r w:rsidR="00032742">
        <w:t>-</w:t>
      </w:r>
      <w:r w:rsidR="00CA41DA">
        <w:t>related risks</w:t>
      </w:r>
      <w:r w:rsidR="00005417">
        <w:t xml:space="preserve">. For example, </w:t>
      </w:r>
      <w:r w:rsidR="00207F51">
        <w:t xml:space="preserve">both </w:t>
      </w:r>
      <w:r w:rsidR="00005417">
        <w:t xml:space="preserve">New Zealand </w:t>
      </w:r>
      <w:r w:rsidR="00207F51">
        <w:t>and the United Kingdom</w:t>
      </w:r>
      <w:r w:rsidR="006F64B7">
        <w:t xml:space="preserve"> (UK)</w:t>
      </w:r>
      <w:r w:rsidR="00207F51">
        <w:t xml:space="preserve"> recently </w:t>
      </w:r>
      <w:r w:rsidR="00005417">
        <w:t>passed</w:t>
      </w:r>
      <w:r w:rsidR="00005417" w:rsidRPr="00005417">
        <w:t xml:space="preserve"> legislation </w:t>
      </w:r>
      <w:r w:rsidR="00005417">
        <w:t xml:space="preserve">that made </w:t>
      </w:r>
      <w:r w:rsidR="00005417" w:rsidRPr="00005417">
        <w:t xml:space="preserve">climate-related disclosures mandatory for </w:t>
      </w:r>
      <w:r w:rsidR="00207F51">
        <w:t xml:space="preserve">a subset of </w:t>
      </w:r>
      <w:r w:rsidR="00540F6D">
        <w:t>businesses</w:t>
      </w:r>
      <w:r w:rsidR="00207F51">
        <w:t>.</w:t>
      </w:r>
      <w:r w:rsidR="005B2A44">
        <w:t xml:space="preserve"> The </w:t>
      </w:r>
      <w:r w:rsidR="009A0499">
        <w:t>United States of America (</w:t>
      </w:r>
      <w:r w:rsidR="005B2A44">
        <w:t>US</w:t>
      </w:r>
      <w:r w:rsidR="009A0499">
        <w:t>)</w:t>
      </w:r>
      <w:r w:rsidR="005B2A44">
        <w:t>, Switzerland and Singapore are also</w:t>
      </w:r>
      <w:r w:rsidR="00B970FD">
        <w:t xml:space="preserve"> </w:t>
      </w:r>
      <w:r w:rsidR="005B2A44">
        <w:t xml:space="preserve">developing mandatory climate disclosure </w:t>
      </w:r>
      <w:r w:rsidR="00B970FD">
        <w:t>requirements</w:t>
      </w:r>
      <w:r w:rsidR="005B2A44">
        <w:t>.</w:t>
      </w:r>
    </w:p>
    <w:p w14:paraId="4851B313" w14:textId="018CEC3F" w:rsidR="004A0DF3" w:rsidRDefault="00061DF8" w:rsidP="00DF07B2">
      <w:r>
        <w:t xml:space="preserve">In response, multilateral regulatory bodies, such as the Financial Stability Board </w:t>
      </w:r>
      <w:r w:rsidR="00032742">
        <w:t>(FSB)</w:t>
      </w:r>
      <w:r>
        <w:t xml:space="preserve"> and the International Organisation of Securities Commissions</w:t>
      </w:r>
      <w:r w:rsidR="00032742">
        <w:t xml:space="preserve"> (IOSCO)</w:t>
      </w:r>
      <w:r>
        <w:t>, have heightened their focus on</w:t>
      </w:r>
      <w:r w:rsidR="00CA41DA">
        <w:t xml:space="preserve"> the quality and standardisation of disclosures.</w:t>
      </w:r>
      <w:r w:rsidR="002B017A" w:rsidRPr="002B017A">
        <w:t xml:space="preserve"> </w:t>
      </w:r>
      <w:r w:rsidR="002B017A" w:rsidRPr="000D4668">
        <w:rPr>
          <w:szCs w:val="24"/>
        </w:rPr>
        <w:t xml:space="preserve">Most recently, a new International Sustainability Standards Board (ISSB) was created to develop </w:t>
      </w:r>
      <w:r w:rsidR="000B19EC">
        <w:rPr>
          <w:szCs w:val="24"/>
        </w:rPr>
        <w:t>comprehensive</w:t>
      </w:r>
      <w:r w:rsidR="002B017A" w:rsidRPr="000D4668">
        <w:rPr>
          <w:szCs w:val="24"/>
        </w:rPr>
        <w:t xml:space="preserve"> baseline global standards for climate disclosure (based on the TCFD) and sustainability reporting. Draft standards have been issued for consultation</w:t>
      </w:r>
      <w:r w:rsidR="008F238D">
        <w:rPr>
          <w:rFonts w:ascii="ZWAdobeF" w:hAnsi="ZWAdobeF" w:cs="ZWAdobeF"/>
          <w:sz w:val="2"/>
          <w:szCs w:val="2"/>
        </w:rPr>
        <w:t>1F</w:t>
      </w:r>
      <w:r w:rsidR="007E4DFE" w:rsidRPr="00792C05">
        <w:rPr>
          <w:szCs w:val="22"/>
          <w:vertAlign w:val="superscript"/>
        </w:rPr>
        <w:footnoteReference w:id="3"/>
      </w:r>
      <w:r w:rsidR="004E5FCE" w:rsidRPr="00792C05">
        <w:rPr>
          <w:rFonts w:cs="Calibri Light"/>
          <w:szCs w:val="22"/>
        </w:rPr>
        <w:t xml:space="preserve">, and the ISSB is </w:t>
      </w:r>
      <w:r w:rsidR="009C0287">
        <w:rPr>
          <w:rFonts w:cs="Calibri Light"/>
          <w:szCs w:val="22"/>
        </w:rPr>
        <w:t xml:space="preserve">now providing regular updates on how the standards will be refined in response to </w:t>
      </w:r>
      <w:r w:rsidR="00BB21B7">
        <w:rPr>
          <w:rFonts w:cs="Calibri Light"/>
          <w:szCs w:val="22"/>
        </w:rPr>
        <w:t xml:space="preserve">stakeholder </w:t>
      </w:r>
      <w:r w:rsidR="009C0287">
        <w:rPr>
          <w:rFonts w:cs="Calibri Light"/>
          <w:szCs w:val="22"/>
        </w:rPr>
        <w:t>feedback</w:t>
      </w:r>
      <w:r w:rsidR="00BB21B7">
        <w:rPr>
          <w:rFonts w:cs="Calibri Light"/>
          <w:szCs w:val="22"/>
        </w:rPr>
        <w:t>.</w:t>
      </w:r>
    </w:p>
    <w:p w14:paraId="5F3D1A1E" w14:textId="53B216F5" w:rsidR="00FC3327" w:rsidRDefault="00FC3327" w:rsidP="00DF07B2">
      <w:r>
        <w:t>Th</w:t>
      </w:r>
      <w:r w:rsidR="001855AE">
        <w:t xml:space="preserve">ese </w:t>
      </w:r>
      <w:r w:rsidR="00DA1026">
        <w:t>developments</w:t>
      </w:r>
      <w:r w:rsidDel="00DA1026">
        <w:t xml:space="preserve"> </w:t>
      </w:r>
      <w:r w:rsidR="00DA1026">
        <w:t xml:space="preserve">create </w:t>
      </w:r>
      <w:r>
        <w:t xml:space="preserve">a potential </w:t>
      </w:r>
      <w:r w:rsidR="009A0499">
        <w:t xml:space="preserve">guidance </w:t>
      </w:r>
      <w:r>
        <w:t>gap for Australia</w:t>
      </w:r>
      <w:r w:rsidR="00D01D2A">
        <w:t>,</w:t>
      </w:r>
      <w:r>
        <w:t xml:space="preserve"> </w:t>
      </w:r>
      <w:r w:rsidR="003B55ED">
        <w:t>as</w:t>
      </w:r>
      <w:r>
        <w:t xml:space="preserve"> market expectations </w:t>
      </w:r>
      <w:r w:rsidR="00B829E1">
        <w:t xml:space="preserve">for certainty </w:t>
      </w:r>
      <w:r w:rsidR="006D4B59">
        <w:t>may not be</w:t>
      </w:r>
      <w:r w:rsidDel="006D4B59">
        <w:t xml:space="preserve"> </w:t>
      </w:r>
      <w:r>
        <w:t xml:space="preserve">met </w:t>
      </w:r>
      <w:r w:rsidR="00A117E7">
        <w:t xml:space="preserve">without </w:t>
      </w:r>
      <w:r w:rsidR="002B017A">
        <w:t>g</w:t>
      </w:r>
      <w:r w:rsidR="00A117E7">
        <w:t>overnment action</w:t>
      </w:r>
      <w:r w:rsidR="00061DF8" w:rsidRPr="00061DF8">
        <w:t xml:space="preserve"> </w:t>
      </w:r>
      <w:r w:rsidR="00061DF8">
        <w:t xml:space="preserve">and without efforts by </w:t>
      </w:r>
      <w:r w:rsidR="00540F6D">
        <w:t>businesses</w:t>
      </w:r>
      <w:r w:rsidR="00061DF8">
        <w:t xml:space="preserve"> to continue to improve the quality of their disclosures. This could be costly for the economy </w:t>
      </w:r>
      <w:r w:rsidR="008726BB">
        <w:t>if it affects</w:t>
      </w:r>
      <w:r w:rsidR="00061DF8">
        <w:t xml:space="preserve"> the ability of firms to raise capital. To ensure Australia remains aligned with major international capital markets, disclosure obligations need to be credible and comparable to other prominent jurisdictions. They need to provide investors with </w:t>
      </w:r>
      <w:r w:rsidR="003E6A81">
        <w:t>decision</w:t>
      </w:r>
      <w:r w:rsidR="00061DF8">
        <w:t xml:space="preserve">-useful information about the financial risks that firms face from climate </w:t>
      </w:r>
      <w:r w:rsidR="00385CA6">
        <w:t>change and</w:t>
      </w:r>
      <w:r w:rsidR="00F0280C">
        <w:t xml:space="preserve"> provide regulators</w:t>
      </w:r>
      <w:r w:rsidR="006E75DC">
        <w:t xml:space="preserve"> </w:t>
      </w:r>
      <w:r w:rsidR="00032742">
        <w:t xml:space="preserve">with </w:t>
      </w:r>
      <w:r w:rsidR="006E75DC">
        <w:t>information</w:t>
      </w:r>
      <w:r w:rsidR="00F0280C">
        <w:t xml:space="preserve"> t</w:t>
      </w:r>
      <w:r w:rsidR="006E75DC">
        <w:t>o identify and manage systemic risks.</w:t>
      </w:r>
    </w:p>
    <w:p w14:paraId="30415FDE" w14:textId="06D2D5C0" w:rsidR="00D01D2A" w:rsidRDefault="006238B1" w:rsidP="00DF07B2">
      <w:r w:rsidRPr="00126D8C">
        <w:t xml:space="preserve">The Government has committed </w:t>
      </w:r>
      <w:r w:rsidR="006D4B59">
        <w:t xml:space="preserve">to </w:t>
      </w:r>
      <w:r w:rsidRPr="00126D8C">
        <w:t xml:space="preserve">ensuring large businesses provide Australians and investors with greater transparency and accountability when it comes to their climate-related plans, </w:t>
      </w:r>
      <w:r w:rsidR="00061DF8">
        <w:t xml:space="preserve">financial </w:t>
      </w:r>
      <w:r w:rsidRPr="00126D8C">
        <w:t>risks</w:t>
      </w:r>
      <w:r w:rsidR="004720DD">
        <w:t>,</w:t>
      </w:r>
      <w:r w:rsidRPr="00126D8C">
        <w:t xml:space="preserve"> and opportunities. </w:t>
      </w:r>
      <w:r w:rsidR="00550B3E">
        <w:t xml:space="preserve">As part of this commitment, </w:t>
      </w:r>
      <w:r w:rsidR="00CF6327">
        <w:t>the Government will introduce</w:t>
      </w:r>
      <w:r w:rsidR="00550B3E">
        <w:t xml:space="preserve"> standardised, internationally-aligned reporting requirement</w:t>
      </w:r>
      <w:r w:rsidR="004720DD">
        <w:t>s</w:t>
      </w:r>
      <w:r w:rsidR="00FA6AE2" w:rsidRPr="00FA6AE2">
        <w:t xml:space="preserve"> </w:t>
      </w:r>
      <w:r w:rsidR="00550B3E">
        <w:t xml:space="preserve">for </w:t>
      </w:r>
      <w:r w:rsidR="00540F6D">
        <w:t>businesses</w:t>
      </w:r>
      <w:r w:rsidR="00550B3E">
        <w:t xml:space="preserve"> to</w:t>
      </w:r>
      <w:r w:rsidR="00FA6AE2" w:rsidRPr="00FA6AE2">
        <w:t xml:space="preserve"> make disclosures regarding governance, strategy, risk management, targets and metrics</w:t>
      </w:r>
      <w:r w:rsidR="00D01D2A">
        <w:t xml:space="preserve"> –</w:t>
      </w:r>
      <w:r w:rsidR="00FA6AE2" w:rsidRPr="00FA6AE2">
        <w:t xml:space="preserve"> including greenhouse gasses.</w:t>
      </w:r>
      <w:r w:rsidR="004C3680">
        <w:t xml:space="preserve"> To deliver </w:t>
      </w:r>
      <w:r w:rsidR="004C3680">
        <w:lastRenderedPageBreak/>
        <w:t>on this commitment</w:t>
      </w:r>
      <w:r w:rsidR="00F95583">
        <w:t xml:space="preserve">, </w:t>
      </w:r>
      <w:r w:rsidR="00CF6327">
        <w:t xml:space="preserve">legislative and other </w:t>
      </w:r>
      <w:r w:rsidR="00F95583">
        <w:t>reforms will be required</w:t>
      </w:r>
      <w:r w:rsidR="00CF6327">
        <w:t>.</w:t>
      </w:r>
      <w:r w:rsidR="004C3680">
        <w:t xml:space="preserve"> </w:t>
      </w:r>
      <w:r w:rsidR="00CF6327">
        <w:t>A</w:t>
      </w:r>
      <w:r w:rsidR="00F95583">
        <w:t>pplying the standardised requirements</w:t>
      </w:r>
      <w:r w:rsidR="004C3680">
        <w:t xml:space="preserve"> will be mandatory for certain entities.</w:t>
      </w:r>
      <w:r w:rsidR="00F95583">
        <w:t xml:space="preserve"> </w:t>
      </w:r>
    </w:p>
    <w:p w14:paraId="2327E576" w14:textId="1EA4DD10" w:rsidR="001366F2" w:rsidRDefault="00164F53" w:rsidP="00DF07B2">
      <w:r>
        <w:t xml:space="preserve">The Treasurer has announced that Treasury will lead the development of a broad sustainable finance framework for Australia, of which climate-related disclosure will form one part. </w:t>
      </w:r>
      <w:r w:rsidR="001366F2">
        <w:t>This consultation paper focuses solely on climate disclosure reforms</w:t>
      </w:r>
      <w:r>
        <w:t>.</w:t>
      </w:r>
      <w:r w:rsidR="007A352E">
        <w:t xml:space="preserve"> </w:t>
      </w:r>
      <w:r w:rsidR="00335CE3" w:rsidRPr="00335CE3">
        <w:t xml:space="preserve">The Minister for Finance will lead related work to implement appropriate arrangements for </w:t>
      </w:r>
      <w:r w:rsidR="00845E9A">
        <w:t>comparable</w:t>
      </w:r>
      <w:r w:rsidR="00335CE3" w:rsidRPr="00335CE3">
        <w:t xml:space="preserve"> Commonwealth </w:t>
      </w:r>
      <w:r w:rsidR="00845E9A">
        <w:t xml:space="preserve">public sector </w:t>
      </w:r>
      <w:r w:rsidR="00335CE3" w:rsidRPr="00335CE3">
        <w:t xml:space="preserve">entities and companies </w:t>
      </w:r>
      <w:r w:rsidR="00AB09A9">
        <w:t>to</w:t>
      </w:r>
      <w:r w:rsidR="00335CE3" w:rsidRPr="00335CE3">
        <w:t> </w:t>
      </w:r>
      <w:r w:rsidR="00845E9A">
        <w:t xml:space="preserve">also </w:t>
      </w:r>
      <w:r w:rsidR="00335CE3" w:rsidRPr="00335CE3">
        <w:t>disclose their exposure to climate-related risk.</w:t>
      </w:r>
    </w:p>
    <w:p w14:paraId="1661BDA6" w14:textId="4864522A" w:rsidR="00C86C87" w:rsidRPr="00126D8C" w:rsidRDefault="004808D7" w:rsidP="00C86C87">
      <w:pPr>
        <w:pStyle w:val="Heading2"/>
      </w:pPr>
      <w:bookmarkStart w:id="8" w:name="_Toc121390589"/>
      <w:r>
        <w:t>Reform p</w:t>
      </w:r>
      <w:r w:rsidR="00C86C87">
        <w:t>rinciples</w:t>
      </w:r>
      <w:bookmarkEnd w:id="8"/>
    </w:p>
    <w:p w14:paraId="7A29506F" w14:textId="763CB2B5" w:rsidR="004E4E3F" w:rsidRDefault="006E75DC" w:rsidP="00DF07B2">
      <w:r>
        <w:t xml:space="preserve">The following principles </w:t>
      </w:r>
      <w:r w:rsidR="00CF6327">
        <w:t>will</w:t>
      </w:r>
      <w:r>
        <w:t xml:space="preserve"> guide </w:t>
      </w:r>
      <w:r w:rsidR="004D7012">
        <w:t xml:space="preserve">the </w:t>
      </w:r>
      <w:r w:rsidR="001369A0">
        <w:t xml:space="preserve">climate-related financial disclosure reforms, and </w:t>
      </w:r>
      <w:r w:rsidR="007A02D7">
        <w:t>the final design of new requirements.</w:t>
      </w:r>
      <w:r w:rsidR="00AE60FE">
        <w:t xml:space="preserve"> </w:t>
      </w:r>
      <w:r w:rsidR="000978FB">
        <w:t xml:space="preserve">Responses and feedback received through consultation </w:t>
      </w:r>
      <w:r w:rsidR="00AE60FE">
        <w:t xml:space="preserve">will be considered against these principles when developing a preferred design for further consultation. </w:t>
      </w:r>
    </w:p>
    <w:tbl>
      <w:tblPr>
        <w:tblStyle w:val="TableGrid"/>
        <w:tblW w:w="0" w:type="auto"/>
        <w:tblLook w:val="04A0" w:firstRow="1" w:lastRow="0" w:firstColumn="1" w:lastColumn="0" w:noHBand="0" w:noVBand="1"/>
      </w:tblPr>
      <w:tblGrid>
        <w:gridCol w:w="318"/>
        <w:gridCol w:w="1667"/>
        <w:gridCol w:w="7085"/>
      </w:tblGrid>
      <w:tr w:rsidR="00E21268" w14:paraId="1EFDAEB1" w14:textId="77777777" w:rsidTr="00157678">
        <w:trPr>
          <w:cnfStyle w:val="100000000000" w:firstRow="1" w:lastRow="0" w:firstColumn="0" w:lastColumn="0" w:oddVBand="0" w:evenVBand="0" w:oddHBand="0" w:evenHBand="0" w:firstRowFirstColumn="0" w:firstRowLastColumn="0" w:lastRowFirstColumn="0" w:lastRowLastColumn="0"/>
        </w:trPr>
        <w:tc>
          <w:tcPr>
            <w:tcW w:w="318" w:type="dxa"/>
          </w:tcPr>
          <w:p w14:paraId="0CA2DF31" w14:textId="77777777" w:rsidR="00E21268" w:rsidRDefault="00E21268" w:rsidP="00292088">
            <w:pPr>
              <w:spacing w:beforeLines="0" w:afterLines="0" w:after="0"/>
            </w:pPr>
          </w:p>
        </w:tc>
        <w:tc>
          <w:tcPr>
            <w:tcW w:w="1667" w:type="dxa"/>
          </w:tcPr>
          <w:p w14:paraId="54575C82" w14:textId="38AAD464" w:rsidR="00E21268" w:rsidRDefault="00E21268" w:rsidP="00292088">
            <w:pPr>
              <w:spacing w:beforeLines="0" w:afterLines="0" w:after="0"/>
            </w:pPr>
            <w:r>
              <w:t>Principle</w:t>
            </w:r>
          </w:p>
        </w:tc>
        <w:tc>
          <w:tcPr>
            <w:tcW w:w="7085" w:type="dxa"/>
          </w:tcPr>
          <w:p w14:paraId="3684C81C" w14:textId="14D61170" w:rsidR="00E21268" w:rsidRDefault="00E21268" w:rsidP="00292088">
            <w:pPr>
              <w:spacing w:beforeLines="0" w:afterLines="0" w:after="0"/>
            </w:pPr>
            <w:r>
              <w:t>Definition</w:t>
            </w:r>
          </w:p>
        </w:tc>
      </w:tr>
      <w:tr w:rsidR="00E21268" w14:paraId="1BA9C1A6" w14:textId="77777777" w:rsidTr="00157678">
        <w:tc>
          <w:tcPr>
            <w:tcW w:w="318" w:type="dxa"/>
          </w:tcPr>
          <w:p w14:paraId="1608169B" w14:textId="712CCE32" w:rsidR="00E21268" w:rsidRDefault="00E21268" w:rsidP="00292088">
            <w:pPr>
              <w:spacing w:after="0"/>
            </w:pPr>
            <w:r>
              <w:t>1</w:t>
            </w:r>
          </w:p>
        </w:tc>
        <w:tc>
          <w:tcPr>
            <w:tcW w:w="1667" w:type="dxa"/>
          </w:tcPr>
          <w:p w14:paraId="7425BEF2" w14:textId="5D852F60" w:rsidR="00E21268" w:rsidRPr="00292088" w:rsidRDefault="00EA15EC" w:rsidP="00292088">
            <w:pPr>
              <w:spacing w:after="0"/>
              <w:rPr>
                <w:b/>
                <w:bCs/>
              </w:rPr>
            </w:pPr>
            <w:r>
              <w:rPr>
                <w:b/>
                <w:bCs/>
              </w:rPr>
              <w:t>Support climate goals</w:t>
            </w:r>
          </w:p>
        </w:tc>
        <w:tc>
          <w:tcPr>
            <w:tcW w:w="7085" w:type="dxa"/>
          </w:tcPr>
          <w:p w14:paraId="671B416C" w14:textId="212C9FD0" w:rsidR="00E21268" w:rsidRDefault="00B5365C" w:rsidP="00292088">
            <w:pPr>
              <w:spacing w:after="0"/>
            </w:pPr>
            <w:r w:rsidRPr="00B5365C">
              <w:t>Climate disclosure reforms should assist with: Australia’s transition to net zero emissions by 2050; adaptation to a changing climate; and broader efforts and initiatives to promote a sustainable financial system in Australia and internationally.</w:t>
            </w:r>
          </w:p>
        </w:tc>
      </w:tr>
      <w:tr w:rsidR="00E21268" w14:paraId="6D989C96" w14:textId="77777777" w:rsidTr="00157678">
        <w:tc>
          <w:tcPr>
            <w:tcW w:w="318" w:type="dxa"/>
          </w:tcPr>
          <w:p w14:paraId="7BDF39CC" w14:textId="5EEF3FE9" w:rsidR="00E21268" w:rsidRDefault="00E21268" w:rsidP="00292088">
            <w:pPr>
              <w:spacing w:after="0"/>
            </w:pPr>
            <w:r>
              <w:t>2</w:t>
            </w:r>
          </w:p>
        </w:tc>
        <w:tc>
          <w:tcPr>
            <w:tcW w:w="1667" w:type="dxa"/>
          </w:tcPr>
          <w:p w14:paraId="5A76C8FB" w14:textId="48F86248" w:rsidR="00E21268" w:rsidRPr="00292088" w:rsidRDefault="00E21268" w:rsidP="00292088">
            <w:pPr>
              <w:spacing w:after="0"/>
              <w:rPr>
                <w:b/>
                <w:bCs/>
              </w:rPr>
            </w:pPr>
            <w:r w:rsidRPr="00292088">
              <w:rPr>
                <w:b/>
                <w:bCs/>
              </w:rPr>
              <w:t>Improve information flows</w:t>
            </w:r>
          </w:p>
        </w:tc>
        <w:tc>
          <w:tcPr>
            <w:tcW w:w="7085" w:type="dxa"/>
          </w:tcPr>
          <w:p w14:paraId="1A09308F" w14:textId="7176B762" w:rsidR="00E21268" w:rsidRPr="008B518A" w:rsidRDefault="00B5365C" w:rsidP="00292088">
            <w:pPr>
              <w:spacing w:after="0"/>
            </w:pPr>
            <w:r w:rsidRPr="00B5365C">
              <w:t>Reforms should deliver clear improvements in the quantity, quality, and comparability of disclosures, which will help regulators to assess and manage systemic risks and other risks to investors, strengthen transparency and improve the flow of useful information to investors (including what actions are being taken to mitigate r</w:t>
            </w:r>
            <w:r w:rsidRPr="00371A3D">
              <w:t>isks</w:t>
            </w:r>
            <w:r w:rsidRPr="00E632D4">
              <w:t>)</w:t>
            </w:r>
            <w:r w:rsidRPr="008B518A">
              <w:t>.</w:t>
            </w:r>
          </w:p>
        </w:tc>
      </w:tr>
      <w:tr w:rsidR="00E21268" w14:paraId="1009C8D1" w14:textId="77777777" w:rsidTr="00157678">
        <w:tc>
          <w:tcPr>
            <w:tcW w:w="318" w:type="dxa"/>
          </w:tcPr>
          <w:p w14:paraId="24453C00" w14:textId="1B73AF47" w:rsidR="00E21268" w:rsidRDefault="00E21268" w:rsidP="00292088">
            <w:pPr>
              <w:spacing w:after="0"/>
            </w:pPr>
            <w:r>
              <w:t>3</w:t>
            </w:r>
          </w:p>
        </w:tc>
        <w:tc>
          <w:tcPr>
            <w:tcW w:w="1667" w:type="dxa"/>
          </w:tcPr>
          <w:p w14:paraId="12BC2101" w14:textId="7E79DDF7" w:rsidR="00E21268" w:rsidRPr="00292088" w:rsidRDefault="00E21268" w:rsidP="00292088">
            <w:pPr>
              <w:spacing w:after="0"/>
              <w:rPr>
                <w:b/>
                <w:bCs/>
              </w:rPr>
            </w:pPr>
            <w:r w:rsidRPr="00292088">
              <w:rPr>
                <w:b/>
                <w:bCs/>
              </w:rPr>
              <w:t>Well-understood</w:t>
            </w:r>
          </w:p>
        </w:tc>
        <w:tc>
          <w:tcPr>
            <w:tcW w:w="7085" w:type="dxa"/>
          </w:tcPr>
          <w:p w14:paraId="564AD63D" w14:textId="6AE5D1FC" w:rsidR="00E21268" w:rsidRPr="008B518A" w:rsidRDefault="00B5365C" w:rsidP="00292088">
            <w:pPr>
              <w:spacing w:after="0"/>
            </w:pPr>
            <w:r w:rsidRPr="00B5365C">
              <w:t>Businesses, investors, regulators and the public should have a clear and common understanding about obligations for entities to disclose climate-related financial risks. This will require prescription of who</w:t>
            </w:r>
            <w:r w:rsidRPr="00371A3D">
              <w:t xml:space="preserve">m they apply to, how </w:t>
            </w:r>
            <w:r w:rsidRPr="00E632D4">
              <w:t>and when they should be made, and clarifying details on content of disclosures.</w:t>
            </w:r>
          </w:p>
        </w:tc>
      </w:tr>
      <w:tr w:rsidR="00E21268" w14:paraId="69377A45" w14:textId="77777777" w:rsidTr="00157678">
        <w:tc>
          <w:tcPr>
            <w:tcW w:w="318" w:type="dxa"/>
          </w:tcPr>
          <w:p w14:paraId="458A75A1" w14:textId="40180445" w:rsidR="00E21268" w:rsidRDefault="00E21268" w:rsidP="00292088">
            <w:pPr>
              <w:spacing w:after="0"/>
            </w:pPr>
            <w:r>
              <w:t>4</w:t>
            </w:r>
          </w:p>
        </w:tc>
        <w:tc>
          <w:tcPr>
            <w:tcW w:w="1667" w:type="dxa"/>
          </w:tcPr>
          <w:p w14:paraId="6269A78E" w14:textId="51871055" w:rsidR="00E21268" w:rsidRPr="00292088" w:rsidRDefault="00E21268" w:rsidP="00292088">
            <w:pPr>
              <w:spacing w:after="0"/>
              <w:rPr>
                <w:b/>
                <w:bCs/>
              </w:rPr>
            </w:pPr>
            <w:r w:rsidRPr="00292088">
              <w:rPr>
                <w:b/>
                <w:bCs/>
              </w:rPr>
              <w:t>Internationally aligned</w:t>
            </w:r>
          </w:p>
        </w:tc>
        <w:tc>
          <w:tcPr>
            <w:tcW w:w="7085" w:type="dxa"/>
          </w:tcPr>
          <w:p w14:paraId="0A4DE42E" w14:textId="3CD0C620" w:rsidR="00E21268" w:rsidRPr="008B518A" w:rsidRDefault="00B5365C" w:rsidP="00292088">
            <w:pPr>
              <w:spacing w:after="0"/>
            </w:pPr>
            <w:r w:rsidRPr="00B5365C">
              <w:t>New requirements should, as far as possible, be aligned with international reporting practices,</w:t>
            </w:r>
            <w:r w:rsidRPr="00371A3D">
              <w:t xml:space="preserve"> to minimise compliance costs for Australian businesses that operate internationally, and to ensure Australia’s </w:t>
            </w:r>
            <w:r w:rsidRPr="00E632D4">
              <w:t>regime is viewed with credibility by international markets.</w:t>
            </w:r>
          </w:p>
        </w:tc>
      </w:tr>
      <w:tr w:rsidR="00E21268" w14:paraId="0862BEA9" w14:textId="77777777" w:rsidTr="00157678">
        <w:tc>
          <w:tcPr>
            <w:tcW w:w="318" w:type="dxa"/>
          </w:tcPr>
          <w:p w14:paraId="2FAD9D59" w14:textId="74689DDC" w:rsidR="00E21268" w:rsidRDefault="00E21268" w:rsidP="00292088">
            <w:pPr>
              <w:spacing w:after="0"/>
            </w:pPr>
            <w:r>
              <w:t>5</w:t>
            </w:r>
          </w:p>
        </w:tc>
        <w:tc>
          <w:tcPr>
            <w:tcW w:w="1667" w:type="dxa"/>
          </w:tcPr>
          <w:p w14:paraId="105AA6CD" w14:textId="2C1B558C" w:rsidR="00E21268" w:rsidRPr="00292088" w:rsidRDefault="00E21268" w:rsidP="00292088">
            <w:pPr>
              <w:spacing w:after="0"/>
              <w:rPr>
                <w:b/>
                <w:bCs/>
              </w:rPr>
            </w:pPr>
            <w:r w:rsidRPr="00292088">
              <w:rPr>
                <w:b/>
                <w:bCs/>
              </w:rPr>
              <w:t>Scalable and flexible</w:t>
            </w:r>
          </w:p>
        </w:tc>
        <w:tc>
          <w:tcPr>
            <w:tcW w:w="7085" w:type="dxa"/>
          </w:tcPr>
          <w:p w14:paraId="00BDB203" w14:textId="0A45CE14" w:rsidR="00E21268" w:rsidRPr="00B5365C" w:rsidRDefault="00B5365C" w:rsidP="00292088">
            <w:pPr>
              <w:spacing w:after="0"/>
            </w:pPr>
            <w:r w:rsidRPr="00B5365C">
              <w:t xml:space="preserve">New requirements should, where possible, build on the existing financial </w:t>
            </w:r>
            <w:r w:rsidRPr="00371A3D">
              <w:t>reporting system</w:t>
            </w:r>
            <w:r w:rsidRPr="00E632D4">
              <w:t xml:space="preserve">, </w:t>
            </w:r>
            <w:r w:rsidRPr="008B518A">
              <w:t>and be scalable and flexible to accommodate</w:t>
            </w:r>
            <w:r w:rsidRPr="00B5365C">
              <w:t xml:space="preserve"> future developments in the global baseline for climate and sustainability reporting, to minimise the expected compliance costs and potential for unintended consequences.</w:t>
            </w:r>
          </w:p>
        </w:tc>
      </w:tr>
      <w:tr w:rsidR="00F2269F" w14:paraId="00DFF6AC" w14:textId="77777777" w:rsidTr="00157678">
        <w:tc>
          <w:tcPr>
            <w:tcW w:w="318" w:type="dxa"/>
          </w:tcPr>
          <w:p w14:paraId="6FF0E6C0" w14:textId="2B06CA7A" w:rsidR="00F2269F" w:rsidRDefault="00F2269F" w:rsidP="00292088">
            <w:pPr>
              <w:spacing w:after="0"/>
            </w:pPr>
            <w:r>
              <w:t>6</w:t>
            </w:r>
          </w:p>
        </w:tc>
        <w:tc>
          <w:tcPr>
            <w:tcW w:w="1667" w:type="dxa"/>
          </w:tcPr>
          <w:p w14:paraId="07D15468" w14:textId="3284EFFB" w:rsidR="00F2269F" w:rsidRPr="00292088" w:rsidRDefault="00F2269F" w:rsidP="00292088">
            <w:pPr>
              <w:spacing w:after="0"/>
              <w:rPr>
                <w:b/>
                <w:bCs/>
              </w:rPr>
            </w:pPr>
            <w:r w:rsidRPr="00292088">
              <w:rPr>
                <w:b/>
                <w:bCs/>
              </w:rPr>
              <w:t>Proportional to risk</w:t>
            </w:r>
          </w:p>
        </w:tc>
        <w:tc>
          <w:tcPr>
            <w:tcW w:w="7085" w:type="dxa"/>
          </w:tcPr>
          <w:p w14:paraId="049FC89E" w14:textId="55671CDE" w:rsidR="00F2269F" w:rsidRPr="00B5365C" w:rsidRDefault="00B5365C" w:rsidP="00292088">
            <w:pPr>
              <w:spacing w:after="0"/>
            </w:pPr>
            <w:r w:rsidRPr="00B5365C">
              <w:t>Climate disclosure requirements should be proportional to the risks they seek to address</w:t>
            </w:r>
            <w:r w:rsidRPr="00371A3D">
              <w:t>, particularly regarding who</w:t>
            </w:r>
            <w:r w:rsidRPr="00E632D4">
              <w:t>m</w:t>
            </w:r>
            <w:r w:rsidRPr="008B518A">
              <w:t xml:space="preserve"> they apply to, what costs those entities will incur</w:t>
            </w:r>
            <w:r w:rsidRPr="00B5365C">
              <w:t>, what data or capability they will require and what liability they may enliven.</w:t>
            </w:r>
          </w:p>
        </w:tc>
      </w:tr>
    </w:tbl>
    <w:p w14:paraId="1A5DB345" w14:textId="255579FF" w:rsidR="006238B1" w:rsidRPr="00126D8C" w:rsidRDefault="0078342B" w:rsidP="000D4668">
      <w:pPr>
        <w:pStyle w:val="Heading2"/>
      </w:pPr>
      <w:bookmarkStart w:id="9" w:name="_Toc121390590"/>
      <w:r>
        <w:t>Process</w:t>
      </w:r>
      <w:bookmarkEnd w:id="9"/>
    </w:p>
    <w:p w14:paraId="27B53A42" w14:textId="3764D773" w:rsidR="00A977FC" w:rsidRDefault="00A977FC">
      <w:r>
        <w:t xml:space="preserve">Treasury is leading </w:t>
      </w:r>
      <w:r w:rsidR="001327C4">
        <w:t>consultation</w:t>
      </w:r>
      <w:r>
        <w:t xml:space="preserve"> on the implementation of the Government’s commitment to standardised climate disclosure</w:t>
      </w:r>
      <w:r w:rsidR="00E42AB4">
        <w:t>s</w:t>
      </w:r>
      <w:r>
        <w:t>, with close support from the financial regulators and standard-setting bodies</w:t>
      </w:r>
      <w:r w:rsidR="001327C4">
        <w:t>.</w:t>
      </w:r>
    </w:p>
    <w:p w14:paraId="5E645FA0" w14:textId="7C037C46" w:rsidR="008F7280" w:rsidRDefault="00E84161" w:rsidP="00DF07B2">
      <w:r>
        <w:t xml:space="preserve">This consultation </w:t>
      </w:r>
      <w:r w:rsidR="0078342B">
        <w:t xml:space="preserve">paper </w:t>
      </w:r>
      <w:r>
        <w:t xml:space="preserve">seeks views on </w:t>
      </w:r>
      <w:r w:rsidR="0047321F">
        <w:t>key considerations</w:t>
      </w:r>
      <w:r>
        <w:t xml:space="preserve"> for the design and implementation of </w:t>
      </w:r>
      <w:r w:rsidR="0047321F">
        <w:t>standardised, internationally-aligned requirements for disclosure of</w:t>
      </w:r>
      <w:r>
        <w:t xml:space="preserve"> climate-related financial risk</w:t>
      </w:r>
      <w:r w:rsidR="0047321F">
        <w:t>s</w:t>
      </w:r>
      <w:r>
        <w:t xml:space="preserve"> </w:t>
      </w:r>
      <w:r w:rsidR="00E42AB4">
        <w:t xml:space="preserve">and opportunities </w:t>
      </w:r>
      <w:r>
        <w:t xml:space="preserve">in Australia. </w:t>
      </w:r>
      <w:r w:rsidR="000E768F">
        <w:t xml:space="preserve">Views are also sought on other matters relevant to this commitment, such as necessary </w:t>
      </w:r>
      <w:r w:rsidR="00EA6A29">
        <w:t xml:space="preserve">changes to the </w:t>
      </w:r>
      <w:r w:rsidR="004D4689">
        <w:t>mandate</w:t>
      </w:r>
      <w:r w:rsidR="0064382E">
        <w:t>s</w:t>
      </w:r>
      <w:r w:rsidR="004D4689">
        <w:t xml:space="preserve"> </w:t>
      </w:r>
      <w:r w:rsidR="00EA6A29">
        <w:t>of Australia’s financial reporting bodies</w:t>
      </w:r>
      <w:r w:rsidR="00D727C6">
        <w:t>,</w:t>
      </w:r>
      <w:r w:rsidR="00EA6A29">
        <w:t xml:space="preserve"> </w:t>
      </w:r>
      <w:r w:rsidR="000E768F">
        <w:t>to ensure</w:t>
      </w:r>
      <w:r w:rsidR="00EA6A29">
        <w:t xml:space="preserve"> they</w:t>
      </w:r>
      <w:r w:rsidR="000E768F">
        <w:t xml:space="preserve"> can </w:t>
      </w:r>
      <w:r w:rsidR="000E768F">
        <w:lastRenderedPageBreak/>
        <w:t>keep pace with</w:t>
      </w:r>
      <w:r w:rsidR="00084A4A">
        <w:t xml:space="preserve"> the expansion of</w:t>
      </w:r>
      <w:r w:rsidR="000E768F">
        <w:t xml:space="preserve"> international </w:t>
      </w:r>
      <w:r w:rsidR="00084A4A">
        <w:t xml:space="preserve">standard-setting priorities </w:t>
      </w:r>
      <w:r w:rsidR="00D01D2A">
        <w:t>on</w:t>
      </w:r>
      <w:r w:rsidR="00084A4A">
        <w:t xml:space="preserve"> climate and sustainability reporting.</w:t>
      </w:r>
    </w:p>
    <w:p w14:paraId="4DFCA522" w14:textId="30F85BBD" w:rsidR="00B51649" w:rsidRDefault="009D4D7C" w:rsidP="00B51649">
      <w:r>
        <w:t>Key questions to be considered at this stage</w:t>
      </w:r>
      <w:r w:rsidR="00507E93">
        <w:t xml:space="preserve"> of consultation</w:t>
      </w:r>
      <w:r w:rsidR="00DB0DEB">
        <w:t xml:space="preserve"> include</w:t>
      </w:r>
      <w:r>
        <w:t xml:space="preserve"> </w:t>
      </w:r>
      <w:r w:rsidR="0080228A">
        <w:t>the</w:t>
      </w:r>
      <w:r w:rsidR="003E6A81">
        <w:t xml:space="preserve"> coverage,</w:t>
      </w:r>
      <w:r w:rsidR="0080228A">
        <w:t xml:space="preserve"> scope, frequency, format</w:t>
      </w:r>
      <w:r>
        <w:t>, timing</w:t>
      </w:r>
      <w:r w:rsidR="008311BF">
        <w:t>,</w:t>
      </w:r>
      <w:r w:rsidR="0080228A">
        <w:t xml:space="preserve"> and international alignment</w:t>
      </w:r>
      <w:r>
        <w:t xml:space="preserve"> of th</w:t>
      </w:r>
      <w:r w:rsidR="00DB0DEB">
        <w:t>e</w:t>
      </w:r>
      <w:r>
        <w:t xml:space="preserve"> </w:t>
      </w:r>
      <w:r w:rsidR="00507E93">
        <w:t>requirements</w:t>
      </w:r>
      <w:r w:rsidR="0080228A">
        <w:t>.</w:t>
      </w:r>
      <w:r w:rsidR="00C61572">
        <w:t xml:space="preserve"> </w:t>
      </w:r>
      <w:r w:rsidR="00507E93">
        <w:t>Views provided in this consultation will help shape the more detailed design of the new requirements,</w:t>
      </w:r>
      <w:r w:rsidR="00C61572">
        <w:t xml:space="preserve"> including </w:t>
      </w:r>
      <w:r w:rsidR="00712C22">
        <w:t xml:space="preserve">the </w:t>
      </w:r>
      <w:r w:rsidR="00F0267F">
        <w:t xml:space="preserve">legislative </w:t>
      </w:r>
      <w:r w:rsidR="00712C22">
        <w:t xml:space="preserve">and governance </w:t>
      </w:r>
      <w:r w:rsidR="00F0267F">
        <w:t>model</w:t>
      </w:r>
      <w:r w:rsidR="00712C22">
        <w:t xml:space="preserve"> </w:t>
      </w:r>
      <w:r w:rsidR="00F0267F">
        <w:t xml:space="preserve">and interaction with other reporting obligations. In line with the policy principles, </w:t>
      </w:r>
      <w:r>
        <w:t xml:space="preserve">this consultation will consider how to ensure new requirements are </w:t>
      </w:r>
      <w:r w:rsidR="00570CAD">
        <w:t>proportionately</w:t>
      </w:r>
      <w:r>
        <w:t xml:space="preserve"> targeted</w:t>
      </w:r>
      <w:r w:rsidR="00507E93">
        <w:t xml:space="preserve"> and seek views about data and capability underpinning ability to implement climate disclosures.</w:t>
      </w:r>
    </w:p>
    <w:p w14:paraId="53096A7E" w14:textId="13D9CB73" w:rsidR="00FE660F" w:rsidRDefault="00FE660F" w:rsidP="00DF07B2">
      <w:r>
        <w:t xml:space="preserve">Feedback can be provided to </w:t>
      </w:r>
      <w:hyperlink r:id="rId25" w:history="1">
        <w:r w:rsidR="0078547C" w:rsidRPr="00BF0189">
          <w:rPr>
            <w:rStyle w:val="Hyperlink"/>
          </w:rPr>
          <w:t>climatereportingconsultation@treasury.gov.au</w:t>
        </w:r>
      </w:hyperlink>
      <w:r w:rsidR="0078547C" w:rsidRPr="00DF07B2">
        <w:t xml:space="preserve"> </w:t>
      </w:r>
      <w:r>
        <w:t>until</w:t>
      </w:r>
      <w:r w:rsidR="003E6A81">
        <w:t xml:space="preserve"> </w:t>
      </w:r>
      <w:r w:rsidR="002209F3">
        <w:t>17</w:t>
      </w:r>
      <w:r w:rsidR="003E6A81">
        <w:t xml:space="preserve"> February 2023</w:t>
      </w:r>
      <w:r>
        <w:t>.</w:t>
      </w:r>
    </w:p>
    <w:p w14:paraId="37946CB2" w14:textId="4E6AE6F5" w:rsidR="00FF3F8D" w:rsidRDefault="00084A4A" w:rsidP="00DF07B2">
      <w:r>
        <w:t>The Government will consider</w:t>
      </w:r>
      <w:r w:rsidR="00063D22">
        <w:t xml:space="preserve"> </w:t>
      </w:r>
      <w:r>
        <w:t xml:space="preserve">views submitted in response to this consultation paper </w:t>
      </w:r>
      <w:r w:rsidR="00FE660F">
        <w:t xml:space="preserve">and set out a </w:t>
      </w:r>
      <w:r w:rsidR="00F363D1">
        <w:t xml:space="preserve">specific design proposal </w:t>
      </w:r>
      <w:r w:rsidR="00A464B4">
        <w:t>for further consultation</w:t>
      </w:r>
      <w:r w:rsidR="00015C2B">
        <w:t xml:space="preserve">, which will provide </w:t>
      </w:r>
      <w:r w:rsidR="007E7B77">
        <w:t>more detail</w:t>
      </w:r>
      <w:r w:rsidR="00A464B4">
        <w:t xml:space="preserve"> </w:t>
      </w:r>
      <w:r w:rsidR="007E7B77">
        <w:t>of the new reporting requirements</w:t>
      </w:r>
      <w:r w:rsidR="00A464B4">
        <w:t>,</w:t>
      </w:r>
      <w:r w:rsidR="007E7B77">
        <w:t xml:space="preserve"> their implementation and sequencing</w:t>
      </w:r>
      <w:r w:rsidR="00FE660F">
        <w:t xml:space="preserve">. </w:t>
      </w:r>
      <w:r w:rsidR="00FF3F8D">
        <w:t xml:space="preserve">Where legislation is required to give effect to the new requirements, </w:t>
      </w:r>
      <w:r w:rsidR="00790DE2">
        <w:t xml:space="preserve">it is intended that </w:t>
      </w:r>
      <w:r w:rsidR="00FF3F8D">
        <w:t>exposure draft legislation will be released.</w:t>
      </w:r>
    </w:p>
    <w:p w14:paraId="304118B0" w14:textId="36D0ED50" w:rsidR="00FF3F8D" w:rsidRDefault="004A1211" w:rsidP="00B661DD">
      <w:r>
        <w:t xml:space="preserve">In accordance with the Australian Government Guide to Regulatory Impact Analysis, a </w:t>
      </w:r>
      <w:r w:rsidR="004E10FE">
        <w:t>Policy Impact Analysis</w:t>
      </w:r>
      <w:r>
        <w:t xml:space="preserve"> will be developed as part of this reform. </w:t>
      </w:r>
      <w:r w:rsidR="002A77C9">
        <w:t xml:space="preserve">Views on the costs and benefits of implementing new requirements for climate reporting will be collected through </w:t>
      </w:r>
      <w:r w:rsidR="007E7B77">
        <w:t xml:space="preserve">this and future </w:t>
      </w:r>
      <w:r w:rsidR="002A77C9">
        <w:t>consultation</w:t>
      </w:r>
      <w:r w:rsidR="007E7B77">
        <w:t xml:space="preserve"> papers</w:t>
      </w:r>
      <w:r w:rsidR="002A77C9">
        <w:t xml:space="preserve"> to inform the final </w:t>
      </w:r>
      <w:r w:rsidR="004E10FE">
        <w:t>Policy</w:t>
      </w:r>
      <w:r w:rsidR="002A77C9">
        <w:t xml:space="preserve"> Impact </w:t>
      </w:r>
      <w:r w:rsidR="00DB0DEB">
        <w:t>Analysis</w:t>
      </w:r>
      <w:r w:rsidR="002A77C9">
        <w:t>.</w:t>
      </w:r>
    </w:p>
    <w:tbl>
      <w:tblPr>
        <w:tblW w:w="5001" w:type="pct"/>
        <w:shd w:val="clear" w:color="auto" w:fill="EEEEEE" w:themeFill="background2"/>
        <w:tblCellMar>
          <w:top w:w="227" w:type="dxa"/>
          <w:left w:w="227" w:type="dxa"/>
          <w:bottom w:w="227" w:type="dxa"/>
          <w:right w:w="227" w:type="dxa"/>
        </w:tblCellMar>
        <w:tblLook w:val="04A0" w:firstRow="1" w:lastRow="0" w:firstColumn="1" w:lastColumn="0" w:noHBand="0" w:noVBand="1"/>
      </w:tblPr>
      <w:tblGrid>
        <w:gridCol w:w="9072"/>
      </w:tblGrid>
      <w:tr w:rsidR="00D560DB" w14:paraId="730026CB" w14:textId="77777777" w:rsidTr="00EB7057">
        <w:tc>
          <w:tcPr>
            <w:tcW w:w="5000" w:type="pct"/>
            <w:shd w:val="clear" w:color="auto" w:fill="EEEEEE" w:themeFill="background2"/>
          </w:tcPr>
          <w:p w14:paraId="22782AEA" w14:textId="1610A9D2" w:rsidR="00D560DB" w:rsidRDefault="00D560DB" w:rsidP="00697B7F">
            <w:pPr>
              <w:pStyle w:val="Bullet"/>
              <w:numPr>
                <w:ilvl w:val="0"/>
                <w:numId w:val="0"/>
              </w:numPr>
              <w:spacing w:before="0" w:after="160"/>
            </w:pPr>
            <w:bookmarkStart w:id="10" w:name="Question1"/>
            <w:bookmarkStart w:id="11" w:name="_Hlk108774722"/>
            <w:r w:rsidRPr="00235875">
              <w:rPr>
                <w:b/>
                <w:bCs/>
              </w:rPr>
              <w:t xml:space="preserve">Question </w:t>
            </w:r>
            <w:r>
              <w:rPr>
                <w:b/>
                <w:bCs/>
              </w:rPr>
              <w:t>1</w:t>
            </w:r>
            <w:r w:rsidRPr="00235875">
              <w:rPr>
                <w:b/>
                <w:bCs/>
              </w:rPr>
              <w:t>:</w:t>
            </w:r>
            <w:r>
              <w:t xml:space="preserve"> </w:t>
            </w:r>
            <w:bookmarkStart w:id="12" w:name="_Hlk109402040"/>
            <w:r>
              <w:t>What are the</w:t>
            </w:r>
            <w:r w:rsidR="006103A8">
              <w:t xml:space="preserve"> costs and </w:t>
            </w:r>
            <w:r>
              <w:t xml:space="preserve">benefits </w:t>
            </w:r>
            <w:r w:rsidR="006103A8">
              <w:t xml:space="preserve">of </w:t>
            </w:r>
            <w:r>
              <w:t>Australia aligning with international practice on climate-related financial risk disclosure</w:t>
            </w:r>
            <w:r w:rsidR="0015226E">
              <w:t xml:space="preserve"> (including mandatory reporting for certain entities)</w:t>
            </w:r>
            <w:r>
              <w:t>?</w:t>
            </w:r>
            <w:r w:rsidR="00BC1D55">
              <w:t xml:space="preserve"> In particular:</w:t>
            </w:r>
          </w:p>
          <w:p w14:paraId="4E0A96EB" w14:textId="55D0902F" w:rsidR="002E4AA6" w:rsidRDefault="00950D75" w:rsidP="00950D75">
            <w:pPr>
              <w:pStyle w:val="OutlineNumbered2"/>
              <w:numPr>
                <w:ilvl w:val="0"/>
                <w:numId w:val="0"/>
              </w:numPr>
              <w:ind w:left="1051" w:hanging="709"/>
            </w:pPr>
            <w:r>
              <w:t>1.1</w:t>
            </w:r>
            <w:r>
              <w:tab/>
            </w:r>
            <w:r w:rsidR="00440D40">
              <w:t xml:space="preserve">What are the costs </w:t>
            </w:r>
            <w:r w:rsidR="004E5FCE">
              <w:t xml:space="preserve">and benefits </w:t>
            </w:r>
            <w:r w:rsidR="00440D40">
              <w:t>of meeting existing climate reporting expectations?</w:t>
            </w:r>
          </w:p>
          <w:p w14:paraId="2CF2A066" w14:textId="5AF52E26" w:rsidR="002E4AA6" w:rsidRPr="000D1284" w:rsidRDefault="00950D75" w:rsidP="00950D75">
            <w:pPr>
              <w:pStyle w:val="OutlineNumbered2"/>
              <w:numPr>
                <w:ilvl w:val="0"/>
                <w:numId w:val="0"/>
              </w:numPr>
              <w:ind w:left="1051" w:hanging="709"/>
            </w:pPr>
            <w:r>
              <w:t>1.2</w:t>
            </w:r>
            <w:r>
              <w:tab/>
            </w:r>
            <w:r w:rsidR="00440D40">
              <w:t xml:space="preserve">What are the costs </w:t>
            </w:r>
            <w:r w:rsidR="004E5FCE">
              <w:t xml:space="preserve">and benefits </w:t>
            </w:r>
            <w:r w:rsidR="00440D40">
              <w:t>of Australia not aligning with international practice and in particular global baseline standards for climate reporting?</w:t>
            </w:r>
            <w:bookmarkEnd w:id="10"/>
            <w:bookmarkEnd w:id="12"/>
          </w:p>
        </w:tc>
      </w:tr>
      <w:bookmarkEnd w:id="11"/>
    </w:tbl>
    <w:p w14:paraId="662BA522" w14:textId="77777777" w:rsidR="0031268E" w:rsidRDefault="0031268E">
      <w:pPr>
        <w:spacing w:before="0" w:after="160" w:line="259" w:lineRule="auto"/>
      </w:pPr>
      <w:r>
        <w:br w:type="page"/>
      </w:r>
    </w:p>
    <w:p w14:paraId="270A5D2D" w14:textId="06367BF7" w:rsidR="00D90551" w:rsidRDefault="00FA6AE2" w:rsidP="00D90551">
      <w:pPr>
        <w:pStyle w:val="Heading2"/>
      </w:pPr>
      <w:bookmarkStart w:id="13" w:name="_Toc121390591"/>
      <w:r>
        <w:lastRenderedPageBreak/>
        <w:t xml:space="preserve">Key </w:t>
      </w:r>
      <w:r w:rsidR="008C5B85">
        <w:t>c</w:t>
      </w:r>
      <w:r w:rsidR="000B3272">
        <w:t>onsiderations</w:t>
      </w:r>
      <w:bookmarkEnd w:id="13"/>
    </w:p>
    <w:p w14:paraId="01E61D3E" w14:textId="76E85B37" w:rsidR="0083180F" w:rsidRPr="00E12DF9" w:rsidRDefault="00FA6AE2" w:rsidP="00126D8C">
      <w:pPr>
        <w:pStyle w:val="Heading3"/>
      </w:pPr>
      <w:bookmarkStart w:id="14" w:name="_Toc121390592"/>
      <w:r>
        <w:t>Covered entities</w:t>
      </w:r>
      <w:r w:rsidR="0007506D">
        <w:t xml:space="preserve"> and timing</w:t>
      </w:r>
      <w:bookmarkEnd w:id="14"/>
    </w:p>
    <w:p w14:paraId="0EABF902" w14:textId="77777777" w:rsidR="001D2977" w:rsidRPr="000F51B3" w:rsidRDefault="001D2977" w:rsidP="001D2977">
      <w:pPr>
        <w:pStyle w:val="Heading4"/>
      </w:pPr>
      <w:r>
        <w:t>Initial timing and phased implementation</w:t>
      </w:r>
    </w:p>
    <w:p w14:paraId="767C7067" w14:textId="72278925" w:rsidR="001D2977" w:rsidRDefault="001D2977" w:rsidP="001D2977">
      <w:r>
        <w:t xml:space="preserve">International implementation of climate disclosure has generally followed a ‘phased’ approach with many countries applying obligations to an initial set of entities and gradually expanding to </w:t>
      </w:r>
      <w:r w:rsidR="000B459B">
        <w:t>a greater range of</w:t>
      </w:r>
      <w:r>
        <w:t xml:space="preserve"> entities. Many of these initial reporting obligations will commence in 2023 (such as the UK or New Zealand) or 2024 (Canada, Switzerland). </w:t>
      </w:r>
    </w:p>
    <w:p w14:paraId="1EF125D7" w14:textId="59F1B639" w:rsidR="001D2977" w:rsidRDefault="001D2977" w:rsidP="001D2977">
      <w:r w:rsidRPr="004277FE">
        <w:t xml:space="preserve">Disclosure </w:t>
      </w:r>
      <w:r w:rsidR="00570CAD">
        <w:t xml:space="preserve">mandates </w:t>
      </w:r>
      <w:r>
        <w:t>could</w:t>
      </w:r>
      <w:r w:rsidRPr="004277FE">
        <w:t xml:space="preserve"> follow a similar pattern in Australia. There are advantages to phasing in disclosure</w:t>
      </w:r>
      <w:r w:rsidR="00C81382">
        <w:t xml:space="preserve"> requirements</w:t>
      </w:r>
      <w:r w:rsidR="000B459B">
        <w:t xml:space="preserve"> by</w:t>
      </w:r>
      <w:r>
        <w:t xml:space="preserve"> initially targeting larger entities,</w:t>
      </w:r>
      <w:r w:rsidRPr="004277FE" w:rsidDel="003B49B4">
        <w:t xml:space="preserve"> </w:t>
      </w:r>
      <w:r>
        <w:t>maximising the initial</w:t>
      </w:r>
      <w:r w:rsidRPr="004277FE">
        <w:t xml:space="preserve"> benefit from increased transparency.</w:t>
      </w:r>
      <w:r>
        <w:t xml:space="preserve"> </w:t>
      </w:r>
      <w:r w:rsidRPr="00E05F08">
        <w:t xml:space="preserve">Larger </w:t>
      </w:r>
      <w:r>
        <w:t>entities</w:t>
      </w:r>
      <w:r w:rsidRPr="00E05F08">
        <w:t xml:space="preserve"> have more resources to adequately respond to new requirement</w:t>
      </w:r>
      <w:r w:rsidRPr="00E05F08" w:rsidDel="003B49B4">
        <w:t>s</w:t>
      </w:r>
      <w:r>
        <w:t>, while smaller firms have time to benefit from the institutionalisation of reporting in the market prior to commencing</w:t>
      </w:r>
      <w:r w:rsidDel="00382BA4">
        <w:t xml:space="preserve"> </w:t>
      </w:r>
      <w:r>
        <w:t xml:space="preserve">their own reporting. Views are sought on a phased approach which could, for example, commence in 2024, with the first reports being required for financial year 2024-25 (in line with conventional statutory timeframes). This would see Australia implement new requirements in a timeframe </w:t>
      </w:r>
      <w:r w:rsidR="00C81382">
        <w:t xml:space="preserve">consistent </w:t>
      </w:r>
      <w:r>
        <w:t>with other comparable jurisdictions</w:t>
      </w:r>
      <w:r w:rsidRPr="00E05F08" w:rsidDel="003B49B4">
        <w:t>.</w:t>
      </w:r>
    </w:p>
    <w:p w14:paraId="6F258D55" w14:textId="7D5F960E" w:rsidR="001D2977" w:rsidRDefault="00805884" w:rsidP="00C81382">
      <w:pPr>
        <w:pStyle w:val="Heading4"/>
      </w:pPr>
      <w:r>
        <w:t xml:space="preserve">Large, listed </w:t>
      </w:r>
      <w:r w:rsidR="00454BD9">
        <w:t>entities</w:t>
      </w:r>
    </w:p>
    <w:p w14:paraId="1C9CE6D3" w14:textId="764A29C4" w:rsidR="00AF76CD" w:rsidRDefault="002320ED" w:rsidP="0083180F">
      <w:pPr>
        <w:rPr>
          <w:rFonts w:cs="Calibri Light"/>
          <w:color w:val="000000"/>
          <w:szCs w:val="22"/>
        </w:rPr>
      </w:pPr>
      <w:r>
        <w:rPr>
          <w:rFonts w:cs="Calibri Light"/>
          <w:color w:val="000000"/>
          <w:szCs w:val="22"/>
        </w:rPr>
        <w:t>The Government has committed to applying standardised climate</w:t>
      </w:r>
      <w:r w:rsidR="00EB1C19">
        <w:rPr>
          <w:rFonts w:cs="Calibri Light"/>
          <w:color w:val="000000"/>
          <w:szCs w:val="22"/>
        </w:rPr>
        <w:t>-related financial</w:t>
      </w:r>
      <w:r>
        <w:rPr>
          <w:rFonts w:cs="Calibri Light"/>
          <w:color w:val="000000"/>
          <w:szCs w:val="22"/>
        </w:rPr>
        <w:t xml:space="preserve"> disclosure requirements to large businesses</w:t>
      </w:r>
      <w:r w:rsidR="00290E4D">
        <w:rPr>
          <w:rFonts w:cs="Calibri Light"/>
          <w:color w:val="000000"/>
          <w:szCs w:val="22"/>
        </w:rPr>
        <w:t xml:space="preserve">. </w:t>
      </w:r>
      <w:r w:rsidR="00AF76CD">
        <w:rPr>
          <w:rFonts w:cs="Calibri Light"/>
          <w:color w:val="000000"/>
          <w:szCs w:val="22"/>
        </w:rPr>
        <w:t>In comparable jurisdictions</w:t>
      </w:r>
      <w:r w:rsidR="001D22BA">
        <w:rPr>
          <w:rFonts w:cs="Calibri Light"/>
          <w:color w:val="000000"/>
          <w:szCs w:val="22"/>
        </w:rPr>
        <w:t xml:space="preserve">, such as </w:t>
      </w:r>
      <w:r w:rsidR="006242E7">
        <w:rPr>
          <w:rFonts w:cs="Calibri Light"/>
          <w:color w:val="000000"/>
          <w:szCs w:val="22"/>
        </w:rPr>
        <w:t xml:space="preserve">New Zealand, </w:t>
      </w:r>
      <w:r w:rsidR="001D22BA">
        <w:rPr>
          <w:rFonts w:cs="Calibri Light"/>
          <w:color w:val="000000"/>
          <w:szCs w:val="22"/>
        </w:rPr>
        <w:t>the</w:t>
      </w:r>
      <w:r w:rsidR="00E0777A">
        <w:rPr>
          <w:rFonts w:cs="Calibri Light"/>
          <w:color w:val="000000"/>
          <w:szCs w:val="22"/>
        </w:rPr>
        <w:t xml:space="preserve"> </w:t>
      </w:r>
      <w:r w:rsidR="001D22BA">
        <w:rPr>
          <w:rFonts w:cs="Calibri Light"/>
          <w:color w:val="000000"/>
          <w:szCs w:val="22"/>
        </w:rPr>
        <w:t xml:space="preserve">UK and the European Union, such disclosures are </w:t>
      </w:r>
      <w:r w:rsidR="00D0419F">
        <w:rPr>
          <w:rFonts w:cs="Calibri Light"/>
          <w:color w:val="000000"/>
          <w:szCs w:val="22"/>
        </w:rPr>
        <w:t>or will be</w:t>
      </w:r>
      <w:r w:rsidR="001D22BA">
        <w:rPr>
          <w:rFonts w:cs="Calibri Light"/>
          <w:color w:val="000000"/>
          <w:szCs w:val="22"/>
        </w:rPr>
        <w:t xml:space="preserve"> mandatory for large, listed businesses and financial institutions. In </w:t>
      </w:r>
      <w:r w:rsidR="00A63827">
        <w:rPr>
          <w:rFonts w:cs="Calibri Light"/>
          <w:color w:val="000000"/>
          <w:szCs w:val="22"/>
        </w:rPr>
        <w:t>jurisdictions</w:t>
      </w:r>
      <w:r w:rsidR="00E0777A">
        <w:rPr>
          <w:rFonts w:cs="Calibri Light"/>
          <w:color w:val="000000"/>
          <w:szCs w:val="22"/>
        </w:rPr>
        <w:t xml:space="preserve"> </w:t>
      </w:r>
      <w:r w:rsidR="001D22BA">
        <w:rPr>
          <w:rFonts w:cs="Calibri Light"/>
          <w:color w:val="000000"/>
          <w:szCs w:val="22"/>
        </w:rPr>
        <w:t xml:space="preserve">developing mandatory </w:t>
      </w:r>
      <w:r w:rsidR="008158A3">
        <w:rPr>
          <w:rFonts w:cs="Calibri Light"/>
          <w:color w:val="000000"/>
          <w:szCs w:val="22"/>
        </w:rPr>
        <w:t>disclosure</w:t>
      </w:r>
      <w:r w:rsidR="00C14437">
        <w:rPr>
          <w:rFonts w:cs="Calibri Light"/>
          <w:color w:val="000000"/>
          <w:szCs w:val="22"/>
        </w:rPr>
        <w:t>,</w:t>
      </w:r>
      <w:r w:rsidR="00AF76CD">
        <w:rPr>
          <w:rFonts w:cs="Calibri Light"/>
          <w:color w:val="000000"/>
          <w:szCs w:val="22"/>
        </w:rPr>
        <w:t xml:space="preserve"> </w:t>
      </w:r>
      <w:r w:rsidR="00C14437">
        <w:rPr>
          <w:rFonts w:cs="Calibri Light"/>
          <w:color w:val="000000"/>
          <w:szCs w:val="22"/>
        </w:rPr>
        <w:t xml:space="preserve">including </w:t>
      </w:r>
      <w:r w:rsidR="003C73FB">
        <w:rPr>
          <w:rFonts w:cs="Calibri Light"/>
          <w:color w:val="000000"/>
          <w:szCs w:val="22"/>
        </w:rPr>
        <w:t>Hong Kong, Switzerland and Japan</w:t>
      </w:r>
      <w:r w:rsidR="00AF76CD">
        <w:rPr>
          <w:rFonts w:cs="Calibri Light"/>
          <w:color w:val="000000"/>
          <w:szCs w:val="22"/>
        </w:rPr>
        <w:t xml:space="preserve">, </w:t>
      </w:r>
      <w:r w:rsidR="00E0777A">
        <w:rPr>
          <w:rFonts w:cs="Calibri Light"/>
          <w:color w:val="000000"/>
          <w:szCs w:val="22"/>
        </w:rPr>
        <w:t>disclosure is</w:t>
      </w:r>
      <w:r w:rsidR="003C73FB">
        <w:rPr>
          <w:rFonts w:cs="Calibri Light"/>
          <w:color w:val="000000"/>
          <w:szCs w:val="22"/>
        </w:rPr>
        <w:t xml:space="preserve"> anticipated to </w:t>
      </w:r>
      <w:r w:rsidR="00AF76CD">
        <w:rPr>
          <w:rFonts w:cs="Calibri Light"/>
          <w:color w:val="000000"/>
          <w:szCs w:val="22"/>
        </w:rPr>
        <w:t>appl</w:t>
      </w:r>
      <w:r w:rsidR="00020527">
        <w:rPr>
          <w:rFonts w:cs="Calibri Light"/>
          <w:color w:val="000000"/>
          <w:szCs w:val="22"/>
        </w:rPr>
        <w:t>y</w:t>
      </w:r>
      <w:r w:rsidR="00AF76CD">
        <w:rPr>
          <w:rFonts w:cs="Calibri Light"/>
          <w:color w:val="000000"/>
          <w:szCs w:val="22"/>
        </w:rPr>
        <w:t xml:space="preserve"> to large, listed </w:t>
      </w:r>
      <w:r w:rsidR="00540F6D">
        <w:rPr>
          <w:rFonts w:cs="Calibri Light"/>
          <w:color w:val="000000"/>
          <w:szCs w:val="22"/>
        </w:rPr>
        <w:t>businesses</w:t>
      </w:r>
      <w:r w:rsidR="00AF76CD">
        <w:rPr>
          <w:rFonts w:cs="Calibri Light"/>
          <w:color w:val="000000"/>
          <w:szCs w:val="22"/>
        </w:rPr>
        <w:t xml:space="preserve"> and financial institutions. </w:t>
      </w:r>
    </w:p>
    <w:p w14:paraId="75A6C1E0" w14:textId="7887D937" w:rsidR="00522100" w:rsidRDefault="00BD6965" w:rsidP="00F44AF0">
      <w:pPr>
        <w:rPr>
          <w:rFonts w:cs="Calibri Light"/>
          <w:szCs w:val="22"/>
        </w:rPr>
      </w:pPr>
      <w:r>
        <w:rPr>
          <w:rFonts w:cs="Calibri Light"/>
          <w:color w:val="000000"/>
          <w:szCs w:val="22"/>
        </w:rPr>
        <w:t>As a starting point</w:t>
      </w:r>
      <w:r w:rsidR="00E0777A">
        <w:rPr>
          <w:rFonts w:cs="Calibri Light"/>
          <w:color w:val="000000"/>
          <w:szCs w:val="22"/>
        </w:rPr>
        <w:t xml:space="preserve"> in Australia</w:t>
      </w:r>
      <w:r>
        <w:rPr>
          <w:rFonts w:cs="Calibri Light"/>
          <w:color w:val="000000"/>
          <w:szCs w:val="22"/>
        </w:rPr>
        <w:t xml:space="preserve">, it is proposed that </w:t>
      </w:r>
      <w:r w:rsidR="00E0777A">
        <w:rPr>
          <w:rFonts w:cs="Calibri Light"/>
          <w:color w:val="000000"/>
          <w:szCs w:val="22"/>
        </w:rPr>
        <w:t>standardised climate</w:t>
      </w:r>
      <w:r w:rsidR="00EB1C19">
        <w:rPr>
          <w:rFonts w:cs="Calibri Light"/>
          <w:color w:val="000000"/>
          <w:szCs w:val="22"/>
        </w:rPr>
        <w:t>-related financial</w:t>
      </w:r>
      <w:r w:rsidR="00E0777A">
        <w:rPr>
          <w:rFonts w:cs="Calibri Light"/>
          <w:color w:val="000000"/>
          <w:szCs w:val="22"/>
        </w:rPr>
        <w:t xml:space="preserve"> disclosure </w:t>
      </w:r>
      <w:r>
        <w:rPr>
          <w:rFonts w:cs="Calibri Light"/>
          <w:color w:val="000000"/>
          <w:szCs w:val="22"/>
        </w:rPr>
        <w:t xml:space="preserve">requirements would </w:t>
      </w:r>
      <w:r w:rsidR="001D2977">
        <w:rPr>
          <w:rFonts w:cs="Calibri Light"/>
          <w:color w:val="000000"/>
          <w:szCs w:val="22"/>
        </w:rPr>
        <w:t xml:space="preserve">initially </w:t>
      </w:r>
      <w:r>
        <w:rPr>
          <w:rFonts w:cs="Calibri Light"/>
          <w:color w:val="000000"/>
          <w:szCs w:val="22"/>
        </w:rPr>
        <w:t>apply to</w:t>
      </w:r>
      <w:r w:rsidR="00790DE2">
        <w:rPr>
          <w:rFonts w:cs="Calibri Light"/>
          <w:color w:val="000000"/>
          <w:szCs w:val="22"/>
        </w:rPr>
        <w:t xml:space="preserve"> certain</w:t>
      </w:r>
      <w:r>
        <w:rPr>
          <w:rFonts w:cs="Calibri Light"/>
          <w:color w:val="000000"/>
          <w:szCs w:val="22"/>
        </w:rPr>
        <w:t xml:space="preserve"> </w:t>
      </w:r>
      <w:r w:rsidR="009C0B58">
        <w:rPr>
          <w:rFonts w:cs="Calibri Light"/>
          <w:color w:val="000000"/>
          <w:szCs w:val="22"/>
        </w:rPr>
        <w:t xml:space="preserve">listed </w:t>
      </w:r>
      <w:r>
        <w:rPr>
          <w:rFonts w:cs="Calibri Light"/>
          <w:color w:val="000000"/>
          <w:szCs w:val="22"/>
        </w:rPr>
        <w:t xml:space="preserve">entities covered by the </w:t>
      </w:r>
      <w:r w:rsidRPr="00BD6965">
        <w:rPr>
          <w:rFonts w:cs="Calibri Light"/>
          <w:i/>
          <w:iCs/>
          <w:color w:val="000000"/>
          <w:szCs w:val="22"/>
        </w:rPr>
        <w:t>Corporations Act 2001</w:t>
      </w:r>
      <w:r w:rsidR="007F4362">
        <w:rPr>
          <w:rFonts w:cs="Calibri Light"/>
          <w:i/>
          <w:iCs/>
          <w:color w:val="000000"/>
          <w:szCs w:val="22"/>
        </w:rPr>
        <w:t xml:space="preserve"> </w:t>
      </w:r>
      <w:r w:rsidR="007F4362">
        <w:rPr>
          <w:rFonts w:cs="Calibri Light"/>
          <w:color w:val="000000"/>
          <w:szCs w:val="22"/>
        </w:rPr>
        <w:t>(Corporations Act)</w:t>
      </w:r>
      <w:r>
        <w:rPr>
          <w:rFonts w:cs="Calibri Light"/>
          <w:color w:val="000000"/>
          <w:szCs w:val="22"/>
        </w:rPr>
        <w:t xml:space="preserve">, with </w:t>
      </w:r>
      <w:r w:rsidR="00F44AF0">
        <w:rPr>
          <w:rFonts w:cs="Calibri Light"/>
          <w:color w:val="000000"/>
          <w:szCs w:val="22"/>
        </w:rPr>
        <w:t xml:space="preserve">views sought </w:t>
      </w:r>
      <w:r w:rsidR="00E0777A">
        <w:rPr>
          <w:rFonts w:cs="Calibri Light"/>
          <w:color w:val="000000"/>
          <w:szCs w:val="22"/>
        </w:rPr>
        <w:t>on the</w:t>
      </w:r>
      <w:r w:rsidR="00F44AF0">
        <w:rPr>
          <w:rFonts w:cs="Calibri Light"/>
          <w:color w:val="000000"/>
          <w:szCs w:val="22"/>
        </w:rPr>
        <w:t xml:space="preserve"> size thresholds </w:t>
      </w:r>
      <w:r w:rsidR="00E651AF">
        <w:rPr>
          <w:rFonts w:cs="Calibri Light"/>
          <w:color w:val="000000"/>
          <w:szCs w:val="22"/>
        </w:rPr>
        <w:t xml:space="preserve">that </w:t>
      </w:r>
      <w:r w:rsidR="00F44AF0">
        <w:rPr>
          <w:rFonts w:cs="Calibri Light"/>
          <w:color w:val="000000"/>
          <w:szCs w:val="22"/>
        </w:rPr>
        <w:t xml:space="preserve">could be applied to </w:t>
      </w:r>
      <w:r w:rsidR="0058316D">
        <w:rPr>
          <w:rFonts w:cs="Calibri Light"/>
          <w:color w:val="000000"/>
          <w:szCs w:val="22"/>
        </w:rPr>
        <w:t xml:space="preserve">determine </w:t>
      </w:r>
      <w:r w:rsidR="00F44AF0">
        <w:rPr>
          <w:rFonts w:cs="Calibri Light"/>
          <w:color w:val="000000"/>
          <w:szCs w:val="22"/>
        </w:rPr>
        <w:t>the mandatory application of new requirements (for inst</w:t>
      </w:r>
      <w:r w:rsidR="00F44AF0">
        <w:rPr>
          <w:rFonts w:cs="Calibri Light"/>
          <w:szCs w:val="22"/>
        </w:rPr>
        <w:t>ance,</w:t>
      </w:r>
      <w:r w:rsidR="0083180F" w:rsidRPr="00235875">
        <w:rPr>
          <w:rFonts w:cs="Calibri Light"/>
          <w:szCs w:val="22"/>
        </w:rPr>
        <w:t xml:space="preserve"> market capitalisation, </w:t>
      </w:r>
      <w:r w:rsidR="0090683B" w:rsidRPr="00235875">
        <w:rPr>
          <w:rFonts w:cs="Calibri Light"/>
          <w:szCs w:val="22"/>
        </w:rPr>
        <w:t>turnover,</w:t>
      </w:r>
      <w:r w:rsidR="008F5C2B">
        <w:rPr>
          <w:rFonts w:cs="Calibri Light"/>
          <w:szCs w:val="22"/>
        </w:rPr>
        <w:t xml:space="preserve"> and/</w:t>
      </w:r>
      <w:r w:rsidR="0083180F" w:rsidRPr="00235875">
        <w:rPr>
          <w:rFonts w:cs="Calibri Light"/>
          <w:szCs w:val="22"/>
        </w:rPr>
        <w:t>or number of employees</w:t>
      </w:r>
      <w:r w:rsidR="00F44AF0">
        <w:rPr>
          <w:rFonts w:cs="Calibri Light"/>
          <w:szCs w:val="22"/>
        </w:rPr>
        <w:t>)</w:t>
      </w:r>
      <w:r w:rsidR="0083180F" w:rsidRPr="00235875">
        <w:rPr>
          <w:rFonts w:cs="Calibri Light"/>
          <w:szCs w:val="22"/>
        </w:rPr>
        <w:t xml:space="preserve">. </w:t>
      </w:r>
      <w:r w:rsidR="00522100">
        <w:rPr>
          <w:rFonts w:cs="Calibri Light"/>
          <w:szCs w:val="22"/>
        </w:rPr>
        <w:t xml:space="preserve">As outlined above, disclosure requirements could gradually be applied to smaller listed entities over time, as climate reporting </w:t>
      </w:r>
      <w:r w:rsidR="004D1826">
        <w:rPr>
          <w:rFonts w:cs="Calibri Light"/>
          <w:szCs w:val="22"/>
        </w:rPr>
        <w:t>capability is institutionalised in Australia</w:t>
      </w:r>
      <w:r w:rsidR="00522100">
        <w:rPr>
          <w:rFonts w:cs="Calibri Light"/>
          <w:szCs w:val="22"/>
        </w:rPr>
        <w:t>.</w:t>
      </w:r>
    </w:p>
    <w:p w14:paraId="4B18220E" w14:textId="394B760A" w:rsidR="004D1826" w:rsidRDefault="004D1826" w:rsidP="00F44AF0">
      <w:pPr>
        <w:rPr>
          <w:rFonts w:cs="Calibri Light"/>
          <w:szCs w:val="22"/>
        </w:rPr>
      </w:pPr>
      <w:r>
        <w:rPr>
          <w:rFonts w:cs="Calibri Light"/>
          <w:szCs w:val="22"/>
        </w:rPr>
        <w:t xml:space="preserve">While most of the progress to date in uptake of climate reporting has come from listed </w:t>
      </w:r>
      <w:r w:rsidR="00514BC8">
        <w:rPr>
          <w:rFonts w:cs="Calibri Light"/>
          <w:szCs w:val="22"/>
        </w:rPr>
        <w:t>companies</w:t>
      </w:r>
      <w:r>
        <w:rPr>
          <w:rFonts w:cs="Calibri Light"/>
          <w:szCs w:val="22"/>
        </w:rPr>
        <w:t>, this consultation will also consider views on whether listed schemes should have standardised climate disclosure requirements.</w:t>
      </w:r>
    </w:p>
    <w:p w14:paraId="25A5FF62" w14:textId="338C0066" w:rsidR="00805884" w:rsidRDefault="00805884" w:rsidP="00937689">
      <w:pPr>
        <w:pStyle w:val="Heading4"/>
      </w:pPr>
      <w:r>
        <w:t>Financial institutions</w:t>
      </w:r>
    </w:p>
    <w:p w14:paraId="24570B8E" w14:textId="3022AEC7" w:rsidR="00E70B24" w:rsidRDefault="00805884" w:rsidP="00805884">
      <w:r>
        <w:t xml:space="preserve">It is proposed that mandatory climate-related financial risk disclosure requirements would </w:t>
      </w:r>
      <w:r w:rsidR="00522100">
        <w:t xml:space="preserve">also </w:t>
      </w:r>
      <w:r>
        <w:t xml:space="preserve">apply </w:t>
      </w:r>
      <w:r w:rsidR="00937689">
        <w:t xml:space="preserve">initially </w:t>
      </w:r>
      <w:r>
        <w:t>to large financial institutions (such as banks, insurers</w:t>
      </w:r>
      <w:r w:rsidR="001B071F">
        <w:t xml:space="preserve">, credit unions </w:t>
      </w:r>
      <w:r>
        <w:t>and superannuation funds), to provide consistency across the economy and to support the management of prudential risk. This could require legislative changes to other relevant Acts.</w:t>
      </w:r>
      <w:r w:rsidR="00E70B24">
        <w:t xml:space="preserve"> Views are sought on appropriate size thresholds to determine this initial requirement.</w:t>
      </w:r>
    </w:p>
    <w:p w14:paraId="40C38842" w14:textId="3E93967A" w:rsidR="00805884" w:rsidRDefault="00805884" w:rsidP="00937689">
      <w:pPr>
        <w:pStyle w:val="Heading4"/>
      </w:pPr>
      <w:r>
        <w:t>Other entities</w:t>
      </w:r>
      <w:r w:rsidR="001B071F">
        <w:t xml:space="preserve"> </w:t>
      </w:r>
    </w:p>
    <w:p w14:paraId="529C20EF" w14:textId="46C62A11" w:rsidR="00805884" w:rsidRDefault="00805884" w:rsidP="008878CD">
      <w:r>
        <w:t xml:space="preserve">In some jurisdictions, such as the UK and the EU, mandatory climate risk disclosure applies to some large </w:t>
      </w:r>
      <w:r w:rsidR="00E70B24">
        <w:t xml:space="preserve">entities that are not publicly </w:t>
      </w:r>
      <w:r w:rsidR="00E653D0">
        <w:t>listed</w:t>
      </w:r>
      <w:r w:rsidR="00E70B24">
        <w:t xml:space="preserve">. </w:t>
      </w:r>
      <w:r w:rsidR="00B33A7C">
        <w:t xml:space="preserve">While an immediate focus of this reform is improving </w:t>
      </w:r>
      <w:r w:rsidR="00B33A7C">
        <w:lastRenderedPageBreak/>
        <w:t>transparency</w:t>
      </w:r>
      <w:r w:rsidR="00E653D0">
        <w:t xml:space="preserve"> for investors</w:t>
      </w:r>
      <w:r w:rsidR="00B33A7C">
        <w:t xml:space="preserve">, views are sought on whether equivalent </w:t>
      </w:r>
      <w:r w:rsidR="00E653D0">
        <w:t>reporting requirements should apply to large entities that are n</w:t>
      </w:r>
      <w:r w:rsidR="008B5338">
        <w:t xml:space="preserve">either listed nor considered financial institutions. This may be necessary to give regulators the greatest scope to manage systemic risk, </w:t>
      </w:r>
      <w:r w:rsidR="00016847">
        <w:t xml:space="preserve">or </w:t>
      </w:r>
      <w:r w:rsidR="008B5338">
        <w:t>to avoid</w:t>
      </w:r>
      <w:r w:rsidR="00016847">
        <w:t xml:space="preserve"> creating</w:t>
      </w:r>
      <w:r w:rsidR="008B5338">
        <w:t xml:space="preserve"> adverse competition impacts between entities not covered</w:t>
      </w:r>
      <w:r w:rsidR="00016847">
        <w:t xml:space="preserve"> and incentives for regulatory arbitrage.</w:t>
      </w:r>
    </w:p>
    <w:p w14:paraId="171824B7" w14:textId="057773A4" w:rsidR="0090179E" w:rsidRDefault="00A0585B" w:rsidP="008878CD">
      <w:r>
        <w:t xml:space="preserve">If </w:t>
      </w:r>
      <w:r w:rsidR="00F44AF0">
        <w:t xml:space="preserve">new requirements </w:t>
      </w:r>
      <w:r>
        <w:t>are</w:t>
      </w:r>
      <w:r w:rsidR="00F44AF0">
        <w:t xml:space="preserve"> applied through the </w:t>
      </w:r>
      <w:r w:rsidR="00F44AF0" w:rsidRPr="00EB7057">
        <w:t>Corporations Act</w:t>
      </w:r>
      <w:r>
        <w:t xml:space="preserve">, some entities that </w:t>
      </w:r>
      <w:r w:rsidR="00470057">
        <w:t>would</w:t>
      </w:r>
      <w:r>
        <w:t xml:space="preserve"> not be covered</w:t>
      </w:r>
      <w:r w:rsidR="00F44AF0" w:rsidRPr="00F44AF0">
        <w:rPr>
          <w:i/>
          <w:iCs/>
        </w:rPr>
        <w:t xml:space="preserve"> </w:t>
      </w:r>
      <w:r w:rsidR="00F44AF0">
        <w:t>include:</w:t>
      </w:r>
    </w:p>
    <w:p w14:paraId="75E50781" w14:textId="77777777" w:rsidR="00F44AF0" w:rsidRPr="00F44AF0" w:rsidRDefault="00F44AF0" w:rsidP="00F44AF0">
      <w:pPr>
        <w:pStyle w:val="Bullet"/>
      </w:pPr>
      <w:r w:rsidRPr="00F44AF0">
        <w:t xml:space="preserve">sole traders </w:t>
      </w:r>
    </w:p>
    <w:p w14:paraId="35831D79" w14:textId="77777777" w:rsidR="00F44AF0" w:rsidRPr="00F44AF0" w:rsidRDefault="00F44AF0" w:rsidP="00F44AF0">
      <w:pPr>
        <w:pStyle w:val="Bullet"/>
      </w:pPr>
      <w:r w:rsidRPr="00F44AF0">
        <w:t xml:space="preserve">unincorporated bodies </w:t>
      </w:r>
    </w:p>
    <w:p w14:paraId="6FDDDE02" w14:textId="77777777" w:rsidR="00F44AF0" w:rsidRPr="00F44AF0" w:rsidRDefault="00F44AF0" w:rsidP="00F44AF0">
      <w:pPr>
        <w:pStyle w:val="Bullet"/>
      </w:pPr>
      <w:r w:rsidRPr="00F44AF0">
        <w:t xml:space="preserve">trusts </w:t>
      </w:r>
    </w:p>
    <w:p w14:paraId="704CA616" w14:textId="77777777" w:rsidR="00F44AF0" w:rsidRPr="00F44AF0" w:rsidRDefault="00F44AF0" w:rsidP="00F44AF0">
      <w:pPr>
        <w:pStyle w:val="Bullet"/>
      </w:pPr>
      <w:r w:rsidRPr="00F44AF0">
        <w:t xml:space="preserve">partnerships </w:t>
      </w:r>
    </w:p>
    <w:p w14:paraId="734FCBD0" w14:textId="2EBC0AE7" w:rsidR="00F44AF0" w:rsidRPr="00F44AF0" w:rsidRDefault="00F44AF0" w:rsidP="00F44AF0">
      <w:pPr>
        <w:pStyle w:val="Bullet"/>
      </w:pPr>
      <w:r w:rsidRPr="00F44AF0">
        <w:t>statutory bodies of a state government</w:t>
      </w:r>
    </w:p>
    <w:p w14:paraId="7024784B" w14:textId="6CD6774E" w:rsidR="00F44AF0" w:rsidRDefault="00F44AF0" w:rsidP="00F44AF0">
      <w:pPr>
        <w:pStyle w:val="Bullet"/>
      </w:pPr>
      <w:r w:rsidRPr="00F44AF0">
        <w:t>other bod</w:t>
      </w:r>
      <w:r w:rsidR="00790DE2">
        <w:t>ies</w:t>
      </w:r>
      <w:r w:rsidRPr="00F44AF0">
        <w:t xml:space="preserve"> corporate not regulated by the Commonwealth.</w:t>
      </w:r>
    </w:p>
    <w:p w14:paraId="1DE462EE" w14:textId="59696D54" w:rsidR="0007506D" w:rsidRPr="006A39E9" w:rsidRDefault="003008C5" w:rsidP="00DF07B2">
      <w:r>
        <w:t xml:space="preserve">Views are sought </w:t>
      </w:r>
      <w:r w:rsidR="00E651AF">
        <w:t>on</w:t>
      </w:r>
      <w:r>
        <w:t xml:space="preserve"> whether there would be any significant consequences of </w:t>
      </w:r>
      <w:r w:rsidR="00E651AF">
        <w:t>excluding some or all of these entities from</w:t>
      </w:r>
      <w:r w:rsidR="004029CC">
        <w:t xml:space="preserve"> climate</w:t>
      </w:r>
      <w:r w:rsidR="00EB1C19">
        <w:t xml:space="preserve">-related financial </w:t>
      </w:r>
      <w:r w:rsidR="004029CC">
        <w:t>disclosure requirements</w:t>
      </w:r>
      <w:r w:rsidR="00016847">
        <w:t>.</w:t>
      </w:r>
      <w:r w:rsidR="000631C1">
        <w:t xml:space="preserve"> </w:t>
      </w:r>
    </w:p>
    <w:tbl>
      <w:tblPr>
        <w:tblW w:w="5001" w:type="pct"/>
        <w:shd w:val="clear" w:color="auto" w:fill="EEEEEE" w:themeFill="background2"/>
        <w:tblCellMar>
          <w:top w:w="227" w:type="dxa"/>
          <w:left w:w="227" w:type="dxa"/>
          <w:bottom w:w="227" w:type="dxa"/>
          <w:right w:w="227" w:type="dxa"/>
        </w:tblCellMar>
        <w:tblLook w:val="04A0" w:firstRow="1" w:lastRow="0" w:firstColumn="1" w:lastColumn="0" w:noHBand="0" w:noVBand="1"/>
      </w:tblPr>
      <w:tblGrid>
        <w:gridCol w:w="9072"/>
      </w:tblGrid>
      <w:tr w:rsidR="000D3083" w14:paraId="6FC43F65" w14:textId="77777777" w:rsidTr="00D72B69">
        <w:trPr>
          <w:trHeight w:val="768"/>
        </w:trPr>
        <w:tc>
          <w:tcPr>
            <w:tcW w:w="5000" w:type="pct"/>
            <w:shd w:val="clear" w:color="auto" w:fill="EEEEEE" w:themeFill="background2"/>
          </w:tcPr>
          <w:p w14:paraId="1110C820" w14:textId="0DC42378" w:rsidR="00DD1891" w:rsidRDefault="00DD1891" w:rsidP="0056754D">
            <w:pPr>
              <w:pStyle w:val="OutlineNumbered1"/>
              <w:numPr>
                <w:ilvl w:val="0"/>
                <w:numId w:val="0"/>
              </w:numPr>
            </w:pPr>
            <w:bookmarkStart w:id="15" w:name="_Hlk108776035"/>
            <w:r w:rsidRPr="00235875">
              <w:rPr>
                <w:b/>
                <w:bCs/>
              </w:rPr>
              <w:t xml:space="preserve">Question </w:t>
            </w:r>
            <w:r>
              <w:rPr>
                <w:b/>
                <w:bCs/>
              </w:rPr>
              <w:t>2</w:t>
            </w:r>
            <w:r w:rsidRPr="00235875">
              <w:rPr>
                <w:b/>
                <w:bCs/>
              </w:rPr>
              <w:t>:</w:t>
            </w:r>
            <w:r>
              <w:t xml:space="preserve"> Should Australia adopt a phased approach to climate disclosure, with the first report for initially covered entities being financial year 2024-25?</w:t>
            </w:r>
          </w:p>
          <w:p w14:paraId="226ED5E7" w14:textId="2744F7AA" w:rsidR="00DD1891" w:rsidRPr="00DD1891" w:rsidRDefault="00950D75" w:rsidP="00950D75">
            <w:pPr>
              <w:pStyle w:val="OutlineNumbered1"/>
              <w:numPr>
                <w:ilvl w:val="0"/>
                <w:numId w:val="0"/>
              </w:numPr>
              <w:ind w:left="1051" w:hanging="709"/>
            </w:pPr>
            <w:r>
              <w:t>2.1</w:t>
            </w:r>
            <w:r>
              <w:tab/>
            </w:r>
            <w:r w:rsidR="00DD1891">
              <w:t>What considerations should apply to determining the cohorts covered in subsequent phases of mandatory disclosure, and the timing of future phases?</w:t>
            </w:r>
          </w:p>
          <w:p w14:paraId="0B25AEF0" w14:textId="66F4F286" w:rsidR="0090179E" w:rsidRPr="0090179E" w:rsidRDefault="0090179E" w:rsidP="0056754D">
            <w:pPr>
              <w:pStyle w:val="OutlineNumbered1"/>
              <w:numPr>
                <w:ilvl w:val="0"/>
                <w:numId w:val="0"/>
              </w:numPr>
            </w:pPr>
            <w:r w:rsidRPr="00235875">
              <w:rPr>
                <w:b/>
                <w:bCs/>
              </w:rPr>
              <w:t xml:space="preserve">Question </w:t>
            </w:r>
            <w:r w:rsidR="001D2977">
              <w:rPr>
                <w:b/>
                <w:bCs/>
              </w:rPr>
              <w:t>3</w:t>
            </w:r>
            <w:r w:rsidRPr="00235875">
              <w:rPr>
                <w:b/>
                <w:bCs/>
              </w:rPr>
              <w:t>:</w:t>
            </w:r>
            <w:r>
              <w:t xml:space="preserve"> </w:t>
            </w:r>
            <w:bookmarkStart w:id="16" w:name="_Hlk109402048"/>
            <w:r w:rsidR="00157678">
              <w:t>To w</w:t>
            </w:r>
            <w:r w:rsidR="00740DA3">
              <w:t xml:space="preserve">hich entities should mandatory climate </w:t>
            </w:r>
            <w:r w:rsidR="0007506D">
              <w:t>disclosures</w:t>
            </w:r>
            <w:r w:rsidR="00157678">
              <w:t xml:space="preserve"> apply initially</w:t>
            </w:r>
            <w:r w:rsidR="00740DA3">
              <w:t>?</w:t>
            </w:r>
          </w:p>
          <w:p w14:paraId="4CB01915" w14:textId="088D6BC7" w:rsidR="009A2485" w:rsidRDefault="00950D75" w:rsidP="00950D75">
            <w:pPr>
              <w:pStyle w:val="OutlineNumbered1"/>
              <w:numPr>
                <w:ilvl w:val="0"/>
                <w:numId w:val="0"/>
              </w:numPr>
              <w:ind w:left="1051" w:hanging="709"/>
            </w:pPr>
            <w:r>
              <w:t>3.1</w:t>
            </w:r>
            <w:r>
              <w:tab/>
            </w:r>
            <w:r w:rsidR="0090179E">
              <w:t>What</w:t>
            </w:r>
            <w:r w:rsidR="0087487D">
              <w:t xml:space="preserve"> size</w:t>
            </w:r>
            <w:r w:rsidR="0090179E">
              <w:t xml:space="preserve"> threshold</w:t>
            </w:r>
            <w:r w:rsidR="00DD1891">
              <w:t>s</w:t>
            </w:r>
            <w:r w:rsidR="0090179E" w:rsidDel="0087487D">
              <w:t xml:space="preserve"> </w:t>
            </w:r>
            <w:r w:rsidR="0090179E">
              <w:t xml:space="preserve">would be appropriate to determine a large, listed </w:t>
            </w:r>
            <w:r w:rsidR="003C0476">
              <w:t>entity</w:t>
            </w:r>
            <w:r w:rsidR="00DD1891">
              <w:t xml:space="preserve"> </w:t>
            </w:r>
            <w:r w:rsidR="00157678">
              <w:t>and</w:t>
            </w:r>
            <w:r w:rsidR="00DD1891">
              <w:t xml:space="preserve"> a large financial institution, respectively</w:t>
            </w:r>
            <w:r w:rsidR="0090179E">
              <w:t>?</w:t>
            </w:r>
          </w:p>
          <w:p w14:paraId="4F2F9717" w14:textId="7C57A5F8" w:rsidR="0007506D" w:rsidRPr="000D1284" w:rsidRDefault="00950D75" w:rsidP="00950D75">
            <w:pPr>
              <w:pStyle w:val="OutlineNumbered1"/>
              <w:numPr>
                <w:ilvl w:val="0"/>
                <w:numId w:val="0"/>
              </w:numPr>
              <w:ind w:left="1051" w:hanging="709"/>
            </w:pPr>
            <w:r>
              <w:t>3.2</w:t>
            </w:r>
            <w:r>
              <w:tab/>
            </w:r>
            <w:r w:rsidR="00727875">
              <w:t>Are there</w:t>
            </w:r>
            <w:r w:rsidR="0090179E">
              <w:t xml:space="preserve"> </w:t>
            </w:r>
            <w:r w:rsidR="00DE7DB9">
              <w:t xml:space="preserve">any other types of </w:t>
            </w:r>
            <w:r w:rsidR="00FD3B75">
              <w:t>entities</w:t>
            </w:r>
            <w:r w:rsidR="001B071F">
              <w:t xml:space="preserve"> </w:t>
            </w:r>
            <w:r w:rsidR="00DF750D">
              <w:t>(</w:t>
            </w:r>
            <w:r w:rsidR="001B071F">
              <w:t xml:space="preserve">that is, </w:t>
            </w:r>
            <w:r w:rsidR="00DF750D">
              <w:t xml:space="preserve">apart from large, listed </w:t>
            </w:r>
            <w:r w:rsidR="003C0476">
              <w:t xml:space="preserve">entities </w:t>
            </w:r>
            <w:r w:rsidR="00DF750D">
              <w:t>and financial institutions)</w:t>
            </w:r>
            <w:r w:rsidR="00DE7DB9">
              <w:t xml:space="preserve"> that should </w:t>
            </w:r>
            <w:r w:rsidR="00DD1891">
              <w:t>be included in the initial phase</w:t>
            </w:r>
            <w:r w:rsidR="00DE7DB9">
              <w:t>?</w:t>
            </w:r>
            <w:bookmarkEnd w:id="16"/>
          </w:p>
        </w:tc>
      </w:tr>
    </w:tbl>
    <w:p w14:paraId="4C209A84" w14:textId="700764CD" w:rsidR="003B5DA1" w:rsidRDefault="009D40F3" w:rsidP="00126D8C">
      <w:pPr>
        <w:pStyle w:val="Heading3"/>
      </w:pPr>
      <w:bookmarkStart w:id="17" w:name="_Toc121390593"/>
      <w:bookmarkEnd w:id="15"/>
      <w:r>
        <w:t>International alignment of disclosures</w:t>
      </w:r>
      <w:bookmarkEnd w:id="17"/>
    </w:p>
    <w:p w14:paraId="45891DBF" w14:textId="6A3B8421" w:rsidR="00DD697A" w:rsidRDefault="001F144F">
      <w:pPr>
        <w:rPr>
          <w:szCs w:val="22"/>
        </w:rPr>
      </w:pPr>
      <w:r>
        <w:t xml:space="preserve">It is common among international jurisdictions with mandatory climate disclosure that those requirements are TCFD-aligned. </w:t>
      </w:r>
      <w:r w:rsidR="00F86283">
        <w:rPr>
          <w:szCs w:val="22"/>
        </w:rPr>
        <w:t>While the</w:t>
      </w:r>
      <w:r w:rsidR="00F0058D">
        <w:rPr>
          <w:szCs w:val="22"/>
        </w:rPr>
        <w:t xml:space="preserve"> TCFD </w:t>
      </w:r>
      <w:r w:rsidR="00F86283">
        <w:rPr>
          <w:szCs w:val="22"/>
        </w:rPr>
        <w:t xml:space="preserve">recommendations have seen strong uptake in Australia, they </w:t>
      </w:r>
      <w:r>
        <w:rPr>
          <w:szCs w:val="22"/>
        </w:rPr>
        <w:t>leave</w:t>
      </w:r>
      <w:r w:rsidR="00256E24">
        <w:rPr>
          <w:szCs w:val="22"/>
        </w:rPr>
        <w:t xml:space="preserve"> significant scope for disclosures to vary in reporting across entities. The ISSB </w:t>
      </w:r>
      <w:r>
        <w:rPr>
          <w:szCs w:val="22"/>
        </w:rPr>
        <w:t>aims to fill this gap by providing the</w:t>
      </w:r>
      <w:r w:rsidR="00256E24">
        <w:rPr>
          <w:szCs w:val="22"/>
        </w:rPr>
        <w:t xml:space="preserve"> necessary standardisation and comparability between climate disclosures, as part of </w:t>
      </w:r>
      <w:r w:rsidR="00721073">
        <w:rPr>
          <w:szCs w:val="22"/>
        </w:rPr>
        <w:t xml:space="preserve">a </w:t>
      </w:r>
      <w:r w:rsidR="00DD697A" w:rsidRPr="00DD697A">
        <w:rPr>
          <w:szCs w:val="22"/>
        </w:rPr>
        <w:t>comprehensive global baseline of sustainability-related disclosure standards</w:t>
      </w:r>
      <w:r w:rsidR="00256E24">
        <w:rPr>
          <w:szCs w:val="22"/>
        </w:rPr>
        <w:t>.</w:t>
      </w:r>
      <w:r w:rsidR="00DD697A" w:rsidRPr="00DD697A">
        <w:rPr>
          <w:szCs w:val="22"/>
        </w:rPr>
        <w:t xml:space="preserve"> </w:t>
      </w:r>
    </w:p>
    <w:p w14:paraId="17443250" w14:textId="7B5AEFC3" w:rsidR="001855AE" w:rsidRDefault="001855AE" w:rsidP="00DF07B2">
      <w:r>
        <w:t xml:space="preserve">The Government has committed </w:t>
      </w:r>
      <w:r w:rsidR="007E4D25">
        <w:t xml:space="preserve">to requiring </w:t>
      </w:r>
      <w:r w:rsidR="00540F6D">
        <w:t>businesses</w:t>
      </w:r>
      <w:r>
        <w:t xml:space="preserve"> </w:t>
      </w:r>
      <w:r w:rsidR="00EF48E7">
        <w:t xml:space="preserve">to </w:t>
      </w:r>
      <w:r>
        <w:t xml:space="preserve">make climate-related disclosures regarding </w:t>
      </w:r>
      <w:r w:rsidRPr="005D4FF9">
        <w:t>governance, strategy, risk management, targets and metrics</w:t>
      </w:r>
      <w:r w:rsidR="009F17DB">
        <w:t xml:space="preserve"> </w:t>
      </w:r>
      <w:r w:rsidR="009F17DB">
        <w:rPr>
          <w:rFonts w:cs="Calibri Light"/>
        </w:rPr>
        <w:t>–</w:t>
      </w:r>
      <w:r w:rsidRPr="005D4FF9">
        <w:t xml:space="preserve"> including greenhouse gasses</w:t>
      </w:r>
      <w:r>
        <w:t xml:space="preserve">. As these are common disclosure pillars under both the TCFD and ISSB, there is scope to deliver a reporting requirement that is initially TCFD-aligned and able to </w:t>
      </w:r>
      <w:r w:rsidR="00286E95">
        <w:t>reflect</w:t>
      </w:r>
      <w:r>
        <w:t xml:space="preserve"> ISSB standards when they become available</w:t>
      </w:r>
      <w:r w:rsidR="00A2204A">
        <w:t xml:space="preserve"> for jurisdictional adoption.</w:t>
      </w:r>
    </w:p>
    <w:p w14:paraId="015C3F60" w14:textId="7EFB1004" w:rsidR="00E2592D" w:rsidRDefault="00802529" w:rsidP="00DF07B2">
      <w:r>
        <w:t xml:space="preserve">Treasury is engaging closely with the financial regulators and standard-setters on the implementation of the Government’s commitment. </w:t>
      </w:r>
      <w:r w:rsidR="00C735AA">
        <w:t>The Australian Accounting Standards Board</w:t>
      </w:r>
      <w:r w:rsidR="009F17DB">
        <w:t xml:space="preserve"> (AASB)</w:t>
      </w:r>
      <w:r w:rsidR="00C735AA">
        <w:t xml:space="preserve"> and the Council </w:t>
      </w:r>
      <w:r w:rsidR="00C735AA">
        <w:lastRenderedPageBreak/>
        <w:t>of Financial Regulators</w:t>
      </w:r>
      <w:r w:rsidR="00625276">
        <w:t xml:space="preserve"> (CFR)</w:t>
      </w:r>
      <w:r w:rsidR="00C735AA">
        <w:t xml:space="preserve"> have undertaken consultation on the </w:t>
      </w:r>
      <w:r w:rsidR="00AA56C4">
        <w:t xml:space="preserve">draft </w:t>
      </w:r>
      <w:r w:rsidR="00C735AA">
        <w:t>ISSB standards for the purpose of providing views to the ISSB through their established links with</w:t>
      </w:r>
      <w:r w:rsidR="004C40BA">
        <w:t xml:space="preserve"> the</w:t>
      </w:r>
      <w:r w:rsidR="00C735AA">
        <w:t xml:space="preserve"> </w:t>
      </w:r>
      <w:r w:rsidR="009F17DB">
        <w:t>International Financial Reporting Standards (</w:t>
      </w:r>
      <w:r w:rsidR="00C735AA">
        <w:t>IFRS</w:t>
      </w:r>
      <w:r w:rsidR="009F17DB">
        <w:t>)</w:t>
      </w:r>
      <w:r w:rsidR="004C40BA">
        <w:t xml:space="preserve"> Foundation</w:t>
      </w:r>
      <w:r w:rsidR="00C735AA">
        <w:t xml:space="preserve"> and </w:t>
      </w:r>
      <w:r w:rsidR="00D0419F">
        <w:t>IOSCO</w:t>
      </w:r>
      <w:r w:rsidR="00032742">
        <w:t>.</w:t>
      </w:r>
      <w:r w:rsidR="00C735AA">
        <w:t xml:space="preserve"> Further views are sought in </w:t>
      </w:r>
      <w:r w:rsidR="004C40BA">
        <w:t>this paper</w:t>
      </w:r>
      <w:r w:rsidR="00C735AA">
        <w:t xml:space="preserve"> about the potential implementation of the draft ISSB standards in </w:t>
      </w:r>
      <w:r w:rsidR="00A2204A">
        <w:t>the Australian context</w:t>
      </w:r>
      <w:r w:rsidR="00536EFF">
        <w:t xml:space="preserve"> noting that this paper also consults on governance arrangements for the body that would adopt and/or modify ISSB standards</w:t>
      </w:r>
      <w:r w:rsidR="00A2204A">
        <w:t>.</w:t>
      </w:r>
    </w:p>
    <w:tbl>
      <w:tblPr>
        <w:tblW w:w="5001" w:type="pct"/>
        <w:tblInd w:w="-284" w:type="dxa"/>
        <w:shd w:val="clear" w:color="auto" w:fill="EEEEEE" w:themeFill="background2"/>
        <w:tblCellMar>
          <w:top w:w="227" w:type="dxa"/>
          <w:left w:w="227" w:type="dxa"/>
          <w:bottom w:w="227" w:type="dxa"/>
          <w:right w:w="227" w:type="dxa"/>
        </w:tblCellMar>
        <w:tblLook w:val="04A0" w:firstRow="1" w:lastRow="0" w:firstColumn="1" w:lastColumn="0" w:noHBand="0" w:noVBand="1"/>
      </w:tblPr>
      <w:tblGrid>
        <w:gridCol w:w="9072"/>
      </w:tblGrid>
      <w:tr w:rsidR="007976B9" w14:paraId="218D8D16" w14:textId="77777777" w:rsidTr="00D04CC1">
        <w:trPr>
          <w:trHeight w:val="2177"/>
        </w:trPr>
        <w:tc>
          <w:tcPr>
            <w:tcW w:w="9071" w:type="dxa"/>
            <w:shd w:val="clear" w:color="auto" w:fill="EEEEEE" w:themeFill="background2"/>
          </w:tcPr>
          <w:p w14:paraId="1C6B3C86" w14:textId="6AACF603" w:rsidR="007976B9" w:rsidRDefault="007976B9" w:rsidP="000D4668">
            <w:pPr>
              <w:pStyle w:val="Bullet"/>
              <w:numPr>
                <w:ilvl w:val="0"/>
                <w:numId w:val="0"/>
              </w:numPr>
              <w:spacing w:before="0" w:after="160" w:line="22" w:lineRule="atLeast"/>
            </w:pPr>
            <w:r w:rsidRPr="00235875">
              <w:rPr>
                <w:b/>
                <w:bCs/>
              </w:rPr>
              <w:t xml:space="preserve">Question </w:t>
            </w:r>
            <w:r w:rsidR="002F3BEB">
              <w:rPr>
                <w:b/>
                <w:bCs/>
              </w:rPr>
              <w:t>4</w:t>
            </w:r>
            <w:r w:rsidRPr="00235875">
              <w:rPr>
                <w:b/>
                <w:bCs/>
              </w:rPr>
              <w:t>:</w:t>
            </w:r>
            <w:r>
              <w:t xml:space="preserve"> </w:t>
            </w:r>
            <w:bookmarkStart w:id="18" w:name="_Hlk109402055"/>
            <w:r>
              <w:t xml:space="preserve">Should Australia seek to align our climate reporting requirements with the global baseline envisaged by the International Sustainability Boards? </w:t>
            </w:r>
          </w:p>
          <w:p w14:paraId="17583DC2" w14:textId="5103070A" w:rsidR="00760708" w:rsidRDefault="00950D75" w:rsidP="00950D75">
            <w:pPr>
              <w:pStyle w:val="OutlineNumbered1"/>
              <w:numPr>
                <w:ilvl w:val="0"/>
                <w:numId w:val="0"/>
              </w:numPr>
              <w:ind w:left="1051" w:hanging="709"/>
            </w:pPr>
            <w:r>
              <w:t>4.1</w:t>
            </w:r>
            <w:r>
              <w:tab/>
            </w:r>
            <w:r w:rsidR="00263A43">
              <w:t xml:space="preserve">Are </w:t>
            </w:r>
            <w:r w:rsidR="007123C4">
              <w:t>there</w:t>
            </w:r>
            <w:r w:rsidR="00263A43">
              <w:t xml:space="preserve"> particular considerations that should apply in the Australian context </w:t>
            </w:r>
            <w:r w:rsidR="00AD0751">
              <w:t>regarding</w:t>
            </w:r>
            <w:r w:rsidR="00263A43">
              <w:t xml:space="preserve"> the ISSB implementation of disclosures relating to: governance, strategy, risk management and/or metrics and targets?</w:t>
            </w:r>
          </w:p>
          <w:p w14:paraId="0EB489A6" w14:textId="14F27852" w:rsidR="004677C9" w:rsidRPr="000D4668" w:rsidRDefault="00950D75" w:rsidP="00950D75">
            <w:pPr>
              <w:pStyle w:val="OutlineNumbered1"/>
              <w:numPr>
                <w:ilvl w:val="0"/>
                <w:numId w:val="0"/>
              </w:numPr>
              <w:ind w:left="1051" w:hanging="709"/>
            </w:pPr>
            <w:r>
              <w:t>4.2</w:t>
            </w:r>
            <w:r>
              <w:tab/>
            </w:r>
            <w:r w:rsidR="00D80526">
              <w:t xml:space="preserve">Are the </w:t>
            </w:r>
            <w:r w:rsidR="007976B9">
              <w:t xml:space="preserve">climate disclosure standards </w:t>
            </w:r>
            <w:r w:rsidR="00D80526">
              <w:t xml:space="preserve">being </w:t>
            </w:r>
            <w:r w:rsidR="007976B9">
              <w:t xml:space="preserve">issued by the ISSB </w:t>
            </w:r>
            <w:r w:rsidR="00D80526">
              <w:t>the most appropriate</w:t>
            </w:r>
            <w:r w:rsidR="007976B9">
              <w:t xml:space="preserve"> for entities in Australia</w:t>
            </w:r>
            <w:r w:rsidR="00BF2684">
              <w:t>, or should alternative standards be considered</w:t>
            </w:r>
            <w:r w:rsidR="007976B9">
              <w:t>?</w:t>
            </w:r>
            <w:bookmarkEnd w:id="18"/>
          </w:p>
        </w:tc>
      </w:tr>
    </w:tbl>
    <w:p w14:paraId="589315A9" w14:textId="0DD3F6E8" w:rsidR="00691D20" w:rsidRPr="00C84930" w:rsidRDefault="002C528E" w:rsidP="000D4668">
      <w:pPr>
        <w:pStyle w:val="Heading3"/>
        <w:rPr>
          <w:rFonts w:cs="Times New Roman"/>
          <w:color w:val="auto"/>
          <w:kern w:val="0"/>
          <w:sz w:val="22"/>
          <w:szCs w:val="20"/>
        </w:rPr>
      </w:pPr>
      <w:bookmarkStart w:id="19" w:name="_Toc121390594"/>
      <w:r>
        <w:t xml:space="preserve">Regulatory framework for required </w:t>
      </w:r>
      <w:r w:rsidR="003F7221">
        <w:t xml:space="preserve">climate </w:t>
      </w:r>
      <w:r>
        <w:t>disclosures</w:t>
      </w:r>
      <w:bookmarkEnd w:id="19"/>
    </w:p>
    <w:p w14:paraId="28D390D0" w14:textId="61048455" w:rsidR="00F7010C" w:rsidRDefault="00E15E27" w:rsidP="00691D20">
      <w:r>
        <w:t>Legislative</w:t>
      </w:r>
      <w:r w:rsidR="00691D20">
        <w:t xml:space="preserve"> changes are required to give legal effect to </w:t>
      </w:r>
      <w:r>
        <w:t>new climate</w:t>
      </w:r>
      <w:r w:rsidR="007265AB">
        <w:t>-related financial</w:t>
      </w:r>
      <w:r>
        <w:t xml:space="preserve"> </w:t>
      </w:r>
      <w:r w:rsidR="00F7010C">
        <w:t xml:space="preserve">risk </w:t>
      </w:r>
      <w:r>
        <w:t xml:space="preserve">reporting requirements. </w:t>
      </w:r>
      <w:r w:rsidR="007265AB">
        <w:t>It is proposed that the overall regulatory framework for these requirements should be broadly consistent with the existing regulatory framework for financial reporting</w:t>
      </w:r>
      <w:r w:rsidR="00A13A8A">
        <w:t xml:space="preserve">. As a reference point, the </w:t>
      </w:r>
      <w:r w:rsidR="0058767F">
        <w:t xml:space="preserve">existing </w:t>
      </w:r>
      <w:r w:rsidR="00A13A8A">
        <w:t xml:space="preserve">financial reporting framework </w:t>
      </w:r>
      <w:r w:rsidR="007265AB">
        <w:t>consists of</w:t>
      </w:r>
      <w:r w:rsidR="00691D20">
        <w:t xml:space="preserve"> legislation, regulat</w:t>
      </w:r>
      <w:r w:rsidR="00286E95">
        <w:t>ory guidance</w:t>
      </w:r>
      <w:r w:rsidR="00691D20">
        <w:t xml:space="preserve">, listing rules, standards, </w:t>
      </w:r>
      <w:r w:rsidR="009C0B58">
        <w:t xml:space="preserve">standard setting </w:t>
      </w:r>
      <w:r w:rsidR="00691D20">
        <w:t xml:space="preserve">boards, and professional bodies </w:t>
      </w:r>
      <w:r>
        <w:t>(see below)</w:t>
      </w:r>
      <w:r w:rsidR="007265AB">
        <w:t>.</w:t>
      </w:r>
    </w:p>
    <w:tbl>
      <w:tblPr>
        <w:tblStyle w:val="TableGrid"/>
        <w:tblW w:w="9098" w:type="dxa"/>
        <w:tblLook w:val="04A0" w:firstRow="1" w:lastRow="0" w:firstColumn="1" w:lastColumn="0" w:noHBand="0" w:noVBand="1"/>
      </w:tblPr>
      <w:tblGrid>
        <w:gridCol w:w="4549"/>
        <w:gridCol w:w="4549"/>
      </w:tblGrid>
      <w:tr w:rsidR="00691D20" w14:paraId="44AC1FAD" w14:textId="77777777" w:rsidTr="00C42149">
        <w:trPr>
          <w:cnfStyle w:val="100000000000" w:firstRow="1" w:lastRow="0" w:firstColumn="0" w:lastColumn="0" w:oddVBand="0" w:evenVBand="0" w:oddHBand="0" w:evenHBand="0" w:firstRowFirstColumn="0" w:firstRowLastColumn="0" w:lastRowFirstColumn="0" w:lastRowLastColumn="0"/>
          <w:trHeight w:val="405"/>
        </w:trPr>
        <w:tc>
          <w:tcPr>
            <w:tcW w:w="4549" w:type="dxa"/>
          </w:tcPr>
          <w:p w14:paraId="72FCFEAB" w14:textId="77777777" w:rsidR="00691D20" w:rsidRDefault="00691D20" w:rsidP="00C42149">
            <w:pPr>
              <w:spacing w:before="96" w:after="96"/>
            </w:pPr>
          </w:p>
        </w:tc>
        <w:tc>
          <w:tcPr>
            <w:tcW w:w="4549" w:type="dxa"/>
          </w:tcPr>
          <w:p w14:paraId="6EC2DD2E" w14:textId="77777777" w:rsidR="00691D20" w:rsidRDefault="00691D20" w:rsidP="00C42149">
            <w:pPr>
              <w:spacing w:before="96" w:after="96"/>
            </w:pPr>
            <w:r>
              <w:t>Rules/guidance created by</w:t>
            </w:r>
          </w:p>
        </w:tc>
      </w:tr>
      <w:tr w:rsidR="00691D20" w14:paraId="7CE9D488" w14:textId="77777777" w:rsidTr="00C42149">
        <w:trPr>
          <w:trHeight w:val="391"/>
        </w:trPr>
        <w:tc>
          <w:tcPr>
            <w:tcW w:w="4549" w:type="dxa"/>
          </w:tcPr>
          <w:p w14:paraId="1A481454" w14:textId="77777777" w:rsidR="00691D20" w:rsidRDefault="00691D20" w:rsidP="00C42149">
            <w:r w:rsidRPr="004C31D7">
              <w:t xml:space="preserve">Who needs to </w:t>
            </w:r>
            <w:r>
              <w:t>report</w:t>
            </w:r>
            <w:r w:rsidRPr="004C31D7">
              <w:t>?</w:t>
            </w:r>
          </w:p>
        </w:tc>
        <w:tc>
          <w:tcPr>
            <w:tcW w:w="4549" w:type="dxa"/>
          </w:tcPr>
          <w:p w14:paraId="5A40A43E" w14:textId="77777777" w:rsidR="00691D20" w:rsidRDefault="00691D20" w:rsidP="00C42149">
            <w:r>
              <w:t>The Corporations Act/Corporations Regulations</w:t>
            </w:r>
          </w:p>
        </w:tc>
      </w:tr>
      <w:tr w:rsidR="00691D20" w14:paraId="07890967" w14:textId="77777777" w:rsidTr="00C42149">
        <w:trPr>
          <w:trHeight w:val="447"/>
        </w:trPr>
        <w:tc>
          <w:tcPr>
            <w:tcW w:w="4549" w:type="dxa"/>
          </w:tcPr>
          <w:p w14:paraId="318B68D5" w14:textId="77777777" w:rsidR="00691D20" w:rsidRDefault="00691D20" w:rsidP="00C42149">
            <w:r>
              <w:t>What needs to be reported</w:t>
            </w:r>
            <w:r w:rsidRPr="004C31D7">
              <w:t>?</w:t>
            </w:r>
          </w:p>
        </w:tc>
        <w:tc>
          <w:tcPr>
            <w:tcW w:w="4549" w:type="dxa"/>
          </w:tcPr>
          <w:p w14:paraId="4C417DEF" w14:textId="77777777" w:rsidR="00691D20" w:rsidRDefault="00691D20" w:rsidP="00C42149">
            <w:r>
              <w:t>The Corporations Act/Corporations Regulations</w:t>
            </w:r>
          </w:p>
        </w:tc>
      </w:tr>
      <w:tr w:rsidR="00691D20" w14:paraId="7C7E8223" w14:textId="77777777" w:rsidTr="00C42149">
        <w:trPr>
          <w:trHeight w:val="477"/>
        </w:trPr>
        <w:tc>
          <w:tcPr>
            <w:tcW w:w="4549" w:type="dxa"/>
          </w:tcPr>
          <w:p w14:paraId="2F3A6426" w14:textId="1802943B" w:rsidR="00691D20" w:rsidRDefault="00691D20" w:rsidP="00C42149">
            <w:r>
              <w:t xml:space="preserve">To whom should </w:t>
            </w:r>
            <w:r w:rsidR="00A13A8A">
              <w:t xml:space="preserve">listed entities </w:t>
            </w:r>
            <w:r>
              <w:t>report</w:t>
            </w:r>
            <w:r w:rsidRPr="004C31D7">
              <w:t>?</w:t>
            </w:r>
          </w:p>
        </w:tc>
        <w:tc>
          <w:tcPr>
            <w:tcW w:w="4549" w:type="dxa"/>
          </w:tcPr>
          <w:p w14:paraId="6E20D454" w14:textId="77777777" w:rsidR="00691D20" w:rsidRDefault="00691D20" w:rsidP="00C42149">
            <w:r>
              <w:t xml:space="preserve">ASIC, ASX </w:t>
            </w:r>
          </w:p>
        </w:tc>
      </w:tr>
      <w:tr w:rsidR="00691D20" w14:paraId="07B08874" w14:textId="77777777" w:rsidTr="00C42149">
        <w:trPr>
          <w:trHeight w:val="527"/>
        </w:trPr>
        <w:tc>
          <w:tcPr>
            <w:tcW w:w="4549" w:type="dxa"/>
          </w:tcPr>
          <w:p w14:paraId="1C538103" w14:textId="77777777" w:rsidR="00691D20" w:rsidRDefault="00691D20" w:rsidP="00C42149">
            <w:r>
              <w:t>Who sets the standards for reporting?</w:t>
            </w:r>
          </w:p>
        </w:tc>
        <w:tc>
          <w:tcPr>
            <w:tcW w:w="4549" w:type="dxa"/>
          </w:tcPr>
          <w:p w14:paraId="4A891326" w14:textId="008AA395" w:rsidR="00691D20" w:rsidRDefault="00691D20" w:rsidP="00C42149">
            <w:r>
              <w:t>The AASB</w:t>
            </w:r>
            <w:r w:rsidR="00D83673">
              <w:t xml:space="preserve"> and </w:t>
            </w:r>
            <w:r>
              <w:t>AUASB</w:t>
            </w:r>
            <w:r w:rsidR="00425088">
              <w:t xml:space="preserve">, under </w:t>
            </w:r>
            <w:r w:rsidR="00B325BE">
              <w:t>broad oversight by the</w:t>
            </w:r>
            <w:r w:rsidR="00425088">
              <w:t xml:space="preserve"> FRC</w:t>
            </w:r>
          </w:p>
        </w:tc>
      </w:tr>
    </w:tbl>
    <w:p w14:paraId="62B4F451" w14:textId="28E898A7" w:rsidR="009E6975" w:rsidRDefault="009E6975" w:rsidP="00691D20">
      <w:r>
        <w:t xml:space="preserve">Under a similar framework for climate reporting obligations, it is envisaged that legislation will likely set out </w:t>
      </w:r>
      <w:r w:rsidR="00806F7B">
        <w:t xml:space="preserve">(at a minimum) </w:t>
      </w:r>
      <w:r>
        <w:t>the details of covered entities</w:t>
      </w:r>
      <w:r w:rsidR="00974B12">
        <w:t>, the location for any reporting requirements</w:t>
      </w:r>
      <w:r w:rsidR="00915A1A">
        <w:t xml:space="preserve"> (e.g. in the annual report)</w:t>
      </w:r>
      <w:r w:rsidR="00974B12">
        <w:t>, and requirements to follow prescribed standards when making climate</w:t>
      </w:r>
      <w:r w:rsidR="003B261A">
        <w:noBreakHyphen/>
      </w:r>
      <w:r w:rsidR="00974B12">
        <w:t>related financial disclosures.</w:t>
      </w:r>
    </w:p>
    <w:p w14:paraId="7EBBC1CF" w14:textId="12A672A1" w:rsidR="00F354F2" w:rsidRDefault="00A46B60" w:rsidP="00F354F2">
      <w:r>
        <w:t>In terms of what must be reported, c</w:t>
      </w:r>
      <w:r w:rsidR="00806F7B">
        <w:t xml:space="preserve">limate reporting frameworks such as TCFD and </w:t>
      </w:r>
      <w:r>
        <w:t xml:space="preserve">the draft </w:t>
      </w:r>
      <w:r w:rsidR="00806F7B">
        <w:t>ISSB</w:t>
      </w:r>
      <w:r>
        <w:t xml:space="preserve"> standards</w:t>
      </w:r>
      <w:r w:rsidR="00806F7B">
        <w:t xml:space="preserve"> include</w:t>
      </w:r>
      <w:r w:rsidR="00B325BE">
        <w:t xml:space="preserve"> a</w:t>
      </w:r>
      <w:r w:rsidR="00806F7B">
        <w:t xml:space="preserve"> mixture of </w:t>
      </w:r>
      <w:r>
        <w:t>overarching</w:t>
      </w:r>
      <w:r w:rsidR="00806F7B">
        <w:t xml:space="preserve"> disclosure obligations (</w:t>
      </w:r>
      <w:r w:rsidR="00806F7B" w:rsidRPr="00875B41">
        <w:t>governance,</w:t>
      </w:r>
      <w:r w:rsidR="00806F7B">
        <w:t xml:space="preserve"> strategy,</w:t>
      </w:r>
      <w:r w:rsidR="00806F7B" w:rsidRPr="00875B41">
        <w:t xml:space="preserve"> risk management, targets and metrics</w:t>
      </w:r>
      <w:r w:rsidR="00806F7B">
        <w:t xml:space="preserve">) and prescriptive requirements that sit underneath these </w:t>
      </w:r>
      <w:r>
        <w:t>overarching</w:t>
      </w:r>
      <w:r w:rsidR="00806F7B">
        <w:t xml:space="preserve"> obligations.</w:t>
      </w:r>
      <w:r w:rsidR="00005A44">
        <w:t xml:space="preserve"> It is proposed that </w:t>
      </w:r>
      <w:r w:rsidR="007E3707">
        <w:t xml:space="preserve">for Australian implementation, </w:t>
      </w:r>
      <w:r w:rsidR="00005A44">
        <w:t>the more prescriptive details would be provided by climate standards</w:t>
      </w:r>
      <w:r w:rsidR="00D722AB">
        <w:t xml:space="preserve">. However, there are </w:t>
      </w:r>
      <w:r w:rsidR="00E90A54">
        <w:t xml:space="preserve">at least two possible </w:t>
      </w:r>
      <w:r w:rsidR="00D722AB">
        <w:t xml:space="preserve">options for the </w:t>
      </w:r>
      <w:r w:rsidR="00CF77CC">
        <w:t>position of</w:t>
      </w:r>
      <w:r w:rsidR="00D722AB">
        <w:t xml:space="preserve"> overarching obligations within the regulatory framewor</w:t>
      </w:r>
      <w:r w:rsidR="00F354F2">
        <w:t>k:</w:t>
      </w:r>
    </w:p>
    <w:p w14:paraId="55D13B87" w14:textId="2A14AD9C" w:rsidR="00324381" w:rsidRDefault="003E2AE6" w:rsidP="00324381">
      <w:pPr>
        <w:pStyle w:val="Bullet"/>
      </w:pPr>
      <w:r>
        <w:t>i</w:t>
      </w:r>
      <w:r w:rsidR="00324381">
        <w:t>ncorporate the overarching obligations</w:t>
      </w:r>
      <w:r>
        <w:t xml:space="preserve"> for climate disclosure</w:t>
      </w:r>
      <w:r w:rsidR="00324381">
        <w:t xml:space="preserve"> (</w:t>
      </w:r>
      <w:r w:rsidR="00324381" w:rsidRPr="00875B41">
        <w:t>governance,</w:t>
      </w:r>
      <w:r w:rsidR="00324381">
        <w:t xml:space="preserve"> strategy,</w:t>
      </w:r>
      <w:r w:rsidR="00324381" w:rsidRPr="00875B41">
        <w:t xml:space="preserve"> risk management, targets and metrics</w:t>
      </w:r>
      <w:r w:rsidR="00324381">
        <w:t>) into legislation and build out the detail of those obligations through standards and guidance</w:t>
      </w:r>
      <w:r>
        <w:t>; or</w:t>
      </w:r>
    </w:p>
    <w:p w14:paraId="2683A2E8" w14:textId="3431CD35" w:rsidR="003E2AE6" w:rsidRDefault="003E2AE6" w:rsidP="007665B4">
      <w:pPr>
        <w:pStyle w:val="Bullet"/>
      </w:pPr>
      <w:r>
        <w:lastRenderedPageBreak/>
        <w:t xml:space="preserve">build on existing requirements to disclose any material risks as part of </w:t>
      </w:r>
      <w:r w:rsidR="004511C3">
        <w:t>an operating and financial review, with overarching obligations for climate disclosures set through regulatory guidance or standards</w:t>
      </w:r>
      <w:r w:rsidR="007665B4">
        <w:t>.</w:t>
      </w:r>
    </w:p>
    <w:p w14:paraId="3AFAD34C" w14:textId="26D745E4" w:rsidR="00F354F2" w:rsidRDefault="007665B4" w:rsidP="007665B4">
      <w:pPr>
        <w:pStyle w:val="Bullet"/>
        <w:numPr>
          <w:ilvl w:val="1"/>
          <w:numId w:val="6"/>
        </w:numPr>
        <w:tabs>
          <w:tab w:val="clear" w:pos="720"/>
          <w:tab w:val="clear" w:pos="1040"/>
          <w:tab w:val="num" w:pos="909"/>
        </w:tabs>
        <w:ind w:left="909" w:hanging="189"/>
      </w:pPr>
      <w:r>
        <w:t xml:space="preserve">For example, ASIC regulatory guidance currently recommends TCFD as a framework for climate disclosures. If ISSB standards were adopted in Australia, guidance could instead direct affected </w:t>
      </w:r>
      <w:r w:rsidR="0023073E">
        <w:t>entities</w:t>
      </w:r>
      <w:r>
        <w:t xml:space="preserve"> to apply the proposed ISSB standard ‘</w:t>
      </w:r>
      <w:r w:rsidRPr="00286E95">
        <w:rPr>
          <w:i/>
          <w:iCs/>
        </w:rPr>
        <w:t>IFRS S1 General Requirements for Disclosure of Sustainability-related Financial Information</w:t>
      </w:r>
      <w:r>
        <w:rPr>
          <w:i/>
          <w:iCs/>
        </w:rPr>
        <w:t>’</w:t>
      </w:r>
      <w:r>
        <w:t>, which sets out</w:t>
      </w:r>
      <w:r w:rsidR="00F354F2">
        <w:t xml:space="preserve"> </w:t>
      </w:r>
      <w:r>
        <w:t>overarching requirements for sustainability</w:t>
      </w:r>
      <w:r w:rsidR="00F354F2">
        <w:t xml:space="preserve"> disclosures based on the four TCFD pillars of disclosing </w:t>
      </w:r>
      <w:r w:rsidR="00F354F2" w:rsidRPr="00875B41">
        <w:t>governance,</w:t>
      </w:r>
      <w:r w:rsidR="00F354F2">
        <w:t xml:space="preserve"> strategy,</w:t>
      </w:r>
      <w:r w:rsidR="00F354F2" w:rsidRPr="00875B41">
        <w:t xml:space="preserve"> risk management, targets and metrics</w:t>
      </w:r>
      <w:r w:rsidR="00F354F2">
        <w:t xml:space="preserve">. </w:t>
      </w:r>
    </w:p>
    <w:p w14:paraId="5C97542D" w14:textId="77777777" w:rsidR="00D0419F" w:rsidRDefault="000F2E70" w:rsidP="00D0419F">
      <w:r>
        <w:t xml:space="preserve">As part of this consultation, stakeholders are encouraged to provide views on where these general obligations should sit in the overall regulatory framework, including alternatives if warranted. However, the final design will depend on a number of considerations, </w:t>
      </w:r>
      <w:r w:rsidR="00D13F19">
        <w:t>including</w:t>
      </w:r>
      <w:r w:rsidR="00E90A54">
        <w:t xml:space="preserve"> but not limited to:</w:t>
      </w:r>
      <w:r w:rsidR="00D13F19">
        <w:t xml:space="preserve"> </w:t>
      </w:r>
    </w:p>
    <w:p w14:paraId="34852B66" w14:textId="77777777" w:rsidR="00D0419F" w:rsidRDefault="00E90A54" w:rsidP="00D0419F">
      <w:pPr>
        <w:pStyle w:val="Bullet"/>
      </w:pPr>
      <w:r>
        <w:t xml:space="preserve">the reform principles outlined in this paper; </w:t>
      </w:r>
      <w:r w:rsidR="00D13F19">
        <w:t>the final design of the proposed ISSB standards</w:t>
      </w:r>
    </w:p>
    <w:p w14:paraId="73DEB4DA" w14:textId="77777777" w:rsidR="00D0419F" w:rsidRDefault="00D13F19" w:rsidP="00D0419F">
      <w:pPr>
        <w:pStyle w:val="Bullet"/>
      </w:pPr>
      <w:r>
        <w:t>the relative balance of flexibility versus certainty offered by the different options</w:t>
      </w:r>
      <w:r w:rsidR="00D0419F">
        <w:t xml:space="preserve"> </w:t>
      </w:r>
    </w:p>
    <w:p w14:paraId="41CD165E" w14:textId="77777777" w:rsidR="00D0419F" w:rsidRDefault="00B325BE" w:rsidP="00D0419F">
      <w:pPr>
        <w:pStyle w:val="Bullet"/>
      </w:pPr>
      <w:r>
        <w:t>clearly defining the role and scope of a standard setter</w:t>
      </w:r>
      <w:r w:rsidR="00D0419F">
        <w:t xml:space="preserve"> </w:t>
      </w:r>
    </w:p>
    <w:p w14:paraId="73DFE1B2" w14:textId="77777777" w:rsidR="00D0419F" w:rsidRDefault="00D13F19" w:rsidP="00D0419F">
      <w:pPr>
        <w:pStyle w:val="Bullet"/>
      </w:pPr>
      <w:r>
        <w:t>necessary interactions with other reporting requirements</w:t>
      </w:r>
    </w:p>
    <w:p w14:paraId="4027BF9C" w14:textId="263F58A1" w:rsidR="00691D20" w:rsidRDefault="00D13F19" w:rsidP="00042625">
      <w:pPr>
        <w:pStyle w:val="Bullet"/>
        <w:spacing w:after="240"/>
      </w:pPr>
      <w:r>
        <w:t xml:space="preserve">other legislative design considerations. </w:t>
      </w:r>
    </w:p>
    <w:tbl>
      <w:tblPr>
        <w:tblW w:w="5001" w:type="pct"/>
        <w:shd w:val="clear" w:color="auto" w:fill="EEEEEE" w:themeFill="background2"/>
        <w:tblCellMar>
          <w:top w:w="227" w:type="dxa"/>
          <w:left w:w="227" w:type="dxa"/>
          <w:bottom w:w="227" w:type="dxa"/>
          <w:right w:w="227" w:type="dxa"/>
        </w:tblCellMar>
        <w:tblLook w:val="04A0" w:firstRow="1" w:lastRow="0" w:firstColumn="1" w:lastColumn="0" w:noHBand="0" w:noVBand="1"/>
      </w:tblPr>
      <w:tblGrid>
        <w:gridCol w:w="9072"/>
      </w:tblGrid>
      <w:tr w:rsidR="00042625" w14:paraId="1AE7CFB7" w14:textId="77777777" w:rsidTr="00081758">
        <w:trPr>
          <w:trHeight w:val="599"/>
        </w:trPr>
        <w:tc>
          <w:tcPr>
            <w:tcW w:w="5000" w:type="pct"/>
            <w:shd w:val="clear" w:color="auto" w:fill="EEEEEE" w:themeFill="background2"/>
          </w:tcPr>
          <w:p w14:paraId="64A4A200" w14:textId="11F91096" w:rsidR="00042625" w:rsidRPr="000D1284" w:rsidRDefault="00042625" w:rsidP="00081758">
            <w:pPr>
              <w:pStyle w:val="TableTextLeft"/>
            </w:pPr>
            <w:r w:rsidRPr="00235875">
              <w:rPr>
                <w:b/>
                <w:bCs/>
              </w:rPr>
              <w:t xml:space="preserve">Question </w:t>
            </w:r>
            <w:r>
              <w:rPr>
                <w:b/>
                <w:bCs/>
              </w:rPr>
              <w:t>5</w:t>
            </w:r>
            <w:r w:rsidRPr="00235875">
              <w:rPr>
                <w:b/>
                <w:bCs/>
              </w:rPr>
              <w:t>:</w:t>
            </w:r>
            <w:r>
              <w:t xml:space="preserve"> What are the key considerations that should inform the design of a new regulatory framework, in particular when setting overarching climate disclosure obligations (strategy, governance, risk management and targets</w:t>
            </w:r>
            <w:r w:rsidR="006228C4">
              <w:t>)</w:t>
            </w:r>
            <w:r>
              <w:t>?</w:t>
            </w:r>
          </w:p>
        </w:tc>
      </w:tr>
    </w:tbl>
    <w:p w14:paraId="2C69A447" w14:textId="77777777" w:rsidR="006C05AF" w:rsidRPr="006C1227" w:rsidRDefault="006C05AF" w:rsidP="006C05AF">
      <w:pPr>
        <w:pStyle w:val="Heading3"/>
      </w:pPr>
      <w:bookmarkStart w:id="20" w:name="_Toc121390595"/>
      <w:r>
        <w:t>Periodic reporting requirements</w:t>
      </w:r>
      <w:bookmarkEnd w:id="20"/>
    </w:p>
    <w:p w14:paraId="6BD0130E" w14:textId="0F928044" w:rsidR="006C05AF" w:rsidRDefault="006C05AF" w:rsidP="00042625">
      <w:pPr>
        <w:keepNext/>
        <w:spacing w:after="240"/>
      </w:pPr>
      <w:r>
        <w:t xml:space="preserve">Views are sought on where the new </w:t>
      </w:r>
      <w:r w:rsidR="00B50C03">
        <w:t>standardised</w:t>
      </w:r>
      <w:r>
        <w:t xml:space="preserve"> requirements could </w:t>
      </w:r>
      <w:r w:rsidR="00B50C03">
        <w:t>be located</w:t>
      </w:r>
      <w:r>
        <w:t xml:space="preserve"> in relation to </w:t>
      </w:r>
      <w:r w:rsidRPr="0090683B">
        <w:t>existing periodic reporting requirements</w:t>
      </w:r>
      <w:r>
        <w:t xml:space="preserve">. Australian </w:t>
      </w:r>
      <w:r w:rsidR="00093138">
        <w:t>listed entities</w:t>
      </w:r>
      <w:r>
        <w:t xml:space="preserve"> reporting on their climate risks to date have generally done so either through the directors’ report or in a separate sustainability report. ASIC regulatory guidance</w:t>
      </w:r>
      <w:r w:rsidR="00B325BE">
        <w:t xml:space="preserve"> (</w:t>
      </w:r>
      <w:hyperlink r:id="rId26" w:history="1">
        <w:r w:rsidR="00B325BE">
          <w:rPr>
            <w:rStyle w:val="Hyperlink"/>
          </w:rPr>
          <w:t>Regulatory Guide RG 247 Effective disclosure in an operating and financial review (asic.gov.au)</w:t>
        </w:r>
      </w:hyperlink>
      <w:r w:rsidR="00B325BE">
        <w:t>)</w:t>
      </w:r>
      <w:r>
        <w:t xml:space="preserve"> was updated in 2019 to recommend that, where climate change represents a material risk, it should be disclosed in the directors’ report as part of an operating and financial review as required under the </w:t>
      </w:r>
      <w:r w:rsidRPr="00EB7057">
        <w:t>Corporations Act</w:t>
      </w:r>
      <w:r>
        <w:t xml:space="preserve">. In line with the principles outlined in this paper, new requirements </w:t>
      </w:r>
      <w:r w:rsidR="002E49FA">
        <w:t>would</w:t>
      </w:r>
      <w:r>
        <w:t xml:space="preserve"> seek to build on existing practice in Australia, to minimise any additional</w:t>
      </w:r>
      <w:r w:rsidR="004C56D9">
        <w:t xml:space="preserve"> regulatory burden and</w:t>
      </w:r>
      <w:r>
        <w:t xml:space="preserve"> costs.</w:t>
      </w:r>
    </w:p>
    <w:tbl>
      <w:tblPr>
        <w:tblW w:w="5001" w:type="pct"/>
        <w:shd w:val="clear" w:color="auto" w:fill="EEEEEE" w:themeFill="background2"/>
        <w:tblCellMar>
          <w:top w:w="227" w:type="dxa"/>
          <w:left w:w="227" w:type="dxa"/>
          <w:bottom w:w="227" w:type="dxa"/>
          <w:right w:w="227" w:type="dxa"/>
        </w:tblCellMar>
        <w:tblLook w:val="04A0" w:firstRow="1" w:lastRow="0" w:firstColumn="1" w:lastColumn="0" w:noHBand="0" w:noVBand="1"/>
      </w:tblPr>
      <w:tblGrid>
        <w:gridCol w:w="9072"/>
      </w:tblGrid>
      <w:tr w:rsidR="008158A3" w14:paraId="5228AD6E" w14:textId="77777777" w:rsidTr="008856F9">
        <w:trPr>
          <w:trHeight w:val="599"/>
        </w:trPr>
        <w:tc>
          <w:tcPr>
            <w:tcW w:w="5000" w:type="pct"/>
            <w:shd w:val="clear" w:color="auto" w:fill="EEEEEE" w:themeFill="background2"/>
          </w:tcPr>
          <w:p w14:paraId="2877E311" w14:textId="4B2C7A76" w:rsidR="006C05AF" w:rsidRPr="000D1284" w:rsidRDefault="006C05AF" w:rsidP="00042625">
            <w:pPr>
              <w:pStyle w:val="TableTextLeft"/>
            </w:pPr>
            <w:r w:rsidRPr="00235875">
              <w:rPr>
                <w:b/>
                <w:bCs/>
              </w:rPr>
              <w:t xml:space="preserve">Question </w:t>
            </w:r>
            <w:r w:rsidR="002B2F41">
              <w:rPr>
                <w:b/>
                <w:bCs/>
              </w:rPr>
              <w:t>6</w:t>
            </w:r>
            <w:r w:rsidRPr="00235875">
              <w:rPr>
                <w:b/>
                <w:bCs/>
              </w:rPr>
              <w:t>:</w:t>
            </w:r>
            <w:r>
              <w:t xml:space="preserve"> </w:t>
            </w:r>
            <w:bookmarkStart w:id="21" w:name="_Hlk109402072"/>
            <w:r>
              <w:t xml:space="preserve">Where should new climate reporting requirements be situated in relation to other periodic reporting </w:t>
            </w:r>
            <w:r w:rsidRPr="00042625">
              <w:t>requirements</w:t>
            </w:r>
            <w:r>
              <w:t>? For instance, should they continue to be included in an operating and financial review, or in an alternative separate report included as part of the annual report?</w:t>
            </w:r>
            <w:bookmarkEnd w:id="21"/>
          </w:p>
        </w:tc>
      </w:tr>
    </w:tbl>
    <w:p w14:paraId="050AB4D5" w14:textId="024F7604" w:rsidR="00EF30D1" w:rsidRPr="00596DBB" w:rsidRDefault="00DF1F19" w:rsidP="004A315A">
      <w:pPr>
        <w:pStyle w:val="Heading3"/>
      </w:pPr>
      <w:bookmarkStart w:id="22" w:name="_Toc121390596"/>
      <w:r>
        <w:rPr>
          <w:bCs/>
        </w:rPr>
        <w:lastRenderedPageBreak/>
        <w:t>Materiality of climate risks</w:t>
      </w:r>
      <w:bookmarkEnd w:id="22"/>
      <w:r>
        <w:rPr>
          <w:bCs/>
        </w:rPr>
        <w:t xml:space="preserve">  </w:t>
      </w:r>
    </w:p>
    <w:p w14:paraId="7885CBB5" w14:textId="13D08D5C" w:rsidR="00740A08" w:rsidRDefault="009E6062" w:rsidP="00740A08">
      <w:r>
        <w:t>Australia’s corporate law requires material risks to be disclosed. While there is established understanding of financial materiality, assessing materiality of climate and sustainability reporting is an evolving area.</w:t>
      </w:r>
      <w:r w:rsidR="00740A08" w:rsidRPr="00740A08">
        <w:t xml:space="preserve"> </w:t>
      </w:r>
      <w:r w:rsidR="00AE70EE">
        <w:t xml:space="preserve">ASIC’s climate risk guidance </w:t>
      </w:r>
      <w:r w:rsidR="00C72134">
        <w:t>(</w:t>
      </w:r>
      <w:r w:rsidR="00AE70EE">
        <w:t>discussed above</w:t>
      </w:r>
      <w:r w:rsidR="00C72134">
        <w:t>)</w:t>
      </w:r>
      <w:r w:rsidR="00AE70EE">
        <w:t xml:space="preserve"> </w:t>
      </w:r>
      <w:r w:rsidR="00CB2162">
        <w:t>states that</w:t>
      </w:r>
      <w:r w:rsidR="00977E96">
        <w:t xml:space="preserve"> </w:t>
      </w:r>
      <w:r w:rsidR="00CB2162">
        <w:t>for future financial years, disclosures should include the most significant areas of uncertainty or exposure, at a whole-of-entity level, that could have an adverse impact on future financial performance</w:t>
      </w:r>
      <w:r w:rsidR="008F238D">
        <w:rPr>
          <w:rFonts w:ascii="ZWAdobeF" w:hAnsi="ZWAdobeF" w:cs="ZWAdobeF"/>
          <w:sz w:val="2"/>
          <w:szCs w:val="2"/>
        </w:rPr>
        <w:t>2F</w:t>
      </w:r>
      <w:r w:rsidR="00AE70EE" w:rsidRPr="00B67598">
        <w:rPr>
          <w:rStyle w:val="FootnoteReference"/>
          <w:vertAlign w:val="superscript"/>
        </w:rPr>
        <w:footnoteReference w:id="4"/>
      </w:r>
      <w:r w:rsidR="00CB2162">
        <w:t>.</w:t>
      </w:r>
      <w:r w:rsidR="00CB2162" w:rsidRPr="00CB2162">
        <w:t xml:space="preserve"> </w:t>
      </w:r>
      <w:r w:rsidR="00AD5247">
        <w:t>I</w:t>
      </w:r>
      <w:r w:rsidR="007D4D86">
        <w:t>n 2021, APRA updated their prudential guidance</w:t>
      </w:r>
      <w:r w:rsidR="00C75C28">
        <w:t xml:space="preserve"> </w:t>
      </w:r>
      <w:r w:rsidR="00C75C28" w:rsidRPr="00C75C28">
        <w:t xml:space="preserve">to assist boards with assessing the financial risks arising from climate change, which it stated </w:t>
      </w:r>
      <w:r w:rsidR="00C75C28">
        <w:t>businesses</w:t>
      </w:r>
      <w:r w:rsidR="00C75C28" w:rsidRPr="00C75C28">
        <w:t xml:space="preserve"> needed to be prepared for</w:t>
      </w:r>
      <w:r w:rsidR="00AE70EE">
        <w:t>.</w:t>
      </w:r>
      <w:r w:rsidR="008F238D">
        <w:rPr>
          <w:rFonts w:ascii="ZWAdobeF" w:hAnsi="ZWAdobeF" w:cs="ZWAdobeF"/>
          <w:sz w:val="2"/>
          <w:szCs w:val="2"/>
        </w:rPr>
        <w:t>3F</w:t>
      </w:r>
      <w:r w:rsidR="007D4D86" w:rsidRPr="0028497E">
        <w:rPr>
          <w:rStyle w:val="FootnoteReference"/>
          <w:vertAlign w:val="superscript"/>
        </w:rPr>
        <w:footnoteReference w:id="5"/>
      </w:r>
      <w:r w:rsidR="00AE70EE">
        <w:t xml:space="preserve"> The </w:t>
      </w:r>
      <w:r w:rsidR="00BA30B3">
        <w:t>AASB</w:t>
      </w:r>
      <w:r w:rsidR="00AE70EE">
        <w:t xml:space="preserve"> </w:t>
      </w:r>
      <w:r w:rsidR="00597951">
        <w:t>have</w:t>
      </w:r>
      <w:r w:rsidR="00AE70EE">
        <w:t xml:space="preserve"> also released guidance on how materiality judgements apply to climate related risks</w:t>
      </w:r>
      <w:r w:rsidR="008F238D">
        <w:rPr>
          <w:rFonts w:ascii="ZWAdobeF" w:hAnsi="ZWAdobeF" w:cs="ZWAdobeF"/>
          <w:sz w:val="2"/>
          <w:szCs w:val="2"/>
        </w:rPr>
        <w:t>4F</w:t>
      </w:r>
      <w:r w:rsidR="00597951" w:rsidRPr="00B67598">
        <w:rPr>
          <w:rStyle w:val="FootnoteReference"/>
          <w:vertAlign w:val="superscript"/>
        </w:rPr>
        <w:footnoteReference w:id="6"/>
      </w:r>
      <w:r w:rsidR="00AE70EE">
        <w:t>.</w:t>
      </w:r>
    </w:p>
    <w:p w14:paraId="695CD143" w14:textId="42CBB6FC" w:rsidR="009E6062" w:rsidRDefault="00B15985">
      <w:r>
        <w:t>In</w:t>
      </w:r>
      <w:r w:rsidR="009E6062">
        <w:t xml:space="preserve"> its most recent guidance material</w:t>
      </w:r>
      <w:r>
        <w:t>, the TCFD</w:t>
      </w:r>
      <w:r w:rsidR="009E6062">
        <w:t xml:space="preserve"> recommends using financial materiality principles when making climate disclosures, but </w:t>
      </w:r>
      <w:r>
        <w:t xml:space="preserve">suggests </w:t>
      </w:r>
      <w:r w:rsidR="009E6062">
        <w:t xml:space="preserve">that Scope 1 and 2 emissions should be disclosed regardless of materiality. The framework for sustainability disclosures </w:t>
      </w:r>
      <w:r w:rsidR="003E6A81">
        <w:t xml:space="preserve">that </w:t>
      </w:r>
      <w:r w:rsidR="009E6062">
        <w:t xml:space="preserve">the ISSB is currently developing </w:t>
      </w:r>
      <w:r w:rsidR="003E6A81">
        <w:t xml:space="preserve">initially proposed that </w:t>
      </w:r>
      <w:r w:rsidR="009E6062">
        <w:t xml:space="preserve">materiality judgements </w:t>
      </w:r>
      <w:r w:rsidR="003E6A81">
        <w:t xml:space="preserve">would </w:t>
      </w:r>
      <w:r w:rsidR="009E6062">
        <w:t>be made with reference to ‘enterprise value’</w:t>
      </w:r>
      <w:r w:rsidR="00B67598">
        <w:t>. Recent updates have indicated</w:t>
      </w:r>
      <w:r w:rsidR="008F238D">
        <w:rPr>
          <w:rFonts w:ascii="ZWAdobeF" w:hAnsi="ZWAdobeF" w:cs="ZWAdobeF"/>
          <w:sz w:val="2"/>
          <w:szCs w:val="2"/>
        </w:rPr>
        <w:t>5F</w:t>
      </w:r>
      <w:r w:rsidR="003E6A81" w:rsidRPr="00B67598">
        <w:rPr>
          <w:rStyle w:val="FootnoteReference"/>
          <w:vertAlign w:val="superscript"/>
        </w:rPr>
        <w:footnoteReference w:id="7"/>
      </w:r>
      <w:r w:rsidR="003E6A81">
        <w:t xml:space="preserve"> that this term will be removed and the ISSB will use the same definition of materiality as in IFRS accounting standards, with potential for additional sustainability</w:t>
      </w:r>
      <w:r w:rsidR="00C829DC">
        <w:noBreakHyphen/>
      </w:r>
      <w:r w:rsidR="003E6A81">
        <w:t>related guidance</w:t>
      </w:r>
      <w:r w:rsidR="009E6062">
        <w:t xml:space="preserve">. Views are sought on application of materiality judgments in </w:t>
      </w:r>
      <w:r>
        <w:t xml:space="preserve">the </w:t>
      </w:r>
      <w:r w:rsidR="009E6062">
        <w:t>Australian implementation of climate reporting and ISSB standards.</w:t>
      </w:r>
    </w:p>
    <w:p w14:paraId="39E2F46B" w14:textId="25A13F92" w:rsidR="00AA2999" w:rsidRDefault="005905E3" w:rsidP="004270F8">
      <w:pPr>
        <w:pStyle w:val="Heading3"/>
      </w:pPr>
      <w:bookmarkStart w:id="23" w:name="_Toc121390597"/>
      <w:r>
        <w:t>Assurance of climate risks</w:t>
      </w:r>
      <w:bookmarkEnd w:id="23"/>
    </w:p>
    <w:p w14:paraId="430E89EF" w14:textId="1C37B85B" w:rsidR="006C2BB7" w:rsidRDefault="006C2BB7" w:rsidP="00DF07B2">
      <w:r>
        <w:t xml:space="preserve">While certain entities must have </w:t>
      </w:r>
      <w:r w:rsidR="00B15985">
        <w:t>their</w:t>
      </w:r>
      <w:r>
        <w:t xml:space="preserve"> financial reports audited, </w:t>
      </w:r>
      <w:r w:rsidR="008053C7">
        <w:t xml:space="preserve">assurance is </w:t>
      </w:r>
      <w:r w:rsidR="003A5EAE">
        <w:t xml:space="preserve">currently </w:t>
      </w:r>
      <w:r w:rsidR="008053C7">
        <w:t xml:space="preserve">not required on </w:t>
      </w:r>
      <w:r>
        <w:t>sustainability</w:t>
      </w:r>
      <w:r w:rsidR="008053C7">
        <w:t xml:space="preserve"> reports. PwC analysis found that 66% of </w:t>
      </w:r>
      <w:r w:rsidR="00540F6D">
        <w:t>businesses</w:t>
      </w:r>
      <w:r w:rsidR="008053C7">
        <w:t xml:space="preserve"> do not have their ESG reports externally assured</w:t>
      </w:r>
      <w:r w:rsidR="003F1FA9">
        <w:t>.</w:t>
      </w:r>
      <w:r w:rsidR="008F238D">
        <w:rPr>
          <w:rFonts w:ascii="ZWAdobeF" w:hAnsi="ZWAdobeF" w:cs="ZWAdobeF"/>
          <w:sz w:val="2"/>
          <w:szCs w:val="2"/>
        </w:rPr>
        <w:t>6F</w:t>
      </w:r>
      <w:r w:rsidR="001E01A8" w:rsidRPr="008878CD">
        <w:rPr>
          <w:rStyle w:val="FootnoteReference"/>
          <w:vertAlign w:val="superscript"/>
        </w:rPr>
        <w:footnoteReference w:id="8"/>
      </w:r>
      <w:r w:rsidR="008053C7">
        <w:t xml:space="preserve"> As climate disclosure becomes mandatory</w:t>
      </w:r>
      <w:r w:rsidR="00B95FD4">
        <w:t xml:space="preserve"> across the globe, </w:t>
      </w:r>
      <w:r w:rsidR="003A5EAE">
        <w:t>demand for</w:t>
      </w:r>
      <w:r w:rsidR="00B95FD4">
        <w:t xml:space="preserve"> assurance</w:t>
      </w:r>
      <w:r w:rsidR="003A5EAE">
        <w:t xml:space="preserve"> of disclosures has grown</w:t>
      </w:r>
      <w:r w:rsidR="00B95FD4">
        <w:t xml:space="preserve">. For example, in the third phase of New Zealand’s regime, elements of disclosures relating to greenhouse </w:t>
      </w:r>
      <w:r w:rsidR="008B0CBF">
        <w:t>g</w:t>
      </w:r>
      <w:r w:rsidR="00B95FD4">
        <w:t>as emissions will be required to have independent assurance.</w:t>
      </w:r>
      <w:r w:rsidR="009E6062">
        <w:t xml:space="preserve"> Views are sought on what level of assurance (if any) should be required for climate</w:t>
      </w:r>
      <w:r w:rsidR="004C56D9">
        <w:t>-related financial</w:t>
      </w:r>
      <w:r w:rsidR="009E6062">
        <w:t xml:space="preserve"> disclosures.</w:t>
      </w:r>
    </w:p>
    <w:tbl>
      <w:tblPr>
        <w:tblW w:w="5001" w:type="pct"/>
        <w:shd w:val="clear" w:color="auto" w:fill="EEEEEE" w:themeFill="background2"/>
        <w:tblCellMar>
          <w:top w:w="227" w:type="dxa"/>
          <w:left w:w="227" w:type="dxa"/>
          <w:bottom w:w="227" w:type="dxa"/>
          <w:right w:w="227" w:type="dxa"/>
        </w:tblCellMar>
        <w:tblLook w:val="04A0" w:firstRow="1" w:lastRow="0" w:firstColumn="1" w:lastColumn="0" w:noHBand="0" w:noVBand="1"/>
      </w:tblPr>
      <w:tblGrid>
        <w:gridCol w:w="9072"/>
      </w:tblGrid>
      <w:tr w:rsidR="00AD62B0" w14:paraId="375F4531" w14:textId="77777777" w:rsidTr="006D0532">
        <w:trPr>
          <w:trHeight w:val="626"/>
        </w:trPr>
        <w:tc>
          <w:tcPr>
            <w:tcW w:w="5000" w:type="pct"/>
            <w:shd w:val="clear" w:color="auto" w:fill="EEEEEE" w:themeFill="background2"/>
          </w:tcPr>
          <w:p w14:paraId="075813F7" w14:textId="2FB431AD" w:rsidR="0016157B" w:rsidRDefault="00AD62B0" w:rsidP="0056754D">
            <w:pPr>
              <w:pStyle w:val="OutlineNumbered1"/>
              <w:numPr>
                <w:ilvl w:val="0"/>
                <w:numId w:val="0"/>
              </w:numPr>
            </w:pPr>
            <w:bookmarkStart w:id="24" w:name="_Hlk108776357"/>
            <w:bookmarkStart w:id="25" w:name="_Hlk119073977"/>
            <w:r w:rsidRPr="000D4668" w:rsidDel="00EC6D84">
              <w:rPr>
                <w:b/>
              </w:rPr>
              <w:t xml:space="preserve">Question </w:t>
            </w:r>
            <w:r w:rsidR="002B2F41">
              <w:rPr>
                <w:b/>
                <w:bCs/>
              </w:rPr>
              <w:t>7</w:t>
            </w:r>
            <w:r w:rsidR="0016157B" w:rsidRPr="000D4668">
              <w:rPr>
                <w:b/>
                <w:bCs/>
              </w:rPr>
              <w:t>:</w:t>
            </w:r>
            <w:r w:rsidR="0016157B">
              <w:t xml:space="preserve"> </w:t>
            </w:r>
            <w:bookmarkStart w:id="26" w:name="_Hlk109402079"/>
            <w:r w:rsidR="009E6062">
              <w:t xml:space="preserve">What considerations should apply to materiality judgements when undertaking climate reporting, </w:t>
            </w:r>
            <w:r w:rsidR="004C56D9">
              <w:t>and what should be the reference point for materiality (</w:t>
            </w:r>
            <w:r w:rsidR="00BF2684">
              <w:t>for instance, should it align with ISSB guidance on materiality</w:t>
            </w:r>
            <w:r w:rsidR="00C5098C">
              <w:t xml:space="preserve"> and is enterprise value a useful consideration</w:t>
            </w:r>
            <w:r w:rsidR="004C56D9">
              <w:t>)</w:t>
            </w:r>
            <w:r w:rsidR="009E6062">
              <w:t>?</w:t>
            </w:r>
            <w:bookmarkEnd w:id="26"/>
          </w:p>
          <w:p w14:paraId="319B8C39" w14:textId="185E1F0F" w:rsidR="00AD62B0" w:rsidRPr="000D1284" w:rsidRDefault="009E6062" w:rsidP="0056754D">
            <w:pPr>
              <w:pStyle w:val="OutlineNumbered1"/>
              <w:numPr>
                <w:ilvl w:val="0"/>
                <w:numId w:val="0"/>
              </w:numPr>
            </w:pPr>
            <w:r w:rsidRPr="00A61F4A">
              <w:rPr>
                <w:b/>
                <w:bCs/>
              </w:rPr>
              <w:t xml:space="preserve">Question </w:t>
            </w:r>
            <w:r w:rsidR="002B2F41">
              <w:rPr>
                <w:b/>
                <w:bCs/>
              </w:rPr>
              <w:t>8</w:t>
            </w:r>
            <w:r w:rsidRPr="00A61F4A">
              <w:rPr>
                <w:b/>
                <w:bCs/>
              </w:rPr>
              <w:t>:</w:t>
            </w:r>
            <w:r>
              <w:t xml:space="preserve"> </w:t>
            </w:r>
            <w:bookmarkStart w:id="27" w:name="_Hlk109402085"/>
            <w:r>
              <w:t>What level of assurance should be required for climate disclosures</w:t>
            </w:r>
            <w:r w:rsidR="0015226E">
              <w:t xml:space="preserve">, </w:t>
            </w:r>
            <w:r>
              <w:t>who should provide assurance (</w:t>
            </w:r>
            <w:r w:rsidR="00754736">
              <w:t xml:space="preserve">for instance, </w:t>
            </w:r>
            <w:r>
              <w:t>auditor of the financial report or other expert), and should assurance providers be subject to independence and quality management standards?</w:t>
            </w:r>
            <w:bookmarkEnd w:id="24"/>
            <w:bookmarkEnd w:id="27"/>
          </w:p>
        </w:tc>
      </w:tr>
    </w:tbl>
    <w:p w14:paraId="32F4861E" w14:textId="660DCC9B" w:rsidR="00CF47DE" w:rsidRDefault="00CF47DE" w:rsidP="00CF47DE">
      <w:pPr>
        <w:pStyle w:val="Heading3"/>
      </w:pPr>
      <w:bookmarkStart w:id="28" w:name="_Toc121390598"/>
      <w:bookmarkEnd w:id="25"/>
      <w:r>
        <w:lastRenderedPageBreak/>
        <w:t>Reporting of</w:t>
      </w:r>
      <w:r w:rsidR="000C61AE">
        <w:t xml:space="preserve"> metrics (including emissions), offsets </w:t>
      </w:r>
      <w:r>
        <w:t>and transition plans</w:t>
      </w:r>
      <w:bookmarkEnd w:id="28"/>
    </w:p>
    <w:p w14:paraId="2AE5C2D8" w14:textId="0DF83761" w:rsidR="00A702A2" w:rsidRDefault="00A702A2" w:rsidP="00754736">
      <w:pPr>
        <w:pStyle w:val="Heading4"/>
      </w:pPr>
      <w:r>
        <w:t>Greenhouse gas emissions</w:t>
      </w:r>
    </w:p>
    <w:p w14:paraId="69C9F128" w14:textId="358ADA4E" w:rsidR="00CF47DE" w:rsidRDefault="00CF47DE" w:rsidP="00DF07B2">
      <w:r>
        <w:t xml:space="preserve">Internationally aligned disclosure regimes frequently require disclosure of greenhouse gas emissions, such as Scope 1 and 2 emissions. Views are sought on the potential interaction between any new requirements and existing </w:t>
      </w:r>
      <w:r w:rsidR="00C91425">
        <w:t>national emissions reporting frameworks such as the National Greenhouse &amp; Energy Reporting (NGER)</w:t>
      </w:r>
      <w:r w:rsidR="001E2387">
        <w:t xml:space="preserve"> framework</w:t>
      </w:r>
      <w:r w:rsidR="00C91425">
        <w:t>, Corporate Emission Reporting Transparency Initiative (CERT) and Climate Active’s Carbon Neutral Standards</w:t>
      </w:r>
      <w:r>
        <w:t xml:space="preserve">, and how to ensure consistency and minimise duplication for affected entities that also report emissions through </w:t>
      </w:r>
      <w:r w:rsidR="00C91425">
        <w:t>these frameworks</w:t>
      </w:r>
      <w:r>
        <w:t xml:space="preserve">. </w:t>
      </w:r>
    </w:p>
    <w:p w14:paraId="03357795" w14:textId="067133E6" w:rsidR="00CF47DE" w:rsidRDefault="00CF47DE">
      <w:r>
        <w:t xml:space="preserve">For Australia to deliver a climate reporting regime that is internationally aligned, it is also proposed that some requirements to disclose Scope 3 emissions will apply. </w:t>
      </w:r>
      <w:r w:rsidR="00B36B85">
        <w:t xml:space="preserve">This is </w:t>
      </w:r>
      <w:r w:rsidR="00B36B85" w:rsidRPr="008878CD">
        <w:t>included in the draft ISSB standard</w:t>
      </w:r>
      <w:r w:rsidR="00B36B85">
        <w:t xml:space="preserve"> and</w:t>
      </w:r>
      <w:r>
        <w:t xml:space="preserve"> is recognised as an increasingly important metric for </w:t>
      </w:r>
      <w:r w:rsidRPr="00B36B85">
        <w:t xml:space="preserve">assessing an entity’s transition-related climate risks. </w:t>
      </w:r>
      <w:r w:rsidR="00656730">
        <w:t xml:space="preserve">Requirements to disclose Scope 3 emissions are included in both the </w:t>
      </w:r>
      <w:r w:rsidR="0007514D" w:rsidRPr="008878CD">
        <w:t>US Securities and Exchange Commission</w:t>
      </w:r>
      <w:r w:rsidR="00656730">
        <w:t>’s draft</w:t>
      </w:r>
      <w:r w:rsidR="0007514D" w:rsidRPr="008878CD">
        <w:t xml:space="preserve"> </w:t>
      </w:r>
      <w:r w:rsidR="00656730" w:rsidRPr="00982733">
        <w:t>climate disclosure rules</w:t>
      </w:r>
      <w:r w:rsidR="00656730" w:rsidRPr="008878CD">
        <w:t xml:space="preserve"> </w:t>
      </w:r>
      <w:r w:rsidR="00656730">
        <w:t xml:space="preserve">and </w:t>
      </w:r>
      <w:r w:rsidR="0007514D">
        <w:t xml:space="preserve">the EU’s </w:t>
      </w:r>
      <w:r w:rsidR="00656730">
        <w:t>d</w:t>
      </w:r>
      <w:r w:rsidR="0007514D" w:rsidRPr="0007514D">
        <w:t>raft European Sustainability Reporting Standards</w:t>
      </w:r>
      <w:r w:rsidR="00B36B85">
        <w:t xml:space="preserve">. </w:t>
      </w:r>
      <w:r w:rsidR="00536153">
        <w:t>As</w:t>
      </w:r>
      <w:r>
        <w:t xml:space="preserve"> part of this </w:t>
      </w:r>
      <w:r w:rsidR="00536153">
        <w:t xml:space="preserve">consultation </w:t>
      </w:r>
      <w:r>
        <w:t>process</w:t>
      </w:r>
      <w:r w:rsidR="00536153">
        <w:t>, v</w:t>
      </w:r>
      <w:r>
        <w:t xml:space="preserve">iews are sought </w:t>
      </w:r>
      <w:r w:rsidR="00536153">
        <w:t>on</w:t>
      </w:r>
      <w:r>
        <w:t xml:space="preserve"> key considerations that should be applied to requirements to report material </w:t>
      </w:r>
      <w:r w:rsidR="00F229FE">
        <w:t>S</w:t>
      </w:r>
      <w:r>
        <w:t>cope 3 emissions.</w:t>
      </w:r>
    </w:p>
    <w:p w14:paraId="3FE09FC0" w14:textId="52CEBBCB" w:rsidR="00A702A2" w:rsidRDefault="00A702A2" w:rsidP="00C5098C">
      <w:pPr>
        <w:pStyle w:val="Heading4"/>
      </w:pPr>
      <w:r>
        <w:t>Other metrics</w:t>
      </w:r>
    </w:p>
    <w:p w14:paraId="73B5519C" w14:textId="20A82BEA" w:rsidR="000C61AE" w:rsidRDefault="000C61AE" w:rsidP="00DF07B2">
      <w:r>
        <w:t xml:space="preserve">In addition to </w:t>
      </w:r>
      <w:r w:rsidR="001E2387">
        <w:t xml:space="preserve">emissions, </w:t>
      </w:r>
      <w:r w:rsidR="00834681">
        <w:t xml:space="preserve">other metrics may assist </w:t>
      </w:r>
      <w:r w:rsidR="00093138">
        <w:t>reporting entities</w:t>
      </w:r>
      <w:r w:rsidR="00834681">
        <w:t xml:space="preserve"> and investors to assess climate</w:t>
      </w:r>
      <w:r w:rsidR="00F934FC">
        <w:noBreakHyphen/>
      </w:r>
      <w:r w:rsidR="00834681">
        <w:t xml:space="preserve">related risks and opportunities. The </w:t>
      </w:r>
      <w:r w:rsidR="007B6A19">
        <w:t>FSB</w:t>
      </w:r>
      <w:r w:rsidR="00D0419F">
        <w:t>’s</w:t>
      </w:r>
      <w:r w:rsidR="00834681">
        <w:t xml:space="preserve"> </w:t>
      </w:r>
      <w:r w:rsidR="00CE0BDD" w:rsidRPr="00DF07B2">
        <w:rPr>
          <w:i/>
          <w:iCs/>
        </w:rPr>
        <w:t>R</w:t>
      </w:r>
      <w:r w:rsidR="00834681" w:rsidRPr="00DF07B2">
        <w:rPr>
          <w:i/>
          <w:iCs/>
        </w:rPr>
        <w:t>oadmap</w:t>
      </w:r>
      <w:r w:rsidR="00CE0BDD" w:rsidRPr="00DF07B2">
        <w:rPr>
          <w:i/>
          <w:iCs/>
        </w:rPr>
        <w:t xml:space="preserve"> for Addressing Financial Risks from Climate Change</w:t>
      </w:r>
      <w:r w:rsidR="008F238D">
        <w:rPr>
          <w:rFonts w:ascii="ZWAdobeF" w:hAnsi="ZWAdobeF" w:cs="ZWAdobeF"/>
          <w:iCs/>
          <w:sz w:val="2"/>
          <w:szCs w:val="2"/>
        </w:rPr>
        <w:t>7F</w:t>
      </w:r>
      <w:r w:rsidR="00CE0BDD" w:rsidRPr="00DF07B2">
        <w:rPr>
          <w:rStyle w:val="FootnoteReference"/>
          <w:vertAlign w:val="superscript"/>
        </w:rPr>
        <w:footnoteReference w:id="9"/>
      </w:r>
      <w:r w:rsidR="00834681">
        <w:t xml:space="preserve"> suggests that standardising disclosures of these metrics could improve comparability, and the ISSB draft climate standard includes a proposed appendix of industry-specific metrics, based on the </w:t>
      </w:r>
      <w:r w:rsidR="00D0419F" w:rsidRPr="00D0419F">
        <w:t>Sustainability Accounting Standards Board</w:t>
      </w:r>
      <w:r w:rsidR="00D0419F">
        <w:t>’s</w:t>
      </w:r>
      <w:r w:rsidR="00D0419F" w:rsidRPr="00D0419F">
        <w:t xml:space="preserve"> </w:t>
      </w:r>
      <w:r w:rsidR="00834681">
        <w:t xml:space="preserve">standards. Views are sought on </w:t>
      </w:r>
      <w:r w:rsidR="00451792">
        <w:t xml:space="preserve">whether new requirements in Australia should (aside from absolute emissions as proposed above) define consistent metrics for </w:t>
      </w:r>
      <w:r w:rsidR="002E646A">
        <w:t>disclosures, including either economy wide or industry-specific metrics.</w:t>
      </w:r>
    </w:p>
    <w:p w14:paraId="11229D07" w14:textId="02284867" w:rsidR="00A702A2" w:rsidRDefault="00A702A2" w:rsidP="00C5098C">
      <w:pPr>
        <w:pStyle w:val="Heading4"/>
      </w:pPr>
      <w:r>
        <w:t>Offsets and transition plans</w:t>
      </w:r>
    </w:p>
    <w:p w14:paraId="35393FC2" w14:textId="3EEEE0B1" w:rsidR="00CF47DE" w:rsidRDefault="00CF47DE" w:rsidP="00DF07B2">
      <w:r>
        <w:t xml:space="preserve">There is growing international focus on greater transparency and comparability in how businesses </w:t>
      </w:r>
      <w:r w:rsidR="002B76A7">
        <w:t xml:space="preserve">and financial institutions </w:t>
      </w:r>
      <w:r>
        <w:t xml:space="preserve">report on their commitments in relation to climate change. The TCFD and ISSB require details about how targets and goals are set </w:t>
      </w:r>
      <w:r w:rsidR="00826696">
        <w:t>and met</w:t>
      </w:r>
      <w:r>
        <w:t xml:space="preserve"> to be disclosed, as well as information about the use of </w:t>
      </w:r>
      <w:r w:rsidR="00826696">
        <w:t xml:space="preserve">greenhouse gas emissions </w:t>
      </w:r>
      <w:r>
        <w:t>offsets</w:t>
      </w:r>
      <w:r w:rsidR="00D80167">
        <w:t>. However,</w:t>
      </w:r>
      <w:r>
        <w:t xml:space="preserve"> there are initiatives underway to provide consensus about what must be demonstrated to make claims about being aligned with, for example, the Paris Agreement or net zero emissions by 2050.</w:t>
      </w:r>
    </w:p>
    <w:p w14:paraId="4522A88F" w14:textId="3CC97903" w:rsidR="00A702A2" w:rsidRDefault="00A702A2" w:rsidP="00C5098C">
      <w:pPr>
        <w:pStyle w:val="Heading4"/>
      </w:pPr>
      <w:r>
        <w:t>Phasing of specific disclosure requirements</w:t>
      </w:r>
    </w:p>
    <w:p w14:paraId="2A9F19DE" w14:textId="652B0F6A" w:rsidR="00EC0656" w:rsidRDefault="00A51880" w:rsidP="00C5098C">
      <w:r>
        <w:t>In some jurisdictions, specific disclosures (for instance, Scope 3 emissions reporting in the US Securities and Exchange Commission’s proposed rules) have a separately phased timeline from the broader requirements. Views are sought on whether similar considerations should apply in Australia.</w:t>
      </w:r>
    </w:p>
    <w:tbl>
      <w:tblPr>
        <w:tblW w:w="5001" w:type="pct"/>
        <w:shd w:val="clear" w:color="auto" w:fill="EEEEEE" w:themeFill="background2"/>
        <w:tblCellMar>
          <w:top w:w="227" w:type="dxa"/>
          <w:left w:w="227" w:type="dxa"/>
          <w:bottom w:w="227" w:type="dxa"/>
          <w:right w:w="227" w:type="dxa"/>
        </w:tblCellMar>
        <w:tblLook w:val="04A0" w:firstRow="1" w:lastRow="0" w:firstColumn="1" w:lastColumn="0" w:noHBand="0" w:noVBand="1"/>
      </w:tblPr>
      <w:tblGrid>
        <w:gridCol w:w="9072"/>
      </w:tblGrid>
      <w:tr w:rsidR="00C81B78" w14:paraId="77751761" w14:textId="77777777" w:rsidTr="00081758">
        <w:trPr>
          <w:trHeight w:val="1616"/>
        </w:trPr>
        <w:tc>
          <w:tcPr>
            <w:tcW w:w="5000" w:type="pct"/>
            <w:shd w:val="clear" w:color="auto" w:fill="EEEEEE" w:themeFill="background2"/>
          </w:tcPr>
          <w:p w14:paraId="24778D97" w14:textId="77777777" w:rsidR="00754736" w:rsidRPr="00754736" w:rsidRDefault="00754736" w:rsidP="0056754D">
            <w:pPr>
              <w:pStyle w:val="OutlineNumbered1"/>
              <w:numPr>
                <w:ilvl w:val="0"/>
                <w:numId w:val="0"/>
              </w:numPr>
            </w:pPr>
            <w:r w:rsidRPr="00754736">
              <w:rPr>
                <w:b/>
                <w:bCs/>
              </w:rPr>
              <w:lastRenderedPageBreak/>
              <w:t>Question 9:</w:t>
            </w:r>
            <w:r w:rsidRPr="00754736">
              <w:t xml:space="preserve"> What considerations should apply to requirements to report emissions (Scope 1, 2 and 3) including use of any relevant Australian emissions reporting frameworks?</w:t>
            </w:r>
          </w:p>
          <w:p w14:paraId="197F93A1" w14:textId="77777777" w:rsidR="00754736" w:rsidRPr="00754736" w:rsidRDefault="00754736" w:rsidP="0056754D">
            <w:pPr>
              <w:pStyle w:val="OutlineNumbered1"/>
              <w:numPr>
                <w:ilvl w:val="0"/>
                <w:numId w:val="0"/>
              </w:numPr>
            </w:pPr>
            <w:r w:rsidRPr="00754736">
              <w:rPr>
                <w:b/>
                <w:bCs/>
              </w:rPr>
              <w:t>Question 10:</w:t>
            </w:r>
            <w:r w:rsidRPr="00754736">
              <w:t xml:space="preserve"> Should a common baseline of metrics be defined so that there is a degree of consistency between disclosures, including industry-specific metrics?</w:t>
            </w:r>
          </w:p>
          <w:p w14:paraId="4E4F3CB0" w14:textId="77777777" w:rsidR="00754736" w:rsidRPr="00754736" w:rsidRDefault="00754736" w:rsidP="0056754D">
            <w:pPr>
              <w:pStyle w:val="OutlineNumbered1"/>
              <w:numPr>
                <w:ilvl w:val="0"/>
                <w:numId w:val="0"/>
              </w:numPr>
            </w:pPr>
            <w:r w:rsidRPr="00754736">
              <w:rPr>
                <w:b/>
                <w:bCs/>
              </w:rPr>
              <w:t>Question 11:</w:t>
            </w:r>
            <w:r w:rsidRPr="00754736">
              <w:t xml:space="preserve"> What considerations should apply to ensure covered entities provide transparent information about how they are managing climate related risks, including what transition plans they have in place and any use of greenhouse gas emissions offsets to meet their published targets? </w:t>
            </w:r>
          </w:p>
          <w:p w14:paraId="5E5ED743" w14:textId="5E3EF87D" w:rsidR="00C81B78" w:rsidRPr="000D1284" w:rsidRDefault="00754736" w:rsidP="0056754D">
            <w:pPr>
              <w:pStyle w:val="OutlineNumbered1"/>
              <w:numPr>
                <w:ilvl w:val="0"/>
                <w:numId w:val="0"/>
              </w:numPr>
            </w:pPr>
            <w:r w:rsidRPr="00754736">
              <w:rPr>
                <w:b/>
                <w:bCs/>
              </w:rPr>
              <w:t>Question 12:</w:t>
            </w:r>
            <w:r w:rsidRPr="00754736">
              <w:t xml:space="preserve"> Should particular disclosure requirements and/or assurance of those requirements commence in different phases, and why?</w:t>
            </w:r>
          </w:p>
        </w:tc>
      </w:tr>
    </w:tbl>
    <w:p w14:paraId="31B33376" w14:textId="68E815F4" w:rsidR="00FD512D" w:rsidRDefault="00FD512D" w:rsidP="00FD512D">
      <w:pPr>
        <w:pStyle w:val="Heading3"/>
      </w:pPr>
      <w:bookmarkStart w:id="29" w:name="_Toc121390599"/>
      <w:r>
        <w:t>Data and capability to support climate reporting</w:t>
      </w:r>
      <w:bookmarkEnd w:id="29"/>
    </w:p>
    <w:p w14:paraId="42C9FC86" w14:textId="75D2C144" w:rsidR="00FD512D" w:rsidRPr="001D511B" w:rsidRDefault="00FD512D" w:rsidP="00FD512D">
      <w:pPr>
        <w:spacing w:before="96" w:after="96"/>
        <w:rPr>
          <w:sz w:val="24"/>
          <w:szCs w:val="24"/>
        </w:rPr>
      </w:pPr>
      <w:r w:rsidRPr="001D511B">
        <w:rPr>
          <w:szCs w:val="24"/>
        </w:rPr>
        <w:t>There is growing international recognition of data challenges relevant to assessing climate risks. In 2021, the FSB released a roadmap which identified a priority of improving the availability and consistency of data on the underlying drivers of climate-related risks.</w:t>
      </w:r>
      <w:r w:rsidR="008F238D">
        <w:rPr>
          <w:rFonts w:ascii="ZWAdobeF" w:hAnsi="ZWAdobeF" w:cs="ZWAdobeF"/>
          <w:sz w:val="2"/>
          <w:szCs w:val="2"/>
        </w:rPr>
        <w:t>8F</w:t>
      </w:r>
      <w:r w:rsidRPr="001D511B">
        <w:rPr>
          <w:sz w:val="24"/>
          <w:szCs w:val="24"/>
          <w:vertAlign w:val="superscript"/>
        </w:rPr>
        <w:footnoteReference w:id="10"/>
      </w:r>
      <w:r w:rsidRPr="001D511B">
        <w:rPr>
          <w:szCs w:val="24"/>
        </w:rPr>
        <w:t xml:space="preserve"> Further, a 2022 Network for Greening the Financial System report</w:t>
      </w:r>
      <w:r w:rsidRPr="001D511B" w:rsidDel="00001FD5">
        <w:rPr>
          <w:szCs w:val="24"/>
        </w:rPr>
        <w:t xml:space="preserve"> </w:t>
      </w:r>
      <w:r w:rsidRPr="001D511B">
        <w:rPr>
          <w:szCs w:val="24"/>
        </w:rPr>
        <w:t>highlighted the need for more forward-looking data (for example</w:t>
      </w:r>
      <w:r>
        <w:rPr>
          <w:szCs w:val="24"/>
        </w:rPr>
        <w:t>,</w:t>
      </w:r>
      <w:r w:rsidRPr="001D511B">
        <w:rPr>
          <w:szCs w:val="24"/>
        </w:rPr>
        <w:t xml:space="preserve"> targets or emissions pathways) and granular data (for example geographical data at entity and asset-levels).</w:t>
      </w:r>
      <w:r w:rsidR="008F238D">
        <w:rPr>
          <w:rFonts w:ascii="ZWAdobeF" w:hAnsi="ZWAdobeF" w:cs="ZWAdobeF"/>
          <w:sz w:val="2"/>
          <w:szCs w:val="2"/>
        </w:rPr>
        <w:t>9F</w:t>
      </w:r>
      <w:r w:rsidRPr="001D511B">
        <w:rPr>
          <w:sz w:val="24"/>
          <w:szCs w:val="24"/>
          <w:vertAlign w:val="superscript"/>
        </w:rPr>
        <w:footnoteReference w:id="11"/>
      </w:r>
      <w:r w:rsidRPr="001D511B">
        <w:rPr>
          <w:szCs w:val="24"/>
        </w:rPr>
        <w:t xml:space="preserve"> Some of the proposed disclosures may help close some of these gaps</w:t>
      </w:r>
      <w:r>
        <w:rPr>
          <w:szCs w:val="24"/>
        </w:rPr>
        <w:t xml:space="preserve">. For example, consistently measured Scope 1 and 2 emissions disclosures by an entity’s suppliers would improve </w:t>
      </w:r>
      <w:r w:rsidR="00754736">
        <w:rPr>
          <w:szCs w:val="24"/>
        </w:rPr>
        <w:t>the entity’s</w:t>
      </w:r>
      <w:r>
        <w:rPr>
          <w:szCs w:val="24"/>
        </w:rPr>
        <w:t xml:space="preserve"> ability to estimate Scope 3 (indirect) emissions</w:t>
      </w:r>
      <w:r w:rsidRPr="001D511B">
        <w:rPr>
          <w:szCs w:val="24"/>
        </w:rPr>
        <w:t>. Views are sought on how data challenges could impact entities applying new requirements in Australia</w:t>
      </w:r>
      <w:r>
        <w:rPr>
          <w:szCs w:val="24"/>
        </w:rPr>
        <w:t xml:space="preserve"> and how they might be addressed.</w:t>
      </w:r>
      <w:r w:rsidRPr="001D511B">
        <w:rPr>
          <w:szCs w:val="24"/>
        </w:rPr>
        <w:t xml:space="preserve"> </w:t>
      </w:r>
    </w:p>
    <w:p w14:paraId="59E98588" w14:textId="4A2225F0" w:rsidR="00FD512D" w:rsidRDefault="00FD512D" w:rsidP="00FD512D">
      <w:pPr>
        <w:spacing w:before="96" w:after="96"/>
        <w:rPr>
          <w:szCs w:val="24"/>
        </w:rPr>
      </w:pPr>
      <w:r w:rsidRPr="001D511B">
        <w:rPr>
          <w:szCs w:val="24"/>
        </w:rPr>
        <w:t>A related issue is the capability of users and preparers to collect, interpret and report data required to make climate disclosures. Views are sought on the extent to which these capabilities can be augmented ahead of common international timelines for mandatory climate reporting (2024-2025), whether there are salient data and capability gaps in specific disclosure requirements, and whether there are particular international initiatives that could help address these challenges.</w:t>
      </w:r>
    </w:p>
    <w:tbl>
      <w:tblPr>
        <w:tblW w:w="5001" w:type="pct"/>
        <w:shd w:val="clear" w:color="auto" w:fill="EEEEEE" w:themeFill="background2"/>
        <w:tblCellMar>
          <w:top w:w="227" w:type="dxa"/>
          <w:left w:w="227" w:type="dxa"/>
          <w:bottom w:w="227" w:type="dxa"/>
          <w:right w:w="227" w:type="dxa"/>
        </w:tblCellMar>
        <w:tblLook w:val="04A0" w:firstRow="1" w:lastRow="0" w:firstColumn="1" w:lastColumn="0" w:noHBand="0" w:noVBand="1"/>
      </w:tblPr>
      <w:tblGrid>
        <w:gridCol w:w="9072"/>
      </w:tblGrid>
      <w:tr w:rsidR="00950D75" w:rsidRPr="000D1284" w14:paraId="15C4FB49" w14:textId="77777777" w:rsidTr="005169E6">
        <w:trPr>
          <w:trHeight w:val="343"/>
        </w:trPr>
        <w:tc>
          <w:tcPr>
            <w:tcW w:w="5000" w:type="pct"/>
            <w:shd w:val="clear" w:color="auto" w:fill="EEEEEE" w:themeFill="background2"/>
          </w:tcPr>
          <w:p w14:paraId="206F4AC8" w14:textId="77777777" w:rsidR="005169E6" w:rsidRDefault="00950D75" w:rsidP="00081758">
            <w:pPr>
              <w:pStyle w:val="OutlineNumbered1"/>
              <w:numPr>
                <w:ilvl w:val="0"/>
                <w:numId w:val="0"/>
              </w:numPr>
            </w:pPr>
            <w:r w:rsidRPr="001B08E6">
              <w:rPr>
                <w:b/>
              </w:rPr>
              <w:t>Question 1</w:t>
            </w:r>
            <w:r>
              <w:rPr>
                <w:b/>
              </w:rPr>
              <w:t>3</w:t>
            </w:r>
            <w:r w:rsidRPr="001B08E6">
              <w:rPr>
                <w:b/>
              </w:rPr>
              <w:t>:</w:t>
            </w:r>
            <w:r w:rsidRPr="001B08E6">
              <w:t xml:space="preserve"> </w:t>
            </w:r>
            <w:r w:rsidR="005169E6">
              <w:t>Are there any specific capability or data challenges in the Australian context that should be considered when implementing new requirements?</w:t>
            </w:r>
          </w:p>
          <w:p w14:paraId="4A97DC5F" w14:textId="68ED41AA" w:rsidR="005169E6" w:rsidRDefault="005169E6" w:rsidP="005169E6">
            <w:pPr>
              <w:pStyle w:val="OutlineNumbered1"/>
              <w:numPr>
                <w:ilvl w:val="0"/>
                <w:numId w:val="0"/>
              </w:numPr>
              <w:ind w:left="1051" w:hanging="709"/>
            </w:pPr>
            <w:r>
              <w:t>13.1</w:t>
            </w:r>
            <w:r>
              <w:tab/>
              <w:t>How and by whom might any data gaps be addressed?</w:t>
            </w:r>
          </w:p>
          <w:p w14:paraId="428F7D41" w14:textId="42114F56" w:rsidR="00950D75" w:rsidRPr="000D1284" w:rsidRDefault="005169E6" w:rsidP="005169E6">
            <w:pPr>
              <w:pStyle w:val="OutlineNumbered1"/>
              <w:numPr>
                <w:ilvl w:val="0"/>
                <w:numId w:val="0"/>
              </w:numPr>
              <w:ind w:left="1051" w:hanging="709"/>
            </w:pPr>
            <w:r>
              <w:t>13.2</w:t>
            </w:r>
            <w:r>
              <w:tab/>
              <w:t>Are there any specific initiatives in comparable jurisdictions that may assist users and preparers of this information in addressing these challenges?</w:t>
            </w:r>
          </w:p>
        </w:tc>
      </w:tr>
    </w:tbl>
    <w:p w14:paraId="499FD770" w14:textId="64AFA463" w:rsidR="00B6093E" w:rsidRDefault="00EC234D" w:rsidP="000D4668">
      <w:pPr>
        <w:pStyle w:val="Heading3"/>
      </w:pPr>
      <w:bookmarkStart w:id="30" w:name="_Toc121390600"/>
      <w:bookmarkStart w:id="31" w:name="_Hlk111206069"/>
      <w:r>
        <w:lastRenderedPageBreak/>
        <w:t xml:space="preserve">Governance of </w:t>
      </w:r>
      <w:r w:rsidR="00B6093E">
        <w:t>supporting information for disclosures</w:t>
      </w:r>
      <w:bookmarkEnd w:id="30"/>
      <w:r w:rsidR="00B6093E">
        <w:t xml:space="preserve"> </w:t>
      </w:r>
    </w:p>
    <w:bookmarkEnd w:id="31"/>
    <w:p w14:paraId="1418AE52" w14:textId="77B1A519" w:rsidR="00B6093E" w:rsidRDefault="00EC234D" w:rsidP="00B6093E">
      <w:r>
        <w:t xml:space="preserve">Climate disclosures made </w:t>
      </w:r>
      <w:r w:rsidR="00891FEC">
        <w:t>in line with both</w:t>
      </w:r>
      <w:r>
        <w:t xml:space="preserve"> the TCFD and ISSB </w:t>
      </w:r>
      <w:r w:rsidR="00891FEC">
        <w:t xml:space="preserve">will reference </w:t>
      </w:r>
      <w:r w:rsidR="00F5664A">
        <w:t>some necessary</w:t>
      </w:r>
      <w:r w:rsidR="00891FEC">
        <w:t xml:space="preserve"> supporting information that the disclosing entity does not directly produce. For instance, scenario analysis may draw partially or entirely on externally produced scenarios</w:t>
      </w:r>
      <w:r w:rsidR="00CB4B95">
        <w:t xml:space="preserve">, where an entity provides information about the resilience of their strategy </w:t>
      </w:r>
      <w:r w:rsidR="00382BA4">
        <w:t>in response to</w:t>
      </w:r>
      <w:r w:rsidR="00CB4B95">
        <w:t xml:space="preserve"> these scenarios. Similarly, </w:t>
      </w:r>
      <w:r w:rsidR="00FF0C50">
        <w:t xml:space="preserve">there may be other relevant scientific information or methods for calculating emissions (particularly Scope 3 emissions) which may lie outside the TCFD or the ISSB standards. </w:t>
      </w:r>
      <w:r w:rsidR="00CF47DE">
        <w:t>For any of this information, v</w:t>
      </w:r>
      <w:r w:rsidR="00FF0C50">
        <w:t xml:space="preserve">iews are sought on </w:t>
      </w:r>
      <w:r w:rsidR="00CF47DE">
        <w:t xml:space="preserve">whether a particular authority should be </w:t>
      </w:r>
      <w:r w:rsidR="00F5664A">
        <w:t>responsible for</w:t>
      </w:r>
      <w:r w:rsidR="00CF47DE">
        <w:t xml:space="preserve"> providing information for use in climate-related financial disclosures in Australia, and the governance </w:t>
      </w:r>
      <w:r w:rsidR="005F6EEC">
        <w:t>of</w:t>
      </w:r>
      <w:r w:rsidR="00CF47DE">
        <w:t xml:space="preserve"> that information. For instance, a standard-setter or a scientific body could provide agreed scenarios to be used in scenario analysis.</w:t>
      </w:r>
    </w:p>
    <w:tbl>
      <w:tblPr>
        <w:tblW w:w="5001" w:type="pct"/>
        <w:shd w:val="clear" w:color="auto" w:fill="EEEEEE" w:themeFill="background2"/>
        <w:tblCellMar>
          <w:top w:w="227" w:type="dxa"/>
          <w:left w:w="227" w:type="dxa"/>
          <w:bottom w:w="227" w:type="dxa"/>
          <w:right w:w="227" w:type="dxa"/>
        </w:tblCellMar>
        <w:tblLook w:val="04A0" w:firstRow="1" w:lastRow="0" w:firstColumn="1" w:lastColumn="0" w:noHBand="0" w:noVBand="1"/>
      </w:tblPr>
      <w:tblGrid>
        <w:gridCol w:w="9072"/>
      </w:tblGrid>
      <w:tr w:rsidR="005169E6" w:rsidRPr="000D1284" w14:paraId="67587704" w14:textId="77777777" w:rsidTr="00081758">
        <w:trPr>
          <w:trHeight w:val="1043"/>
        </w:trPr>
        <w:tc>
          <w:tcPr>
            <w:tcW w:w="5000" w:type="pct"/>
            <w:shd w:val="clear" w:color="auto" w:fill="EEEEEE" w:themeFill="background2"/>
          </w:tcPr>
          <w:p w14:paraId="2386041C" w14:textId="50F41A8D" w:rsidR="005169E6" w:rsidRPr="000D1284" w:rsidRDefault="005169E6" w:rsidP="00081758">
            <w:pPr>
              <w:pStyle w:val="OutlineNumbered1"/>
              <w:numPr>
                <w:ilvl w:val="0"/>
                <w:numId w:val="0"/>
              </w:numPr>
            </w:pPr>
            <w:r w:rsidRPr="001B08E6">
              <w:rPr>
                <w:b/>
              </w:rPr>
              <w:t>Question 1</w:t>
            </w:r>
            <w:r>
              <w:rPr>
                <w:b/>
              </w:rPr>
              <w:t>4</w:t>
            </w:r>
            <w:r w:rsidRPr="001B08E6">
              <w:rPr>
                <w:b/>
              </w:rPr>
              <w:t>:</w:t>
            </w:r>
            <w:r w:rsidRPr="001B08E6">
              <w:t xml:space="preserve"> </w:t>
            </w:r>
            <w:r>
              <w:t>Regarding any supporting information necessary to meet required disclosures (for instance, climate scenarios), is there a case for a particular entity or entities to provide that information and the governance of such information</w:t>
            </w:r>
            <w:r w:rsidRPr="001B08E6">
              <w:t>?</w:t>
            </w:r>
            <w:r>
              <w:t xml:space="preserve">  </w:t>
            </w:r>
          </w:p>
        </w:tc>
      </w:tr>
    </w:tbl>
    <w:p w14:paraId="3C2C2CA1" w14:textId="00AB1326" w:rsidR="0094469F" w:rsidRPr="006226B7" w:rsidRDefault="00001FD5" w:rsidP="00D90551">
      <w:pPr>
        <w:pStyle w:val="Heading3"/>
      </w:pPr>
      <w:bookmarkStart w:id="32" w:name="_Toc121390601"/>
      <w:r>
        <w:t>Proportiona</w:t>
      </w:r>
      <w:r w:rsidR="00A702A2">
        <w:t>te application of liability</w:t>
      </w:r>
      <w:bookmarkEnd w:id="32"/>
    </w:p>
    <w:p w14:paraId="0E42A6EA" w14:textId="48748EFD" w:rsidR="00F20C8B" w:rsidRDefault="0047150B" w:rsidP="00DF07B2">
      <w:r>
        <w:t>Disclosure requirements</w:t>
      </w:r>
      <w:r w:rsidR="00FA0561">
        <w:t xml:space="preserve"> under the </w:t>
      </w:r>
      <w:r w:rsidR="00FA0561" w:rsidRPr="00EB7057">
        <w:t>Corporations Act</w:t>
      </w:r>
      <w:r>
        <w:t xml:space="preserve"> are backed by </w:t>
      </w:r>
      <w:r w:rsidR="00FA0561">
        <w:t xml:space="preserve">civil </w:t>
      </w:r>
      <w:r w:rsidR="002F79E4">
        <w:t>penalties to ensure markets are adequately informed</w:t>
      </w:r>
      <w:r w:rsidR="00097C77">
        <w:t xml:space="preserve"> and to </w:t>
      </w:r>
      <w:r w:rsidR="0065176C">
        <w:t>provide remedies for</w:t>
      </w:r>
      <w:r w:rsidR="00097C77">
        <w:t xml:space="preserve"> misleading</w:t>
      </w:r>
      <w:r w:rsidR="00203650">
        <w:t xml:space="preserve"> or deceptive</w:t>
      </w:r>
      <w:r w:rsidR="00097C77">
        <w:t xml:space="preserve"> conduct</w:t>
      </w:r>
      <w:r w:rsidR="002F79E4">
        <w:t>.</w:t>
      </w:r>
      <w:r>
        <w:t xml:space="preserve"> </w:t>
      </w:r>
      <w:r w:rsidR="00F27E49">
        <w:t xml:space="preserve">Compared to financial reporting, climate disclosures </w:t>
      </w:r>
      <w:r w:rsidR="00FB6F33">
        <w:t xml:space="preserve">involve substantial use of forward-looking information and may depend upon external parameters </w:t>
      </w:r>
      <w:r w:rsidR="00215FD9">
        <w:t>that are subject to uncertainty,</w:t>
      </w:r>
      <w:r w:rsidR="00FB6F33">
        <w:t xml:space="preserve"> such as climate </w:t>
      </w:r>
      <w:r w:rsidR="00215FD9">
        <w:t>scenarios</w:t>
      </w:r>
      <w:r w:rsidR="00FB6F33">
        <w:t>.</w:t>
      </w:r>
      <w:r w:rsidR="00203650">
        <w:t xml:space="preserve"> </w:t>
      </w:r>
      <w:r w:rsidR="00F20C8B">
        <w:t xml:space="preserve">Consequently, consideration is warranted for how climate disclosures should interact with the prohibitions in the Act, to ensure that </w:t>
      </w:r>
      <w:r w:rsidR="00B37B47">
        <w:t xml:space="preserve">entities </w:t>
      </w:r>
      <w:r w:rsidR="00F20C8B">
        <w:t>have appropriate incentives to provide accurate, comprehensive</w:t>
      </w:r>
      <w:r w:rsidR="001A42AF">
        <w:t>,</w:t>
      </w:r>
      <w:r w:rsidR="00F20C8B">
        <w:t xml:space="preserve"> and timely disclosures without taking on </w:t>
      </w:r>
      <w:r w:rsidR="0071562B">
        <w:t>disproportionate</w:t>
      </w:r>
      <w:r w:rsidR="00F20C8B">
        <w:t xml:space="preserve"> liability risk. </w:t>
      </w:r>
    </w:p>
    <w:p w14:paraId="7E2EA9CC" w14:textId="3C9F6160" w:rsidR="00F20C8B" w:rsidRDefault="00F20C8B" w:rsidP="00DF07B2">
      <w:r>
        <w:t xml:space="preserve">ASIC’s existing advice for forward-looking statements is that they must be made on ‘reasonable </w:t>
      </w:r>
      <w:r w:rsidR="00352B9C">
        <w:t>grounds’</w:t>
      </w:r>
      <w:r w:rsidR="00B25ACA">
        <w:t xml:space="preserve"> (with reference to </w:t>
      </w:r>
      <w:r w:rsidR="00B25ACA" w:rsidRPr="00B25ACA">
        <w:t>s769C and s728(2) of the Corporations Act</w:t>
      </w:r>
      <w:r w:rsidR="00B25ACA">
        <w:t>)</w:t>
      </w:r>
      <w:r>
        <w:t xml:space="preserve">. </w:t>
      </w:r>
      <w:r w:rsidR="00EA2428">
        <w:t>Views are sought on how this could be applied in the context of climate disclosures, and whether other mechanisms to address the balance between incentivising disclosure and penalising misconduct could be considered. For instance, in its draft climate disclosure rules, the US Securities and Exchange Commission has proposed a specific safe harbour regime for Scope 3 emissions (in addition to their general provisions for safe harbour for forward-looking statements).</w:t>
      </w:r>
    </w:p>
    <w:tbl>
      <w:tblPr>
        <w:tblW w:w="5001" w:type="pct"/>
        <w:shd w:val="clear" w:color="auto" w:fill="EEEEEE" w:themeFill="background2"/>
        <w:tblCellMar>
          <w:top w:w="227" w:type="dxa"/>
          <w:left w:w="227" w:type="dxa"/>
          <w:bottom w:w="227" w:type="dxa"/>
          <w:right w:w="227" w:type="dxa"/>
        </w:tblCellMar>
        <w:tblLook w:val="04A0" w:firstRow="1" w:lastRow="0" w:firstColumn="1" w:lastColumn="0" w:noHBand="0" w:noVBand="1"/>
      </w:tblPr>
      <w:tblGrid>
        <w:gridCol w:w="9072"/>
      </w:tblGrid>
      <w:tr w:rsidR="00DB0171" w:rsidRPr="000D1284" w14:paraId="622A0492" w14:textId="77777777" w:rsidTr="006414B7">
        <w:trPr>
          <w:trHeight w:val="1043"/>
        </w:trPr>
        <w:tc>
          <w:tcPr>
            <w:tcW w:w="5000" w:type="pct"/>
            <w:shd w:val="clear" w:color="auto" w:fill="EEEEEE" w:themeFill="background2"/>
          </w:tcPr>
          <w:p w14:paraId="774661FC" w14:textId="2F405518" w:rsidR="00DB0171" w:rsidRPr="000D1284" w:rsidRDefault="00DB0171" w:rsidP="0056754D">
            <w:pPr>
              <w:pStyle w:val="OutlineNumbered1"/>
              <w:numPr>
                <w:ilvl w:val="0"/>
                <w:numId w:val="0"/>
              </w:numPr>
            </w:pPr>
            <w:bookmarkStart w:id="33" w:name="_Hlk109402125"/>
            <w:r w:rsidRPr="001B08E6">
              <w:rPr>
                <w:b/>
              </w:rPr>
              <w:t xml:space="preserve">Question </w:t>
            </w:r>
            <w:r w:rsidR="005F08FC" w:rsidRPr="001B08E6">
              <w:rPr>
                <w:b/>
              </w:rPr>
              <w:t>1</w:t>
            </w:r>
            <w:r w:rsidR="009467E6">
              <w:rPr>
                <w:b/>
              </w:rPr>
              <w:t>5</w:t>
            </w:r>
            <w:r w:rsidRPr="001B08E6">
              <w:rPr>
                <w:b/>
              </w:rPr>
              <w:t>:</w:t>
            </w:r>
            <w:r w:rsidRPr="001B08E6">
              <w:t xml:space="preserve"> </w:t>
            </w:r>
            <w:r w:rsidR="00276137" w:rsidRPr="001B08E6">
              <w:t>H</w:t>
            </w:r>
            <w:r w:rsidR="0095305C" w:rsidRPr="001B08E6">
              <w:t xml:space="preserve">ow suitable </w:t>
            </w:r>
            <w:r w:rsidR="00352B9C" w:rsidRPr="001B08E6">
              <w:t>are</w:t>
            </w:r>
            <w:r w:rsidR="0095305C" w:rsidRPr="001B08E6">
              <w:t xml:space="preserve"> the ‘reasonable </w:t>
            </w:r>
            <w:r w:rsidR="00352B9C" w:rsidRPr="001B08E6">
              <w:t>grounds</w:t>
            </w:r>
            <w:r w:rsidR="0095305C" w:rsidRPr="001B08E6">
              <w:t>’ requirement</w:t>
            </w:r>
            <w:r w:rsidR="00352B9C" w:rsidRPr="001B08E6">
              <w:t>s</w:t>
            </w:r>
            <w:r w:rsidR="0095305C" w:rsidRPr="001B08E6">
              <w:t xml:space="preserve"> </w:t>
            </w:r>
            <w:r w:rsidR="00EF2009" w:rsidRPr="001B08E6">
              <w:t>and disclosures of uncertainties or assumptions</w:t>
            </w:r>
            <w:r w:rsidR="0095305C" w:rsidRPr="001B08E6">
              <w:t xml:space="preserve"> in the context of climate reporting? </w:t>
            </w:r>
            <w:r w:rsidR="00276137" w:rsidRPr="001B08E6">
              <w:t>Are there other tests</w:t>
            </w:r>
            <w:r w:rsidR="0071562B" w:rsidRPr="001B08E6">
              <w:t xml:space="preserve"> or measures</w:t>
            </w:r>
            <w:r w:rsidR="00276137" w:rsidRPr="001B08E6">
              <w:t xml:space="preserve"> that could be considered </w:t>
            </w:r>
            <w:r w:rsidR="0071562B" w:rsidRPr="001B08E6">
              <w:t>to ensure liability is proportionate to inherent uncertainty within some required climate disclosures?</w:t>
            </w:r>
            <w:r w:rsidR="0071562B">
              <w:t xml:space="preserve">  </w:t>
            </w:r>
            <w:bookmarkEnd w:id="33"/>
          </w:p>
        </w:tc>
      </w:tr>
    </w:tbl>
    <w:p w14:paraId="360CBD21" w14:textId="392085A1" w:rsidR="005117A0" w:rsidRDefault="005117A0" w:rsidP="00DB0171">
      <w:pPr>
        <w:pStyle w:val="Heading3"/>
      </w:pPr>
      <w:bookmarkStart w:id="34" w:name="_Toc121390602"/>
      <w:r>
        <w:t xml:space="preserve">Interaction with </w:t>
      </w:r>
      <w:r w:rsidR="00C4660B">
        <w:t>other reporting obligations</w:t>
      </w:r>
      <w:bookmarkEnd w:id="34"/>
    </w:p>
    <w:p w14:paraId="2FB341BD" w14:textId="2D287162" w:rsidR="00C4660B" w:rsidRDefault="00C4660B" w:rsidP="00C4660B">
      <w:r>
        <w:t xml:space="preserve">While it is anticipated that the bulk of disclosures will be part of periodic reporting, any new legislated requirements for disclosure will impact other reporting obligations, including but not limited to continuous disclosure obligations and fundraising documents. In line with earlier questions about the need to balance flexibility with certainty regarding obligations, and ensuring liability is proportionate </w:t>
      </w:r>
      <w:r>
        <w:lastRenderedPageBreak/>
        <w:t xml:space="preserve">to the nature of disclosures, views are welcomed on additional considerations for </w:t>
      </w:r>
      <w:r w:rsidR="00EE1D05">
        <w:t xml:space="preserve">the interaction between </w:t>
      </w:r>
      <w:r>
        <w:t xml:space="preserve">climate reporting </w:t>
      </w:r>
      <w:r w:rsidR="00EE1D05">
        <w:t>and other reporting obligations</w:t>
      </w:r>
      <w:r>
        <w:t>.</w:t>
      </w:r>
    </w:p>
    <w:tbl>
      <w:tblPr>
        <w:tblW w:w="5001" w:type="pct"/>
        <w:shd w:val="clear" w:color="auto" w:fill="EEEEEE" w:themeFill="background2"/>
        <w:tblCellMar>
          <w:top w:w="227" w:type="dxa"/>
          <w:left w:w="227" w:type="dxa"/>
          <w:bottom w:w="227" w:type="dxa"/>
          <w:right w:w="227" w:type="dxa"/>
        </w:tblCellMar>
        <w:tblLook w:val="04A0" w:firstRow="1" w:lastRow="0" w:firstColumn="1" w:lastColumn="0" w:noHBand="0" w:noVBand="1"/>
      </w:tblPr>
      <w:tblGrid>
        <w:gridCol w:w="9072"/>
      </w:tblGrid>
      <w:tr w:rsidR="005169E6" w:rsidRPr="000D1284" w14:paraId="7D482A6A" w14:textId="77777777" w:rsidTr="00081758">
        <w:trPr>
          <w:trHeight w:val="1043"/>
        </w:trPr>
        <w:tc>
          <w:tcPr>
            <w:tcW w:w="5000" w:type="pct"/>
            <w:shd w:val="clear" w:color="auto" w:fill="EEEEEE" w:themeFill="background2"/>
          </w:tcPr>
          <w:p w14:paraId="477C0E94" w14:textId="6F6F46AD" w:rsidR="005169E6" w:rsidRPr="000D1284" w:rsidRDefault="005169E6" w:rsidP="00081758">
            <w:pPr>
              <w:pStyle w:val="OutlineNumbered1"/>
              <w:numPr>
                <w:ilvl w:val="0"/>
                <w:numId w:val="0"/>
              </w:numPr>
            </w:pPr>
            <w:r w:rsidRPr="001B08E6">
              <w:rPr>
                <w:b/>
              </w:rPr>
              <w:t>Question 1</w:t>
            </w:r>
            <w:r>
              <w:rPr>
                <w:b/>
              </w:rPr>
              <w:t>6</w:t>
            </w:r>
            <w:r w:rsidRPr="001B08E6">
              <w:rPr>
                <w:b/>
              </w:rPr>
              <w:t>:</w:t>
            </w:r>
            <w:r w:rsidRPr="001B08E6">
              <w:t xml:space="preserve"> </w:t>
            </w:r>
            <w:r>
              <w:t>Are there particular considerations for how other reporting obligations</w:t>
            </w:r>
            <w:r w:rsidR="005A7E0A">
              <w:t xml:space="preserve"> (</w:t>
            </w:r>
            <w:r>
              <w:t>including continuous disclosure and fundraising documents</w:t>
            </w:r>
            <w:r w:rsidR="005A7E0A">
              <w:t>)</w:t>
            </w:r>
            <w:r>
              <w:t xml:space="preserve"> would interact with new climate reporting requirements</w:t>
            </w:r>
            <w:r w:rsidR="005A7E0A">
              <w:t xml:space="preserve"> and h</w:t>
            </w:r>
            <w:r>
              <w:t>ow should these interactions be addressed?</w:t>
            </w:r>
          </w:p>
        </w:tc>
      </w:tr>
    </w:tbl>
    <w:p w14:paraId="5E444347" w14:textId="64D19E53" w:rsidR="007B720C" w:rsidRPr="004F764C" w:rsidDel="00642D40" w:rsidRDefault="001F655D" w:rsidP="009222F1">
      <w:pPr>
        <w:pStyle w:val="Heading3"/>
      </w:pPr>
      <w:bookmarkStart w:id="35" w:name="_Toc121390603"/>
      <w:r w:rsidDel="00642D40">
        <w:t xml:space="preserve">Other </w:t>
      </w:r>
      <w:r w:rsidR="00B32116">
        <w:t>i</w:t>
      </w:r>
      <w:r w:rsidDel="00642D40">
        <w:t>mplementation issues</w:t>
      </w:r>
      <w:bookmarkEnd w:id="35"/>
    </w:p>
    <w:p w14:paraId="5E89C65E" w14:textId="629CAC07" w:rsidR="009F54C0" w:rsidRDefault="009F54C0" w:rsidP="002671E1">
      <w:pPr>
        <w:pStyle w:val="Heading4"/>
      </w:pPr>
      <w:bookmarkStart w:id="36" w:name="_Hlk107909364"/>
      <w:r w:rsidRPr="00A7246E">
        <w:t>Sustainability reporting</w:t>
      </w:r>
    </w:p>
    <w:p w14:paraId="5EFC6CD8" w14:textId="57FB9B67" w:rsidR="00F21972" w:rsidRDefault="009E5F5F">
      <w:r>
        <w:t xml:space="preserve">While the focus of </w:t>
      </w:r>
      <w:r w:rsidDel="00F25A30">
        <w:t>this</w:t>
      </w:r>
      <w:r w:rsidR="00F25A30">
        <w:t xml:space="preserve"> </w:t>
      </w:r>
      <w:r w:rsidR="00330186">
        <w:t xml:space="preserve">consultation </w:t>
      </w:r>
      <w:r w:rsidR="00F25A30">
        <w:t xml:space="preserve">is on the Government’s </w:t>
      </w:r>
      <w:r>
        <w:t>climate reporting</w:t>
      </w:r>
      <w:r w:rsidR="00F25A30">
        <w:t xml:space="preserve"> commitment</w:t>
      </w:r>
      <w:r>
        <w:t>, markets are increasingly seeking</w:t>
      </w:r>
      <w:r w:rsidR="00117DB8" w:rsidRPr="001756EB">
        <w:t xml:space="preserve"> </w:t>
      </w:r>
      <w:r>
        <w:t xml:space="preserve">information about </w:t>
      </w:r>
      <w:r w:rsidR="00117DB8" w:rsidRPr="001756EB">
        <w:t>broader sustainability-related financial risks. The Taskforce on Nature-related Financial Disclosures (TNFD)</w:t>
      </w:r>
      <w:r w:rsidR="00F21972">
        <w:t>, of which Australia is a strategic funding partner,</w:t>
      </w:r>
      <w:r w:rsidR="00117DB8" w:rsidRPr="001756EB">
        <w:t xml:space="preserve"> is working towards extending the TCFD approach to other domains of nature-related sustainability risks (such as biodiversity or water).</w:t>
      </w:r>
      <w:r w:rsidR="00117DB8">
        <w:t xml:space="preserve"> </w:t>
      </w:r>
      <w:r w:rsidR="00117DB8" w:rsidRPr="00117DB8">
        <w:t xml:space="preserve">The </w:t>
      </w:r>
      <w:r>
        <w:t>ISSB’s</w:t>
      </w:r>
      <w:r w:rsidR="00117DB8" w:rsidRPr="00117DB8">
        <w:t xml:space="preserve"> draft overarching standard for disclosing sustainability risks points to future development of </w:t>
      </w:r>
      <w:r>
        <w:t xml:space="preserve">standards to cover the TNFD domains. </w:t>
      </w:r>
    </w:p>
    <w:p w14:paraId="3F731832" w14:textId="66FCDC09" w:rsidR="009F54C0" w:rsidRDefault="00276503">
      <w:r>
        <w:t xml:space="preserve">Further, the consolidation of the Sustainability Accounting Standards Board and Value Reporting Foundation into the ISSB suggests that the ISSB’s global baseline for sustainability-related financial disclosures will eventually include social and governance disclosures (such as labour standards, tax transparency, diversity, relations with First Nations stakeholders). </w:t>
      </w:r>
      <w:r w:rsidR="003C2D5F">
        <w:t xml:space="preserve">Views are welcomed </w:t>
      </w:r>
      <w:r w:rsidR="00FC6C7C">
        <w:t>on</w:t>
      </w:r>
      <w:r w:rsidR="003C2D5F">
        <w:t xml:space="preserve"> </w:t>
      </w:r>
      <w:r w:rsidR="00FC6C7C">
        <w:t>the level of prioritisation that should be given to</w:t>
      </w:r>
      <w:r w:rsidR="003C2D5F" w:rsidDel="00FC6C7C">
        <w:t xml:space="preserve"> </w:t>
      </w:r>
      <w:r w:rsidR="003C2D5F">
        <w:t>develop</w:t>
      </w:r>
      <w:r w:rsidR="00FC6C7C">
        <w:t>ing</w:t>
      </w:r>
      <w:r w:rsidR="003C2D5F">
        <w:t xml:space="preserve"> climate reporting requirements that are adaptable enough to accommodate future global developments in </w:t>
      </w:r>
      <w:r w:rsidR="00F21972">
        <w:t xml:space="preserve">nature and other </w:t>
      </w:r>
      <w:r w:rsidR="003C2D5F">
        <w:t>sustainability reporting.</w:t>
      </w:r>
    </w:p>
    <w:tbl>
      <w:tblPr>
        <w:tblW w:w="5001" w:type="pct"/>
        <w:shd w:val="clear" w:color="auto" w:fill="EEEEEE" w:themeFill="background2"/>
        <w:tblCellMar>
          <w:top w:w="227" w:type="dxa"/>
          <w:left w:w="227" w:type="dxa"/>
          <w:bottom w:w="227" w:type="dxa"/>
          <w:right w:w="227" w:type="dxa"/>
        </w:tblCellMar>
        <w:tblLook w:val="04A0" w:firstRow="1" w:lastRow="0" w:firstColumn="1" w:lastColumn="0" w:noHBand="0" w:noVBand="1"/>
      </w:tblPr>
      <w:tblGrid>
        <w:gridCol w:w="9072"/>
      </w:tblGrid>
      <w:tr w:rsidR="00693940" w:rsidDel="00642D40" w14:paraId="359764EF" w14:textId="77777777" w:rsidTr="00BF67F8">
        <w:trPr>
          <w:trHeight w:val="562"/>
        </w:trPr>
        <w:tc>
          <w:tcPr>
            <w:tcW w:w="5000" w:type="pct"/>
            <w:shd w:val="clear" w:color="auto" w:fill="EEEEEE" w:themeFill="background2"/>
          </w:tcPr>
          <w:p w14:paraId="1DA3F269" w14:textId="61FDEC0A" w:rsidR="00693940" w:rsidRPr="000D1284" w:rsidDel="00642D40" w:rsidRDefault="00693940" w:rsidP="0056754D">
            <w:pPr>
              <w:pStyle w:val="OutlineNumbered1"/>
              <w:numPr>
                <w:ilvl w:val="0"/>
                <w:numId w:val="0"/>
              </w:numPr>
            </w:pPr>
            <w:r w:rsidRPr="009F54C0">
              <w:rPr>
                <w:b/>
                <w:bCs/>
              </w:rPr>
              <w:t xml:space="preserve">Question </w:t>
            </w:r>
            <w:r w:rsidR="005F08FC">
              <w:rPr>
                <w:b/>
                <w:bCs/>
              </w:rPr>
              <w:t>1</w:t>
            </w:r>
            <w:r w:rsidR="009467E6">
              <w:rPr>
                <w:b/>
                <w:bCs/>
              </w:rPr>
              <w:t>7</w:t>
            </w:r>
            <w:r w:rsidRPr="009F54C0">
              <w:rPr>
                <w:b/>
                <w:bCs/>
              </w:rPr>
              <w:t>:</w:t>
            </w:r>
            <w:r>
              <w:t xml:space="preserve"> While the focus of this reform is on climate reporting, how much should flexibility to incorporate the growth of other sustainability reporting be considered in the practical design of these reforms?</w:t>
            </w:r>
          </w:p>
        </w:tc>
      </w:tr>
    </w:tbl>
    <w:p w14:paraId="23E38836" w14:textId="1B827253" w:rsidR="002671E1" w:rsidRDefault="002671E1" w:rsidP="002671E1">
      <w:pPr>
        <w:pStyle w:val="Heading4"/>
      </w:pPr>
      <w:r>
        <w:t xml:space="preserve">Digital </w:t>
      </w:r>
      <w:r w:rsidR="00FB60AD">
        <w:t xml:space="preserve">sustainability </w:t>
      </w:r>
      <w:r>
        <w:t>reporting</w:t>
      </w:r>
    </w:p>
    <w:p w14:paraId="4F35E72A" w14:textId="6AE42CBF" w:rsidR="00117DB8" w:rsidRDefault="00FB60AD" w:rsidP="00B661DD">
      <w:r>
        <w:t xml:space="preserve">The advent of sustainability reporting presents an opportunity to </w:t>
      </w:r>
      <w:r w:rsidR="009E5F5F">
        <w:t>embed digital reporting practices in sustainability disclosures from the outset</w:t>
      </w:r>
      <w:r>
        <w:t xml:space="preserve">. While </w:t>
      </w:r>
      <w:r w:rsidR="00B37B47">
        <w:t>reporting entities</w:t>
      </w:r>
      <w:r>
        <w:t xml:space="preserve"> have been able to lodge digital financial reports since 2010, zero have been lodged. Digital reporting allows for the machine readability of documents without the need for manual data extraction. </w:t>
      </w:r>
      <w:r w:rsidR="009E5F5F" w:rsidDel="00642D40">
        <w:t>This provides a greater opportunity for investors, auditors</w:t>
      </w:r>
      <w:r w:rsidR="001658B0">
        <w:t>,</w:t>
      </w:r>
      <w:r w:rsidR="009E5F5F" w:rsidDel="00642D40">
        <w:t xml:space="preserve"> and regulators to readily use this data for analysis, comparison</w:t>
      </w:r>
      <w:r w:rsidR="001658B0">
        <w:t>,</w:t>
      </w:r>
      <w:r w:rsidR="009E5F5F" w:rsidDel="00642D40">
        <w:t xml:space="preserve"> and risk assessment. </w:t>
      </w:r>
      <w:r w:rsidR="009E5F5F">
        <w:t>Views are sought on the</w:t>
      </w:r>
      <w:r>
        <w:t xml:space="preserve"> costs and benefits of requiring digital reporting for mandatory climate risk disclosure </w:t>
      </w:r>
      <w:r w:rsidR="009E5F5F">
        <w:t>and broader sustainability reporting.</w:t>
      </w:r>
    </w:p>
    <w:tbl>
      <w:tblPr>
        <w:tblW w:w="5001" w:type="pct"/>
        <w:shd w:val="clear" w:color="auto" w:fill="EEEEEE" w:themeFill="background2"/>
        <w:tblCellMar>
          <w:top w:w="227" w:type="dxa"/>
          <w:left w:w="227" w:type="dxa"/>
          <w:bottom w:w="227" w:type="dxa"/>
          <w:right w:w="227" w:type="dxa"/>
        </w:tblCellMar>
        <w:tblLook w:val="04A0" w:firstRow="1" w:lastRow="0" w:firstColumn="1" w:lastColumn="0" w:noHBand="0" w:noVBand="1"/>
      </w:tblPr>
      <w:tblGrid>
        <w:gridCol w:w="9072"/>
      </w:tblGrid>
      <w:tr w:rsidR="00117DB8" w:rsidDel="00642D40" w14:paraId="3715A32F" w14:textId="77777777" w:rsidTr="00697B7F">
        <w:trPr>
          <w:trHeight w:val="562"/>
        </w:trPr>
        <w:tc>
          <w:tcPr>
            <w:tcW w:w="5000" w:type="pct"/>
            <w:shd w:val="clear" w:color="auto" w:fill="EEEEEE" w:themeFill="background2"/>
          </w:tcPr>
          <w:p w14:paraId="39EC3E0F" w14:textId="65551B17" w:rsidR="00117DB8" w:rsidRPr="000D1284" w:rsidDel="00642D40" w:rsidRDefault="00117DB8" w:rsidP="0056754D">
            <w:pPr>
              <w:pStyle w:val="OutlineNumbered1"/>
              <w:numPr>
                <w:ilvl w:val="0"/>
                <w:numId w:val="0"/>
              </w:numPr>
            </w:pPr>
            <w:bookmarkStart w:id="37" w:name="_Hlk109402143"/>
            <w:bookmarkStart w:id="38" w:name="_Hlk110864318"/>
            <w:r w:rsidRPr="00235875">
              <w:rPr>
                <w:b/>
                <w:bCs/>
              </w:rPr>
              <w:t xml:space="preserve">Question </w:t>
            </w:r>
            <w:r w:rsidR="005F08FC">
              <w:rPr>
                <w:b/>
                <w:bCs/>
              </w:rPr>
              <w:t>1</w:t>
            </w:r>
            <w:r w:rsidR="009467E6">
              <w:rPr>
                <w:b/>
                <w:bCs/>
              </w:rPr>
              <w:t>8</w:t>
            </w:r>
            <w:r w:rsidRPr="00235875">
              <w:rPr>
                <w:b/>
                <w:bCs/>
              </w:rPr>
              <w:t>:</w:t>
            </w:r>
            <w:r>
              <w:t xml:space="preserve"> Should digital reporting be mandated for sustainability risk reporting? What are the barriers and costs for implementing digital reporting?</w:t>
            </w:r>
            <w:bookmarkEnd w:id="37"/>
          </w:p>
        </w:tc>
      </w:tr>
    </w:tbl>
    <w:p w14:paraId="202C71FD" w14:textId="584157E2" w:rsidR="00FC7DEA" w:rsidRDefault="00B74B64" w:rsidP="00E616A9">
      <w:pPr>
        <w:pStyle w:val="Heading2"/>
      </w:pPr>
      <w:bookmarkStart w:id="39" w:name="_Toc121390604"/>
      <w:bookmarkEnd w:id="38"/>
      <w:r>
        <w:lastRenderedPageBreak/>
        <w:t xml:space="preserve">Ensuring </w:t>
      </w:r>
      <w:r w:rsidR="00FC7DEA">
        <w:t xml:space="preserve">the financial reporting </w:t>
      </w:r>
      <w:r>
        <w:t xml:space="preserve">framework is fit for purpose </w:t>
      </w:r>
      <w:r w:rsidR="00FC7DEA">
        <w:t>to support climate risk disclosure</w:t>
      </w:r>
      <w:r>
        <w:t>s</w:t>
      </w:r>
      <w:bookmarkEnd w:id="39"/>
      <w:r w:rsidR="00FC7DEA">
        <w:t xml:space="preserve"> </w:t>
      </w:r>
    </w:p>
    <w:p w14:paraId="5A47E04F" w14:textId="08B79546" w:rsidR="001358BB" w:rsidRDefault="00FC7DEA" w:rsidP="001358BB">
      <w:r>
        <w:t>Australia</w:t>
      </w:r>
      <w:r w:rsidR="00B74B64">
        <w:t>’s</w:t>
      </w:r>
      <w:r>
        <w:t xml:space="preserve"> financial reporting framework aims to support the Australian economy by reducing the cost of capital, maintaining investor confidence</w:t>
      </w:r>
      <w:r w:rsidR="00493A95">
        <w:t>,</w:t>
      </w:r>
      <w:r>
        <w:t xml:space="preserve"> and enabling Australian entities to compete overseas effectively. </w:t>
      </w:r>
      <w:r w:rsidR="0022617A">
        <w:t>Due to recent</w:t>
      </w:r>
      <w:r w:rsidR="001358BB">
        <w:t xml:space="preserve"> global efforts to develop climate and sustainability risk disclosure standards</w:t>
      </w:r>
      <w:r w:rsidR="00024335">
        <w:t xml:space="preserve"> </w:t>
      </w:r>
      <w:r w:rsidR="0022617A">
        <w:t>it is necessary</w:t>
      </w:r>
      <w:r w:rsidR="00615050">
        <w:t xml:space="preserve"> to ensure </w:t>
      </w:r>
      <w:r w:rsidR="004100BA">
        <w:t xml:space="preserve">that </w:t>
      </w:r>
      <w:r w:rsidR="00DB4A08">
        <w:t>this</w:t>
      </w:r>
      <w:r w:rsidR="00B930BB">
        <w:t xml:space="preserve"> framework can support the implementation of </w:t>
      </w:r>
      <w:r w:rsidR="004100BA">
        <w:t>a climate risk disclosure regime in Australi</w:t>
      </w:r>
      <w:r w:rsidR="00B930BB">
        <w:t xml:space="preserve">a, </w:t>
      </w:r>
      <w:r w:rsidR="00F02B15">
        <w:t>so</w:t>
      </w:r>
      <w:r w:rsidR="001358BB">
        <w:t xml:space="preserve"> </w:t>
      </w:r>
      <w:r w:rsidR="00B930BB">
        <w:t xml:space="preserve">it </w:t>
      </w:r>
      <w:r w:rsidR="001358BB">
        <w:t>remain</w:t>
      </w:r>
      <w:r w:rsidR="00B930BB">
        <w:t>s</w:t>
      </w:r>
      <w:r w:rsidR="001358BB">
        <w:t xml:space="preserve"> </w:t>
      </w:r>
      <w:r w:rsidR="00024335">
        <w:t xml:space="preserve">efficient, effective and fit-for-purpose. It is </w:t>
      </w:r>
      <w:r w:rsidR="00B930BB">
        <w:t>also</w:t>
      </w:r>
      <w:r w:rsidR="00024335">
        <w:t xml:space="preserve"> timely to consider whether the legislative, governance and standard-setting arrangements for financial reporting in Australia are </w:t>
      </w:r>
      <w:r w:rsidR="001358BB">
        <w:t xml:space="preserve">sufficiently adaptable to respond to future developments, and </w:t>
      </w:r>
      <w:r w:rsidR="00024335">
        <w:t xml:space="preserve">can </w:t>
      </w:r>
      <w:r w:rsidR="001358BB">
        <w:t xml:space="preserve">continue to support the integrity, investment attractiveness of Australian markets and competitiveness of Australian businesses. </w:t>
      </w:r>
    </w:p>
    <w:p w14:paraId="341BF192" w14:textId="15D88249" w:rsidR="00B70080" w:rsidRDefault="006E0D42" w:rsidP="005712C8">
      <w:r>
        <w:t xml:space="preserve">The governance and oversight arrangements in the Australian financial reporting system </w:t>
      </w:r>
      <w:r w:rsidR="00FC7DEA">
        <w:t xml:space="preserve">established under </w:t>
      </w:r>
      <w:r w:rsidR="00437630">
        <w:t>Commonwealth</w:t>
      </w:r>
      <w:r w:rsidR="00FC7DEA">
        <w:t xml:space="preserve"> legislation</w:t>
      </w:r>
      <w:r>
        <w:t xml:space="preserve"> </w:t>
      </w:r>
      <w:r w:rsidR="00E66560">
        <w:t xml:space="preserve">is </w:t>
      </w:r>
      <w:r w:rsidR="007443C7">
        <w:t xml:space="preserve">given effect </w:t>
      </w:r>
      <w:r w:rsidR="00FC7DEA">
        <w:t xml:space="preserve">by </w:t>
      </w:r>
      <w:r>
        <w:t xml:space="preserve">a range of government and non-government organisations. These include ASIC, FRC, AASB, AUASB, and the professional accounting bodies. Relevantly, </w:t>
      </w:r>
      <w:r w:rsidR="009564F2">
        <w:t xml:space="preserve">reporting entities must comply with the </w:t>
      </w:r>
      <w:r w:rsidR="00F432EA">
        <w:t>accounting</w:t>
      </w:r>
      <w:r w:rsidR="005C5E30">
        <w:t xml:space="preserve"> standards</w:t>
      </w:r>
      <w:r w:rsidR="00921E8B">
        <w:t xml:space="preserve"> issued by the AASB, while auditors and assurance providers much comply with</w:t>
      </w:r>
      <w:r w:rsidR="00A15B93">
        <w:t xml:space="preserve"> </w:t>
      </w:r>
      <w:r w:rsidR="00F432EA">
        <w:t xml:space="preserve">auditing </w:t>
      </w:r>
      <w:r w:rsidR="00921E8B">
        <w:t xml:space="preserve">and assurance </w:t>
      </w:r>
      <w:r w:rsidR="009564F2">
        <w:t xml:space="preserve">standards issued by </w:t>
      </w:r>
      <w:r w:rsidR="00FC7DEA">
        <w:t xml:space="preserve">the AUASB. </w:t>
      </w:r>
      <w:r w:rsidR="00F432EA">
        <w:t xml:space="preserve">While the AASB and AUASB operate independently in developing and implementing standards, they are subject to the broad strategic oversight and guidance of the </w:t>
      </w:r>
      <w:r w:rsidR="00FC7DEA">
        <w:t>FRC</w:t>
      </w:r>
      <w:r w:rsidR="00F432EA">
        <w:t xml:space="preserve">. </w:t>
      </w:r>
      <w:r w:rsidR="0044775B">
        <w:t xml:space="preserve">The FRC’s </w:t>
      </w:r>
      <w:r w:rsidR="00F432EA">
        <w:t>functions</w:t>
      </w:r>
      <w:r w:rsidR="0044775B">
        <w:t xml:space="preserve"> </w:t>
      </w:r>
      <w:r w:rsidR="00B8343E">
        <w:t xml:space="preserve">also </w:t>
      </w:r>
      <w:r w:rsidR="00F432EA">
        <w:t xml:space="preserve">include advising </w:t>
      </w:r>
      <w:r w:rsidR="00FC7DEA">
        <w:t>Government on accounting and auditing systems and processes</w:t>
      </w:r>
      <w:r w:rsidR="00B8343E">
        <w:t>,</w:t>
      </w:r>
      <w:r w:rsidR="00F432EA">
        <w:t xml:space="preserve"> and audit quality</w:t>
      </w:r>
      <w:r w:rsidR="00FC7DEA">
        <w:t>.</w:t>
      </w:r>
      <w:r w:rsidR="000D7791">
        <w:t xml:space="preserve"> </w:t>
      </w:r>
    </w:p>
    <w:p w14:paraId="623EF4D5" w14:textId="000E0057" w:rsidR="00FC7DEA" w:rsidRDefault="000D7791" w:rsidP="005712C8">
      <w:r>
        <w:t>In practice, the FRC relies on the greater resources of the AASB and AUASB to carry out many of its functions, including implementation of its Audit Quality Action Plan</w:t>
      </w:r>
      <w:r w:rsidR="00A44C98">
        <w:t xml:space="preserve"> and leading international and domestic stakeholder engagement on current and emerging issues including climate and sustainability related risk disclosure</w:t>
      </w:r>
      <w:r>
        <w:t xml:space="preserve">. </w:t>
      </w:r>
    </w:p>
    <w:p w14:paraId="5A94FD8E" w14:textId="70A62C42" w:rsidR="00940A6C" w:rsidRDefault="00B25ACA" w:rsidP="00F13AD6">
      <w:r>
        <w:t>S</w:t>
      </w:r>
      <w:r w:rsidR="00FC7DEA">
        <w:t xml:space="preserve">tructural barriers may </w:t>
      </w:r>
      <w:r w:rsidR="00643C41">
        <w:t xml:space="preserve">create administrative </w:t>
      </w:r>
      <w:r w:rsidR="00A44C98">
        <w:t xml:space="preserve">and allocative </w:t>
      </w:r>
      <w:r w:rsidR="00643C41">
        <w:t>inefficiencies</w:t>
      </w:r>
      <w:r w:rsidR="00FC7DEA">
        <w:t>,</w:t>
      </w:r>
      <w:r w:rsidR="00FC7DEA" w:rsidRPr="003E0F75">
        <w:t xml:space="preserve"> </w:t>
      </w:r>
      <w:r w:rsidR="00A44C98">
        <w:t xml:space="preserve">which constrain the reporting bodies’ </w:t>
      </w:r>
      <w:r w:rsidR="00FC7DEA">
        <w:t xml:space="preserve">ability to respond to current </w:t>
      </w:r>
      <w:r w:rsidR="00A44C98">
        <w:t xml:space="preserve">and future </w:t>
      </w:r>
      <w:r w:rsidR="00FC7DEA">
        <w:t xml:space="preserve">developments. </w:t>
      </w:r>
      <w:r w:rsidR="00940A6C">
        <w:t xml:space="preserve">As the financial reporting landscape is expected to </w:t>
      </w:r>
      <w:r w:rsidR="00AF05FF">
        <w:t>further</w:t>
      </w:r>
      <w:r w:rsidR="00940A6C">
        <w:t xml:space="preserve"> transform, Australia’s financial reporting framework </w:t>
      </w:r>
      <w:r w:rsidR="001C3066">
        <w:t>should flexibly respond to emerging issues to fulfil its aim</w:t>
      </w:r>
      <w:r w:rsidR="002635E9">
        <w:t>s</w:t>
      </w:r>
      <w:r w:rsidR="001C3066">
        <w:t xml:space="preserve">. </w:t>
      </w:r>
    </w:p>
    <w:p w14:paraId="53BE5308" w14:textId="0D285B3E" w:rsidR="00AF4551" w:rsidRDefault="00AF4551" w:rsidP="00F13AD6">
      <w:r>
        <w:t xml:space="preserve">The following sections outline three </w:t>
      </w:r>
      <w:r w:rsidR="00C15C10">
        <w:t>potential structures</w:t>
      </w:r>
      <w:r w:rsidR="00F13AD6" w:rsidRPr="006D293B">
        <w:t xml:space="preserve"> </w:t>
      </w:r>
      <w:r>
        <w:t xml:space="preserve">to support implementation of climate risk disclosure standards and the ongoing efficiency and effectiveness of the financial reporting system. The proposed structures reflect longer term visions of the financial framework. They do not preclude temporary and transitional legislative changes to enable Australia to continue to participate in the domestic and international efforts to develop and implement climate risk disclosure standards in the short term. </w:t>
      </w:r>
    </w:p>
    <w:p w14:paraId="02466791" w14:textId="25E306E6" w:rsidR="000E0805" w:rsidRDefault="00AF4551" w:rsidP="00F13AD6">
      <w:r>
        <w:t xml:space="preserve">Stakeholders are invited to consider and provide feedback on the proposed structures, including any impacts on individual businesses, sectors, the accounting and auditing profession, </w:t>
      </w:r>
      <w:r w:rsidR="0069638A">
        <w:t>and</w:t>
      </w:r>
      <w:r>
        <w:t xml:space="preserve"> the financial reporting system as a whole. </w:t>
      </w:r>
      <w:r w:rsidR="000E0805">
        <w:t>S</w:t>
      </w:r>
      <w:r w:rsidR="00F13AD6">
        <w:t xml:space="preserve">takeholders </w:t>
      </w:r>
      <w:r w:rsidR="0069638A">
        <w:t>are</w:t>
      </w:r>
      <w:r w:rsidR="00F13AD6">
        <w:t xml:space="preserve"> </w:t>
      </w:r>
      <w:r w:rsidR="000E0805">
        <w:t xml:space="preserve">also </w:t>
      </w:r>
      <w:r w:rsidR="0069638A">
        <w:t>invited</w:t>
      </w:r>
      <w:r w:rsidR="00F13AD6">
        <w:t xml:space="preserve"> to </w:t>
      </w:r>
      <w:r w:rsidR="000E0805">
        <w:t xml:space="preserve">submit ideas on </w:t>
      </w:r>
      <w:r w:rsidR="00F13AD6">
        <w:t xml:space="preserve">other </w:t>
      </w:r>
      <w:r w:rsidR="00C748F5">
        <w:t xml:space="preserve">potential </w:t>
      </w:r>
      <w:r w:rsidR="00F13AD6">
        <w:t xml:space="preserve">financial reporting </w:t>
      </w:r>
      <w:r w:rsidR="000E0805">
        <w:t xml:space="preserve">reform ideas to support introduction of a climate risk disclosure regime. </w:t>
      </w:r>
    </w:p>
    <w:p w14:paraId="5A5ECD08" w14:textId="2C6AD5BB" w:rsidR="00FC7DEA" w:rsidRPr="005712C8" w:rsidRDefault="00C748F5" w:rsidP="00E616A9">
      <w:pPr>
        <w:pStyle w:val="Heading3"/>
      </w:pPr>
      <w:bookmarkStart w:id="40" w:name="_Toc121390605"/>
      <w:r>
        <w:t>Potential Structure</w:t>
      </w:r>
      <w:r w:rsidR="00FC7DEA" w:rsidRPr="005712C8">
        <w:t xml:space="preserve"> 1. Confirm the AASB as the entity responsible for </w:t>
      </w:r>
      <w:r w:rsidR="00FC7DEA" w:rsidRPr="000C4803">
        <w:t>developing</w:t>
      </w:r>
      <w:r w:rsidR="00FC7DEA" w:rsidRPr="005712C8">
        <w:t>, making and monitoring climate and sustainability related standards</w:t>
      </w:r>
      <w:bookmarkEnd w:id="40"/>
    </w:p>
    <w:p w14:paraId="01EC8214" w14:textId="30F06753" w:rsidR="00FC7DEA" w:rsidRPr="002B7BF1" w:rsidRDefault="00FC7DEA" w:rsidP="005712C8">
      <w:r>
        <w:t xml:space="preserve">Under this proposal, </w:t>
      </w:r>
      <w:r w:rsidR="00437630">
        <w:t>Commonwealth</w:t>
      </w:r>
      <w:r>
        <w:t xml:space="preserve"> legislation would be amended to confirm the AASB as the entity responsible for </w:t>
      </w:r>
      <w:r w:rsidRPr="000F490A">
        <w:t>develop</w:t>
      </w:r>
      <w:r>
        <w:t>ing</w:t>
      </w:r>
      <w:r w:rsidRPr="004C7C4C">
        <w:t xml:space="preserve">, </w:t>
      </w:r>
      <w:r>
        <w:t xml:space="preserve">making </w:t>
      </w:r>
      <w:r w:rsidRPr="004C7C4C">
        <w:t>and monitor</w:t>
      </w:r>
      <w:r>
        <w:t>ing</w:t>
      </w:r>
      <w:r w:rsidRPr="004C7C4C">
        <w:t xml:space="preserve"> climate and sustainability </w:t>
      </w:r>
      <w:r>
        <w:t xml:space="preserve">related </w:t>
      </w:r>
      <w:r w:rsidR="00474D95">
        <w:t xml:space="preserve">risk disclosure </w:t>
      </w:r>
      <w:r w:rsidRPr="004C7C4C">
        <w:t xml:space="preserve">standards. </w:t>
      </w:r>
      <w:r w:rsidR="008473C8">
        <w:t xml:space="preserve">The FRC’s oversight of the AASB would continue and include any activities related to </w:t>
      </w:r>
      <w:r w:rsidR="008473C8">
        <w:lastRenderedPageBreak/>
        <w:t>sustainability standards.</w:t>
      </w:r>
      <w:r w:rsidR="005239EC">
        <w:t xml:space="preserve"> </w:t>
      </w:r>
      <w:r w:rsidR="00A34F8B">
        <w:t>T</w:t>
      </w:r>
      <w:r w:rsidR="00CA510A">
        <w:t>he AUASB would have responsibility for developing and maintaining any assurance requirements applicable to climate and sustainability related reporting</w:t>
      </w:r>
      <w:r w:rsidR="005239EC">
        <w:rPr>
          <w:szCs w:val="22"/>
        </w:rPr>
        <w:t>.</w:t>
      </w:r>
      <w:r w:rsidR="008473C8">
        <w:t xml:space="preserve"> </w:t>
      </w:r>
      <w:r>
        <w:t xml:space="preserve">The Corporations Act and </w:t>
      </w:r>
      <w:r w:rsidR="00437630">
        <w:t xml:space="preserve">the </w:t>
      </w:r>
      <w:r w:rsidR="007F4362" w:rsidRPr="00EB7057">
        <w:rPr>
          <w:i/>
          <w:iCs/>
        </w:rPr>
        <w:t>Australian Securities and Investments Commission Act 2001</w:t>
      </w:r>
      <w:r w:rsidR="007F4362">
        <w:t xml:space="preserve"> (</w:t>
      </w:r>
      <w:r>
        <w:t>ASIC Act</w:t>
      </w:r>
      <w:r w:rsidR="007F4362">
        <w:t>)</w:t>
      </w:r>
      <w:r>
        <w:t xml:space="preserve"> do not currently explicitly grant such </w:t>
      </w:r>
      <w:r w:rsidR="00437630">
        <w:t>functions</w:t>
      </w:r>
      <w:r>
        <w:t xml:space="preserve"> to the AASB.</w:t>
      </w:r>
    </w:p>
    <w:p w14:paraId="6946E865" w14:textId="6BFA2330" w:rsidR="00FC7DEA" w:rsidRDefault="002F43E4" w:rsidP="005712C8">
      <w:r>
        <w:t>T</w:t>
      </w:r>
      <w:r w:rsidR="00FC7DEA">
        <w:t xml:space="preserve">he AASB has </w:t>
      </w:r>
      <w:r>
        <w:t xml:space="preserve">already </w:t>
      </w:r>
      <w:r w:rsidR="00FC7DEA">
        <w:t xml:space="preserve">commenced preparatory steps for any future introduction of climate and sustainability related risk disclosure standards in Australia. In particular it has: </w:t>
      </w:r>
    </w:p>
    <w:p w14:paraId="604E4E32" w14:textId="77777777" w:rsidR="00FC7DEA" w:rsidRDefault="00FC7DEA" w:rsidP="00FC7DEA">
      <w:pPr>
        <w:pStyle w:val="Bullet"/>
      </w:pPr>
      <w:r>
        <w:t xml:space="preserve">consulted </w:t>
      </w:r>
      <w:r w:rsidRPr="00BA1ED4">
        <w:t xml:space="preserve">on the exposure draft </w:t>
      </w:r>
      <w:bookmarkStart w:id="41" w:name="_Hlk110432873"/>
      <w:r w:rsidRPr="00BA1ED4">
        <w:t xml:space="preserve">IFRS S1 </w:t>
      </w:r>
      <w:r w:rsidRPr="00BA1ED4">
        <w:rPr>
          <w:i/>
        </w:rPr>
        <w:t>General Requirements for Disclosure of Sustainability-related Financial Information</w:t>
      </w:r>
      <w:r w:rsidRPr="00BA1ED4">
        <w:t xml:space="preserve"> </w:t>
      </w:r>
      <w:bookmarkEnd w:id="41"/>
      <w:r w:rsidRPr="00BA1ED4">
        <w:t xml:space="preserve">and IFRS S2 </w:t>
      </w:r>
      <w:r w:rsidRPr="00BA1ED4">
        <w:rPr>
          <w:i/>
        </w:rPr>
        <w:t>Climate-related Disclosures</w:t>
      </w:r>
    </w:p>
    <w:p w14:paraId="371ACD66" w14:textId="77777777" w:rsidR="00FC7DEA" w:rsidRDefault="00FC7DEA" w:rsidP="00FC7DEA">
      <w:pPr>
        <w:pStyle w:val="Bullet"/>
      </w:pPr>
      <w:r>
        <w:t>engaged with international counterparts, including the ISSB on development of sustainability related standards</w:t>
      </w:r>
    </w:p>
    <w:p w14:paraId="1A4697DA" w14:textId="77777777" w:rsidR="00FC7DEA" w:rsidRPr="00BA1ED4" w:rsidRDefault="00FC7DEA" w:rsidP="00FC7DEA">
      <w:pPr>
        <w:pStyle w:val="Bullet"/>
      </w:pPr>
      <w:r>
        <w:t xml:space="preserve">nominated a member to the ISSB’s Sustainability Standards Advisory Forum </w:t>
      </w:r>
    </w:p>
    <w:p w14:paraId="213C38D9" w14:textId="77777777" w:rsidR="00FC7DEA" w:rsidRDefault="00FC7DEA" w:rsidP="00FC7DEA">
      <w:pPr>
        <w:pStyle w:val="Bullet"/>
      </w:pPr>
      <w:r w:rsidRPr="00AA4597">
        <w:t>established</w:t>
      </w:r>
      <w:r>
        <w:t>, with the AUASB,</w:t>
      </w:r>
      <w:r w:rsidRPr="00AA4597">
        <w:t xml:space="preserve"> </w:t>
      </w:r>
      <w:r>
        <w:t xml:space="preserve">a joint informal consultative panel to provide technical expertise to the boards on sustainability related reporting matters. </w:t>
      </w:r>
    </w:p>
    <w:p w14:paraId="1E5DAE95" w14:textId="29858020" w:rsidR="00FC7DEA" w:rsidRDefault="000B6F9A" w:rsidP="005712C8">
      <w:r>
        <w:t>T</w:t>
      </w:r>
      <w:r w:rsidR="00FC7DEA" w:rsidRPr="007D0355">
        <w:t xml:space="preserve">his </w:t>
      </w:r>
      <w:r w:rsidR="006213BA">
        <w:t>potential structure</w:t>
      </w:r>
      <w:r w:rsidR="00FC7DEA" w:rsidRPr="007D0355">
        <w:t xml:space="preserve"> would leverage </w:t>
      </w:r>
      <w:r w:rsidR="00FC7DEA">
        <w:t xml:space="preserve">the AASB’s </w:t>
      </w:r>
      <w:r w:rsidR="00474D95">
        <w:t xml:space="preserve">existing </w:t>
      </w:r>
      <w:r w:rsidR="00FC7DEA">
        <w:t>experience from these activities</w:t>
      </w:r>
      <w:r w:rsidR="00FC7DEA" w:rsidRPr="00477A74">
        <w:t xml:space="preserve"> </w:t>
      </w:r>
      <w:r w:rsidR="00FC7DEA" w:rsidRPr="007D0355">
        <w:t xml:space="preserve">to </w:t>
      </w:r>
      <w:r w:rsidR="00474D95">
        <w:t xml:space="preserve">facilitate </w:t>
      </w:r>
      <w:r>
        <w:t>the</w:t>
      </w:r>
      <w:r w:rsidR="00FC7DEA">
        <w:t xml:space="preserve"> implementation of </w:t>
      </w:r>
      <w:r w:rsidR="00FC7DEA" w:rsidRPr="007D0355">
        <w:t xml:space="preserve">climate </w:t>
      </w:r>
      <w:r w:rsidR="00FC7DEA">
        <w:t xml:space="preserve">related risk disclosure </w:t>
      </w:r>
      <w:r w:rsidR="00FC7DEA" w:rsidRPr="007D0355">
        <w:t>standards</w:t>
      </w:r>
      <w:r w:rsidR="00FC7DEA">
        <w:t xml:space="preserve">. </w:t>
      </w:r>
      <w:r w:rsidR="006213BA">
        <w:t xml:space="preserve">It </w:t>
      </w:r>
      <w:r w:rsidR="00FC7DEA">
        <w:t xml:space="preserve">also recognises the AASB’s standard-setting </w:t>
      </w:r>
      <w:r w:rsidR="00AF0E6A">
        <w:t>experience</w:t>
      </w:r>
      <w:r w:rsidR="00FC7DEA" w:rsidRPr="007D0355">
        <w:t xml:space="preserve"> and industry credibility</w:t>
      </w:r>
      <w:r w:rsidR="00FC7DEA">
        <w:t xml:space="preserve">, particularly with respect to its comprehensive consultation process and approach to international harmonisation, which will assist in building awareness, consensus and good practice in the development of, and compliance with, any climate related </w:t>
      </w:r>
      <w:r w:rsidR="00474D95">
        <w:t xml:space="preserve">risk disclosure </w:t>
      </w:r>
      <w:r w:rsidR="00FC7DEA">
        <w:t xml:space="preserve">standards. </w:t>
      </w:r>
    </w:p>
    <w:p w14:paraId="0AFF4421" w14:textId="320B4331" w:rsidR="00FC7DEA" w:rsidRDefault="00FC7DEA" w:rsidP="005712C8">
      <w:r>
        <w:t xml:space="preserve">The AASB’s relationships with international standard-setting bodies may also </w:t>
      </w:r>
      <w:r w:rsidR="008D5A15">
        <w:t>make</w:t>
      </w:r>
      <w:r w:rsidR="007E17DF">
        <w:t xml:space="preserve"> </w:t>
      </w:r>
      <w:r>
        <w:t xml:space="preserve">it well-placed to influence the development of global climate and sustainability standards. </w:t>
      </w:r>
    </w:p>
    <w:p w14:paraId="7DE549BA" w14:textId="7084D780" w:rsidR="00FC7DEA" w:rsidRPr="00263709" w:rsidRDefault="00782989" w:rsidP="00E616A9">
      <w:pPr>
        <w:pStyle w:val="Heading3"/>
      </w:pPr>
      <w:bookmarkStart w:id="42" w:name="_Toc121390606"/>
      <w:r>
        <w:t>Potential Structure</w:t>
      </w:r>
      <w:r w:rsidR="00FC7DEA" w:rsidRPr="00263709">
        <w:t xml:space="preserve"> 2. </w:t>
      </w:r>
      <w:r w:rsidR="00FC7DEA">
        <w:t>Establish a separate sustainability standards board</w:t>
      </w:r>
      <w:bookmarkEnd w:id="42"/>
      <w:r w:rsidR="00FC7DEA">
        <w:t xml:space="preserve"> </w:t>
      </w:r>
    </w:p>
    <w:p w14:paraId="604A570F" w14:textId="58418C7E" w:rsidR="00FC7DEA" w:rsidRDefault="00FC7DEA" w:rsidP="005712C8">
      <w:r>
        <w:t xml:space="preserve">Under this proposal, </w:t>
      </w:r>
      <w:r w:rsidR="00437630">
        <w:t>Commonwealth</w:t>
      </w:r>
      <w:r>
        <w:t xml:space="preserve"> legislation would be amended to establish </w:t>
      </w:r>
      <w:r w:rsidR="00474D95">
        <w:t>a</w:t>
      </w:r>
      <w:r w:rsidR="00D424D5">
        <w:t xml:space="preserve"> separate sustainability standards board (</w:t>
      </w:r>
      <w:r w:rsidR="005C5E30">
        <w:t>proposed</w:t>
      </w:r>
      <w:r w:rsidR="00D424D5">
        <w:t xml:space="preserve"> board)</w:t>
      </w:r>
      <w:r>
        <w:t xml:space="preserve">, similar to the AASB and AUASB, with powers to develop, make and monitor climate and sustainability </w:t>
      </w:r>
      <w:r w:rsidR="00474D95">
        <w:t xml:space="preserve">related risk disclosure </w:t>
      </w:r>
      <w:r>
        <w:t xml:space="preserve">standards. </w:t>
      </w:r>
      <w:r w:rsidR="00474D95">
        <w:t xml:space="preserve">The </w:t>
      </w:r>
      <w:r w:rsidR="005C5E30">
        <w:t>proposed</w:t>
      </w:r>
      <w:r w:rsidR="00D424D5">
        <w:t xml:space="preserve"> board </w:t>
      </w:r>
      <w:r>
        <w:t xml:space="preserve">would function as a separate entity from the AASB and AUASB. </w:t>
      </w:r>
      <w:r w:rsidR="00A34F8B">
        <w:t>T</w:t>
      </w:r>
      <w:r w:rsidR="006649BA">
        <w:t xml:space="preserve">he FRC’s oversight role would expand to include the </w:t>
      </w:r>
      <w:r w:rsidR="005C5E30">
        <w:t>proposed</w:t>
      </w:r>
      <w:r w:rsidR="00D424D5">
        <w:t xml:space="preserve"> board</w:t>
      </w:r>
      <w:r w:rsidR="00A34F8B">
        <w:t>. As with Potential Structure 1, t</w:t>
      </w:r>
      <w:r w:rsidR="00CA510A">
        <w:t>he AUASB would have responsibility for developing and maintaining any assurance requirements applicable to climate and sustainability related reporting</w:t>
      </w:r>
      <w:r w:rsidR="00CA510A">
        <w:rPr>
          <w:szCs w:val="22"/>
        </w:rPr>
        <w:t>.</w:t>
      </w:r>
    </w:p>
    <w:p w14:paraId="6E8CFCE2" w14:textId="0271FF20" w:rsidR="00A013DE" w:rsidRPr="004D1D87" w:rsidRDefault="00FC7DEA" w:rsidP="005712C8">
      <w:r>
        <w:t xml:space="preserve">The creation of a separate board dedicated to climate and sustainability standards </w:t>
      </w:r>
      <w:r w:rsidR="008D5A15">
        <w:t>may more</w:t>
      </w:r>
      <w:r>
        <w:t xml:space="preserve"> clearly demarcate the distinct function</w:t>
      </w:r>
      <w:r w:rsidR="002F43E4">
        <w:t>s</w:t>
      </w:r>
      <w:r>
        <w:t xml:space="preserve"> and powers of the Australian standard-setting boards. This </w:t>
      </w:r>
      <w:r w:rsidR="008D5A15">
        <w:t>may assist in</w:t>
      </w:r>
      <w:r>
        <w:t xml:space="preserve"> ensur</w:t>
      </w:r>
      <w:r w:rsidR="004C1AD4">
        <w:t>ing</w:t>
      </w:r>
      <w:r>
        <w:t xml:space="preserve"> each body is equipped with the appropriate expertise </w:t>
      </w:r>
      <w:r w:rsidR="002F43E4">
        <w:t xml:space="preserve">and resources </w:t>
      </w:r>
      <w:r>
        <w:t xml:space="preserve">to </w:t>
      </w:r>
      <w:r w:rsidR="002F43E4">
        <w:t xml:space="preserve">carry out </w:t>
      </w:r>
      <w:r>
        <w:t xml:space="preserve">their standard-setting responsibilities. The distinct board structure would </w:t>
      </w:r>
      <w:r w:rsidR="002F43E4">
        <w:t xml:space="preserve">also </w:t>
      </w:r>
      <w:r w:rsidR="00884A54">
        <w:t>mean</w:t>
      </w:r>
      <w:r w:rsidR="002F43E4">
        <w:t xml:space="preserve"> the Australian financial reporting bod</w:t>
      </w:r>
      <w:r w:rsidR="00884A54">
        <w:t>ies</w:t>
      </w:r>
      <w:r w:rsidR="004C1AD4">
        <w:t>’</w:t>
      </w:r>
      <w:r w:rsidR="002F43E4">
        <w:t xml:space="preserve"> structure </w:t>
      </w:r>
      <w:r w:rsidR="00B25ACA">
        <w:t>reflects</w:t>
      </w:r>
      <w:r>
        <w:t xml:space="preserve"> the </w:t>
      </w:r>
      <w:r w:rsidR="00B25ACA">
        <w:t>creation</w:t>
      </w:r>
      <w:r>
        <w:t xml:space="preserve"> of the </w:t>
      </w:r>
      <w:r w:rsidR="004A10D5">
        <w:t>ISSB</w:t>
      </w:r>
      <w:r w:rsidR="00A013DE">
        <w:t xml:space="preserve">. The parallels to the international structure would be readily understandable by domestic and international stakeholders. </w:t>
      </w:r>
      <w:r w:rsidR="004D1D87">
        <w:t xml:space="preserve">It would also </w:t>
      </w:r>
      <w:r w:rsidR="00EA51CB">
        <w:t>ensure</w:t>
      </w:r>
      <w:r w:rsidR="004D1D87">
        <w:t xml:space="preserve"> the AASB </w:t>
      </w:r>
      <w:r w:rsidR="00EA51CB">
        <w:t>remains focused</w:t>
      </w:r>
      <w:r w:rsidR="004D1D87">
        <w:t xml:space="preserve"> on </w:t>
      </w:r>
      <w:r w:rsidR="00FC03DF">
        <w:t>traditional</w:t>
      </w:r>
      <w:r w:rsidR="004D1D87">
        <w:t xml:space="preserve"> accounting standards, although the </w:t>
      </w:r>
      <w:r w:rsidR="005C2342">
        <w:t>two</w:t>
      </w:r>
      <w:r w:rsidR="004D1D87">
        <w:t xml:space="preserve"> boards would need to work closely together. </w:t>
      </w:r>
    </w:p>
    <w:p w14:paraId="095F3651" w14:textId="13AAE79D" w:rsidR="00986264" w:rsidRDefault="00FC7DEA" w:rsidP="005712C8">
      <w:r>
        <w:t xml:space="preserve">This </w:t>
      </w:r>
      <w:r w:rsidR="00782989">
        <w:t>potential structure</w:t>
      </w:r>
      <w:r>
        <w:t xml:space="preserve"> </w:t>
      </w:r>
      <w:r w:rsidR="000E0805">
        <w:t xml:space="preserve">would take time to implement </w:t>
      </w:r>
      <w:r w:rsidR="00A31D8E">
        <w:t>and involve a</w:t>
      </w:r>
      <w:r w:rsidR="000E0805">
        <w:t xml:space="preserve"> legislative design process, introduction and passage through parliament, and </w:t>
      </w:r>
      <w:r w:rsidR="00A31D8E">
        <w:t>board establishment</w:t>
      </w:r>
      <w:r w:rsidR="003913B3">
        <w:t xml:space="preserve"> processes</w:t>
      </w:r>
      <w:r w:rsidR="000E0805">
        <w:t>. Th</w:t>
      </w:r>
      <w:r w:rsidR="00884A54">
        <w:t>e risk that this could</w:t>
      </w:r>
      <w:r w:rsidR="000E0805">
        <w:t xml:space="preserve"> </w:t>
      </w:r>
      <w:r w:rsidR="000E0805" w:rsidDel="00884A54">
        <w:t>cause</w:t>
      </w:r>
      <w:r w:rsidR="000E0805">
        <w:t xml:space="preserve"> delay in the implementation of a climate and sustainability risk disclosure regime</w:t>
      </w:r>
      <w:r w:rsidR="00884A54">
        <w:t xml:space="preserve"> </w:t>
      </w:r>
      <w:r w:rsidR="00941EB4">
        <w:t>c</w:t>
      </w:r>
      <w:r w:rsidR="00884A54">
        <w:t>ould be mitigated because</w:t>
      </w:r>
      <w:r w:rsidR="00986264">
        <w:t xml:space="preserve">: </w:t>
      </w:r>
    </w:p>
    <w:p w14:paraId="0EEDE438" w14:textId="65B7A360" w:rsidR="00986264" w:rsidRDefault="00986264" w:rsidP="00D4489D">
      <w:pPr>
        <w:pStyle w:val="Bullet"/>
      </w:pPr>
      <w:r>
        <w:lastRenderedPageBreak/>
        <w:t xml:space="preserve">the </w:t>
      </w:r>
      <w:r w:rsidR="005C5E30">
        <w:t>proposed</w:t>
      </w:r>
      <w:r w:rsidR="00D424D5">
        <w:t xml:space="preserve"> board </w:t>
      </w:r>
      <w:r>
        <w:t xml:space="preserve">could rely on the preparatory work undertaken by the FRC, </w:t>
      </w:r>
      <w:r w:rsidR="00FC7DEA">
        <w:t>AASB and AUASB</w:t>
      </w:r>
      <w:r>
        <w:t xml:space="preserve"> towards the development of Australian climate related reporting standards </w:t>
      </w:r>
    </w:p>
    <w:p w14:paraId="16082859" w14:textId="01C470B5" w:rsidR="00FC7DEA" w:rsidRDefault="00986264" w:rsidP="00D4489D">
      <w:pPr>
        <w:pStyle w:val="Bullet"/>
      </w:pPr>
      <w:r>
        <w:t>the AASB and AUASB have effectively ringfenced some resources for sustainability and climate related reporting, including dedicated climate and sustainability reporting experts</w:t>
      </w:r>
      <w:r w:rsidR="00D4489D">
        <w:t>, and t</w:t>
      </w:r>
      <w:r>
        <w:t xml:space="preserve">hese could be ‘spun off’ into a new body once established. </w:t>
      </w:r>
    </w:p>
    <w:p w14:paraId="52008E5C" w14:textId="38C0F1B8" w:rsidR="00FC7DEA" w:rsidRPr="002260EC" w:rsidRDefault="00312069" w:rsidP="005712C8">
      <w:r>
        <w:t xml:space="preserve">This </w:t>
      </w:r>
      <w:r w:rsidR="008F04AD">
        <w:t>potential structure</w:t>
      </w:r>
      <w:r w:rsidR="00FC7DEA">
        <w:t xml:space="preserve"> </w:t>
      </w:r>
      <w:r>
        <w:t xml:space="preserve">would </w:t>
      </w:r>
      <w:r w:rsidR="00FC7DEA">
        <w:t xml:space="preserve">further fragment the Australian financial reporting </w:t>
      </w:r>
      <w:r w:rsidR="00765CF1">
        <w:t>framework and</w:t>
      </w:r>
      <w:r>
        <w:t xml:space="preserve"> could exacerbate the </w:t>
      </w:r>
      <w:r w:rsidR="00FC7DEA">
        <w:t>existing resourcing and administrative inefficiencies</w:t>
      </w:r>
      <w:r>
        <w:t xml:space="preserve"> referred to above</w:t>
      </w:r>
      <w:r w:rsidR="00FC7DEA">
        <w:t>.</w:t>
      </w:r>
      <w:r w:rsidR="00986264">
        <w:t xml:space="preserve"> For example, the </w:t>
      </w:r>
      <w:r w:rsidR="005C5E30">
        <w:t>proposed</w:t>
      </w:r>
      <w:r w:rsidR="00D424D5">
        <w:t xml:space="preserve"> board </w:t>
      </w:r>
      <w:r w:rsidR="00986264">
        <w:t xml:space="preserve">would likely require the technical and administrative support of a dedicated office, similar to the Offices of the AASB and AUASB. </w:t>
      </w:r>
      <w:r>
        <w:t xml:space="preserve">The </w:t>
      </w:r>
      <w:r w:rsidR="005C5E30">
        <w:t>proposed</w:t>
      </w:r>
      <w:r w:rsidR="00D424D5">
        <w:t xml:space="preserve"> board’s office</w:t>
      </w:r>
      <w:r w:rsidR="005C5E30">
        <w:t xml:space="preserve"> </w:t>
      </w:r>
      <w:r w:rsidR="00986264">
        <w:t xml:space="preserve">would be subject to </w:t>
      </w:r>
      <w:r>
        <w:t xml:space="preserve">separate </w:t>
      </w:r>
      <w:r w:rsidR="00986264">
        <w:t>reporting and other compliance requirements under public sector governance rules</w:t>
      </w:r>
      <w:r w:rsidR="00270B65">
        <w:t>, which could require additional resourcing</w:t>
      </w:r>
      <w:r w:rsidR="00986264">
        <w:t xml:space="preserve">. </w:t>
      </w:r>
      <w:r>
        <w:t xml:space="preserve">The </w:t>
      </w:r>
      <w:r w:rsidR="005C5E30">
        <w:t>proposed</w:t>
      </w:r>
      <w:r w:rsidR="00D424D5">
        <w:t xml:space="preserve"> board </w:t>
      </w:r>
      <w:r w:rsidR="001B61FA">
        <w:t xml:space="preserve">could seek to minimise these </w:t>
      </w:r>
      <w:r w:rsidR="00956F6F">
        <w:t>in</w:t>
      </w:r>
      <w:r w:rsidR="001B61FA">
        <w:t xml:space="preserve">efficiencies by merging operational requirements as far as possible with the </w:t>
      </w:r>
      <w:r>
        <w:t>AASB and AUASB</w:t>
      </w:r>
      <w:r w:rsidR="001B61FA">
        <w:t xml:space="preserve"> (who have already adopted this model). However, each board would still be subject to some independent reporting requirements and </w:t>
      </w:r>
      <w:r w:rsidR="00AF1458">
        <w:t xml:space="preserve">likely some duplication of </w:t>
      </w:r>
      <w:r w:rsidR="009C61D8">
        <w:t>effort</w:t>
      </w:r>
      <w:r w:rsidR="00AF1458">
        <w:t xml:space="preserve">. </w:t>
      </w:r>
    </w:p>
    <w:p w14:paraId="7A6249D1" w14:textId="388133E3" w:rsidR="00FC7DEA" w:rsidRDefault="00782989" w:rsidP="00E616A9">
      <w:pPr>
        <w:pStyle w:val="Heading3"/>
      </w:pPr>
      <w:bookmarkStart w:id="43" w:name="_Toc121390607"/>
      <w:r>
        <w:t>Potential Structure</w:t>
      </w:r>
      <w:r w:rsidR="00FC7DEA" w:rsidRPr="00EE290B">
        <w:t xml:space="preserve"> 3. </w:t>
      </w:r>
      <w:r w:rsidR="00AF1458">
        <w:t xml:space="preserve">Reform existing financial reporting bodies into a single, flexible </w:t>
      </w:r>
      <w:r w:rsidR="00FC7DEA">
        <w:t>entity</w:t>
      </w:r>
      <w:bookmarkEnd w:id="43"/>
    </w:p>
    <w:p w14:paraId="27B6D46F" w14:textId="1E841DA5" w:rsidR="00FC7DEA" w:rsidRDefault="005E57BD" w:rsidP="005712C8">
      <w:r>
        <w:t>Under this proposal,</w:t>
      </w:r>
      <w:r w:rsidR="00AF1458">
        <w:t xml:space="preserve"> </w:t>
      </w:r>
      <w:r w:rsidR="004F4786">
        <w:t xml:space="preserve">Commonwealth </w:t>
      </w:r>
      <w:r w:rsidR="00AF1458">
        <w:t xml:space="preserve">legislation would be amended to </w:t>
      </w:r>
      <w:r w:rsidR="00694B47">
        <w:t>combine the</w:t>
      </w:r>
      <w:r w:rsidR="00FC7DEA">
        <w:t xml:space="preserve"> functions and powers of the </w:t>
      </w:r>
      <w:r w:rsidR="00694B47">
        <w:t xml:space="preserve">FRC, AASB and AUASB </w:t>
      </w:r>
      <w:r w:rsidR="00FC7DEA">
        <w:t xml:space="preserve">into one entity responsible for </w:t>
      </w:r>
      <w:r w:rsidR="00694B47">
        <w:t>financial reporting system oversight, standard</w:t>
      </w:r>
      <w:r w:rsidR="00AD5247">
        <w:t>-</w:t>
      </w:r>
      <w:r w:rsidR="00694B47">
        <w:t xml:space="preserve">setting and </w:t>
      </w:r>
      <w:r w:rsidR="00FC7DEA">
        <w:t xml:space="preserve">advice to </w:t>
      </w:r>
      <w:r w:rsidR="00B83DBC">
        <w:t>g</w:t>
      </w:r>
      <w:r w:rsidR="00FC7DEA">
        <w:t>overnment.</w:t>
      </w:r>
      <w:r w:rsidR="00694B47">
        <w:t xml:space="preserve"> In addition to the accounting and auditing standard setting powers of the AASB and AUASB, the body would also have statutory authority to make climate and sustainability risk disclosure standards. </w:t>
      </w:r>
    </w:p>
    <w:p w14:paraId="53C2D844" w14:textId="4D7211D7" w:rsidR="00DC01C9" w:rsidRDefault="00DC01C9" w:rsidP="00DC01C9">
      <w:r>
        <w:t xml:space="preserve">It is expected any such body would </w:t>
      </w:r>
      <w:r w:rsidR="008F04AD">
        <w:t xml:space="preserve">comprise a </w:t>
      </w:r>
      <w:r w:rsidR="00B83DBC">
        <w:t>g</w:t>
      </w:r>
      <w:r w:rsidR="008F04AD">
        <w:t>overnment-appointed governing board</w:t>
      </w:r>
      <w:r w:rsidR="00D05A97">
        <w:t>,</w:t>
      </w:r>
      <w:r w:rsidR="008F04AD">
        <w:t xml:space="preserve"> supported by a team of permanent staff. The new body would also </w:t>
      </w:r>
      <w:r>
        <w:t xml:space="preserve">be independently resourced </w:t>
      </w:r>
      <w:r w:rsidR="008F04AD">
        <w:t xml:space="preserve">and have powers to </w:t>
      </w:r>
      <w:r>
        <w:t xml:space="preserve">establish </w:t>
      </w:r>
      <w:r w:rsidR="008F04AD">
        <w:t xml:space="preserve">and delegate functions to sub-committees of technical experts. </w:t>
      </w:r>
    </w:p>
    <w:p w14:paraId="2401D407" w14:textId="2C17A5AA" w:rsidR="00DC01C9" w:rsidRDefault="007D19A4" w:rsidP="005712C8">
      <w:r>
        <w:t>T</w:t>
      </w:r>
      <w:r w:rsidR="00694B47">
        <w:t xml:space="preserve">he body </w:t>
      </w:r>
      <w:r>
        <w:t xml:space="preserve">could </w:t>
      </w:r>
      <w:r w:rsidR="00694B47">
        <w:t xml:space="preserve">operate like </w:t>
      </w:r>
      <w:r w:rsidR="00FC7DEA">
        <w:t>the New Zealand External Reporting Board (XRB)</w:t>
      </w:r>
      <w:r>
        <w:t>. The XRB includes a nine</w:t>
      </w:r>
      <w:r w:rsidR="005C5E30">
        <w:noBreakHyphen/>
      </w:r>
      <w:r>
        <w:t xml:space="preserve">member governing board responsible for establishing and maintaining New Zealand’s financial reporting strategy, governance of the XRB, and appointment and monitoring of the XRB’s standard setting functions. While the board remains responsible for all functions and responsibilities of the XRB, it has </w:t>
      </w:r>
      <w:r w:rsidR="00DC01C9">
        <w:t xml:space="preserve">established and </w:t>
      </w:r>
      <w:r>
        <w:t xml:space="preserve">delegated accounting and auditing standard setting functions to the New Zealand Accounting Standards Board </w:t>
      </w:r>
      <w:r w:rsidR="00DC01C9">
        <w:t xml:space="preserve">(NZASB) </w:t>
      </w:r>
      <w:r>
        <w:t xml:space="preserve">and New Zealand Auditing and Assurance Standards Board </w:t>
      </w:r>
      <w:r w:rsidR="00DC01C9">
        <w:t xml:space="preserve">(NZAUASB) </w:t>
      </w:r>
      <w:r>
        <w:t xml:space="preserve">respectively. </w:t>
      </w:r>
      <w:r w:rsidR="00DC01C9">
        <w:t>Under this arrangement, the boards address the technical aspects of standard setting and the XRB Board focuses on oversight and strategic decision making.</w:t>
      </w:r>
    </w:p>
    <w:p w14:paraId="36A0DC42" w14:textId="2C7868B7" w:rsidR="003D3403" w:rsidRDefault="008F04AD" w:rsidP="005712C8">
      <w:r>
        <w:t xml:space="preserve">This </w:t>
      </w:r>
      <w:r w:rsidR="003D3403">
        <w:t xml:space="preserve">potential structure would establish a new body with greater independence and flexibility to respond to current and future financial reporting developments, and so improve the responsiveness and resilience of the financial reporting system. The new body would also seek to remove or minimise the operational inefficiencies in the current system, as outlined above. </w:t>
      </w:r>
    </w:p>
    <w:p w14:paraId="594AC94B" w14:textId="693C2E69" w:rsidR="00FC7DEA" w:rsidRPr="006D293B" w:rsidRDefault="003D3403" w:rsidP="005712C8">
      <w:r>
        <w:t xml:space="preserve">It is recognised that such </w:t>
      </w:r>
      <w:r w:rsidR="00FC7DEA">
        <w:t xml:space="preserve">broad reform to the financial reporting system may </w:t>
      </w:r>
      <w:r>
        <w:t xml:space="preserve">give rise to some </w:t>
      </w:r>
      <w:r w:rsidR="00FC7DEA">
        <w:t xml:space="preserve">uncertainty for stakeholders and </w:t>
      </w:r>
      <w:r>
        <w:t xml:space="preserve">could </w:t>
      </w:r>
      <w:r w:rsidR="00FC7DEA">
        <w:t xml:space="preserve">impact the timely implementation of climate </w:t>
      </w:r>
      <w:r>
        <w:t xml:space="preserve">related risk </w:t>
      </w:r>
      <w:r w:rsidR="00FC7DEA">
        <w:t>disclosure in Australia.</w:t>
      </w:r>
      <w:r>
        <w:t xml:space="preserve"> These risks could be mitigated by </w:t>
      </w:r>
      <w:r w:rsidR="009C79C9">
        <w:t xml:space="preserve">ensuring consultation with relevant stakeholders on design elements of any new financial reporting body and </w:t>
      </w:r>
      <w:r>
        <w:t>establishing clear transitional arrangements which would facilitate progress on climate related risk reporting</w:t>
      </w:r>
      <w:r w:rsidR="009C79C9">
        <w:t xml:space="preserve">. </w:t>
      </w:r>
    </w:p>
    <w:tbl>
      <w:tblPr>
        <w:tblW w:w="5001" w:type="pct"/>
        <w:shd w:val="clear" w:color="auto" w:fill="EEEEEE" w:themeFill="background2"/>
        <w:tblCellMar>
          <w:top w:w="227" w:type="dxa"/>
          <w:left w:w="227" w:type="dxa"/>
          <w:bottom w:w="227" w:type="dxa"/>
          <w:right w:w="227" w:type="dxa"/>
        </w:tblCellMar>
        <w:tblLook w:val="04A0" w:firstRow="1" w:lastRow="0" w:firstColumn="1" w:lastColumn="0" w:noHBand="0" w:noVBand="1"/>
      </w:tblPr>
      <w:tblGrid>
        <w:gridCol w:w="9072"/>
      </w:tblGrid>
      <w:tr w:rsidR="00FC7DEA" w14:paraId="55044461" w14:textId="77777777" w:rsidTr="00697B7F">
        <w:trPr>
          <w:trHeight w:val="487"/>
        </w:trPr>
        <w:tc>
          <w:tcPr>
            <w:tcW w:w="5000" w:type="pct"/>
            <w:shd w:val="clear" w:color="auto" w:fill="EEEEEE" w:themeFill="background2"/>
          </w:tcPr>
          <w:p w14:paraId="4EB37109" w14:textId="6764C3AD" w:rsidR="00FC7DEA" w:rsidRPr="000D1284" w:rsidRDefault="00FC7DEA" w:rsidP="0056754D">
            <w:pPr>
              <w:pStyle w:val="OutlineNumbered1"/>
              <w:numPr>
                <w:ilvl w:val="0"/>
                <w:numId w:val="0"/>
              </w:numPr>
            </w:pPr>
            <w:bookmarkStart w:id="44" w:name="_Hlk109402152"/>
            <w:r w:rsidRPr="00235875">
              <w:rPr>
                <w:b/>
                <w:bCs/>
              </w:rPr>
              <w:lastRenderedPageBreak/>
              <w:t xml:space="preserve">Question </w:t>
            </w:r>
            <w:r w:rsidR="005F08FC">
              <w:rPr>
                <w:b/>
                <w:bCs/>
              </w:rPr>
              <w:t>1</w:t>
            </w:r>
            <w:r w:rsidR="00F5406E">
              <w:rPr>
                <w:b/>
                <w:bCs/>
              </w:rPr>
              <w:t>9</w:t>
            </w:r>
            <w:r w:rsidRPr="00235875">
              <w:rPr>
                <w:b/>
                <w:bCs/>
              </w:rPr>
              <w:t>:</w:t>
            </w:r>
            <w:r>
              <w:t xml:space="preserve"> </w:t>
            </w:r>
            <w:r w:rsidR="009C79C9">
              <w:t xml:space="preserve">Which of the </w:t>
            </w:r>
            <w:r w:rsidR="00782989">
              <w:t>potential structure</w:t>
            </w:r>
            <w:r w:rsidR="009C79C9">
              <w:t xml:space="preserve">s </w:t>
            </w:r>
            <w:r w:rsidR="00A7317C">
              <w:t xml:space="preserve">presented </w:t>
            </w:r>
            <w:r w:rsidR="00813636">
              <w:t>(or any other)</w:t>
            </w:r>
            <w:r w:rsidR="009C79C9">
              <w:t xml:space="preserve"> would best improve the effectiveness and efficiency of the financial reporting system, including to support introduction of climate related risk reporting? Why?</w:t>
            </w:r>
            <w:bookmarkEnd w:id="44"/>
          </w:p>
        </w:tc>
      </w:tr>
    </w:tbl>
    <w:p w14:paraId="2A2E3C81" w14:textId="1E496C82" w:rsidR="000B0F08" w:rsidRDefault="000B0F08" w:rsidP="009222F1"/>
    <w:p w14:paraId="01D467EF" w14:textId="147F5432" w:rsidR="004F47F1" w:rsidRDefault="004F47F1">
      <w:pPr>
        <w:spacing w:before="0" w:after="160" w:line="259" w:lineRule="auto"/>
      </w:pPr>
      <w:r>
        <w:br w:type="page"/>
      </w:r>
    </w:p>
    <w:p w14:paraId="5460AF01" w14:textId="4F0970B1" w:rsidR="00741267" w:rsidRDefault="00741267" w:rsidP="00773D72">
      <w:pPr>
        <w:pStyle w:val="Heading1"/>
      </w:pPr>
      <w:bookmarkStart w:id="45" w:name="_Toc121390608"/>
      <w:r>
        <w:lastRenderedPageBreak/>
        <w:t>Key consultation questions</w:t>
      </w:r>
      <w:bookmarkEnd w:id="45"/>
    </w:p>
    <w:p w14:paraId="59E68C47" w14:textId="662163CA" w:rsidR="006414B7" w:rsidRDefault="00950D75" w:rsidP="00EF3608">
      <w:pPr>
        <w:pStyle w:val="OutlineNumbered1"/>
        <w:numPr>
          <w:ilvl w:val="0"/>
          <w:numId w:val="0"/>
        </w:numPr>
        <w:ind w:left="284" w:hanging="284"/>
      </w:pPr>
      <w:r w:rsidRPr="00950D75">
        <w:rPr>
          <w:b/>
          <w:bCs/>
        </w:rPr>
        <w:t>Question 1:</w:t>
      </w:r>
      <w:r>
        <w:t xml:space="preserve"> </w:t>
      </w:r>
      <w:r w:rsidR="006414B7">
        <w:t>What are the costs and benefits of Australia aligning with international practice on climate-related financial risk disclosure (including mandatory reporting for certain entities)? In particular:</w:t>
      </w:r>
    </w:p>
    <w:p w14:paraId="7CA06551" w14:textId="47051D42" w:rsidR="006414B7" w:rsidRPr="0056754D" w:rsidRDefault="00950D75" w:rsidP="005169E6">
      <w:pPr>
        <w:pStyle w:val="OutlineNumbered1"/>
        <w:numPr>
          <w:ilvl w:val="0"/>
          <w:numId w:val="0"/>
        </w:numPr>
        <w:ind w:left="1051" w:hanging="709"/>
      </w:pPr>
      <w:r>
        <w:t>1.1</w:t>
      </w:r>
      <w:r>
        <w:tab/>
      </w:r>
      <w:r w:rsidR="006414B7" w:rsidRPr="0056754D">
        <w:t>What are the costs and benefits of meeting existing climate reporting expectations?</w:t>
      </w:r>
    </w:p>
    <w:p w14:paraId="27743774" w14:textId="029492F4" w:rsidR="009E5ABB" w:rsidRDefault="00950D75" w:rsidP="005169E6">
      <w:pPr>
        <w:pStyle w:val="OutlineNumbered1"/>
        <w:numPr>
          <w:ilvl w:val="0"/>
          <w:numId w:val="0"/>
        </w:numPr>
        <w:ind w:left="1051" w:hanging="709"/>
      </w:pPr>
      <w:r>
        <w:t>1.2</w:t>
      </w:r>
      <w:r>
        <w:tab/>
      </w:r>
      <w:r w:rsidR="006414B7">
        <w:t>What are the costs and benefits of Australia not aligning with international practice and in particular global baseline standards for climate reporting</w:t>
      </w:r>
      <w:r w:rsidR="009E5ABB">
        <w:t>?</w:t>
      </w:r>
    </w:p>
    <w:p w14:paraId="5CFFAD97" w14:textId="77777777" w:rsidR="006D0532" w:rsidRDefault="006D0532" w:rsidP="00EF3608">
      <w:pPr>
        <w:pStyle w:val="OutlineNumbered1"/>
        <w:numPr>
          <w:ilvl w:val="0"/>
          <w:numId w:val="0"/>
        </w:numPr>
        <w:ind w:left="284" w:hanging="284"/>
      </w:pPr>
      <w:r w:rsidRPr="00235875">
        <w:rPr>
          <w:b/>
          <w:bCs/>
        </w:rPr>
        <w:t xml:space="preserve">Question </w:t>
      </w:r>
      <w:r>
        <w:rPr>
          <w:b/>
          <w:bCs/>
        </w:rPr>
        <w:t>2</w:t>
      </w:r>
      <w:r w:rsidRPr="00235875">
        <w:rPr>
          <w:b/>
          <w:bCs/>
        </w:rPr>
        <w:t>:</w:t>
      </w:r>
      <w:r>
        <w:t xml:space="preserve"> Should Australia adopt a phased approach to climate disclosure, with the first report for initially covered entities being financial year 2024-25?</w:t>
      </w:r>
    </w:p>
    <w:p w14:paraId="57B369A6" w14:textId="6ABC89EA" w:rsidR="006D0532" w:rsidRPr="00DD1891" w:rsidRDefault="005169E6" w:rsidP="005169E6">
      <w:pPr>
        <w:pStyle w:val="OutlineNumbered1"/>
        <w:numPr>
          <w:ilvl w:val="0"/>
          <w:numId w:val="0"/>
        </w:numPr>
        <w:ind w:left="1051" w:hanging="709"/>
      </w:pPr>
      <w:r>
        <w:t>2.1</w:t>
      </w:r>
      <w:r>
        <w:tab/>
      </w:r>
      <w:r w:rsidR="006D0532">
        <w:t>What considerations should apply to determining the cohorts covered in subsequent phases of mandatory disclosure, and the timing of future phases?</w:t>
      </w:r>
    </w:p>
    <w:p w14:paraId="18E8DF72" w14:textId="77777777" w:rsidR="006D0532" w:rsidRPr="0090179E" w:rsidRDefault="006D0532" w:rsidP="00EF3608">
      <w:pPr>
        <w:pStyle w:val="OutlineNumbered1"/>
        <w:numPr>
          <w:ilvl w:val="0"/>
          <w:numId w:val="0"/>
        </w:numPr>
        <w:ind w:left="284" w:hanging="284"/>
      </w:pPr>
      <w:r w:rsidRPr="00235875">
        <w:rPr>
          <w:b/>
          <w:bCs/>
        </w:rPr>
        <w:t xml:space="preserve">Question </w:t>
      </w:r>
      <w:r>
        <w:rPr>
          <w:b/>
          <w:bCs/>
        </w:rPr>
        <w:t>3</w:t>
      </w:r>
      <w:r w:rsidRPr="00235875">
        <w:rPr>
          <w:b/>
          <w:bCs/>
        </w:rPr>
        <w:t>:</w:t>
      </w:r>
      <w:r>
        <w:t xml:space="preserve"> To which entities should mandatory climate disclosures apply initially?</w:t>
      </w:r>
    </w:p>
    <w:p w14:paraId="38D0DF99" w14:textId="253A3B83" w:rsidR="006D0532" w:rsidRDefault="005169E6" w:rsidP="005169E6">
      <w:pPr>
        <w:pStyle w:val="OutlineNumbered1"/>
        <w:numPr>
          <w:ilvl w:val="0"/>
          <w:numId w:val="0"/>
        </w:numPr>
        <w:ind w:left="1051" w:hanging="709"/>
      </w:pPr>
      <w:r>
        <w:t>3.1</w:t>
      </w:r>
      <w:r>
        <w:tab/>
      </w:r>
      <w:r w:rsidR="006D0532">
        <w:t>What size thresholds</w:t>
      </w:r>
      <w:r w:rsidR="006D0532" w:rsidDel="0087487D">
        <w:t xml:space="preserve"> </w:t>
      </w:r>
      <w:r w:rsidR="006D0532">
        <w:t>would be appropriate to determine a large, listed entity and a large financial institution, respectively?</w:t>
      </w:r>
    </w:p>
    <w:p w14:paraId="61B84B03" w14:textId="36AB2697" w:rsidR="006D0532" w:rsidRDefault="005169E6" w:rsidP="005169E6">
      <w:pPr>
        <w:pStyle w:val="OutlineNumbered1"/>
        <w:numPr>
          <w:ilvl w:val="0"/>
          <w:numId w:val="0"/>
        </w:numPr>
        <w:ind w:left="1051" w:hanging="709"/>
      </w:pPr>
      <w:r>
        <w:t>3.2</w:t>
      </w:r>
      <w:r>
        <w:tab/>
      </w:r>
      <w:r w:rsidR="006D0532">
        <w:t>Are there any other types of entities (that is, apart from large, listed entities and financial institutions) that should be included in the initial phase?</w:t>
      </w:r>
    </w:p>
    <w:p w14:paraId="551540B6" w14:textId="77777777" w:rsidR="006D0532" w:rsidRDefault="006D0532" w:rsidP="00EF3608">
      <w:pPr>
        <w:pStyle w:val="OutlineNumbered1"/>
        <w:numPr>
          <w:ilvl w:val="0"/>
          <w:numId w:val="0"/>
        </w:numPr>
        <w:ind w:left="284" w:hanging="284"/>
      </w:pPr>
      <w:r w:rsidRPr="00235875">
        <w:rPr>
          <w:b/>
          <w:bCs/>
        </w:rPr>
        <w:t xml:space="preserve">Question </w:t>
      </w:r>
      <w:r>
        <w:rPr>
          <w:b/>
          <w:bCs/>
        </w:rPr>
        <w:t>4</w:t>
      </w:r>
      <w:r w:rsidRPr="00235875">
        <w:rPr>
          <w:b/>
          <w:bCs/>
        </w:rPr>
        <w:t>:</w:t>
      </w:r>
      <w:r>
        <w:t xml:space="preserve"> Should Australia seek to align our climate reporting requirements with the global baseline envisaged by the International Sustainability Boards? </w:t>
      </w:r>
    </w:p>
    <w:p w14:paraId="2B606846" w14:textId="21157945" w:rsidR="006D0532" w:rsidRDefault="005169E6" w:rsidP="005169E6">
      <w:pPr>
        <w:pStyle w:val="OutlineNumbered1"/>
        <w:numPr>
          <w:ilvl w:val="0"/>
          <w:numId w:val="0"/>
        </w:numPr>
        <w:ind w:left="1051" w:hanging="709"/>
      </w:pPr>
      <w:r>
        <w:t>4.1</w:t>
      </w:r>
      <w:r>
        <w:tab/>
      </w:r>
      <w:r w:rsidR="006D0532">
        <w:t>Are there particular considerations that should apply in the Australian context regarding the ISSB implementation of disclosures relating to: governance, strategy, risk management and/or metrics and targets?</w:t>
      </w:r>
    </w:p>
    <w:p w14:paraId="28058820" w14:textId="2F052EA5" w:rsidR="006D0532" w:rsidRDefault="005169E6" w:rsidP="005169E6">
      <w:pPr>
        <w:pStyle w:val="OutlineNumbered1"/>
        <w:numPr>
          <w:ilvl w:val="0"/>
          <w:numId w:val="0"/>
        </w:numPr>
        <w:ind w:left="1051" w:hanging="709"/>
      </w:pPr>
      <w:r>
        <w:t>4.2</w:t>
      </w:r>
      <w:r>
        <w:tab/>
      </w:r>
      <w:r w:rsidR="006D0532">
        <w:t>Are the climate disclosure standards being issued by the ISSB the most appropriate for entities in Australia, or should alternative standards be considered?</w:t>
      </w:r>
    </w:p>
    <w:p w14:paraId="24AB1979" w14:textId="72C3A3F0" w:rsidR="006D0532" w:rsidRDefault="006D0532" w:rsidP="00EF3608">
      <w:pPr>
        <w:pStyle w:val="OutlineNumbered1"/>
        <w:numPr>
          <w:ilvl w:val="0"/>
          <w:numId w:val="0"/>
        </w:numPr>
        <w:ind w:left="284" w:hanging="284"/>
      </w:pPr>
      <w:r w:rsidRPr="00235875">
        <w:rPr>
          <w:b/>
          <w:bCs/>
        </w:rPr>
        <w:t xml:space="preserve">Question </w:t>
      </w:r>
      <w:r>
        <w:rPr>
          <w:b/>
          <w:bCs/>
        </w:rPr>
        <w:t>5</w:t>
      </w:r>
      <w:r w:rsidRPr="00235875">
        <w:rPr>
          <w:b/>
          <w:bCs/>
        </w:rPr>
        <w:t>:</w:t>
      </w:r>
      <w:r>
        <w:t xml:space="preserve"> What are the key considerations that should inform the design of a new regulatory framework, in particular when setting overarching climate disclosure obligations (strategy, governance, risk management and targets?</w:t>
      </w:r>
    </w:p>
    <w:p w14:paraId="4EC852D2" w14:textId="6B5A1159" w:rsidR="006D0532" w:rsidRDefault="006D0532" w:rsidP="00EF3608">
      <w:pPr>
        <w:pStyle w:val="OutlineNumbered1"/>
        <w:numPr>
          <w:ilvl w:val="0"/>
          <w:numId w:val="0"/>
        </w:numPr>
        <w:ind w:left="284" w:hanging="284"/>
      </w:pPr>
      <w:r w:rsidRPr="00235875">
        <w:rPr>
          <w:b/>
          <w:bCs/>
        </w:rPr>
        <w:t xml:space="preserve">Question </w:t>
      </w:r>
      <w:r>
        <w:rPr>
          <w:b/>
          <w:bCs/>
        </w:rPr>
        <w:t>6</w:t>
      </w:r>
      <w:r w:rsidRPr="00235875">
        <w:rPr>
          <w:b/>
          <w:bCs/>
        </w:rPr>
        <w:t>:</w:t>
      </w:r>
      <w:r>
        <w:t xml:space="preserve"> Where should new climate reporting requirements be situated in relation to other periodic reporting </w:t>
      </w:r>
      <w:r w:rsidRPr="00042625">
        <w:t>requirements</w:t>
      </w:r>
      <w:r>
        <w:t>? For instance, should they continue to be included in an operating and financial review, or in an alternative separate report included as part of the annual report?</w:t>
      </w:r>
    </w:p>
    <w:p w14:paraId="3F99D140" w14:textId="77777777" w:rsidR="006D0532" w:rsidRDefault="006D0532" w:rsidP="00EF3608">
      <w:pPr>
        <w:pStyle w:val="OutlineNumbered1"/>
        <w:numPr>
          <w:ilvl w:val="0"/>
          <w:numId w:val="0"/>
        </w:numPr>
        <w:ind w:left="284" w:hanging="284"/>
      </w:pPr>
      <w:r w:rsidRPr="000D4668" w:rsidDel="00EC6D84">
        <w:rPr>
          <w:b/>
        </w:rPr>
        <w:t xml:space="preserve">Question </w:t>
      </w:r>
      <w:r>
        <w:rPr>
          <w:b/>
          <w:bCs/>
        </w:rPr>
        <w:t>7</w:t>
      </w:r>
      <w:r w:rsidRPr="000D4668">
        <w:rPr>
          <w:b/>
          <w:bCs/>
        </w:rPr>
        <w:t>:</w:t>
      </w:r>
      <w:r>
        <w:t xml:space="preserve"> </w:t>
      </w:r>
      <w:r w:rsidR="00EF3608">
        <w:t>What considerations should apply to materiality judgements when undertaking climate reporting, and what should be the reference point for materiality (for instance, should it align with ISSB guidance on materiality and is enterprise value a useful consideration)</w:t>
      </w:r>
      <w:r>
        <w:t>?</w:t>
      </w:r>
    </w:p>
    <w:p w14:paraId="7AD6BEEB" w14:textId="088C1B50" w:rsidR="006D0532" w:rsidRDefault="006D0532" w:rsidP="00EF3608">
      <w:pPr>
        <w:pStyle w:val="OutlineNumbered1"/>
        <w:numPr>
          <w:ilvl w:val="0"/>
          <w:numId w:val="0"/>
        </w:numPr>
        <w:ind w:left="284" w:hanging="284"/>
      </w:pPr>
      <w:r w:rsidRPr="00A61F4A">
        <w:rPr>
          <w:b/>
          <w:bCs/>
        </w:rPr>
        <w:t xml:space="preserve">Question </w:t>
      </w:r>
      <w:r>
        <w:rPr>
          <w:b/>
          <w:bCs/>
        </w:rPr>
        <w:t>8</w:t>
      </w:r>
      <w:r w:rsidRPr="00A61F4A">
        <w:rPr>
          <w:b/>
          <w:bCs/>
        </w:rPr>
        <w:t>:</w:t>
      </w:r>
      <w:r>
        <w:t xml:space="preserve"> </w:t>
      </w:r>
      <w:r w:rsidR="005A7E0A">
        <w:t>What level of assurance should be required for climate disclosures, who should provide assurance (for instance, auditor of the financial report or other expert), and should assurance providers be subject to independence and quality management standards</w:t>
      </w:r>
      <w:r>
        <w:t>?</w:t>
      </w:r>
    </w:p>
    <w:p w14:paraId="74474302" w14:textId="77777777" w:rsidR="006D0532" w:rsidRPr="00754736" w:rsidRDefault="006D0532" w:rsidP="00EF3608">
      <w:pPr>
        <w:pStyle w:val="OutlineNumbered1"/>
        <w:numPr>
          <w:ilvl w:val="0"/>
          <w:numId w:val="0"/>
        </w:numPr>
        <w:ind w:left="284" w:hanging="284"/>
      </w:pPr>
      <w:r w:rsidRPr="00754736">
        <w:rPr>
          <w:b/>
          <w:bCs/>
        </w:rPr>
        <w:t>Question 9:</w:t>
      </w:r>
      <w:r w:rsidRPr="00754736">
        <w:t xml:space="preserve"> What considerations should apply to requirements to report emissions (Scope 1, 2 and 3) including use of any relevant Australian emissions reporting frameworks?</w:t>
      </w:r>
    </w:p>
    <w:p w14:paraId="6CE2AC8B" w14:textId="77777777" w:rsidR="006D0532" w:rsidRPr="00754736" w:rsidRDefault="006D0532" w:rsidP="00EF3608">
      <w:pPr>
        <w:pStyle w:val="OutlineNumbered1"/>
        <w:numPr>
          <w:ilvl w:val="0"/>
          <w:numId w:val="0"/>
        </w:numPr>
        <w:ind w:left="284" w:hanging="284"/>
      </w:pPr>
      <w:r w:rsidRPr="00754736">
        <w:rPr>
          <w:b/>
          <w:bCs/>
        </w:rPr>
        <w:lastRenderedPageBreak/>
        <w:t>Question 10:</w:t>
      </w:r>
      <w:r w:rsidRPr="00754736">
        <w:t xml:space="preserve"> Should a common baseline of metrics be defined so that there is a degree of consistency between disclosures, including industry-specific metrics?</w:t>
      </w:r>
    </w:p>
    <w:p w14:paraId="4F024469" w14:textId="77777777" w:rsidR="006D0532" w:rsidRPr="00754736" w:rsidRDefault="006D0532" w:rsidP="00EF3608">
      <w:pPr>
        <w:pStyle w:val="OutlineNumbered1"/>
        <w:numPr>
          <w:ilvl w:val="0"/>
          <w:numId w:val="0"/>
        </w:numPr>
        <w:ind w:left="284" w:hanging="284"/>
      </w:pPr>
      <w:r w:rsidRPr="00754736">
        <w:rPr>
          <w:b/>
          <w:bCs/>
        </w:rPr>
        <w:t>Question 11:</w:t>
      </w:r>
      <w:r w:rsidRPr="00754736">
        <w:t xml:space="preserve"> What considerations should apply to ensure covered entities provide transparent information about how they are managing climate related risks, including what transition plans they have in place and any use of greenhouse gas emissions offsets to meet their published targets? </w:t>
      </w:r>
    </w:p>
    <w:p w14:paraId="60C39864" w14:textId="278C196F" w:rsidR="006D0532" w:rsidRDefault="006D0532" w:rsidP="00EF3608">
      <w:pPr>
        <w:pStyle w:val="OutlineNumbered1"/>
        <w:numPr>
          <w:ilvl w:val="0"/>
          <w:numId w:val="0"/>
        </w:numPr>
        <w:ind w:left="284" w:hanging="284"/>
      </w:pPr>
      <w:r w:rsidRPr="00754736">
        <w:rPr>
          <w:b/>
          <w:bCs/>
        </w:rPr>
        <w:t>Question 12:</w:t>
      </w:r>
      <w:r w:rsidRPr="00754736">
        <w:t xml:space="preserve"> Should particular disclosure requirements and/or assurance of those requirements commence in different phases, and why?</w:t>
      </w:r>
    </w:p>
    <w:p w14:paraId="3DFDB788" w14:textId="77777777" w:rsidR="005A7E0A" w:rsidRDefault="00AE08BF" w:rsidP="005A7E0A">
      <w:pPr>
        <w:pStyle w:val="OutlineNumbered1"/>
        <w:numPr>
          <w:ilvl w:val="0"/>
          <w:numId w:val="0"/>
        </w:numPr>
        <w:ind w:left="284" w:hanging="284"/>
      </w:pPr>
      <w:r w:rsidRPr="00EF3608">
        <w:rPr>
          <w:b/>
          <w:bCs/>
        </w:rPr>
        <w:t>Question 13:</w:t>
      </w:r>
      <w:r>
        <w:t xml:space="preserve"> </w:t>
      </w:r>
      <w:r w:rsidR="005A7E0A">
        <w:t>Are there any specific capability or data challenges in the Australian context that should be considered when implementing new requirements?</w:t>
      </w:r>
    </w:p>
    <w:p w14:paraId="4976BA5E" w14:textId="77777777" w:rsidR="005A7E0A" w:rsidRDefault="005A7E0A" w:rsidP="005A7E0A">
      <w:pPr>
        <w:pStyle w:val="OutlineNumbered1"/>
        <w:numPr>
          <w:ilvl w:val="0"/>
          <w:numId w:val="0"/>
        </w:numPr>
        <w:ind w:left="1051" w:hanging="709"/>
      </w:pPr>
      <w:r>
        <w:t>13.1</w:t>
      </w:r>
      <w:r>
        <w:tab/>
        <w:t>How and by whom might any data gaps be addressed?</w:t>
      </w:r>
    </w:p>
    <w:p w14:paraId="44B8834D" w14:textId="6AD87971" w:rsidR="006D0532" w:rsidRPr="006D0532" w:rsidRDefault="005A7E0A" w:rsidP="005A7E0A">
      <w:pPr>
        <w:pStyle w:val="OutlineNumbered1"/>
        <w:numPr>
          <w:ilvl w:val="0"/>
          <w:numId w:val="0"/>
        </w:numPr>
        <w:ind w:left="1051" w:hanging="709"/>
      </w:pPr>
      <w:r>
        <w:t>13.2</w:t>
      </w:r>
      <w:r>
        <w:tab/>
        <w:t>Are there any specific initiatives in comparable jurisdictions that may assist users and preparers of this information in addressing these challenges</w:t>
      </w:r>
      <w:r w:rsidR="00AE08BF">
        <w:t>?</w:t>
      </w:r>
    </w:p>
    <w:p w14:paraId="7D5E0313" w14:textId="505C2F1C" w:rsidR="006D0532" w:rsidRDefault="00AE08BF" w:rsidP="00EF3608">
      <w:pPr>
        <w:pStyle w:val="OutlineNumbered1"/>
        <w:numPr>
          <w:ilvl w:val="0"/>
          <w:numId w:val="0"/>
        </w:numPr>
        <w:ind w:left="284" w:hanging="284"/>
      </w:pPr>
      <w:r w:rsidRPr="00EF3608">
        <w:rPr>
          <w:b/>
          <w:bCs/>
        </w:rPr>
        <w:t>Question 14:</w:t>
      </w:r>
      <w:r w:rsidRPr="00CF47DE">
        <w:t xml:space="preserve"> </w:t>
      </w:r>
      <w:r w:rsidRPr="00697B7F">
        <w:t xml:space="preserve">Regarding any supporting </w:t>
      </w:r>
      <w:r w:rsidRPr="001B08E6">
        <w:t>information</w:t>
      </w:r>
      <w:r w:rsidRPr="00697B7F">
        <w:t xml:space="preserve"> necessary to meet required disclosures (for instance, climate scenarios), is there a case for a particular entity or entities to provide that information and the governance of such information?</w:t>
      </w:r>
    </w:p>
    <w:p w14:paraId="5D6F14CC" w14:textId="0DA44F06" w:rsidR="006D0532" w:rsidRDefault="00AE08BF" w:rsidP="00EF3608">
      <w:pPr>
        <w:pStyle w:val="OutlineNumbered1"/>
        <w:numPr>
          <w:ilvl w:val="0"/>
          <w:numId w:val="0"/>
        </w:numPr>
        <w:ind w:left="284" w:hanging="284"/>
      </w:pPr>
      <w:r w:rsidRPr="001B08E6">
        <w:rPr>
          <w:b/>
        </w:rPr>
        <w:t>Question 1</w:t>
      </w:r>
      <w:r>
        <w:rPr>
          <w:b/>
        </w:rPr>
        <w:t>5</w:t>
      </w:r>
      <w:r w:rsidRPr="001B08E6">
        <w:rPr>
          <w:b/>
        </w:rPr>
        <w:t>:</w:t>
      </w:r>
      <w:r w:rsidRPr="001B08E6">
        <w:t xml:space="preserve"> How suitable are the ‘reasonable grounds’ requirements and disclosures of uncertainties or assumptions in the context of climate reporting? Are there other tests or measures that could be considered to ensure liability is proportionate to inherent uncertainty within some required climate disclosures?</w:t>
      </w:r>
    </w:p>
    <w:p w14:paraId="36E4E2AA" w14:textId="685711D8" w:rsidR="006D0532" w:rsidRDefault="00AE08BF" w:rsidP="00EF3608">
      <w:pPr>
        <w:pStyle w:val="OutlineNumbered1"/>
        <w:numPr>
          <w:ilvl w:val="0"/>
          <w:numId w:val="0"/>
        </w:numPr>
        <w:ind w:left="284" w:hanging="284"/>
      </w:pPr>
      <w:r w:rsidRPr="00EF3608">
        <w:rPr>
          <w:b/>
          <w:bCs/>
        </w:rPr>
        <w:t>Question 16:</w:t>
      </w:r>
      <w:r w:rsidRPr="00EF3608">
        <w:t xml:space="preserve"> Are there particular considerations for how other reporting obligations</w:t>
      </w:r>
      <w:r w:rsidR="005A7E0A">
        <w:t xml:space="preserve"> (</w:t>
      </w:r>
      <w:r w:rsidRPr="00EF3608">
        <w:t>including continuous disclosure and fundraising documents) would interact with new climate reporting requirements, and how should these interactions be addressed?</w:t>
      </w:r>
    </w:p>
    <w:p w14:paraId="6275CE7C" w14:textId="64A965CF" w:rsidR="006D0532" w:rsidRDefault="00950D75" w:rsidP="00EF3608">
      <w:pPr>
        <w:pStyle w:val="OutlineNumbered1"/>
        <w:numPr>
          <w:ilvl w:val="0"/>
          <w:numId w:val="0"/>
        </w:numPr>
        <w:ind w:left="284" w:hanging="284"/>
      </w:pPr>
      <w:r w:rsidRPr="009F54C0">
        <w:rPr>
          <w:b/>
          <w:bCs/>
        </w:rPr>
        <w:t xml:space="preserve">Question </w:t>
      </w:r>
      <w:r>
        <w:rPr>
          <w:b/>
          <w:bCs/>
        </w:rPr>
        <w:t>17</w:t>
      </w:r>
      <w:r w:rsidRPr="009F54C0">
        <w:rPr>
          <w:b/>
          <w:bCs/>
        </w:rPr>
        <w:t>:</w:t>
      </w:r>
      <w:r>
        <w:t xml:space="preserve"> While the focus of this reform is on climate reporting, how much should flexibility to incorporate the growth of other sustainability reporting be considered in the practical design of these reforms?</w:t>
      </w:r>
    </w:p>
    <w:p w14:paraId="4B0D8C39" w14:textId="41C2EEA0" w:rsidR="00B64397" w:rsidRDefault="00950D75" w:rsidP="00972532">
      <w:pPr>
        <w:pStyle w:val="OutlineNumbered1"/>
        <w:numPr>
          <w:ilvl w:val="0"/>
          <w:numId w:val="0"/>
        </w:numPr>
        <w:ind w:left="284" w:hanging="284"/>
      </w:pPr>
      <w:r w:rsidRPr="00235875">
        <w:rPr>
          <w:b/>
          <w:bCs/>
        </w:rPr>
        <w:t xml:space="preserve">Question </w:t>
      </w:r>
      <w:r>
        <w:rPr>
          <w:b/>
          <w:bCs/>
        </w:rPr>
        <w:t>18</w:t>
      </w:r>
      <w:r w:rsidRPr="00235875">
        <w:rPr>
          <w:b/>
          <w:bCs/>
        </w:rPr>
        <w:t>:</w:t>
      </w:r>
      <w:r>
        <w:t xml:space="preserve"> Should digital reporting be mandated for sustainability risk reporting? What are the barriers and costs for implementing digital reporting?</w:t>
      </w:r>
    </w:p>
    <w:p w14:paraId="7571553F" w14:textId="3D7DDAB6" w:rsidR="00950D75" w:rsidRDefault="00950D75" w:rsidP="00EF3608">
      <w:pPr>
        <w:pStyle w:val="OutlineNumbered1"/>
        <w:numPr>
          <w:ilvl w:val="0"/>
          <w:numId w:val="0"/>
        </w:numPr>
        <w:ind w:left="284" w:hanging="284"/>
      </w:pPr>
      <w:r w:rsidRPr="00235875">
        <w:rPr>
          <w:b/>
          <w:bCs/>
        </w:rPr>
        <w:t xml:space="preserve">Question </w:t>
      </w:r>
      <w:r>
        <w:rPr>
          <w:b/>
          <w:bCs/>
        </w:rPr>
        <w:t>19</w:t>
      </w:r>
      <w:r w:rsidRPr="00235875">
        <w:rPr>
          <w:b/>
          <w:bCs/>
        </w:rPr>
        <w:t>:</w:t>
      </w:r>
      <w:r>
        <w:t xml:space="preserve"> Which of the potential structures presented (or any other) would best improve the effectiveness and efficiency of the financial reporting system, including to support introduction of climate related risk reporting? Why?</w:t>
      </w:r>
      <w:bookmarkEnd w:id="0"/>
      <w:bookmarkEnd w:id="36"/>
    </w:p>
    <w:sectPr w:rsidR="00950D75" w:rsidSect="009927E5">
      <w:headerReference w:type="even" r:id="rId27"/>
      <w:headerReference w:type="default" r:id="rId28"/>
      <w:footerReference w:type="even" r:id="rId29"/>
      <w:footerReference w:type="default" r:id="rId30"/>
      <w:headerReference w:type="first" r:id="rId31"/>
      <w:footerReference w:type="first" r:id="rId32"/>
      <w:pgSz w:w="11906" w:h="16838" w:code="9"/>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9C552" w14:textId="77777777" w:rsidR="00444A76" w:rsidRDefault="00444A76">
      <w:pPr>
        <w:spacing w:before="0" w:after="0"/>
      </w:pPr>
      <w:r>
        <w:separator/>
      </w:r>
    </w:p>
  </w:endnote>
  <w:endnote w:type="continuationSeparator" w:id="0">
    <w:p w14:paraId="7AB03827" w14:textId="77777777" w:rsidR="00444A76" w:rsidRDefault="00444A76">
      <w:pPr>
        <w:spacing w:before="0" w:after="0"/>
      </w:pPr>
      <w:r>
        <w:continuationSeparator/>
      </w:r>
    </w:p>
  </w:endnote>
  <w:endnote w:type="continuationNotice" w:id="1">
    <w:p w14:paraId="731939DC" w14:textId="77777777" w:rsidR="00444A76" w:rsidRDefault="00444A7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Rockwell">
    <w:panose1 w:val="02060603020205020403"/>
    <w:charset w:val="00"/>
    <w:family w:val="roman"/>
    <w:pitch w:val="variable"/>
    <w:sig w:usb0="00000007" w:usb1="00000000" w:usb2="00000000" w:usb3="00000000" w:csb0="00000003" w:csb1="00000000"/>
  </w:font>
  <w:font w:name="ZWAdobeF">
    <w:altName w:val="Calibri"/>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38A67" w14:textId="77777777" w:rsidR="002314D2" w:rsidRPr="00E77C89" w:rsidRDefault="002314D2" w:rsidP="0017089D">
    <w:r>
      <w:fldChar w:fldCharType="begin"/>
    </w:r>
    <w:r>
      <w:instrText xml:space="preserve"> PAGE  \* Arabic  \* MERGEFORMAT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C333A" w14:textId="4C45FA4A" w:rsidR="009927E5" w:rsidRPr="008043EA" w:rsidRDefault="009927E5" w:rsidP="0009151A">
    <w:r w:rsidRPr="00742366">
      <w:rPr>
        <w:noProof/>
      </w:rPr>
      <w:drawing>
        <wp:anchor distT="0" distB="0" distL="114300" distR="114300" simplePos="0" relativeHeight="251658241" behindDoc="1" locked="1" layoutInCell="1" allowOverlap="1" wp14:anchorId="46D4BD6C" wp14:editId="6A73C136">
          <wp:simplePos x="0" y="0"/>
          <wp:positionH relativeFrom="margin">
            <wp:posOffset>5459095</wp:posOffset>
          </wp:positionH>
          <wp:positionV relativeFrom="page">
            <wp:posOffset>3280410</wp:posOffset>
          </wp:positionV>
          <wp:extent cx="7574280" cy="1043940"/>
          <wp:effectExtent l="762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0" wp14:anchorId="75C81173" wp14:editId="17526B01">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fldSimple w:instr=" STYLEREF  &quot;Heading 1&quot;  \* MERGEFORMAT ">
      <w:r w:rsidR="008F238D">
        <w:rPr>
          <w:noProof/>
        </w:rPr>
        <w:t>Contents</w:t>
      </w:r>
    </w:fldSimple>
    <w:r>
      <w:t xml:space="preserve"> | </w:t>
    </w:r>
    <w:r>
      <w:fldChar w:fldCharType="begin"/>
    </w:r>
    <w:r>
      <w:instrText xml:space="preserve"> PAGE   \* MERGEFORMAT </w:instrText>
    </w:r>
    <w:r>
      <w:fldChar w:fldCharType="separate"/>
    </w:r>
    <w:r>
      <w:t>1</w:t>
    </w:r>
    <w:r>
      <w:fldChar w:fldCharType="end"/>
    </w:r>
  </w:p>
  <w:p w14:paraId="41A60A7E" w14:textId="77777777" w:rsidR="009927E5" w:rsidRPr="008043EA" w:rsidRDefault="009927E5" w:rsidP="009927E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EC8B5" w14:textId="77777777" w:rsidR="00E81A40" w:rsidRPr="00E77C89" w:rsidRDefault="00E81A40" w:rsidP="0017089D">
    <w:r>
      <w:fldChar w:fldCharType="begin"/>
    </w:r>
    <w:r>
      <w:instrText xml:space="preserve"> PAGE  \* Arabic  \* MERGEFORMAT </w:instrText>
    </w:r>
    <w:r>
      <w:fldChar w:fldCharType="separate"/>
    </w:r>
    <w:r>
      <w:t>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281B7" w14:textId="3C16A9DE" w:rsidR="00E81A40" w:rsidRPr="00E13E90" w:rsidRDefault="00E81A40" w:rsidP="00E13E90">
    <w:pPr>
      <w:pStyle w:val="Footer"/>
    </w:pPr>
    <w:r w:rsidRPr="00742366">
      <w:drawing>
        <wp:anchor distT="0" distB="0" distL="114300" distR="114300" simplePos="0" relativeHeight="251658243" behindDoc="1" locked="1" layoutInCell="1" allowOverlap="1" wp14:anchorId="2D47A9C3" wp14:editId="314857FC">
          <wp:simplePos x="0" y="0"/>
          <wp:positionH relativeFrom="margin">
            <wp:posOffset>5459095</wp:posOffset>
          </wp:positionH>
          <wp:positionV relativeFrom="page">
            <wp:posOffset>3280410</wp:posOffset>
          </wp:positionV>
          <wp:extent cx="7574280" cy="1043940"/>
          <wp:effectExtent l="762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3F643697" wp14:editId="028F02BF">
          <wp:extent cx="1324800" cy="201600"/>
          <wp:effectExtent l="0" t="0" r="0" b="8255"/>
          <wp:docPr id="20" name="Picture 2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t xml:space="preserve">|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BF433" w14:textId="77777777" w:rsidR="00E81A40" w:rsidRDefault="00E81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AACFD" w14:textId="77777777" w:rsidR="00444A76" w:rsidRDefault="00444A76">
      <w:pPr>
        <w:spacing w:before="0" w:after="0"/>
      </w:pPr>
      <w:r>
        <w:separator/>
      </w:r>
    </w:p>
  </w:footnote>
  <w:footnote w:type="continuationSeparator" w:id="0">
    <w:p w14:paraId="20F43710" w14:textId="77777777" w:rsidR="00444A76" w:rsidRDefault="00444A76">
      <w:pPr>
        <w:spacing w:before="0" w:after="0"/>
      </w:pPr>
      <w:r>
        <w:continuationSeparator/>
      </w:r>
    </w:p>
  </w:footnote>
  <w:footnote w:type="continuationNotice" w:id="1">
    <w:p w14:paraId="63C39F9F" w14:textId="77777777" w:rsidR="00444A76" w:rsidRDefault="00444A76">
      <w:pPr>
        <w:spacing w:before="0" w:after="0"/>
      </w:pPr>
    </w:p>
  </w:footnote>
  <w:footnote w:id="2">
    <w:p w14:paraId="4788F590" w14:textId="4BBC0C25" w:rsidR="005362BA" w:rsidRDefault="005362BA">
      <w:pPr>
        <w:pStyle w:val="FootnoteText"/>
      </w:pPr>
      <w:r>
        <w:rPr>
          <w:rStyle w:val="FootnoteReference"/>
        </w:rPr>
        <w:footnoteRef/>
      </w:r>
      <w:r>
        <w:t xml:space="preserve"> </w:t>
      </w:r>
      <w:r w:rsidRPr="00512ED0">
        <w:t>https://www.fsb.org/2021/10/2021-status-report-task-force-on-climate-related-financial-disclosures/</w:t>
      </w:r>
    </w:p>
  </w:footnote>
  <w:footnote w:id="3">
    <w:p w14:paraId="1601719F" w14:textId="77777777" w:rsidR="007E4DFE" w:rsidRDefault="007E4DFE" w:rsidP="007E4DFE">
      <w:pPr>
        <w:pStyle w:val="FootnoteText"/>
      </w:pPr>
      <w:r>
        <w:rPr>
          <w:rStyle w:val="FootnoteReference"/>
        </w:rPr>
        <w:footnoteRef/>
      </w:r>
      <w:r>
        <w:t xml:space="preserve"> </w:t>
      </w:r>
      <w:r w:rsidRPr="006A402D">
        <w:t>https://www.ifrs.org/news-and-events/news/2022/05/issb-outlines-actions-required-to-deliver-global-baseline-of-sustainability-disclosures/</w:t>
      </w:r>
    </w:p>
  </w:footnote>
  <w:footnote w:id="4">
    <w:p w14:paraId="74F5A414" w14:textId="49449C1E" w:rsidR="00AE70EE" w:rsidRDefault="00AE70EE">
      <w:pPr>
        <w:pStyle w:val="FootnoteText"/>
      </w:pPr>
      <w:r>
        <w:rPr>
          <w:rStyle w:val="FootnoteReference"/>
        </w:rPr>
        <w:footnoteRef/>
      </w:r>
      <w:r>
        <w:t xml:space="preserve"> </w:t>
      </w:r>
      <w:r w:rsidRPr="001B08E6">
        <w:t>Regulatory Guide RG 247 Effective disclosure in an operating and financial review (asic.gov.au)</w:t>
      </w:r>
      <w:r>
        <w:rPr>
          <w:rStyle w:val="Hyperlink"/>
        </w:rPr>
        <w:t xml:space="preserve"> </w:t>
      </w:r>
    </w:p>
  </w:footnote>
  <w:footnote w:id="5">
    <w:p w14:paraId="3EEA25DB" w14:textId="23DE094A" w:rsidR="007D4D86" w:rsidRDefault="007D4D86" w:rsidP="007D4D86">
      <w:pPr>
        <w:pStyle w:val="FootnoteText"/>
      </w:pPr>
      <w:r>
        <w:rPr>
          <w:rStyle w:val="FootnoteReference"/>
        </w:rPr>
        <w:footnoteRef/>
      </w:r>
      <w:r>
        <w:t xml:space="preserve"> </w:t>
      </w:r>
      <w:r w:rsidRPr="001B08E6">
        <w:t>https://www.apra.gov.au/news-and-publications/apra-finalises-prudential-guidance-on-managing-financial-risks-of-climate</w:t>
      </w:r>
      <w:r>
        <w:t xml:space="preserve"> </w:t>
      </w:r>
    </w:p>
  </w:footnote>
  <w:footnote w:id="6">
    <w:p w14:paraId="53D58A7F" w14:textId="1F188B44" w:rsidR="00597951" w:rsidRDefault="00597951">
      <w:pPr>
        <w:pStyle w:val="FootnoteText"/>
      </w:pPr>
      <w:r>
        <w:rPr>
          <w:rStyle w:val="FootnoteReference"/>
        </w:rPr>
        <w:footnoteRef/>
      </w:r>
      <w:r>
        <w:t xml:space="preserve"> </w:t>
      </w:r>
      <w:r w:rsidRPr="00597951">
        <w:t>https://www.aasb.gov.au/admin/file/content102/c3/AASB_AUASB_Joint_Bulletin_Finished.pdf</w:t>
      </w:r>
    </w:p>
  </w:footnote>
  <w:footnote w:id="7">
    <w:p w14:paraId="264B3422" w14:textId="48E3336D" w:rsidR="003E6A81" w:rsidRDefault="003E6A81">
      <w:pPr>
        <w:pStyle w:val="FootnoteText"/>
      </w:pPr>
      <w:r>
        <w:rPr>
          <w:rStyle w:val="FootnoteReference"/>
        </w:rPr>
        <w:footnoteRef/>
      </w:r>
      <w:r>
        <w:t xml:space="preserve"> </w:t>
      </w:r>
      <w:r w:rsidRPr="003E6A81">
        <w:t>https://www.ifrs.org/news-and-events/news/2022/10/issb-unanimously-confirms-scope-3-ghg-emissions-disclosure-requirements-with-strong-application-support-among-key-decisions/</w:t>
      </w:r>
    </w:p>
  </w:footnote>
  <w:footnote w:id="8">
    <w:p w14:paraId="2D91C536" w14:textId="6C9EBB50" w:rsidR="001E01A8" w:rsidRDefault="001E01A8">
      <w:pPr>
        <w:pStyle w:val="FootnoteText"/>
      </w:pPr>
      <w:r>
        <w:rPr>
          <w:rStyle w:val="FootnoteReference"/>
        </w:rPr>
        <w:footnoteRef/>
      </w:r>
      <w:r>
        <w:t xml:space="preserve"> </w:t>
      </w:r>
      <w:r w:rsidRPr="001E01A8">
        <w:t>https://www.pwc.com.au/assurance/esg-reporting-australia-2021.pdf</w:t>
      </w:r>
    </w:p>
  </w:footnote>
  <w:footnote w:id="9">
    <w:p w14:paraId="7BC7860E" w14:textId="2A1EE7C8" w:rsidR="00CE0BDD" w:rsidRDefault="00CE0BDD">
      <w:pPr>
        <w:pStyle w:val="FootnoteText"/>
      </w:pPr>
      <w:r>
        <w:rPr>
          <w:rStyle w:val="FootnoteReference"/>
        </w:rPr>
        <w:footnoteRef/>
      </w:r>
      <w:r>
        <w:t xml:space="preserve"> </w:t>
      </w:r>
      <w:r w:rsidRPr="00CE0BDD">
        <w:t>https://www.fsb.org/2022/07/fsb-roadmap-for-addressing-financial-risks-from-climate-change-2022-progress-report/</w:t>
      </w:r>
    </w:p>
  </w:footnote>
  <w:footnote w:id="10">
    <w:p w14:paraId="2243BE3B" w14:textId="77777777" w:rsidR="00FD512D" w:rsidRDefault="00FD512D" w:rsidP="00FD512D">
      <w:pPr>
        <w:pStyle w:val="FootnoteText"/>
      </w:pPr>
      <w:r>
        <w:rPr>
          <w:rStyle w:val="FootnoteReference"/>
        </w:rPr>
        <w:footnoteRef/>
      </w:r>
      <w:r>
        <w:t xml:space="preserve"> </w:t>
      </w:r>
      <w:r w:rsidRPr="00A259A7">
        <w:t>https://www.fsb.org/2021/07/the-availability-of-data-with-which-to-monitor-and-assess-climate-related-risks-to-financial-stability/</w:t>
      </w:r>
    </w:p>
  </w:footnote>
  <w:footnote w:id="11">
    <w:p w14:paraId="1BE59602" w14:textId="77777777" w:rsidR="00FD512D" w:rsidRDefault="00FD512D" w:rsidP="00FD512D">
      <w:pPr>
        <w:pStyle w:val="FootnoteText"/>
      </w:pPr>
      <w:r>
        <w:rPr>
          <w:rStyle w:val="FootnoteReference"/>
        </w:rPr>
        <w:footnoteRef/>
      </w:r>
      <w:r>
        <w:t xml:space="preserve"> </w:t>
      </w:r>
      <w:r w:rsidRPr="00A259A7">
        <w:t>https://www.ngfs.net/sites/default/files/medias/documents/</w:t>
      </w:r>
      <w:r w:rsidRPr="007731CE">
        <w:t>final_report_on_bridging_data_gaps.pdf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DA688" w14:textId="77777777" w:rsidR="002314D2" w:rsidRPr="001F3912" w:rsidRDefault="002314D2" w:rsidP="0017089D">
    <w:r>
      <w:fldChar w:fldCharType="begin"/>
    </w:r>
    <w:r>
      <w:instrText xml:space="preserve"> macrobutton nomacro [Click and add Publication Title]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2037B" w14:textId="77777777" w:rsidR="002314D2" w:rsidRPr="001F3912" w:rsidRDefault="002314D2" w:rsidP="0017089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DAEA4" w14:textId="77777777" w:rsidR="00E81A40" w:rsidRPr="001F3912" w:rsidRDefault="00E81A40" w:rsidP="0017089D">
    <w:r>
      <w:fldChar w:fldCharType="begin"/>
    </w:r>
    <w:r>
      <w:instrText xml:space="preserve"> macrobutton nomacro [Click and add Publication Title] </w:instrTex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A6365" w14:textId="166C807B" w:rsidR="00E81A40" w:rsidRPr="00963E8D" w:rsidRDefault="00E81A40" w:rsidP="00963E8D">
    <w:pPr>
      <w:pStyle w:val="Header"/>
    </w:pPr>
    <w:r>
      <w:rPr>
        <w:noProof/>
      </w:rPr>
      <w:drawing>
        <wp:anchor distT="0" distB="0" distL="114300" distR="114300" simplePos="0" relativeHeight="251658242" behindDoc="1" locked="1" layoutInCell="1" allowOverlap="1" wp14:anchorId="4FDFD383" wp14:editId="58C233BC">
          <wp:simplePos x="0" y="0"/>
          <wp:positionH relativeFrom="page">
            <wp:align>center</wp:align>
          </wp:positionH>
          <wp:positionV relativeFrom="page">
            <wp:align>top</wp:align>
          </wp:positionV>
          <wp:extent cx="7570800" cy="1044000"/>
          <wp:effectExtent l="0" t="0" r="0"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60332" w14:textId="77777777" w:rsidR="00E81A40" w:rsidRDefault="00E81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C144C7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836ADD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03E5B3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61C652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83AF65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BCB61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F40A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D442D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6404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2AE10F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1" w15:restartNumberingAfterBreak="0">
    <w:nsid w:val="10653560"/>
    <w:multiLevelType w:val="multilevel"/>
    <w:tmpl w:val="72F8140E"/>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7DF7717"/>
    <w:multiLevelType w:val="multilevel"/>
    <w:tmpl w:val="32BA81B0"/>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13" w15:restartNumberingAfterBreak="0">
    <w:nsid w:val="20AB007E"/>
    <w:multiLevelType w:val="multilevel"/>
    <w:tmpl w:val="BF641460"/>
    <w:lvl w:ilvl="0">
      <w:start w:val="1"/>
      <w:numFmt w:val="decimal"/>
      <w:lvlText w:val="%1"/>
      <w:lvlJc w:val="left"/>
      <w:pPr>
        <w:ind w:left="360" w:hanging="360"/>
      </w:pPr>
      <w:rPr>
        <w:rFonts w:hint="default"/>
      </w:rPr>
    </w:lvl>
    <w:lvl w:ilvl="1">
      <w:start w:val="1"/>
      <w:numFmt w:val="decimal"/>
      <w:pStyle w:val="OutlineNumbered2"/>
      <w:lvlText w:val="%1.%2"/>
      <w:lvlJc w:val="left"/>
      <w:pPr>
        <w:ind w:left="1353"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5"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44B69A6"/>
    <w:multiLevelType w:val="multilevel"/>
    <w:tmpl w:val="CFC65FAE"/>
    <w:name w:val="StandardNumberedList"/>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D502B7D"/>
    <w:multiLevelType w:val="multilevel"/>
    <w:tmpl w:val="F57C2CC4"/>
    <w:name w:val="StandardBulletedList"/>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Theme="minorHAnsi" w:eastAsiaTheme="minorHAnsi" w:hAnsiTheme="minorHAnsi" w:cstheme="minorBidi"/>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0C47978"/>
    <w:multiLevelType w:val="multilevel"/>
    <w:tmpl w:val="E78A5CC6"/>
    <w:lvl w:ilvl="0">
      <w:start w:val="1"/>
      <w:numFmt w:val="decimal"/>
      <w:pStyle w:val="OutlineNumbered1"/>
      <w:lvlText w:val="%1."/>
      <w:lvlJc w:val="left"/>
      <w:pPr>
        <w:tabs>
          <w:tab w:val="num" w:pos="567"/>
        </w:tabs>
        <w:ind w:left="567" w:hanging="567"/>
      </w:pPr>
      <w:rPr>
        <w:rFonts w:ascii="Calibri Light" w:eastAsia="Times New Roman" w:hAnsi="Calibri Light" w:cs="Times New Roman"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D6B5224"/>
    <w:multiLevelType w:val="multilevel"/>
    <w:tmpl w:val="57000EF8"/>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4"/>
  </w:num>
  <w:num w:numId="2">
    <w:abstractNumId w:val="10"/>
  </w:num>
  <w:num w:numId="3">
    <w:abstractNumId w:val="16"/>
  </w:num>
  <w:num w:numId="4">
    <w:abstractNumId w:val="11"/>
  </w:num>
  <w:num w:numId="5">
    <w:abstractNumId w:val="15"/>
  </w:num>
  <w:num w:numId="6">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2"/>
  </w:num>
  <w:num w:numId="9">
    <w:abstractNumId w:val="11"/>
    <w:lvlOverride w:ilvl="0">
      <w:lvl w:ilvl="0">
        <w:start w:val="1"/>
        <w:numFmt w:val="decimal"/>
        <w:lvlText w:val="%1."/>
        <w:lvlJc w:val="left"/>
        <w:pPr>
          <w:tabs>
            <w:tab w:val="num" w:pos="851"/>
          </w:tabs>
          <w:ind w:left="851" w:hanging="851"/>
        </w:pPr>
        <w:rPr>
          <w:rFonts w:hint="default"/>
        </w:rPr>
      </w:lvl>
    </w:lvlOverride>
    <w:lvlOverride w:ilvl="1">
      <w:lvl w:ilvl="1">
        <w:start w:val="1"/>
        <w:numFmt w:val="decimal"/>
        <w:lvlText w:val="%1.%2"/>
        <w:lvlJc w:val="left"/>
        <w:pPr>
          <w:tabs>
            <w:tab w:val="num" w:pos="1134"/>
          </w:tabs>
          <w:ind w:left="1134" w:hanging="1134"/>
        </w:pPr>
        <w:rPr>
          <w:rFonts w:hint="default"/>
        </w:rPr>
      </w:lvl>
    </w:lvlOverride>
    <w:lvlOverride w:ilvl="2">
      <w:lvl w:ilvl="2">
        <w:start w:val="1"/>
        <w:numFmt w:val="decimal"/>
        <w:pStyle w:val="OutlineNumbered3"/>
        <w:lvlText w:val="%1.%2.%3"/>
        <w:lvlJc w:val="left"/>
        <w:pPr>
          <w:tabs>
            <w:tab w:val="num" w:pos="1418"/>
          </w:tabs>
          <w:ind w:left="1418" w:hanging="1418"/>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
    <w:abstractNumId w:val="19"/>
  </w:num>
  <w:num w:numId="11">
    <w:abstractNumId w:val="13"/>
  </w:num>
  <w:num w:numId="12">
    <w:abstractNumId w:val="19"/>
  </w:num>
  <w:num w:numId="13">
    <w:abstractNumId w:val="19"/>
  </w:num>
  <w:num w:numId="14">
    <w:abstractNumId w:val="19"/>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65D"/>
    <w:rsid w:val="00000E01"/>
    <w:rsid w:val="0000136C"/>
    <w:rsid w:val="00001963"/>
    <w:rsid w:val="00001FD5"/>
    <w:rsid w:val="00002438"/>
    <w:rsid w:val="00002BF9"/>
    <w:rsid w:val="00003037"/>
    <w:rsid w:val="00003800"/>
    <w:rsid w:val="00003ADE"/>
    <w:rsid w:val="00003E7A"/>
    <w:rsid w:val="00005417"/>
    <w:rsid w:val="00005A44"/>
    <w:rsid w:val="00006142"/>
    <w:rsid w:val="00006E05"/>
    <w:rsid w:val="00011111"/>
    <w:rsid w:val="00011725"/>
    <w:rsid w:val="00012B63"/>
    <w:rsid w:val="00012C62"/>
    <w:rsid w:val="000143CF"/>
    <w:rsid w:val="000156F4"/>
    <w:rsid w:val="00015973"/>
    <w:rsid w:val="00015C2B"/>
    <w:rsid w:val="00016847"/>
    <w:rsid w:val="000179A3"/>
    <w:rsid w:val="00017F01"/>
    <w:rsid w:val="00020527"/>
    <w:rsid w:val="00020B0D"/>
    <w:rsid w:val="00020E85"/>
    <w:rsid w:val="0002162B"/>
    <w:rsid w:val="000216BE"/>
    <w:rsid w:val="00021D92"/>
    <w:rsid w:val="00022317"/>
    <w:rsid w:val="0002349C"/>
    <w:rsid w:val="00023572"/>
    <w:rsid w:val="00024281"/>
    <w:rsid w:val="00024335"/>
    <w:rsid w:val="00024677"/>
    <w:rsid w:val="00024976"/>
    <w:rsid w:val="0002544D"/>
    <w:rsid w:val="00025596"/>
    <w:rsid w:val="00025C4B"/>
    <w:rsid w:val="00025E13"/>
    <w:rsid w:val="0002679F"/>
    <w:rsid w:val="0002693F"/>
    <w:rsid w:val="0003045F"/>
    <w:rsid w:val="00030AFC"/>
    <w:rsid w:val="00030E72"/>
    <w:rsid w:val="00031AC9"/>
    <w:rsid w:val="00031EAF"/>
    <w:rsid w:val="0003271C"/>
    <w:rsid w:val="00032742"/>
    <w:rsid w:val="0003368C"/>
    <w:rsid w:val="00034AD5"/>
    <w:rsid w:val="0003536F"/>
    <w:rsid w:val="00035710"/>
    <w:rsid w:val="000368D9"/>
    <w:rsid w:val="00036D79"/>
    <w:rsid w:val="00037A74"/>
    <w:rsid w:val="00037E69"/>
    <w:rsid w:val="00041A8B"/>
    <w:rsid w:val="00041C99"/>
    <w:rsid w:val="00042625"/>
    <w:rsid w:val="0004274D"/>
    <w:rsid w:val="00043B4F"/>
    <w:rsid w:val="00043DC4"/>
    <w:rsid w:val="00043F94"/>
    <w:rsid w:val="000442AF"/>
    <w:rsid w:val="0004445D"/>
    <w:rsid w:val="00044588"/>
    <w:rsid w:val="00044C0A"/>
    <w:rsid w:val="00045B88"/>
    <w:rsid w:val="00047604"/>
    <w:rsid w:val="000477A1"/>
    <w:rsid w:val="00047D3E"/>
    <w:rsid w:val="00047E7E"/>
    <w:rsid w:val="0005023A"/>
    <w:rsid w:val="0005067F"/>
    <w:rsid w:val="0005194B"/>
    <w:rsid w:val="00051D60"/>
    <w:rsid w:val="00053065"/>
    <w:rsid w:val="000532B6"/>
    <w:rsid w:val="00053F97"/>
    <w:rsid w:val="000543F8"/>
    <w:rsid w:val="00054A39"/>
    <w:rsid w:val="00054C34"/>
    <w:rsid w:val="00055426"/>
    <w:rsid w:val="00055698"/>
    <w:rsid w:val="00056880"/>
    <w:rsid w:val="000569BA"/>
    <w:rsid w:val="00056F9F"/>
    <w:rsid w:val="000575E9"/>
    <w:rsid w:val="00057FBA"/>
    <w:rsid w:val="000608E2"/>
    <w:rsid w:val="0006098F"/>
    <w:rsid w:val="00061D21"/>
    <w:rsid w:val="00061D95"/>
    <w:rsid w:val="00061DF8"/>
    <w:rsid w:val="00062438"/>
    <w:rsid w:val="000631C1"/>
    <w:rsid w:val="000638F9"/>
    <w:rsid w:val="00063AD7"/>
    <w:rsid w:val="00063D22"/>
    <w:rsid w:val="0006519F"/>
    <w:rsid w:val="00066A37"/>
    <w:rsid w:val="000670EA"/>
    <w:rsid w:val="000675D1"/>
    <w:rsid w:val="00067689"/>
    <w:rsid w:val="000677AB"/>
    <w:rsid w:val="0007003D"/>
    <w:rsid w:val="000701FD"/>
    <w:rsid w:val="0007068C"/>
    <w:rsid w:val="0007102C"/>
    <w:rsid w:val="00071EC4"/>
    <w:rsid w:val="00071F1F"/>
    <w:rsid w:val="00072352"/>
    <w:rsid w:val="00073135"/>
    <w:rsid w:val="00073521"/>
    <w:rsid w:val="00073A8B"/>
    <w:rsid w:val="000747C1"/>
    <w:rsid w:val="000749C9"/>
    <w:rsid w:val="00074E4E"/>
    <w:rsid w:val="0007506D"/>
    <w:rsid w:val="0007514D"/>
    <w:rsid w:val="00075492"/>
    <w:rsid w:val="000762C1"/>
    <w:rsid w:val="000766A2"/>
    <w:rsid w:val="000766E7"/>
    <w:rsid w:val="0007681F"/>
    <w:rsid w:val="000775DE"/>
    <w:rsid w:val="00077ABB"/>
    <w:rsid w:val="00080128"/>
    <w:rsid w:val="00080386"/>
    <w:rsid w:val="00081BE3"/>
    <w:rsid w:val="00082C7B"/>
    <w:rsid w:val="00082FC2"/>
    <w:rsid w:val="0008405B"/>
    <w:rsid w:val="00084A4A"/>
    <w:rsid w:val="00085312"/>
    <w:rsid w:val="000858F2"/>
    <w:rsid w:val="000860CA"/>
    <w:rsid w:val="000869CE"/>
    <w:rsid w:val="00087FAF"/>
    <w:rsid w:val="00090461"/>
    <w:rsid w:val="0009151A"/>
    <w:rsid w:val="00091B6F"/>
    <w:rsid w:val="00091D4C"/>
    <w:rsid w:val="000928C3"/>
    <w:rsid w:val="00093082"/>
    <w:rsid w:val="00093138"/>
    <w:rsid w:val="00094753"/>
    <w:rsid w:val="000951DF"/>
    <w:rsid w:val="00096DD1"/>
    <w:rsid w:val="00097200"/>
    <w:rsid w:val="000973A3"/>
    <w:rsid w:val="000978FB"/>
    <w:rsid w:val="00097C77"/>
    <w:rsid w:val="000A01A8"/>
    <w:rsid w:val="000A0895"/>
    <w:rsid w:val="000A1F71"/>
    <w:rsid w:val="000A26B7"/>
    <w:rsid w:val="000A375C"/>
    <w:rsid w:val="000A3A94"/>
    <w:rsid w:val="000A5555"/>
    <w:rsid w:val="000A6ED2"/>
    <w:rsid w:val="000A7027"/>
    <w:rsid w:val="000A799D"/>
    <w:rsid w:val="000A7AFD"/>
    <w:rsid w:val="000B0F08"/>
    <w:rsid w:val="000B19EC"/>
    <w:rsid w:val="000B24A2"/>
    <w:rsid w:val="000B3272"/>
    <w:rsid w:val="000B3280"/>
    <w:rsid w:val="000B4066"/>
    <w:rsid w:val="000B42BC"/>
    <w:rsid w:val="000B459B"/>
    <w:rsid w:val="000B4903"/>
    <w:rsid w:val="000B57DA"/>
    <w:rsid w:val="000B58C3"/>
    <w:rsid w:val="000B6F9A"/>
    <w:rsid w:val="000B7D69"/>
    <w:rsid w:val="000B7EC4"/>
    <w:rsid w:val="000C00A5"/>
    <w:rsid w:val="000C03B4"/>
    <w:rsid w:val="000C03E8"/>
    <w:rsid w:val="000C19F1"/>
    <w:rsid w:val="000C1D41"/>
    <w:rsid w:val="000C22C4"/>
    <w:rsid w:val="000C2DCE"/>
    <w:rsid w:val="000C2F22"/>
    <w:rsid w:val="000C2FEE"/>
    <w:rsid w:val="000C4803"/>
    <w:rsid w:val="000C481D"/>
    <w:rsid w:val="000C597D"/>
    <w:rsid w:val="000C5F40"/>
    <w:rsid w:val="000C61AE"/>
    <w:rsid w:val="000C6D96"/>
    <w:rsid w:val="000C6E71"/>
    <w:rsid w:val="000C755D"/>
    <w:rsid w:val="000D0537"/>
    <w:rsid w:val="000D1252"/>
    <w:rsid w:val="000D1284"/>
    <w:rsid w:val="000D1E1D"/>
    <w:rsid w:val="000D1EA6"/>
    <w:rsid w:val="000D204E"/>
    <w:rsid w:val="000D271B"/>
    <w:rsid w:val="000D3083"/>
    <w:rsid w:val="000D3487"/>
    <w:rsid w:val="000D4668"/>
    <w:rsid w:val="000D7791"/>
    <w:rsid w:val="000D7E3C"/>
    <w:rsid w:val="000E0805"/>
    <w:rsid w:val="000E0B74"/>
    <w:rsid w:val="000E1B7A"/>
    <w:rsid w:val="000E1C94"/>
    <w:rsid w:val="000E45BE"/>
    <w:rsid w:val="000E4A59"/>
    <w:rsid w:val="000E4DCC"/>
    <w:rsid w:val="000E5928"/>
    <w:rsid w:val="000E59E1"/>
    <w:rsid w:val="000E5EF4"/>
    <w:rsid w:val="000E6027"/>
    <w:rsid w:val="000E768F"/>
    <w:rsid w:val="000E77D8"/>
    <w:rsid w:val="000F0839"/>
    <w:rsid w:val="000F0BF8"/>
    <w:rsid w:val="000F11A7"/>
    <w:rsid w:val="000F1D44"/>
    <w:rsid w:val="000F237F"/>
    <w:rsid w:val="000F2DF9"/>
    <w:rsid w:val="000F2E70"/>
    <w:rsid w:val="000F301B"/>
    <w:rsid w:val="000F327A"/>
    <w:rsid w:val="000F3D30"/>
    <w:rsid w:val="000F490A"/>
    <w:rsid w:val="000F51B3"/>
    <w:rsid w:val="000F7517"/>
    <w:rsid w:val="000F7705"/>
    <w:rsid w:val="000F7E49"/>
    <w:rsid w:val="00100ACD"/>
    <w:rsid w:val="00100AD2"/>
    <w:rsid w:val="00100AD3"/>
    <w:rsid w:val="00100BE4"/>
    <w:rsid w:val="0010139E"/>
    <w:rsid w:val="001016FB"/>
    <w:rsid w:val="00101974"/>
    <w:rsid w:val="00102DE8"/>
    <w:rsid w:val="001037F4"/>
    <w:rsid w:val="00103CF6"/>
    <w:rsid w:val="00105D4F"/>
    <w:rsid w:val="00105DF6"/>
    <w:rsid w:val="00105F6B"/>
    <w:rsid w:val="001066CD"/>
    <w:rsid w:val="001069B0"/>
    <w:rsid w:val="00110AD5"/>
    <w:rsid w:val="00110EF8"/>
    <w:rsid w:val="001111E8"/>
    <w:rsid w:val="0011176D"/>
    <w:rsid w:val="00112C01"/>
    <w:rsid w:val="00112D3F"/>
    <w:rsid w:val="00114F2C"/>
    <w:rsid w:val="00115916"/>
    <w:rsid w:val="00115EC4"/>
    <w:rsid w:val="00117B36"/>
    <w:rsid w:val="00117DB8"/>
    <w:rsid w:val="0012006C"/>
    <w:rsid w:val="0012032D"/>
    <w:rsid w:val="0012100D"/>
    <w:rsid w:val="00124634"/>
    <w:rsid w:val="001253A5"/>
    <w:rsid w:val="00125828"/>
    <w:rsid w:val="00125D94"/>
    <w:rsid w:val="00126348"/>
    <w:rsid w:val="00126C04"/>
    <w:rsid w:val="00126D8C"/>
    <w:rsid w:val="00126F0D"/>
    <w:rsid w:val="00127AEB"/>
    <w:rsid w:val="00127CBA"/>
    <w:rsid w:val="00127ECA"/>
    <w:rsid w:val="001327C4"/>
    <w:rsid w:val="00133324"/>
    <w:rsid w:val="00133FBF"/>
    <w:rsid w:val="00134A6E"/>
    <w:rsid w:val="00134E67"/>
    <w:rsid w:val="001351AA"/>
    <w:rsid w:val="001358BB"/>
    <w:rsid w:val="0013595E"/>
    <w:rsid w:val="001366F2"/>
    <w:rsid w:val="001369A0"/>
    <w:rsid w:val="00137957"/>
    <w:rsid w:val="00137DF6"/>
    <w:rsid w:val="0014003F"/>
    <w:rsid w:val="0014091C"/>
    <w:rsid w:val="00141224"/>
    <w:rsid w:val="00142C41"/>
    <w:rsid w:val="001432BF"/>
    <w:rsid w:val="001438A7"/>
    <w:rsid w:val="00144FE7"/>
    <w:rsid w:val="0014506C"/>
    <w:rsid w:val="001452FC"/>
    <w:rsid w:val="00145765"/>
    <w:rsid w:val="001458AE"/>
    <w:rsid w:val="00146C41"/>
    <w:rsid w:val="00150730"/>
    <w:rsid w:val="0015124D"/>
    <w:rsid w:val="0015226E"/>
    <w:rsid w:val="00152DFD"/>
    <w:rsid w:val="00154752"/>
    <w:rsid w:val="00155D66"/>
    <w:rsid w:val="00156E2B"/>
    <w:rsid w:val="00156FEF"/>
    <w:rsid w:val="00157678"/>
    <w:rsid w:val="001606CF"/>
    <w:rsid w:val="00161151"/>
    <w:rsid w:val="0016128D"/>
    <w:rsid w:val="0016136C"/>
    <w:rsid w:val="0016157A"/>
    <w:rsid w:val="0016157B"/>
    <w:rsid w:val="00161CFF"/>
    <w:rsid w:val="00162E6B"/>
    <w:rsid w:val="001635A8"/>
    <w:rsid w:val="00164366"/>
    <w:rsid w:val="001647D2"/>
    <w:rsid w:val="00164F53"/>
    <w:rsid w:val="00165461"/>
    <w:rsid w:val="001658B0"/>
    <w:rsid w:val="00166955"/>
    <w:rsid w:val="00166C2A"/>
    <w:rsid w:val="001679C6"/>
    <w:rsid w:val="00167CFF"/>
    <w:rsid w:val="0017089D"/>
    <w:rsid w:val="00170DDF"/>
    <w:rsid w:val="00170FBF"/>
    <w:rsid w:val="00171105"/>
    <w:rsid w:val="00171408"/>
    <w:rsid w:val="0017324E"/>
    <w:rsid w:val="00174514"/>
    <w:rsid w:val="0017452E"/>
    <w:rsid w:val="00174AD9"/>
    <w:rsid w:val="00174B20"/>
    <w:rsid w:val="00175086"/>
    <w:rsid w:val="001753E0"/>
    <w:rsid w:val="00175535"/>
    <w:rsid w:val="00175701"/>
    <w:rsid w:val="00176F79"/>
    <w:rsid w:val="00180F29"/>
    <w:rsid w:val="00181684"/>
    <w:rsid w:val="00182C9D"/>
    <w:rsid w:val="001844BB"/>
    <w:rsid w:val="001855AE"/>
    <w:rsid w:val="0018620F"/>
    <w:rsid w:val="001862C5"/>
    <w:rsid w:val="00186FBA"/>
    <w:rsid w:val="0018727A"/>
    <w:rsid w:val="00187B6C"/>
    <w:rsid w:val="00187CD7"/>
    <w:rsid w:val="001903B1"/>
    <w:rsid w:val="001909CB"/>
    <w:rsid w:val="0019101A"/>
    <w:rsid w:val="001911DF"/>
    <w:rsid w:val="0019154E"/>
    <w:rsid w:val="00191604"/>
    <w:rsid w:val="001917A0"/>
    <w:rsid w:val="00191E5E"/>
    <w:rsid w:val="0019225B"/>
    <w:rsid w:val="00192A81"/>
    <w:rsid w:val="00193572"/>
    <w:rsid w:val="001937E0"/>
    <w:rsid w:val="00194479"/>
    <w:rsid w:val="00195E50"/>
    <w:rsid w:val="00197779"/>
    <w:rsid w:val="001A317C"/>
    <w:rsid w:val="001A32F2"/>
    <w:rsid w:val="001A3F81"/>
    <w:rsid w:val="001A4038"/>
    <w:rsid w:val="001A42AF"/>
    <w:rsid w:val="001A55C6"/>
    <w:rsid w:val="001A64A2"/>
    <w:rsid w:val="001B0020"/>
    <w:rsid w:val="001B071F"/>
    <w:rsid w:val="001B08E6"/>
    <w:rsid w:val="001B0E65"/>
    <w:rsid w:val="001B25C6"/>
    <w:rsid w:val="001B4965"/>
    <w:rsid w:val="001B5D10"/>
    <w:rsid w:val="001B61FA"/>
    <w:rsid w:val="001B7555"/>
    <w:rsid w:val="001B789B"/>
    <w:rsid w:val="001C0A35"/>
    <w:rsid w:val="001C1536"/>
    <w:rsid w:val="001C3066"/>
    <w:rsid w:val="001C358C"/>
    <w:rsid w:val="001C358D"/>
    <w:rsid w:val="001C358E"/>
    <w:rsid w:val="001C388B"/>
    <w:rsid w:val="001C3952"/>
    <w:rsid w:val="001C4699"/>
    <w:rsid w:val="001C5177"/>
    <w:rsid w:val="001C5313"/>
    <w:rsid w:val="001C6DE5"/>
    <w:rsid w:val="001C72C5"/>
    <w:rsid w:val="001D040C"/>
    <w:rsid w:val="001D0D38"/>
    <w:rsid w:val="001D22BA"/>
    <w:rsid w:val="001D2977"/>
    <w:rsid w:val="001D4301"/>
    <w:rsid w:val="001D4C39"/>
    <w:rsid w:val="001D4EAA"/>
    <w:rsid w:val="001D511B"/>
    <w:rsid w:val="001D64FE"/>
    <w:rsid w:val="001D6D7F"/>
    <w:rsid w:val="001D721F"/>
    <w:rsid w:val="001D78BD"/>
    <w:rsid w:val="001D7DFA"/>
    <w:rsid w:val="001E01A8"/>
    <w:rsid w:val="001E07A3"/>
    <w:rsid w:val="001E0B3B"/>
    <w:rsid w:val="001E10BC"/>
    <w:rsid w:val="001E184B"/>
    <w:rsid w:val="001E2387"/>
    <w:rsid w:val="001E279D"/>
    <w:rsid w:val="001E27D2"/>
    <w:rsid w:val="001E3439"/>
    <w:rsid w:val="001E3D9F"/>
    <w:rsid w:val="001E423D"/>
    <w:rsid w:val="001E43B4"/>
    <w:rsid w:val="001E4D3F"/>
    <w:rsid w:val="001E512B"/>
    <w:rsid w:val="001E5BE2"/>
    <w:rsid w:val="001E628A"/>
    <w:rsid w:val="001E6F9A"/>
    <w:rsid w:val="001E7D33"/>
    <w:rsid w:val="001F0D4B"/>
    <w:rsid w:val="001F144F"/>
    <w:rsid w:val="001F15D8"/>
    <w:rsid w:val="001F1618"/>
    <w:rsid w:val="001F2447"/>
    <w:rsid w:val="001F4253"/>
    <w:rsid w:val="001F4570"/>
    <w:rsid w:val="001F47C3"/>
    <w:rsid w:val="001F4D07"/>
    <w:rsid w:val="001F5064"/>
    <w:rsid w:val="001F5D6D"/>
    <w:rsid w:val="001F63A4"/>
    <w:rsid w:val="001F655D"/>
    <w:rsid w:val="001F7062"/>
    <w:rsid w:val="00200703"/>
    <w:rsid w:val="0020076F"/>
    <w:rsid w:val="00202612"/>
    <w:rsid w:val="00203650"/>
    <w:rsid w:val="00203F13"/>
    <w:rsid w:val="00204566"/>
    <w:rsid w:val="00205014"/>
    <w:rsid w:val="002052D3"/>
    <w:rsid w:val="00205526"/>
    <w:rsid w:val="00205715"/>
    <w:rsid w:val="00205C5A"/>
    <w:rsid w:val="0020645D"/>
    <w:rsid w:val="00206A66"/>
    <w:rsid w:val="00206EA3"/>
    <w:rsid w:val="00206F5F"/>
    <w:rsid w:val="00207835"/>
    <w:rsid w:val="00207F51"/>
    <w:rsid w:val="0021014E"/>
    <w:rsid w:val="0021280E"/>
    <w:rsid w:val="00212956"/>
    <w:rsid w:val="002130FA"/>
    <w:rsid w:val="00213188"/>
    <w:rsid w:val="0021373A"/>
    <w:rsid w:val="0021412C"/>
    <w:rsid w:val="00214823"/>
    <w:rsid w:val="00214C2D"/>
    <w:rsid w:val="0021501B"/>
    <w:rsid w:val="002153F5"/>
    <w:rsid w:val="00215FD9"/>
    <w:rsid w:val="002163AD"/>
    <w:rsid w:val="002209D5"/>
    <w:rsid w:val="002209F3"/>
    <w:rsid w:val="00221152"/>
    <w:rsid w:val="0022190E"/>
    <w:rsid w:val="002219CD"/>
    <w:rsid w:val="0022218B"/>
    <w:rsid w:val="00222269"/>
    <w:rsid w:val="0022254C"/>
    <w:rsid w:val="00223084"/>
    <w:rsid w:val="00224045"/>
    <w:rsid w:val="002254E6"/>
    <w:rsid w:val="00225BE3"/>
    <w:rsid w:val="002260EC"/>
    <w:rsid w:val="0022617A"/>
    <w:rsid w:val="00226F45"/>
    <w:rsid w:val="002275C9"/>
    <w:rsid w:val="00227F8F"/>
    <w:rsid w:val="0023073E"/>
    <w:rsid w:val="00231049"/>
    <w:rsid w:val="002314D2"/>
    <w:rsid w:val="002320ED"/>
    <w:rsid w:val="002328FB"/>
    <w:rsid w:val="0023366B"/>
    <w:rsid w:val="00233C04"/>
    <w:rsid w:val="00234CC6"/>
    <w:rsid w:val="00235354"/>
    <w:rsid w:val="00235875"/>
    <w:rsid w:val="00236184"/>
    <w:rsid w:val="0023622C"/>
    <w:rsid w:val="00236471"/>
    <w:rsid w:val="00236E4E"/>
    <w:rsid w:val="00236FDA"/>
    <w:rsid w:val="002372A6"/>
    <w:rsid w:val="00237A2A"/>
    <w:rsid w:val="00237DD3"/>
    <w:rsid w:val="00237E33"/>
    <w:rsid w:val="0024070E"/>
    <w:rsid w:val="00240B9C"/>
    <w:rsid w:val="00240F9C"/>
    <w:rsid w:val="00241CED"/>
    <w:rsid w:val="00241DAD"/>
    <w:rsid w:val="002429E7"/>
    <w:rsid w:val="00243532"/>
    <w:rsid w:val="002437F5"/>
    <w:rsid w:val="002460CC"/>
    <w:rsid w:val="00246FB4"/>
    <w:rsid w:val="0024788F"/>
    <w:rsid w:val="002505AB"/>
    <w:rsid w:val="00250809"/>
    <w:rsid w:val="002508B3"/>
    <w:rsid w:val="00251438"/>
    <w:rsid w:val="00252503"/>
    <w:rsid w:val="00253184"/>
    <w:rsid w:val="00253FBA"/>
    <w:rsid w:val="00254871"/>
    <w:rsid w:val="00255B8C"/>
    <w:rsid w:val="002561AF"/>
    <w:rsid w:val="00256287"/>
    <w:rsid w:val="00256E24"/>
    <w:rsid w:val="00257AEE"/>
    <w:rsid w:val="002608E9"/>
    <w:rsid w:val="00262586"/>
    <w:rsid w:val="00262CFD"/>
    <w:rsid w:val="002635E9"/>
    <w:rsid w:val="00263709"/>
    <w:rsid w:val="00263A43"/>
    <w:rsid w:val="00263B6C"/>
    <w:rsid w:val="002640A1"/>
    <w:rsid w:val="002648FC"/>
    <w:rsid w:val="00264AA6"/>
    <w:rsid w:val="002659B3"/>
    <w:rsid w:val="00265DD5"/>
    <w:rsid w:val="00266A9D"/>
    <w:rsid w:val="002671E1"/>
    <w:rsid w:val="00270B65"/>
    <w:rsid w:val="0027259D"/>
    <w:rsid w:val="0027263D"/>
    <w:rsid w:val="00273FBA"/>
    <w:rsid w:val="0027424B"/>
    <w:rsid w:val="0027455B"/>
    <w:rsid w:val="002747B8"/>
    <w:rsid w:val="0027590B"/>
    <w:rsid w:val="00276137"/>
    <w:rsid w:val="00276503"/>
    <w:rsid w:val="0027673F"/>
    <w:rsid w:val="002769BE"/>
    <w:rsid w:val="00276B64"/>
    <w:rsid w:val="00277197"/>
    <w:rsid w:val="002805E5"/>
    <w:rsid w:val="002824EB"/>
    <w:rsid w:val="00282DF8"/>
    <w:rsid w:val="002830C5"/>
    <w:rsid w:val="00285969"/>
    <w:rsid w:val="00286279"/>
    <w:rsid w:val="002867FE"/>
    <w:rsid w:val="00286E95"/>
    <w:rsid w:val="00286EFF"/>
    <w:rsid w:val="00290E2E"/>
    <w:rsid w:val="00290E4D"/>
    <w:rsid w:val="00292088"/>
    <w:rsid w:val="002928C3"/>
    <w:rsid w:val="00292BEA"/>
    <w:rsid w:val="00293465"/>
    <w:rsid w:val="002935D1"/>
    <w:rsid w:val="002940EC"/>
    <w:rsid w:val="00295075"/>
    <w:rsid w:val="002965C5"/>
    <w:rsid w:val="00296973"/>
    <w:rsid w:val="002973F7"/>
    <w:rsid w:val="002A040E"/>
    <w:rsid w:val="002A2096"/>
    <w:rsid w:val="002A2C5F"/>
    <w:rsid w:val="002A315C"/>
    <w:rsid w:val="002A35AC"/>
    <w:rsid w:val="002A38AF"/>
    <w:rsid w:val="002A4E6C"/>
    <w:rsid w:val="002A6150"/>
    <w:rsid w:val="002A6EE9"/>
    <w:rsid w:val="002A77C9"/>
    <w:rsid w:val="002A7A39"/>
    <w:rsid w:val="002B0094"/>
    <w:rsid w:val="002B017A"/>
    <w:rsid w:val="002B190A"/>
    <w:rsid w:val="002B2119"/>
    <w:rsid w:val="002B250F"/>
    <w:rsid w:val="002B2C51"/>
    <w:rsid w:val="002B2F41"/>
    <w:rsid w:val="002B3829"/>
    <w:rsid w:val="002B4125"/>
    <w:rsid w:val="002B4887"/>
    <w:rsid w:val="002B4D4D"/>
    <w:rsid w:val="002B5B0A"/>
    <w:rsid w:val="002B5C39"/>
    <w:rsid w:val="002B6752"/>
    <w:rsid w:val="002B67C7"/>
    <w:rsid w:val="002B68B7"/>
    <w:rsid w:val="002B69C5"/>
    <w:rsid w:val="002B6F59"/>
    <w:rsid w:val="002B76A7"/>
    <w:rsid w:val="002B7BF1"/>
    <w:rsid w:val="002B7CBD"/>
    <w:rsid w:val="002C040C"/>
    <w:rsid w:val="002C0F2B"/>
    <w:rsid w:val="002C0FDF"/>
    <w:rsid w:val="002C1AE5"/>
    <w:rsid w:val="002C1B4C"/>
    <w:rsid w:val="002C2763"/>
    <w:rsid w:val="002C27D7"/>
    <w:rsid w:val="002C35CE"/>
    <w:rsid w:val="002C4CCB"/>
    <w:rsid w:val="002C528E"/>
    <w:rsid w:val="002C63D3"/>
    <w:rsid w:val="002C7C97"/>
    <w:rsid w:val="002C7E5F"/>
    <w:rsid w:val="002D0542"/>
    <w:rsid w:val="002D0EB6"/>
    <w:rsid w:val="002D0EE4"/>
    <w:rsid w:val="002D1F90"/>
    <w:rsid w:val="002D21D1"/>
    <w:rsid w:val="002D3040"/>
    <w:rsid w:val="002D3726"/>
    <w:rsid w:val="002D3A46"/>
    <w:rsid w:val="002D452C"/>
    <w:rsid w:val="002D468E"/>
    <w:rsid w:val="002D488F"/>
    <w:rsid w:val="002D4DEA"/>
    <w:rsid w:val="002D5645"/>
    <w:rsid w:val="002E07B9"/>
    <w:rsid w:val="002E35D3"/>
    <w:rsid w:val="002E4481"/>
    <w:rsid w:val="002E44E4"/>
    <w:rsid w:val="002E4776"/>
    <w:rsid w:val="002E49FA"/>
    <w:rsid w:val="002E4AA6"/>
    <w:rsid w:val="002E5BCF"/>
    <w:rsid w:val="002E5C4C"/>
    <w:rsid w:val="002E61BA"/>
    <w:rsid w:val="002E646A"/>
    <w:rsid w:val="002F0121"/>
    <w:rsid w:val="002F0130"/>
    <w:rsid w:val="002F02F7"/>
    <w:rsid w:val="002F0CEB"/>
    <w:rsid w:val="002F11B1"/>
    <w:rsid w:val="002F1730"/>
    <w:rsid w:val="002F1F0F"/>
    <w:rsid w:val="002F2573"/>
    <w:rsid w:val="002F3070"/>
    <w:rsid w:val="002F398E"/>
    <w:rsid w:val="002F39E6"/>
    <w:rsid w:val="002F3BEB"/>
    <w:rsid w:val="002F43E4"/>
    <w:rsid w:val="002F617F"/>
    <w:rsid w:val="002F6EBE"/>
    <w:rsid w:val="002F79E4"/>
    <w:rsid w:val="002F7E34"/>
    <w:rsid w:val="003008C5"/>
    <w:rsid w:val="00301365"/>
    <w:rsid w:val="00302087"/>
    <w:rsid w:val="00302615"/>
    <w:rsid w:val="003028DF"/>
    <w:rsid w:val="003030DD"/>
    <w:rsid w:val="00303777"/>
    <w:rsid w:val="00303FB3"/>
    <w:rsid w:val="003043FB"/>
    <w:rsid w:val="00304FBB"/>
    <w:rsid w:val="00306824"/>
    <w:rsid w:val="00306836"/>
    <w:rsid w:val="003073FE"/>
    <w:rsid w:val="00307460"/>
    <w:rsid w:val="003075C0"/>
    <w:rsid w:val="00307FEA"/>
    <w:rsid w:val="003104C1"/>
    <w:rsid w:val="00312069"/>
    <w:rsid w:val="003122F4"/>
    <w:rsid w:val="0031268E"/>
    <w:rsid w:val="0031276E"/>
    <w:rsid w:val="0031278E"/>
    <w:rsid w:val="0031282C"/>
    <w:rsid w:val="00313D74"/>
    <w:rsid w:val="00315117"/>
    <w:rsid w:val="00315CDD"/>
    <w:rsid w:val="003162FD"/>
    <w:rsid w:val="003163FE"/>
    <w:rsid w:val="00316925"/>
    <w:rsid w:val="0031706C"/>
    <w:rsid w:val="00317304"/>
    <w:rsid w:val="003177D9"/>
    <w:rsid w:val="00317E60"/>
    <w:rsid w:val="003209CD"/>
    <w:rsid w:val="003222E2"/>
    <w:rsid w:val="00322A06"/>
    <w:rsid w:val="003231F2"/>
    <w:rsid w:val="00323FB6"/>
    <w:rsid w:val="00324381"/>
    <w:rsid w:val="00324D36"/>
    <w:rsid w:val="00325ECC"/>
    <w:rsid w:val="003268D5"/>
    <w:rsid w:val="003269F4"/>
    <w:rsid w:val="00326E62"/>
    <w:rsid w:val="0032712C"/>
    <w:rsid w:val="003277C0"/>
    <w:rsid w:val="0032781B"/>
    <w:rsid w:val="003278B5"/>
    <w:rsid w:val="00330186"/>
    <w:rsid w:val="0033018A"/>
    <w:rsid w:val="00332A8D"/>
    <w:rsid w:val="00332B2E"/>
    <w:rsid w:val="00332F63"/>
    <w:rsid w:val="003342ED"/>
    <w:rsid w:val="00334941"/>
    <w:rsid w:val="00334CCF"/>
    <w:rsid w:val="00335CE3"/>
    <w:rsid w:val="00337BDC"/>
    <w:rsid w:val="00340EC7"/>
    <w:rsid w:val="00344083"/>
    <w:rsid w:val="00344779"/>
    <w:rsid w:val="00344A95"/>
    <w:rsid w:val="00344E10"/>
    <w:rsid w:val="0034527E"/>
    <w:rsid w:val="00345441"/>
    <w:rsid w:val="00345DEE"/>
    <w:rsid w:val="00347860"/>
    <w:rsid w:val="00347E56"/>
    <w:rsid w:val="00350EC6"/>
    <w:rsid w:val="00351629"/>
    <w:rsid w:val="00351E0F"/>
    <w:rsid w:val="0035205E"/>
    <w:rsid w:val="00352B9C"/>
    <w:rsid w:val="00353379"/>
    <w:rsid w:val="00353520"/>
    <w:rsid w:val="00353BB1"/>
    <w:rsid w:val="0035474E"/>
    <w:rsid w:val="00354D27"/>
    <w:rsid w:val="00354F81"/>
    <w:rsid w:val="00354FBB"/>
    <w:rsid w:val="00355346"/>
    <w:rsid w:val="00355B9E"/>
    <w:rsid w:val="00356077"/>
    <w:rsid w:val="00356C7A"/>
    <w:rsid w:val="00357175"/>
    <w:rsid w:val="00357F97"/>
    <w:rsid w:val="003611D6"/>
    <w:rsid w:val="00362CD8"/>
    <w:rsid w:val="003633DD"/>
    <w:rsid w:val="00364D7E"/>
    <w:rsid w:val="0036572A"/>
    <w:rsid w:val="00366488"/>
    <w:rsid w:val="00367DF5"/>
    <w:rsid w:val="003700E7"/>
    <w:rsid w:val="00371874"/>
    <w:rsid w:val="00371A3D"/>
    <w:rsid w:val="00372AC5"/>
    <w:rsid w:val="00372D34"/>
    <w:rsid w:val="00373693"/>
    <w:rsid w:val="00373EE1"/>
    <w:rsid w:val="00374F67"/>
    <w:rsid w:val="00375D65"/>
    <w:rsid w:val="003763A8"/>
    <w:rsid w:val="003772BC"/>
    <w:rsid w:val="00377D55"/>
    <w:rsid w:val="00380154"/>
    <w:rsid w:val="00380DA7"/>
    <w:rsid w:val="003811E9"/>
    <w:rsid w:val="003829BF"/>
    <w:rsid w:val="00382BA4"/>
    <w:rsid w:val="00382EDA"/>
    <w:rsid w:val="00382FFB"/>
    <w:rsid w:val="003833A0"/>
    <w:rsid w:val="003839F0"/>
    <w:rsid w:val="00383E6B"/>
    <w:rsid w:val="003850B0"/>
    <w:rsid w:val="0038545A"/>
    <w:rsid w:val="00385593"/>
    <w:rsid w:val="003858A6"/>
    <w:rsid w:val="00385CA6"/>
    <w:rsid w:val="003909EB"/>
    <w:rsid w:val="00391001"/>
    <w:rsid w:val="003913B3"/>
    <w:rsid w:val="00391C81"/>
    <w:rsid w:val="003922AB"/>
    <w:rsid w:val="00392B1C"/>
    <w:rsid w:val="00392DCC"/>
    <w:rsid w:val="00392E5E"/>
    <w:rsid w:val="00393370"/>
    <w:rsid w:val="00393D72"/>
    <w:rsid w:val="00394797"/>
    <w:rsid w:val="00394C29"/>
    <w:rsid w:val="003969BE"/>
    <w:rsid w:val="00397B3A"/>
    <w:rsid w:val="00397FE7"/>
    <w:rsid w:val="003A0B14"/>
    <w:rsid w:val="003A0FD1"/>
    <w:rsid w:val="003A130C"/>
    <w:rsid w:val="003A1880"/>
    <w:rsid w:val="003A199F"/>
    <w:rsid w:val="003A1BB7"/>
    <w:rsid w:val="003A25B6"/>
    <w:rsid w:val="003A2867"/>
    <w:rsid w:val="003A37EC"/>
    <w:rsid w:val="003A458B"/>
    <w:rsid w:val="003A48D9"/>
    <w:rsid w:val="003A5806"/>
    <w:rsid w:val="003A5EAE"/>
    <w:rsid w:val="003A678B"/>
    <w:rsid w:val="003A697B"/>
    <w:rsid w:val="003A6EAB"/>
    <w:rsid w:val="003A74D4"/>
    <w:rsid w:val="003A7AB7"/>
    <w:rsid w:val="003A7C30"/>
    <w:rsid w:val="003A7E60"/>
    <w:rsid w:val="003B0421"/>
    <w:rsid w:val="003B06EE"/>
    <w:rsid w:val="003B0CA9"/>
    <w:rsid w:val="003B0CE0"/>
    <w:rsid w:val="003B0F14"/>
    <w:rsid w:val="003B12A5"/>
    <w:rsid w:val="003B1752"/>
    <w:rsid w:val="003B1EF3"/>
    <w:rsid w:val="003B261A"/>
    <w:rsid w:val="003B371F"/>
    <w:rsid w:val="003B382D"/>
    <w:rsid w:val="003B49B4"/>
    <w:rsid w:val="003B4B06"/>
    <w:rsid w:val="003B55ED"/>
    <w:rsid w:val="003B56A0"/>
    <w:rsid w:val="003B5DA1"/>
    <w:rsid w:val="003B667E"/>
    <w:rsid w:val="003B6B63"/>
    <w:rsid w:val="003B71A7"/>
    <w:rsid w:val="003B761F"/>
    <w:rsid w:val="003C0476"/>
    <w:rsid w:val="003C091B"/>
    <w:rsid w:val="003C0E84"/>
    <w:rsid w:val="003C0E90"/>
    <w:rsid w:val="003C0FC2"/>
    <w:rsid w:val="003C2307"/>
    <w:rsid w:val="003C2D5F"/>
    <w:rsid w:val="003C317E"/>
    <w:rsid w:val="003C33E7"/>
    <w:rsid w:val="003C435F"/>
    <w:rsid w:val="003C4E63"/>
    <w:rsid w:val="003C53FB"/>
    <w:rsid w:val="003C5E0B"/>
    <w:rsid w:val="003C60DD"/>
    <w:rsid w:val="003C63ED"/>
    <w:rsid w:val="003C73FB"/>
    <w:rsid w:val="003D0351"/>
    <w:rsid w:val="003D0917"/>
    <w:rsid w:val="003D0F8F"/>
    <w:rsid w:val="003D134E"/>
    <w:rsid w:val="003D1D43"/>
    <w:rsid w:val="003D2C92"/>
    <w:rsid w:val="003D33A5"/>
    <w:rsid w:val="003D3403"/>
    <w:rsid w:val="003D4558"/>
    <w:rsid w:val="003D4CD5"/>
    <w:rsid w:val="003D4D1A"/>
    <w:rsid w:val="003D4E6A"/>
    <w:rsid w:val="003D568C"/>
    <w:rsid w:val="003D5698"/>
    <w:rsid w:val="003D6450"/>
    <w:rsid w:val="003D68C5"/>
    <w:rsid w:val="003E001C"/>
    <w:rsid w:val="003E053B"/>
    <w:rsid w:val="003E0AFF"/>
    <w:rsid w:val="003E0D0C"/>
    <w:rsid w:val="003E0F75"/>
    <w:rsid w:val="003E24C5"/>
    <w:rsid w:val="003E254E"/>
    <w:rsid w:val="003E2AE6"/>
    <w:rsid w:val="003E2E2D"/>
    <w:rsid w:val="003E3186"/>
    <w:rsid w:val="003E34D4"/>
    <w:rsid w:val="003E38B0"/>
    <w:rsid w:val="003E4724"/>
    <w:rsid w:val="003E4D87"/>
    <w:rsid w:val="003E5D25"/>
    <w:rsid w:val="003E61C6"/>
    <w:rsid w:val="003E6A81"/>
    <w:rsid w:val="003E72E7"/>
    <w:rsid w:val="003F0E04"/>
    <w:rsid w:val="003F0EF9"/>
    <w:rsid w:val="003F1FA9"/>
    <w:rsid w:val="003F3648"/>
    <w:rsid w:val="003F47B7"/>
    <w:rsid w:val="003F4B75"/>
    <w:rsid w:val="003F5EEF"/>
    <w:rsid w:val="003F6859"/>
    <w:rsid w:val="003F71F2"/>
    <w:rsid w:val="003F7221"/>
    <w:rsid w:val="004000BD"/>
    <w:rsid w:val="004003E8"/>
    <w:rsid w:val="00401EDC"/>
    <w:rsid w:val="0040206F"/>
    <w:rsid w:val="004022B7"/>
    <w:rsid w:val="00402857"/>
    <w:rsid w:val="004029CC"/>
    <w:rsid w:val="00402D36"/>
    <w:rsid w:val="0040305C"/>
    <w:rsid w:val="004042ED"/>
    <w:rsid w:val="00404434"/>
    <w:rsid w:val="004047B6"/>
    <w:rsid w:val="00404B21"/>
    <w:rsid w:val="004056F1"/>
    <w:rsid w:val="00406064"/>
    <w:rsid w:val="00407A52"/>
    <w:rsid w:val="004100BA"/>
    <w:rsid w:val="004103B4"/>
    <w:rsid w:val="00412051"/>
    <w:rsid w:val="0041240E"/>
    <w:rsid w:val="00413536"/>
    <w:rsid w:val="00413773"/>
    <w:rsid w:val="00413997"/>
    <w:rsid w:val="0041409B"/>
    <w:rsid w:val="0041497F"/>
    <w:rsid w:val="004150D6"/>
    <w:rsid w:val="00416099"/>
    <w:rsid w:val="00416762"/>
    <w:rsid w:val="00416A8A"/>
    <w:rsid w:val="004172BD"/>
    <w:rsid w:val="00417C97"/>
    <w:rsid w:val="00417CBD"/>
    <w:rsid w:val="0042049F"/>
    <w:rsid w:val="00421351"/>
    <w:rsid w:val="00422E71"/>
    <w:rsid w:val="00423EF7"/>
    <w:rsid w:val="00424017"/>
    <w:rsid w:val="004247BD"/>
    <w:rsid w:val="00424860"/>
    <w:rsid w:val="0042495F"/>
    <w:rsid w:val="00425088"/>
    <w:rsid w:val="0042560A"/>
    <w:rsid w:val="00426594"/>
    <w:rsid w:val="004270F8"/>
    <w:rsid w:val="00427608"/>
    <w:rsid w:val="004277FE"/>
    <w:rsid w:val="00430941"/>
    <w:rsid w:val="0043098A"/>
    <w:rsid w:val="004315B2"/>
    <w:rsid w:val="00431902"/>
    <w:rsid w:val="004319E5"/>
    <w:rsid w:val="00432749"/>
    <w:rsid w:val="004335FB"/>
    <w:rsid w:val="00434241"/>
    <w:rsid w:val="00435108"/>
    <w:rsid w:val="0043530C"/>
    <w:rsid w:val="00435793"/>
    <w:rsid w:val="00435F35"/>
    <w:rsid w:val="00436B8A"/>
    <w:rsid w:val="004371AF"/>
    <w:rsid w:val="00437584"/>
    <w:rsid w:val="00437630"/>
    <w:rsid w:val="00440D40"/>
    <w:rsid w:val="004418CE"/>
    <w:rsid w:val="00441F1F"/>
    <w:rsid w:val="00441FAE"/>
    <w:rsid w:val="004424FD"/>
    <w:rsid w:val="004449A3"/>
    <w:rsid w:val="00444A76"/>
    <w:rsid w:val="00444C23"/>
    <w:rsid w:val="00445265"/>
    <w:rsid w:val="00445531"/>
    <w:rsid w:val="00446721"/>
    <w:rsid w:val="0044674E"/>
    <w:rsid w:val="0044775B"/>
    <w:rsid w:val="0045015B"/>
    <w:rsid w:val="00450269"/>
    <w:rsid w:val="004503A5"/>
    <w:rsid w:val="004511C3"/>
    <w:rsid w:val="00451341"/>
    <w:rsid w:val="0045161C"/>
    <w:rsid w:val="00451792"/>
    <w:rsid w:val="00451F73"/>
    <w:rsid w:val="0045375F"/>
    <w:rsid w:val="00453B27"/>
    <w:rsid w:val="004540D1"/>
    <w:rsid w:val="004545FF"/>
    <w:rsid w:val="00454BD9"/>
    <w:rsid w:val="00454CF4"/>
    <w:rsid w:val="00454F9D"/>
    <w:rsid w:val="004552DD"/>
    <w:rsid w:val="004559CE"/>
    <w:rsid w:val="004563F0"/>
    <w:rsid w:val="004566ED"/>
    <w:rsid w:val="00456CD7"/>
    <w:rsid w:val="00460C5B"/>
    <w:rsid w:val="0046250A"/>
    <w:rsid w:val="00462A40"/>
    <w:rsid w:val="00462CA4"/>
    <w:rsid w:val="00463887"/>
    <w:rsid w:val="00463F6E"/>
    <w:rsid w:val="004640ED"/>
    <w:rsid w:val="00464104"/>
    <w:rsid w:val="004646C4"/>
    <w:rsid w:val="004649F6"/>
    <w:rsid w:val="00464F10"/>
    <w:rsid w:val="00465196"/>
    <w:rsid w:val="004653DA"/>
    <w:rsid w:val="004653FF"/>
    <w:rsid w:val="00465436"/>
    <w:rsid w:val="00465517"/>
    <w:rsid w:val="004661F6"/>
    <w:rsid w:val="0046643C"/>
    <w:rsid w:val="004665C3"/>
    <w:rsid w:val="004668C2"/>
    <w:rsid w:val="004677C9"/>
    <w:rsid w:val="00470057"/>
    <w:rsid w:val="00470521"/>
    <w:rsid w:val="00470FBE"/>
    <w:rsid w:val="0047120D"/>
    <w:rsid w:val="0047150B"/>
    <w:rsid w:val="004720DD"/>
    <w:rsid w:val="004722FB"/>
    <w:rsid w:val="004723A3"/>
    <w:rsid w:val="004726A1"/>
    <w:rsid w:val="004728A3"/>
    <w:rsid w:val="00472DF7"/>
    <w:rsid w:val="0047321F"/>
    <w:rsid w:val="00473611"/>
    <w:rsid w:val="00474834"/>
    <w:rsid w:val="00474D95"/>
    <w:rsid w:val="00475519"/>
    <w:rsid w:val="004758B6"/>
    <w:rsid w:val="00475B7B"/>
    <w:rsid w:val="00475F4D"/>
    <w:rsid w:val="004773EE"/>
    <w:rsid w:val="00477A74"/>
    <w:rsid w:val="00477DB8"/>
    <w:rsid w:val="0048014A"/>
    <w:rsid w:val="004808D7"/>
    <w:rsid w:val="00481CD5"/>
    <w:rsid w:val="00481D6F"/>
    <w:rsid w:val="0048270C"/>
    <w:rsid w:val="00482AD1"/>
    <w:rsid w:val="00482B72"/>
    <w:rsid w:val="00483049"/>
    <w:rsid w:val="00483236"/>
    <w:rsid w:val="00484213"/>
    <w:rsid w:val="00484A9C"/>
    <w:rsid w:val="00485158"/>
    <w:rsid w:val="00485B30"/>
    <w:rsid w:val="00485FB1"/>
    <w:rsid w:val="0048612C"/>
    <w:rsid w:val="0048650F"/>
    <w:rsid w:val="0048757F"/>
    <w:rsid w:val="00492C5F"/>
    <w:rsid w:val="00492FCB"/>
    <w:rsid w:val="0049324E"/>
    <w:rsid w:val="004938D1"/>
    <w:rsid w:val="00493A95"/>
    <w:rsid w:val="00494932"/>
    <w:rsid w:val="0049513C"/>
    <w:rsid w:val="004951A8"/>
    <w:rsid w:val="0049581A"/>
    <w:rsid w:val="004962AE"/>
    <w:rsid w:val="004A0644"/>
    <w:rsid w:val="004A0730"/>
    <w:rsid w:val="004A077D"/>
    <w:rsid w:val="004A08CC"/>
    <w:rsid w:val="004A0AAF"/>
    <w:rsid w:val="004A0DF3"/>
    <w:rsid w:val="004A10D5"/>
    <w:rsid w:val="004A1211"/>
    <w:rsid w:val="004A1823"/>
    <w:rsid w:val="004A1C2F"/>
    <w:rsid w:val="004A315A"/>
    <w:rsid w:val="004A33EB"/>
    <w:rsid w:val="004A402B"/>
    <w:rsid w:val="004A4C35"/>
    <w:rsid w:val="004A6479"/>
    <w:rsid w:val="004A6903"/>
    <w:rsid w:val="004A6CF1"/>
    <w:rsid w:val="004A7BC2"/>
    <w:rsid w:val="004B25DB"/>
    <w:rsid w:val="004B2ED8"/>
    <w:rsid w:val="004B40FD"/>
    <w:rsid w:val="004B5489"/>
    <w:rsid w:val="004B63D4"/>
    <w:rsid w:val="004B70F0"/>
    <w:rsid w:val="004B725B"/>
    <w:rsid w:val="004B78B7"/>
    <w:rsid w:val="004C010D"/>
    <w:rsid w:val="004C1AD4"/>
    <w:rsid w:val="004C1DC4"/>
    <w:rsid w:val="004C1E38"/>
    <w:rsid w:val="004C1FC9"/>
    <w:rsid w:val="004C219D"/>
    <w:rsid w:val="004C31D7"/>
    <w:rsid w:val="004C3680"/>
    <w:rsid w:val="004C388D"/>
    <w:rsid w:val="004C39C8"/>
    <w:rsid w:val="004C3CBB"/>
    <w:rsid w:val="004C40BA"/>
    <w:rsid w:val="004C4614"/>
    <w:rsid w:val="004C56D9"/>
    <w:rsid w:val="004C6324"/>
    <w:rsid w:val="004C6A2C"/>
    <w:rsid w:val="004C797F"/>
    <w:rsid w:val="004C7C4C"/>
    <w:rsid w:val="004C7CFF"/>
    <w:rsid w:val="004D1826"/>
    <w:rsid w:val="004D1925"/>
    <w:rsid w:val="004D1D87"/>
    <w:rsid w:val="004D24F3"/>
    <w:rsid w:val="004D2523"/>
    <w:rsid w:val="004D3900"/>
    <w:rsid w:val="004D39A0"/>
    <w:rsid w:val="004D4689"/>
    <w:rsid w:val="004D502D"/>
    <w:rsid w:val="004D5486"/>
    <w:rsid w:val="004D63DC"/>
    <w:rsid w:val="004D7012"/>
    <w:rsid w:val="004D7D8E"/>
    <w:rsid w:val="004E0840"/>
    <w:rsid w:val="004E0F96"/>
    <w:rsid w:val="004E10FE"/>
    <w:rsid w:val="004E17CD"/>
    <w:rsid w:val="004E1A0C"/>
    <w:rsid w:val="004E2295"/>
    <w:rsid w:val="004E2568"/>
    <w:rsid w:val="004E299E"/>
    <w:rsid w:val="004E31B9"/>
    <w:rsid w:val="004E409B"/>
    <w:rsid w:val="004E459A"/>
    <w:rsid w:val="004E4E3F"/>
    <w:rsid w:val="004E59A8"/>
    <w:rsid w:val="004E59F8"/>
    <w:rsid w:val="004E5FCE"/>
    <w:rsid w:val="004E604F"/>
    <w:rsid w:val="004E6272"/>
    <w:rsid w:val="004E7821"/>
    <w:rsid w:val="004E7EEE"/>
    <w:rsid w:val="004F0985"/>
    <w:rsid w:val="004F1164"/>
    <w:rsid w:val="004F1829"/>
    <w:rsid w:val="004F313E"/>
    <w:rsid w:val="004F4786"/>
    <w:rsid w:val="004F47F1"/>
    <w:rsid w:val="004F4B6C"/>
    <w:rsid w:val="004F764C"/>
    <w:rsid w:val="00500204"/>
    <w:rsid w:val="0050052A"/>
    <w:rsid w:val="00501CE3"/>
    <w:rsid w:val="0050201C"/>
    <w:rsid w:val="005020C0"/>
    <w:rsid w:val="00503245"/>
    <w:rsid w:val="0050380D"/>
    <w:rsid w:val="0050385A"/>
    <w:rsid w:val="00503EA7"/>
    <w:rsid w:val="00504531"/>
    <w:rsid w:val="00504725"/>
    <w:rsid w:val="00504782"/>
    <w:rsid w:val="00504B17"/>
    <w:rsid w:val="00506BE6"/>
    <w:rsid w:val="00507319"/>
    <w:rsid w:val="005073AE"/>
    <w:rsid w:val="00507B1F"/>
    <w:rsid w:val="00507E93"/>
    <w:rsid w:val="00510F74"/>
    <w:rsid w:val="00510F77"/>
    <w:rsid w:val="005117A0"/>
    <w:rsid w:val="00511B19"/>
    <w:rsid w:val="00511F6A"/>
    <w:rsid w:val="00512961"/>
    <w:rsid w:val="00512CCB"/>
    <w:rsid w:val="00512ED0"/>
    <w:rsid w:val="0051307C"/>
    <w:rsid w:val="00513910"/>
    <w:rsid w:val="00514BC8"/>
    <w:rsid w:val="0051518E"/>
    <w:rsid w:val="00515784"/>
    <w:rsid w:val="00515BF9"/>
    <w:rsid w:val="005162D2"/>
    <w:rsid w:val="00516785"/>
    <w:rsid w:val="005169E6"/>
    <w:rsid w:val="00517B47"/>
    <w:rsid w:val="005201E0"/>
    <w:rsid w:val="00521581"/>
    <w:rsid w:val="00522100"/>
    <w:rsid w:val="00522D27"/>
    <w:rsid w:val="0052336A"/>
    <w:rsid w:val="005238C5"/>
    <w:rsid w:val="005239EC"/>
    <w:rsid w:val="00523CAF"/>
    <w:rsid w:val="0052419D"/>
    <w:rsid w:val="00524B5A"/>
    <w:rsid w:val="00525C65"/>
    <w:rsid w:val="0052632B"/>
    <w:rsid w:val="005265E1"/>
    <w:rsid w:val="005272EF"/>
    <w:rsid w:val="005301F8"/>
    <w:rsid w:val="00530E7F"/>
    <w:rsid w:val="0053103B"/>
    <w:rsid w:val="005312FC"/>
    <w:rsid w:val="00531479"/>
    <w:rsid w:val="00531A64"/>
    <w:rsid w:val="005328C0"/>
    <w:rsid w:val="00533D79"/>
    <w:rsid w:val="005345DE"/>
    <w:rsid w:val="00534C8A"/>
    <w:rsid w:val="00534F5B"/>
    <w:rsid w:val="005351CD"/>
    <w:rsid w:val="00535659"/>
    <w:rsid w:val="0053574D"/>
    <w:rsid w:val="0053576F"/>
    <w:rsid w:val="005359E2"/>
    <w:rsid w:val="0053603D"/>
    <w:rsid w:val="00536153"/>
    <w:rsid w:val="005362BA"/>
    <w:rsid w:val="00536CC5"/>
    <w:rsid w:val="00536EFF"/>
    <w:rsid w:val="00537BD8"/>
    <w:rsid w:val="00540479"/>
    <w:rsid w:val="005409B2"/>
    <w:rsid w:val="00540F6D"/>
    <w:rsid w:val="00541029"/>
    <w:rsid w:val="00541043"/>
    <w:rsid w:val="00541073"/>
    <w:rsid w:val="00541B24"/>
    <w:rsid w:val="00541D8C"/>
    <w:rsid w:val="00542BB2"/>
    <w:rsid w:val="00544677"/>
    <w:rsid w:val="00544C1B"/>
    <w:rsid w:val="00547258"/>
    <w:rsid w:val="00550216"/>
    <w:rsid w:val="00550664"/>
    <w:rsid w:val="00550740"/>
    <w:rsid w:val="00550B3E"/>
    <w:rsid w:val="00551165"/>
    <w:rsid w:val="005536BC"/>
    <w:rsid w:val="005541D4"/>
    <w:rsid w:val="00554F43"/>
    <w:rsid w:val="00555D14"/>
    <w:rsid w:val="00557136"/>
    <w:rsid w:val="00557972"/>
    <w:rsid w:val="00557F85"/>
    <w:rsid w:val="005612DB"/>
    <w:rsid w:val="00561899"/>
    <w:rsid w:val="00561E4D"/>
    <w:rsid w:val="00563BB8"/>
    <w:rsid w:val="0056468F"/>
    <w:rsid w:val="00565449"/>
    <w:rsid w:val="005663B5"/>
    <w:rsid w:val="0056754D"/>
    <w:rsid w:val="00570008"/>
    <w:rsid w:val="00570CAD"/>
    <w:rsid w:val="005712C8"/>
    <w:rsid w:val="00572792"/>
    <w:rsid w:val="005733E6"/>
    <w:rsid w:val="00574426"/>
    <w:rsid w:val="005747CC"/>
    <w:rsid w:val="00574E3E"/>
    <w:rsid w:val="0057666F"/>
    <w:rsid w:val="005767D6"/>
    <w:rsid w:val="005767FC"/>
    <w:rsid w:val="00576DE1"/>
    <w:rsid w:val="00576E7A"/>
    <w:rsid w:val="00577167"/>
    <w:rsid w:val="00580042"/>
    <w:rsid w:val="00580371"/>
    <w:rsid w:val="00580C52"/>
    <w:rsid w:val="00580CCA"/>
    <w:rsid w:val="005817C5"/>
    <w:rsid w:val="00581D2D"/>
    <w:rsid w:val="0058316D"/>
    <w:rsid w:val="00583E71"/>
    <w:rsid w:val="00584375"/>
    <w:rsid w:val="00584B71"/>
    <w:rsid w:val="00585327"/>
    <w:rsid w:val="0058584C"/>
    <w:rsid w:val="00585AE6"/>
    <w:rsid w:val="005868DE"/>
    <w:rsid w:val="00586E7D"/>
    <w:rsid w:val="00587128"/>
    <w:rsid w:val="0058767F"/>
    <w:rsid w:val="005905E3"/>
    <w:rsid w:val="00590EF4"/>
    <w:rsid w:val="00591701"/>
    <w:rsid w:val="00591B1B"/>
    <w:rsid w:val="00593D36"/>
    <w:rsid w:val="00594BF4"/>
    <w:rsid w:val="00595035"/>
    <w:rsid w:val="00595EB4"/>
    <w:rsid w:val="00596154"/>
    <w:rsid w:val="0059615A"/>
    <w:rsid w:val="00596DBB"/>
    <w:rsid w:val="00597951"/>
    <w:rsid w:val="005A11C1"/>
    <w:rsid w:val="005A27A5"/>
    <w:rsid w:val="005A4BD8"/>
    <w:rsid w:val="005A4ECD"/>
    <w:rsid w:val="005A6949"/>
    <w:rsid w:val="005A7363"/>
    <w:rsid w:val="005A7728"/>
    <w:rsid w:val="005A7B25"/>
    <w:rsid w:val="005A7E0A"/>
    <w:rsid w:val="005B1110"/>
    <w:rsid w:val="005B1326"/>
    <w:rsid w:val="005B13C7"/>
    <w:rsid w:val="005B148E"/>
    <w:rsid w:val="005B159B"/>
    <w:rsid w:val="005B1920"/>
    <w:rsid w:val="005B1ED5"/>
    <w:rsid w:val="005B2A44"/>
    <w:rsid w:val="005B303D"/>
    <w:rsid w:val="005B3F24"/>
    <w:rsid w:val="005B4897"/>
    <w:rsid w:val="005B5AA7"/>
    <w:rsid w:val="005B5DD6"/>
    <w:rsid w:val="005B6A26"/>
    <w:rsid w:val="005B740A"/>
    <w:rsid w:val="005C0B83"/>
    <w:rsid w:val="005C0D4C"/>
    <w:rsid w:val="005C1FD0"/>
    <w:rsid w:val="005C1FD8"/>
    <w:rsid w:val="005C2342"/>
    <w:rsid w:val="005C268F"/>
    <w:rsid w:val="005C3ED0"/>
    <w:rsid w:val="005C5E30"/>
    <w:rsid w:val="005C70CB"/>
    <w:rsid w:val="005C74B6"/>
    <w:rsid w:val="005C7BA7"/>
    <w:rsid w:val="005D04B7"/>
    <w:rsid w:val="005D1217"/>
    <w:rsid w:val="005D1B19"/>
    <w:rsid w:val="005D2242"/>
    <w:rsid w:val="005D2F5A"/>
    <w:rsid w:val="005D4D1B"/>
    <w:rsid w:val="005D4FF9"/>
    <w:rsid w:val="005D6498"/>
    <w:rsid w:val="005D7573"/>
    <w:rsid w:val="005D76E2"/>
    <w:rsid w:val="005E03DC"/>
    <w:rsid w:val="005E051E"/>
    <w:rsid w:val="005E0DB6"/>
    <w:rsid w:val="005E169C"/>
    <w:rsid w:val="005E1F72"/>
    <w:rsid w:val="005E293E"/>
    <w:rsid w:val="005E3203"/>
    <w:rsid w:val="005E366D"/>
    <w:rsid w:val="005E37BD"/>
    <w:rsid w:val="005E389A"/>
    <w:rsid w:val="005E57BD"/>
    <w:rsid w:val="005E5BF3"/>
    <w:rsid w:val="005E6878"/>
    <w:rsid w:val="005E71F2"/>
    <w:rsid w:val="005E76F6"/>
    <w:rsid w:val="005F01F1"/>
    <w:rsid w:val="005F08FC"/>
    <w:rsid w:val="005F0AB2"/>
    <w:rsid w:val="005F11DC"/>
    <w:rsid w:val="005F2421"/>
    <w:rsid w:val="005F25E9"/>
    <w:rsid w:val="005F3152"/>
    <w:rsid w:val="005F3CD9"/>
    <w:rsid w:val="005F4179"/>
    <w:rsid w:val="005F50DC"/>
    <w:rsid w:val="005F5BBE"/>
    <w:rsid w:val="005F5EB4"/>
    <w:rsid w:val="005F6EEC"/>
    <w:rsid w:val="005F74D4"/>
    <w:rsid w:val="005F74DC"/>
    <w:rsid w:val="00600E05"/>
    <w:rsid w:val="006016A6"/>
    <w:rsid w:val="00601EB5"/>
    <w:rsid w:val="0060265D"/>
    <w:rsid w:val="006028A8"/>
    <w:rsid w:val="0060296E"/>
    <w:rsid w:val="006034E5"/>
    <w:rsid w:val="00603676"/>
    <w:rsid w:val="00604BFE"/>
    <w:rsid w:val="0060595B"/>
    <w:rsid w:val="00605AFD"/>
    <w:rsid w:val="00606536"/>
    <w:rsid w:val="0060765F"/>
    <w:rsid w:val="006078A4"/>
    <w:rsid w:val="00607C7C"/>
    <w:rsid w:val="00610062"/>
    <w:rsid w:val="006103A8"/>
    <w:rsid w:val="00610565"/>
    <w:rsid w:val="00611B59"/>
    <w:rsid w:val="006121C5"/>
    <w:rsid w:val="006123D4"/>
    <w:rsid w:val="0061274A"/>
    <w:rsid w:val="00613169"/>
    <w:rsid w:val="0061370C"/>
    <w:rsid w:val="00614518"/>
    <w:rsid w:val="00615050"/>
    <w:rsid w:val="006161C2"/>
    <w:rsid w:val="0061658C"/>
    <w:rsid w:val="00616808"/>
    <w:rsid w:val="00616F87"/>
    <w:rsid w:val="00617184"/>
    <w:rsid w:val="006178D1"/>
    <w:rsid w:val="00617E04"/>
    <w:rsid w:val="0062012D"/>
    <w:rsid w:val="0062033E"/>
    <w:rsid w:val="0062137F"/>
    <w:rsid w:val="006213BA"/>
    <w:rsid w:val="006226B7"/>
    <w:rsid w:val="006228C4"/>
    <w:rsid w:val="0062303E"/>
    <w:rsid w:val="006236C5"/>
    <w:rsid w:val="006238B1"/>
    <w:rsid w:val="006242E7"/>
    <w:rsid w:val="00624CED"/>
    <w:rsid w:val="00625276"/>
    <w:rsid w:val="00625DE5"/>
    <w:rsid w:val="00626939"/>
    <w:rsid w:val="0062773D"/>
    <w:rsid w:val="0062798C"/>
    <w:rsid w:val="00627DB5"/>
    <w:rsid w:val="00627FAB"/>
    <w:rsid w:val="006313F4"/>
    <w:rsid w:val="00631BF9"/>
    <w:rsid w:val="00631C40"/>
    <w:rsid w:val="006331D0"/>
    <w:rsid w:val="00634767"/>
    <w:rsid w:val="00634BAD"/>
    <w:rsid w:val="00636405"/>
    <w:rsid w:val="00636501"/>
    <w:rsid w:val="00637BAB"/>
    <w:rsid w:val="00637C14"/>
    <w:rsid w:val="00637E4C"/>
    <w:rsid w:val="00640A57"/>
    <w:rsid w:val="006414B7"/>
    <w:rsid w:val="00641ED0"/>
    <w:rsid w:val="006426D0"/>
    <w:rsid w:val="00642947"/>
    <w:rsid w:val="00642D40"/>
    <w:rsid w:val="00642DBC"/>
    <w:rsid w:val="0064382E"/>
    <w:rsid w:val="00643C35"/>
    <w:rsid w:val="00643C41"/>
    <w:rsid w:val="00645DA4"/>
    <w:rsid w:val="00647124"/>
    <w:rsid w:val="00650389"/>
    <w:rsid w:val="0065176C"/>
    <w:rsid w:val="00651F00"/>
    <w:rsid w:val="006525AE"/>
    <w:rsid w:val="006535A3"/>
    <w:rsid w:val="00654981"/>
    <w:rsid w:val="006550B8"/>
    <w:rsid w:val="00655542"/>
    <w:rsid w:val="00655796"/>
    <w:rsid w:val="00655BE3"/>
    <w:rsid w:val="006560EA"/>
    <w:rsid w:val="00656356"/>
    <w:rsid w:val="00656730"/>
    <w:rsid w:val="0065673D"/>
    <w:rsid w:val="00656DDB"/>
    <w:rsid w:val="006601C0"/>
    <w:rsid w:val="006604AF"/>
    <w:rsid w:val="006609FD"/>
    <w:rsid w:val="00660D46"/>
    <w:rsid w:val="0066228F"/>
    <w:rsid w:val="00662336"/>
    <w:rsid w:val="00662351"/>
    <w:rsid w:val="00662880"/>
    <w:rsid w:val="0066294E"/>
    <w:rsid w:val="006629B8"/>
    <w:rsid w:val="00663E3F"/>
    <w:rsid w:val="006649BA"/>
    <w:rsid w:val="006650E2"/>
    <w:rsid w:val="00667C67"/>
    <w:rsid w:val="0067055E"/>
    <w:rsid w:val="006714CB"/>
    <w:rsid w:val="006729CB"/>
    <w:rsid w:val="00672BAB"/>
    <w:rsid w:val="00674EBA"/>
    <w:rsid w:val="006753C4"/>
    <w:rsid w:val="0067543F"/>
    <w:rsid w:val="006755BF"/>
    <w:rsid w:val="00675D2F"/>
    <w:rsid w:val="00676503"/>
    <w:rsid w:val="00677D76"/>
    <w:rsid w:val="00680F5B"/>
    <w:rsid w:val="006817F0"/>
    <w:rsid w:val="00681B84"/>
    <w:rsid w:val="00682528"/>
    <w:rsid w:val="00682914"/>
    <w:rsid w:val="00683BC8"/>
    <w:rsid w:val="006849A1"/>
    <w:rsid w:val="00685077"/>
    <w:rsid w:val="00686165"/>
    <w:rsid w:val="00686BE2"/>
    <w:rsid w:val="0069090D"/>
    <w:rsid w:val="006909E2"/>
    <w:rsid w:val="006917AB"/>
    <w:rsid w:val="00691CB5"/>
    <w:rsid w:val="00691D20"/>
    <w:rsid w:val="006924C0"/>
    <w:rsid w:val="00692D06"/>
    <w:rsid w:val="00693940"/>
    <w:rsid w:val="00694204"/>
    <w:rsid w:val="00694652"/>
    <w:rsid w:val="00694875"/>
    <w:rsid w:val="00694A25"/>
    <w:rsid w:val="00694B47"/>
    <w:rsid w:val="00696340"/>
    <w:rsid w:val="0069638A"/>
    <w:rsid w:val="006969E6"/>
    <w:rsid w:val="00696BA3"/>
    <w:rsid w:val="00696F7A"/>
    <w:rsid w:val="00697367"/>
    <w:rsid w:val="0069780F"/>
    <w:rsid w:val="00697B7F"/>
    <w:rsid w:val="00697C74"/>
    <w:rsid w:val="006A03E1"/>
    <w:rsid w:val="006A0CD9"/>
    <w:rsid w:val="006A13C7"/>
    <w:rsid w:val="006A19CD"/>
    <w:rsid w:val="006A2401"/>
    <w:rsid w:val="006A2899"/>
    <w:rsid w:val="006A2FDC"/>
    <w:rsid w:val="006A3499"/>
    <w:rsid w:val="006A38C9"/>
    <w:rsid w:val="006A39E9"/>
    <w:rsid w:val="006A4A5D"/>
    <w:rsid w:val="006A4B00"/>
    <w:rsid w:val="006A6D7B"/>
    <w:rsid w:val="006A6EE1"/>
    <w:rsid w:val="006B1E1A"/>
    <w:rsid w:val="006B4AFF"/>
    <w:rsid w:val="006B4FE8"/>
    <w:rsid w:val="006B507D"/>
    <w:rsid w:val="006B52C5"/>
    <w:rsid w:val="006B5E7C"/>
    <w:rsid w:val="006B7578"/>
    <w:rsid w:val="006C0053"/>
    <w:rsid w:val="006C02F0"/>
    <w:rsid w:val="006C0406"/>
    <w:rsid w:val="006C05AF"/>
    <w:rsid w:val="006C0AE5"/>
    <w:rsid w:val="006C1227"/>
    <w:rsid w:val="006C2276"/>
    <w:rsid w:val="006C2486"/>
    <w:rsid w:val="006C24F8"/>
    <w:rsid w:val="006C2BB7"/>
    <w:rsid w:val="006C2BC1"/>
    <w:rsid w:val="006C5E49"/>
    <w:rsid w:val="006C645D"/>
    <w:rsid w:val="006C69C1"/>
    <w:rsid w:val="006C73E1"/>
    <w:rsid w:val="006C781E"/>
    <w:rsid w:val="006D01D9"/>
    <w:rsid w:val="006D0532"/>
    <w:rsid w:val="006D2718"/>
    <w:rsid w:val="006D293B"/>
    <w:rsid w:val="006D382F"/>
    <w:rsid w:val="006D3DEA"/>
    <w:rsid w:val="006D42C7"/>
    <w:rsid w:val="006D49C2"/>
    <w:rsid w:val="006D4B59"/>
    <w:rsid w:val="006D4EC6"/>
    <w:rsid w:val="006D5FBC"/>
    <w:rsid w:val="006D6700"/>
    <w:rsid w:val="006D6CBA"/>
    <w:rsid w:val="006D6F85"/>
    <w:rsid w:val="006D755D"/>
    <w:rsid w:val="006E0460"/>
    <w:rsid w:val="006E05D0"/>
    <w:rsid w:val="006E0D42"/>
    <w:rsid w:val="006E0DCA"/>
    <w:rsid w:val="006E0E0B"/>
    <w:rsid w:val="006E0E3C"/>
    <w:rsid w:val="006E171C"/>
    <w:rsid w:val="006E20AE"/>
    <w:rsid w:val="006E23E0"/>
    <w:rsid w:val="006E29B4"/>
    <w:rsid w:val="006E2BA1"/>
    <w:rsid w:val="006E3CC3"/>
    <w:rsid w:val="006E54E4"/>
    <w:rsid w:val="006E5FBF"/>
    <w:rsid w:val="006E62CC"/>
    <w:rsid w:val="006E75DC"/>
    <w:rsid w:val="006F068E"/>
    <w:rsid w:val="006F06FA"/>
    <w:rsid w:val="006F101D"/>
    <w:rsid w:val="006F1309"/>
    <w:rsid w:val="006F1A74"/>
    <w:rsid w:val="006F64B7"/>
    <w:rsid w:val="006F6531"/>
    <w:rsid w:val="006F656C"/>
    <w:rsid w:val="006F69FD"/>
    <w:rsid w:val="006F6DDE"/>
    <w:rsid w:val="006F7182"/>
    <w:rsid w:val="007000FC"/>
    <w:rsid w:val="00700EC7"/>
    <w:rsid w:val="00701648"/>
    <w:rsid w:val="00704BA3"/>
    <w:rsid w:val="007055A6"/>
    <w:rsid w:val="00705AEA"/>
    <w:rsid w:val="007064C9"/>
    <w:rsid w:val="00706C86"/>
    <w:rsid w:val="00706F76"/>
    <w:rsid w:val="00707014"/>
    <w:rsid w:val="00707BA2"/>
    <w:rsid w:val="00707EB8"/>
    <w:rsid w:val="007100EF"/>
    <w:rsid w:val="00710A86"/>
    <w:rsid w:val="00710E13"/>
    <w:rsid w:val="00711009"/>
    <w:rsid w:val="00711988"/>
    <w:rsid w:val="00711E3D"/>
    <w:rsid w:val="00711F28"/>
    <w:rsid w:val="00712298"/>
    <w:rsid w:val="007123C4"/>
    <w:rsid w:val="00712C22"/>
    <w:rsid w:val="00713BEA"/>
    <w:rsid w:val="00714E04"/>
    <w:rsid w:val="0071562B"/>
    <w:rsid w:val="007176A6"/>
    <w:rsid w:val="007178F9"/>
    <w:rsid w:val="00717BFF"/>
    <w:rsid w:val="00717DAC"/>
    <w:rsid w:val="00720BF2"/>
    <w:rsid w:val="00720F32"/>
    <w:rsid w:val="00721073"/>
    <w:rsid w:val="0072161A"/>
    <w:rsid w:val="00723AC5"/>
    <w:rsid w:val="00723E9A"/>
    <w:rsid w:val="00724A06"/>
    <w:rsid w:val="00724E36"/>
    <w:rsid w:val="00724F5E"/>
    <w:rsid w:val="0072570F"/>
    <w:rsid w:val="00726031"/>
    <w:rsid w:val="007265AB"/>
    <w:rsid w:val="00726FAD"/>
    <w:rsid w:val="0072713A"/>
    <w:rsid w:val="00727344"/>
    <w:rsid w:val="00727875"/>
    <w:rsid w:val="007302E1"/>
    <w:rsid w:val="00730BDC"/>
    <w:rsid w:val="007317AB"/>
    <w:rsid w:val="00732A90"/>
    <w:rsid w:val="00732DAF"/>
    <w:rsid w:val="00733F00"/>
    <w:rsid w:val="00735F2C"/>
    <w:rsid w:val="00737753"/>
    <w:rsid w:val="00737B4A"/>
    <w:rsid w:val="007409EA"/>
    <w:rsid w:val="00740A08"/>
    <w:rsid w:val="00740CDF"/>
    <w:rsid w:val="00740DA3"/>
    <w:rsid w:val="00741267"/>
    <w:rsid w:val="0074129D"/>
    <w:rsid w:val="00741A46"/>
    <w:rsid w:val="00743871"/>
    <w:rsid w:val="00743D11"/>
    <w:rsid w:val="00744278"/>
    <w:rsid w:val="007443C7"/>
    <w:rsid w:val="00745A87"/>
    <w:rsid w:val="00747831"/>
    <w:rsid w:val="00747A3D"/>
    <w:rsid w:val="00751381"/>
    <w:rsid w:val="007518DF"/>
    <w:rsid w:val="00751E49"/>
    <w:rsid w:val="0075203A"/>
    <w:rsid w:val="00752B16"/>
    <w:rsid w:val="00754736"/>
    <w:rsid w:val="00754C83"/>
    <w:rsid w:val="00755911"/>
    <w:rsid w:val="00755CB7"/>
    <w:rsid w:val="0075731D"/>
    <w:rsid w:val="00757816"/>
    <w:rsid w:val="00757D82"/>
    <w:rsid w:val="0076017F"/>
    <w:rsid w:val="00760708"/>
    <w:rsid w:val="007620F0"/>
    <w:rsid w:val="00762695"/>
    <w:rsid w:val="007629D8"/>
    <w:rsid w:val="00765CF1"/>
    <w:rsid w:val="007665B4"/>
    <w:rsid w:val="00766CA2"/>
    <w:rsid w:val="007704DF"/>
    <w:rsid w:val="0077082B"/>
    <w:rsid w:val="00771F27"/>
    <w:rsid w:val="0077213C"/>
    <w:rsid w:val="00772AEE"/>
    <w:rsid w:val="007731CE"/>
    <w:rsid w:val="007739DC"/>
    <w:rsid w:val="00773D72"/>
    <w:rsid w:val="00773E3E"/>
    <w:rsid w:val="007741AE"/>
    <w:rsid w:val="00775290"/>
    <w:rsid w:val="00775702"/>
    <w:rsid w:val="00777420"/>
    <w:rsid w:val="007779AF"/>
    <w:rsid w:val="007806AC"/>
    <w:rsid w:val="00782989"/>
    <w:rsid w:val="007829C3"/>
    <w:rsid w:val="00782A42"/>
    <w:rsid w:val="0078342B"/>
    <w:rsid w:val="007834BA"/>
    <w:rsid w:val="007837D7"/>
    <w:rsid w:val="007844F0"/>
    <w:rsid w:val="0078509F"/>
    <w:rsid w:val="0078547C"/>
    <w:rsid w:val="00785E44"/>
    <w:rsid w:val="00786D36"/>
    <w:rsid w:val="00787E83"/>
    <w:rsid w:val="0079006F"/>
    <w:rsid w:val="00790DCF"/>
    <w:rsid w:val="00790DE2"/>
    <w:rsid w:val="0079111C"/>
    <w:rsid w:val="00791C26"/>
    <w:rsid w:val="0079233D"/>
    <w:rsid w:val="0079258D"/>
    <w:rsid w:val="00794283"/>
    <w:rsid w:val="0079437B"/>
    <w:rsid w:val="00794499"/>
    <w:rsid w:val="00794A24"/>
    <w:rsid w:val="00796646"/>
    <w:rsid w:val="00796721"/>
    <w:rsid w:val="00797693"/>
    <w:rsid w:val="0079769E"/>
    <w:rsid w:val="007976B9"/>
    <w:rsid w:val="00797CB9"/>
    <w:rsid w:val="007A0061"/>
    <w:rsid w:val="007A02D7"/>
    <w:rsid w:val="007A049B"/>
    <w:rsid w:val="007A0ECA"/>
    <w:rsid w:val="007A1298"/>
    <w:rsid w:val="007A2374"/>
    <w:rsid w:val="007A2A1E"/>
    <w:rsid w:val="007A3450"/>
    <w:rsid w:val="007A352E"/>
    <w:rsid w:val="007A435E"/>
    <w:rsid w:val="007A4565"/>
    <w:rsid w:val="007A48CF"/>
    <w:rsid w:val="007A4995"/>
    <w:rsid w:val="007A4D06"/>
    <w:rsid w:val="007A6026"/>
    <w:rsid w:val="007A6EEE"/>
    <w:rsid w:val="007A7185"/>
    <w:rsid w:val="007A74F7"/>
    <w:rsid w:val="007B13DE"/>
    <w:rsid w:val="007B14EB"/>
    <w:rsid w:val="007B163A"/>
    <w:rsid w:val="007B18D2"/>
    <w:rsid w:val="007B1A5E"/>
    <w:rsid w:val="007B26AA"/>
    <w:rsid w:val="007B356E"/>
    <w:rsid w:val="007B3AA7"/>
    <w:rsid w:val="007B4178"/>
    <w:rsid w:val="007B5229"/>
    <w:rsid w:val="007B5FE7"/>
    <w:rsid w:val="007B60F2"/>
    <w:rsid w:val="007B63A4"/>
    <w:rsid w:val="007B6A19"/>
    <w:rsid w:val="007B720C"/>
    <w:rsid w:val="007C00C2"/>
    <w:rsid w:val="007C14C6"/>
    <w:rsid w:val="007C14D3"/>
    <w:rsid w:val="007C2B25"/>
    <w:rsid w:val="007C3BFC"/>
    <w:rsid w:val="007C3E3A"/>
    <w:rsid w:val="007C41BD"/>
    <w:rsid w:val="007C5303"/>
    <w:rsid w:val="007C57A7"/>
    <w:rsid w:val="007C632C"/>
    <w:rsid w:val="007C7144"/>
    <w:rsid w:val="007C72BE"/>
    <w:rsid w:val="007C7F01"/>
    <w:rsid w:val="007D0355"/>
    <w:rsid w:val="007D0644"/>
    <w:rsid w:val="007D19A4"/>
    <w:rsid w:val="007D3D34"/>
    <w:rsid w:val="007D46DE"/>
    <w:rsid w:val="007D4D86"/>
    <w:rsid w:val="007D4E0C"/>
    <w:rsid w:val="007D5AA6"/>
    <w:rsid w:val="007D63EC"/>
    <w:rsid w:val="007D6531"/>
    <w:rsid w:val="007E14BD"/>
    <w:rsid w:val="007E17DF"/>
    <w:rsid w:val="007E1AC4"/>
    <w:rsid w:val="007E2154"/>
    <w:rsid w:val="007E253F"/>
    <w:rsid w:val="007E2892"/>
    <w:rsid w:val="007E2AB9"/>
    <w:rsid w:val="007E2C1D"/>
    <w:rsid w:val="007E2CEA"/>
    <w:rsid w:val="007E343C"/>
    <w:rsid w:val="007E3707"/>
    <w:rsid w:val="007E3AA4"/>
    <w:rsid w:val="007E4D25"/>
    <w:rsid w:val="007E4DFE"/>
    <w:rsid w:val="007E5713"/>
    <w:rsid w:val="007E60D2"/>
    <w:rsid w:val="007E6456"/>
    <w:rsid w:val="007E7695"/>
    <w:rsid w:val="007E7B77"/>
    <w:rsid w:val="007E7F03"/>
    <w:rsid w:val="007E7FA3"/>
    <w:rsid w:val="007F23E6"/>
    <w:rsid w:val="007F4362"/>
    <w:rsid w:val="007F49F1"/>
    <w:rsid w:val="007F505B"/>
    <w:rsid w:val="007F5914"/>
    <w:rsid w:val="007F686E"/>
    <w:rsid w:val="00801FD6"/>
    <w:rsid w:val="0080228A"/>
    <w:rsid w:val="008023EC"/>
    <w:rsid w:val="0080248C"/>
    <w:rsid w:val="00802529"/>
    <w:rsid w:val="008030C9"/>
    <w:rsid w:val="008034A2"/>
    <w:rsid w:val="008043EA"/>
    <w:rsid w:val="00804BDF"/>
    <w:rsid w:val="00804D85"/>
    <w:rsid w:val="008053C7"/>
    <w:rsid w:val="00805503"/>
    <w:rsid w:val="00805884"/>
    <w:rsid w:val="00806557"/>
    <w:rsid w:val="00806DD6"/>
    <w:rsid w:val="00806E13"/>
    <w:rsid w:val="00806F7B"/>
    <w:rsid w:val="008104AB"/>
    <w:rsid w:val="00812A33"/>
    <w:rsid w:val="00813636"/>
    <w:rsid w:val="0081395A"/>
    <w:rsid w:val="00813C85"/>
    <w:rsid w:val="00814D2E"/>
    <w:rsid w:val="008158A3"/>
    <w:rsid w:val="00815B17"/>
    <w:rsid w:val="00816B50"/>
    <w:rsid w:val="0081772D"/>
    <w:rsid w:val="00817CA2"/>
    <w:rsid w:val="00817FDC"/>
    <w:rsid w:val="0082022B"/>
    <w:rsid w:val="00822779"/>
    <w:rsid w:val="00823A66"/>
    <w:rsid w:val="0082440C"/>
    <w:rsid w:val="0082440D"/>
    <w:rsid w:val="00826696"/>
    <w:rsid w:val="008267EE"/>
    <w:rsid w:val="00826C5D"/>
    <w:rsid w:val="008300F4"/>
    <w:rsid w:val="00830444"/>
    <w:rsid w:val="008304BD"/>
    <w:rsid w:val="0083075D"/>
    <w:rsid w:val="008311BF"/>
    <w:rsid w:val="008311D3"/>
    <w:rsid w:val="00831652"/>
    <w:rsid w:val="0083180F"/>
    <w:rsid w:val="008318EB"/>
    <w:rsid w:val="0083284D"/>
    <w:rsid w:val="008328F2"/>
    <w:rsid w:val="00832E15"/>
    <w:rsid w:val="00833287"/>
    <w:rsid w:val="008334B7"/>
    <w:rsid w:val="00834243"/>
    <w:rsid w:val="00834291"/>
    <w:rsid w:val="00834506"/>
    <w:rsid w:val="00834681"/>
    <w:rsid w:val="00835AEB"/>
    <w:rsid w:val="008361B4"/>
    <w:rsid w:val="008364AA"/>
    <w:rsid w:val="00837369"/>
    <w:rsid w:val="00837578"/>
    <w:rsid w:val="00841C33"/>
    <w:rsid w:val="00841F75"/>
    <w:rsid w:val="00842D56"/>
    <w:rsid w:val="008437CF"/>
    <w:rsid w:val="00843B00"/>
    <w:rsid w:val="00843FFF"/>
    <w:rsid w:val="00845A84"/>
    <w:rsid w:val="00845D9A"/>
    <w:rsid w:val="00845E9A"/>
    <w:rsid w:val="00846BB5"/>
    <w:rsid w:val="008473C8"/>
    <w:rsid w:val="008509CB"/>
    <w:rsid w:val="008526F2"/>
    <w:rsid w:val="008531FE"/>
    <w:rsid w:val="00853436"/>
    <w:rsid w:val="0085452C"/>
    <w:rsid w:val="008548FB"/>
    <w:rsid w:val="00855618"/>
    <w:rsid w:val="00856026"/>
    <w:rsid w:val="0085734F"/>
    <w:rsid w:val="00857969"/>
    <w:rsid w:val="00857CF9"/>
    <w:rsid w:val="00860733"/>
    <w:rsid w:val="0086112D"/>
    <w:rsid w:val="008611E7"/>
    <w:rsid w:val="008626B4"/>
    <w:rsid w:val="008629C1"/>
    <w:rsid w:val="00862D8D"/>
    <w:rsid w:val="00863F58"/>
    <w:rsid w:val="00864964"/>
    <w:rsid w:val="00864EAD"/>
    <w:rsid w:val="0086551E"/>
    <w:rsid w:val="0086620C"/>
    <w:rsid w:val="00870155"/>
    <w:rsid w:val="008704E6"/>
    <w:rsid w:val="00871B1F"/>
    <w:rsid w:val="008726BB"/>
    <w:rsid w:val="008730C0"/>
    <w:rsid w:val="008732AA"/>
    <w:rsid w:val="008736D6"/>
    <w:rsid w:val="0087487D"/>
    <w:rsid w:val="00875788"/>
    <w:rsid w:val="00875F47"/>
    <w:rsid w:val="00875F76"/>
    <w:rsid w:val="0087686D"/>
    <w:rsid w:val="0087749B"/>
    <w:rsid w:val="008779F0"/>
    <w:rsid w:val="00877DBC"/>
    <w:rsid w:val="00877E03"/>
    <w:rsid w:val="008805C8"/>
    <w:rsid w:val="00880D58"/>
    <w:rsid w:val="008812A2"/>
    <w:rsid w:val="0088167C"/>
    <w:rsid w:val="0088322E"/>
    <w:rsid w:val="0088396E"/>
    <w:rsid w:val="00883A93"/>
    <w:rsid w:val="00883C32"/>
    <w:rsid w:val="0088472E"/>
    <w:rsid w:val="00884A54"/>
    <w:rsid w:val="0088564D"/>
    <w:rsid w:val="008856F9"/>
    <w:rsid w:val="00885A9C"/>
    <w:rsid w:val="00886E57"/>
    <w:rsid w:val="0088711E"/>
    <w:rsid w:val="008878CD"/>
    <w:rsid w:val="00891FEC"/>
    <w:rsid w:val="00892353"/>
    <w:rsid w:val="0089286C"/>
    <w:rsid w:val="008942FF"/>
    <w:rsid w:val="008953F4"/>
    <w:rsid w:val="0089614C"/>
    <w:rsid w:val="00896ACA"/>
    <w:rsid w:val="00896DAB"/>
    <w:rsid w:val="00897D70"/>
    <w:rsid w:val="008A01F5"/>
    <w:rsid w:val="008A1187"/>
    <w:rsid w:val="008A1729"/>
    <w:rsid w:val="008A185F"/>
    <w:rsid w:val="008A23A1"/>
    <w:rsid w:val="008A3744"/>
    <w:rsid w:val="008A3A1B"/>
    <w:rsid w:val="008A6695"/>
    <w:rsid w:val="008A6E6F"/>
    <w:rsid w:val="008A74AD"/>
    <w:rsid w:val="008A7A76"/>
    <w:rsid w:val="008B0CBF"/>
    <w:rsid w:val="008B1428"/>
    <w:rsid w:val="008B1499"/>
    <w:rsid w:val="008B1A5A"/>
    <w:rsid w:val="008B4175"/>
    <w:rsid w:val="008B48E8"/>
    <w:rsid w:val="008B518A"/>
    <w:rsid w:val="008B5338"/>
    <w:rsid w:val="008B5866"/>
    <w:rsid w:val="008B5E4A"/>
    <w:rsid w:val="008B60BC"/>
    <w:rsid w:val="008B6937"/>
    <w:rsid w:val="008B7B7E"/>
    <w:rsid w:val="008C0D00"/>
    <w:rsid w:val="008C1C37"/>
    <w:rsid w:val="008C24A8"/>
    <w:rsid w:val="008C2A06"/>
    <w:rsid w:val="008C4968"/>
    <w:rsid w:val="008C5B85"/>
    <w:rsid w:val="008C6E78"/>
    <w:rsid w:val="008C6F68"/>
    <w:rsid w:val="008C7348"/>
    <w:rsid w:val="008C7387"/>
    <w:rsid w:val="008D068E"/>
    <w:rsid w:val="008D0BD8"/>
    <w:rsid w:val="008D1705"/>
    <w:rsid w:val="008D1EAB"/>
    <w:rsid w:val="008D339F"/>
    <w:rsid w:val="008D3E6A"/>
    <w:rsid w:val="008D4733"/>
    <w:rsid w:val="008D4792"/>
    <w:rsid w:val="008D4806"/>
    <w:rsid w:val="008D5A15"/>
    <w:rsid w:val="008D794A"/>
    <w:rsid w:val="008D7F38"/>
    <w:rsid w:val="008E07CC"/>
    <w:rsid w:val="008E0CC2"/>
    <w:rsid w:val="008E19D7"/>
    <w:rsid w:val="008E2074"/>
    <w:rsid w:val="008E37C5"/>
    <w:rsid w:val="008E3DAF"/>
    <w:rsid w:val="008E3FB3"/>
    <w:rsid w:val="008E5ADA"/>
    <w:rsid w:val="008E6292"/>
    <w:rsid w:val="008E7D4C"/>
    <w:rsid w:val="008F04AD"/>
    <w:rsid w:val="008F1694"/>
    <w:rsid w:val="008F1C16"/>
    <w:rsid w:val="008F238D"/>
    <w:rsid w:val="008F35E4"/>
    <w:rsid w:val="008F439D"/>
    <w:rsid w:val="008F52F1"/>
    <w:rsid w:val="008F5C2B"/>
    <w:rsid w:val="008F5F84"/>
    <w:rsid w:val="008F7280"/>
    <w:rsid w:val="008F7899"/>
    <w:rsid w:val="00900328"/>
    <w:rsid w:val="00900470"/>
    <w:rsid w:val="00900554"/>
    <w:rsid w:val="0090179E"/>
    <w:rsid w:val="00902F1F"/>
    <w:rsid w:val="00902F43"/>
    <w:rsid w:val="00903E18"/>
    <w:rsid w:val="00904DD8"/>
    <w:rsid w:val="0090532C"/>
    <w:rsid w:val="00905423"/>
    <w:rsid w:val="009066CF"/>
    <w:rsid w:val="0090683B"/>
    <w:rsid w:val="00910920"/>
    <w:rsid w:val="00910956"/>
    <w:rsid w:val="00911CCA"/>
    <w:rsid w:val="00911EF7"/>
    <w:rsid w:val="00912B30"/>
    <w:rsid w:val="00912C7B"/>
    <w:rsid w:val="0091304C"/>
    <w:rsid w:val="00913C75"/>
    <w:rsid w:val="00913F05"/>
    <w:rsid w:val="00915A1A"/>
    <w:rsid w:val="00915A66"/>
    <w:rsid w:val="00916C03"/>
    <w:rsid w:val="009173B6"/>
    <w:rsid w:val="0091773D"/>
    <w:rsid w:val="00920092"/>
    <w:rsid w:val="00920BEB"/>
    <w:rsid w:val="00920E19"/>
    <w:rsid w:val="00921E8B"/>
    <w:rsid w:val="00922055"/>
    <w:rsid w:val="009222F1"/>
    <w:rsid w:val="00923EF1"/>
    <w:rsid w:val="009256DC"/>
    <w:rsid w:val="00925922"/>
    <w:rsid w:val="00925AA5"/>
    <w:rsid w:val="00925D2F"/>
    <w:rsid w:val="00926B0B"/>
    <w:rsid w:val="00927904"/>
    <w:rsid w:val="00931186"/>
    <w:rsid w:val="009312E8"/>
    <w:rsid w:val="009314C6"/>
    <w:rsid w:val="00931B9D"/>
    <w:rsid w:val="009326C9"/>
    <w:rsid w:val="00933A69"/>
    <w:rsid w:val="00933D07"/>
    <w:rsid w:val="00934A21"/>
    <w:rsid w:val="00934B30"/>
    <w:rsid w:val="00934DC1"/>
    <w:rsid w:val="0093576F"/>
    <w:rsid w:val="00936D0B"/>
    <w:rsid w:val="00937689"/>
    <w:rsid w:val="0094019D"/>
    <w:rsid w:val="00940A6C"/>
    <w:rsid w:val="0094192B"/>
    <w:rsid w:val="00941A31"/>
    <w:rsid w:val="00941EB4"/>
    <w:rsid w:val="00941FF4"/>
    <w:rsid w:val="00942C11"/>
    <w:rsid w:val="00943734"/>
    <w:rsid w:val="00943752"/>
    <w:rsid w:val="00943DEC"/>
    <w:rsid w:val="0094469F"/>
    <w:rsid w:val="009467E6"/>
    <w:rsid w:val="00950D75"/>
    <w:rsid w:val="00951744"/>
    <w:rsid w:val="00951EA4"/>
    <w:rsid w:val="0095289F"/>
    <w:rsid w:val="0095297D"/>
    <w:rsid w:val="0095305C"/>
    <w:rsid w:val="00953482"/>
    <w:rsid w:val="009545F5"/>
    <w:rsid w:val="00954AC4"/>
    <w:rsid w:val="00954EC7"/>
    <w:rsid w:val="009559DC"/>
    <w:rsid w:val="00955BE3"/>
    <w:rsid w:val="009564F2"/>
    <w:rsid w:val="00956F6F"/>
    <w:rsid w:val="0095790E"/>
    <w:rsid w:val="00961CB3"/>
    <w:rsid w:val="00961E8B"/>
    <w:rsid w:val="009620CC"/>
    <w:rsid w:val="00963BC3"/>
    <w:rsid w:val="00963E8D"/>
    <w:rsid w:val="009648C8"/>
    <w:rsid w:val="00964D81"/>
    <w:rsid w:val="00964FF8"/>
    <w:rsid w:val="009663DB"/>
    <w:rsid w:val="00966EDF"/>
    <w:rsid w:val="00967301"/>
    <w:rsid w:val="00971FAB"/>
    <w:rsid w:val="009721B2"/>
    <w:rsid w:val="00972532"/>
    <w:rsid w:val="009726DE"/>
    <w:rsid w:val="00972E81"/>
    <w:rsid w:val="009732EC"/>
    <w:rsid w:val="00973CC8"/>
    <w:rsid w:val="00973F07"/>
    <w:rsid w:val="009744D8"/>
    <w:rsid w:val="00974B12"/>
    <w:rsid w:val="00976B50"/>
    <w:rsid w:val="00976F9F"/>
    <w:rsid w:val="00977E96"/>
    <w:rsid w:val="0098065A"/>
    <w:rsid w:val="009821CE"/>
    <w:rsid w:val="00984877"/>
    <w:rsid w:val="009852CF"/>
    <w:rsid w:val="00985776"/>
    <w:rsid w:val="00986264"/>
    <w:rsid w:val="00986F57"/>
    <w:rsid w:val="00990144"/>
    <w:rsid w:val="009903AB"/>
    <w:rsid w:val="009916F1"/>
    <w:rsid w:val="00991F7A"/>
    <w:rsid w:val="00992308"/>
    <w:rsid w:val="009927E5"/>
    <w:rsid w:val="009959A9"/>
    <w:rsid w:val="00995E1B"/>
    <w:rsid w:val="0099704F"/>
    <w:rsid w:val="009A0499"/>
    <w:rsid w:val="009A09AF"/>
    <w:rsid w:val="009A2485"/>
    <w:rsid w:val="009A2943"/>
    <w:rsid w:val="009A357B"/>
    <w:rsid w:val="009A4DDC"/>
    <w:rsid w:val="009A6216"/>
    <w:rsid w:val="009A658F"/>
    <w:rsid w:val="009A668A"/>
    <w:rsid w:val="009A68DB"/>
    <w:rsid w:val="009A6E23"/>
    <w:rsid w:val="009A70E0"/>
    <w:rsid w:val="009A7DF1"/>
    <w:rsid w:val="009B01DE"/>
    <w:rsid w:val="009B1A65"/>
    <w:rsid w:val="009B2BFF"/>
    <w:rsid w:val="009B3B75"/>
    <w:rsid w:val="009B403A"/>
    <w:rsid w:val="009B40F8"/>
    <w:rsid w:val="009B42EA"/>
    <w:rsid w:val="009B5ACE"/>
    <w:rsid w:val="009B7082"/>
    <w:rsid w:val="009B7279"/>
    <w:rsid w:val="009C0287"/>
    <w:rsid w:val="009C049C"/>
    <w:rsid w:val="009C0B58"/>
    <w:rsid w:val="009C172A"/>
    <w:rsid w:val="009C1C9F"/>
    <w:rsid w:val="009C2DB6"/>
    <w:rsid w:val="009C33D3"/>
    <w:rsid w:val="009C4F73"/>
    <w:rsid w:val="009C570C"/>
    <w:rsid w:val="009C61D8"/>
    <w:rsid w:val="009C629E"/>
    <w:rsid w:val="009C693A"/>
    <w:rsid w:val="009C6B56"/>
    <w:rsid w:val="009C72A3"/>
    <w:rsid w:val="009C79C9"/>
    <w:rsid w:val="009D0137"/>
    <w:rsid w:val="009D38DB"/>
    <w:rsid w:val="009D3C46"/>
    <w:rsid w:val="009D40F3"/>
    <w:rsid w:val="009D4D7C"/>
    <w:rsid w:val="009D6640"/>
    <w:rsid w:val="009D6C24"/>
    <w:rsid w:val="009D6E53"/>
    <w:rsid w:val="009D7BA3"/>
    <w:rsid w:val="009E1B03"/>
    <w:rsid w:val="009E1DD8"/>
    <w:rsid w:val="009E4319"/>
    <w:rsid w:val="009E4F0E"/>
    <w:rsid w:val="009E5ABB"/>
    <w:rsid w:val="009E5F5F"/>
    <w:rsid w:val="009E5FA7"/>
    <w:rsid w:val="009E6062"/>
    <w:rsid w:val="009E6325"/>
    <w:rsid w:val="009E678A"/>
    <w:rsid w:val="009E6975"/>
    <w:rsid w:val="009E6AFB"/>
    <w:rsid w:val="009E6C72"/>
    <w:rsid w:val="009F043C"/>
    <w:rsid w:val="009F0E50"/>
    <w:rsid w:val="009F17DB"/>
    <w:rsid w:val="009F3607"/>
    <w:rsid w:val="009F46E0"/>
    <w:rsid w:val="009F54C0"/>
    <w:rsid w:val="009F6325"/>
    <w:rsid w:val="009F6632"/>
    <w:rsid w:val="009F6721"/>
    <w:rsid w:val="009F707B"/>
    <w:rsid w:val="00A000B2"/>
    <w:rsid w:val="00A00DFE"/>
    <w:rsid w:val="00A013DE"/>
    <w:rsid w:val="00A01864"/>
    <w:rsid w:val="00A0286A"/>
    <w:rsid w:val="00A02E8A"/>
    <w:rsid w:val="00A031DC"/>
    <w:rsid w:val="00A039BF"/>
    <w:rsid w:val="00A03AB9"/>
    <w:rsid w:val="00A03F41"/>
    <w:rsid w:val="00A044DB"/>
    <w:rsid w:val="00A04BB1"/>
    <w:rsid w:val="00A04F3E"/>
    <w:rsid w:val="00A05339"/>
    <w:rsid w:val="00A0585B"/>
    <w:rsid w:val="00A05A5E"/>
    <w:rsid w:val="00A073BC"/>
    <w:rsid w:val="00A07E99"/>
    <w:rsid w:val="00A10B93"/>
    <w:rsid w:val="00A1119D"/>
    <w:rsid w:val="00A11536"/>
    <w:rsid w:val="00A11647"/>
    <w:rsid w:val="00A117E7"/>
    <w:rsid w:val="00A117F7"/>
    <w:rsid w:val="00A11DB0"/>
    <w:rsid w:val="00A128EB"/>
    <w:rsid w:val="00A12E35"/>
    <w:rsid w:val="00A13105"/>
    <w:rsid w:val="00A13A8A"/>
    <w:rsid w:val="00A13B37"/>
    <w:rsid w:val="00A146B7"/>
    <w:rsid w:val="00A14F23"/>
    <w:rsid w:val="00A1525E"/>
    <w:rsid w:val="00A15B93"/>
    <w:rsid w:val="00A16E03"/>
    <w:rsid w:val="00A17109"/>
    <w:rsid w:val="00A21675"/>
    <w:rsid w:val="00A21885"/>
    <w:rsid w:val="00A2204A"/>
    <w:rsid w:val="00A22408"/>
    <w:rsid w:val="00A23058"/>
    <w:rsid w:val="00A240B5"/>
    <w:rsid w:val="00A24F00"/>
    <w:rsid w:val="00A25385"/>
    <w:rsid w:val="00A259A7"/>
    <w:rsid w:val="00A25BB0"/>
    <w:rsid w:val="00A260CD"/>
    <w:rsid w:val="00A266AB"/>
    <w:rsid w:val="00A273FD"/>
    <w:rsid w:val="00A27547"/>
    <w:rsid w:val="00A30423"/>
    <w:rsid w:val="00A30592"/>
    <w:rsid w:val="00A308C7"/>
    <w:rsid w:val="00A30A99"/>
    <w:rsid w:val="00A30D93"/>
    <w:rsid w:val="00A310B0"/>
    <w:rsid w:val="00A31531"/>
    <w:rsid w:val="00A31D8E"/>
    <w:rsid w:val="00A32D3F"/>
    <w:rsid w:val="00A346AE"/>
    <w:rsid w:val="00A34F8B"/>
    <w:rsid w:val="00A35B34"/>
    <w:rsid w:val="00A36968"/>
    <w:rsid w:val="00A37092"/>
    <w:rsid w:val="00A3749B"/>
    <w:rsid w:val="00A414B1"/>
    <w:rsid w:val="00A42014"/>
    <w:rsid w:val="00A44145"/>
    <w:rsid w:val="00A44C98"/>
    <w:rsid w:val="00A44D06"/>
    <w:rsid w:val="00A45722"/>
    <w:rsid w:val="00A45B3E"/>
    <w:rsid w:val="00A464B4"/>
    <w:rsid w:val="00A46B60"/>
    <w:rsid w:val="00A51880"/>
    <w:rsid w:val="00A52338"/>
    <w:rsid w:val="00A54308"/>
    <w:rsid w:val="00A55E3F"/>
    <w:rsid w:val="00A564E0"/>
    <w:rsid w:val="00A56D93"/>
    <w:rsid w:val="00A6003B"/>
    <w:rsid w:val="00A60D23"/>
    <w:rsid w:val="00A6283E"/>
    <w:rsid w:val="00A62924"/>
    <w:rsid w:val="00A629D7"/>
    <w:rsid w:val="00A62E42"/>
    <w:rsid w:val="00A62F27"/>
    <w:rsid w:val="00A6363D"/>
    <w:rsid w:val="00A63827"/>
    <w:rsid w:val="00A6419E"/>
    <w:rsid w:val="00A6442A"/>
    <w:rsid w:val="00A64A71"/>
    <w:rsid w:val="00A652B8"/>
    <w:rsid w:val="00A65B5E"/>
    <w:rsid w:val="00A66045"/>
    <w:rsid w:val="00A66BE6"/>
    <w:rsid w:val="00A700ED"/>
    <w:rsid w:val="00A702A2"/>
    <w:rsid w:val="00A706BA"/>
    <w:rsid w:val="00A70844"/>
    <w:rsid w:val="00A7246E"/>
    <w:rsid w:val="00A72975"/>
    <w:rsid w:val="00A7317C"/>
    <w:rsid w:val="00A755A4"/>
    <w:rsid w:val="00A777FA"/>
    <w:rsid w:val="00A77CB7"/>
    <w:rsid w:val="00A80024"/>
    <w:rsid w:val="00A81A98"/>
    <w:rsid w:val="00A8235F"/>
    <w:rsid w:val="00A83F00"/>
    <w:rsid w:val="00A845C3"/>
    <w:rsid w:val="00A85887"/>
    <w:rsid w:val="00A85945"/>
    <w:rsid w:val="00A876EC"/>
    <w:rsid w:val="00A87D61"/>
    <w:rsid w:val="00A90BF0"/>
    <w:rsid w:val="00A9174F"/>
    <w:rsid w:val="00A9258B"/>
    <w:rsid w:val="00A93098"/>
    <w:rsid w:val="00A94446"/>
    <w:rsid w:val="00A949ED"/>
    <w:rsid w:val="00A95238"/>
    <w:rsid w:val="00A958F5"/>
    <w:rsid w:val="00A95AD8"/>
    <w:rsid w:val="00A977FC"/>
    <w:rsid w:val="00A97A0C"/>
    <w:rsid w:val="00A97B5D"/>
    <w:rsid w:val="00AA1485"/>
    <w:rsid w:val="00AA179D"/>
    <w:rsid w:val="00AA27D6"/>
    <w:rsid w:val="00AA28FA"/>
    <w:rsid w:val="00AA2999"/>
    <w:rsid w:val="00AA2EEC"/>
    <w:rsid w:val="00AA33E0"/>
    <w:rsid w:val="00AA50A5"/>
    <w:rsid w:val="00AA5358"/>
    <w:rsid w:val="00AA56C4"/>
    <w:rsid w:val="00AA61B8"/>
    <w:rsid w:val="00AB09A9"/>
    <w:rsid w:val="00AB15BB"/>
    <w:rsid w:val="00AB178B"/>
    <w:rsid w:val="00AB1793"/>
    <w:rsid w:val="00AB20AF"/>
    <w:rsid w:val="00AB328C"/>
    <w:rsid w:val="00AB4A57"/>
    <w:rsid w:val="00AB4BDA"/>
    <w:rsid w:val="00AB62A6"/>
    <w:rsid w:val="00AB66F3"/>
    <w:rsid w:val="00AB6791"/>
    <w:rsid w:val="00AB6895"/>
    <w:rsid w:val="00AB7136"/>
    <w:rsid w:val="00AB7A0C"/>
    <w:rsid w:val="00AB7FD3"/>
    <w:rsid w:val="00AC2B7F"/>
    <w:rsid w:val="00AC3281"/>
    <w:rsid w:val="00AC33EB"/>
    <w:rsid w:val="00AC3E91"/>
    <w:rsid w:val="00AC4433"/>
    <w:rsid w:val="00AC5523"/>
    <w:rsid w:val="00AC5530"/>
    <w:rsid w:val="00AC637B"/>
    <w:rsid w:val="00AC680C"/>
    <w:rsid w:val="00AC6D72"/>
    <w:rsid w:val="00AC72D3"/>
    <w:rsid w:val="00AC7E9E"/>
    <w:rsid w:val="00AD0751"/>
    <w:rsid w:val="00AD07FA"/>
    <w:rsid w:val="00AD1FE5"/>
    <w:rsid w:val="00AD258F"/>
    <w:rsid w:val="00AD2E31"/>
    <w:rsid w:val="00AD2F0C"/>
    <w:rsid w:val="00AD3AFF"/>
    <w:rsid w:val="00AD4408"/>
    <w:rsid w:val="00AD514A"/>
    <w:rsid w:val="00AD5247"/>
    <w:rsid w:val="00AD53DC"/>
    <w:rsid w:val="00AD55DA"/>
    <w:rsid w:val="00AD5F98"/>
    <w:rsid w:val="00AD62B0"/>
    <w:rsid w:val="00AD6496"/>
    <w:rsid w:val="00AD71B2"/>
    <w:rsid w:val="00AD73F9"/>
    <w:rsid w:val="00AE0089"/>
    <w:rsid w:val="00AE0201"/>
    <w:rsid w:val="00AE026F"/>
    <w:rsid w:val="00AE08BF"/>
    <w:rsid w:val="00AE0A46"/>
    <w:rsid w:val="00AE154D"/>
    <w:rsid w:val="00AE2F6E"/>
    <w:rsid w:val="00AE2F90"/>
    <w:rsid w:val="00AE456C"/>
    <w:rsid w:val="00AE46EC"/>
    <w:rsid w:val="00AE50CA"/>
    <w:rsid w:val="00AE5A3B"/>
    <w:rsid w:val="00AE60FE"/>
    <w:rsid w:val="00AE6265"/>
    <w:rsid w:val="00AE6893"/>
    <w:rsid w:val="00AE6CF7"/>
    <w:rsid w:val="00AE70EE"/>
    <w:rsid w:val="00AE79D4"/>
    <w:rsid w:val="00AF05FF"/>
    <w:rsid w:val="00AF06AE"/>
    <w:rsid w:val="00AF08BF"/>
    <w:rsid w:val="00AF0CD4"/>
    <w:rsid w:val="00AF0CF6"/>
    <w:rsid w:val="00AF0E6A"/>
    <w:rsid w:val="00AF12C4"/>
    <w:rsid w:val="00AF1458"/>
    <w:rsid w:val="00AF2102"/>
    <w:rsid w:val="00AF22A0"/>
    <w:rsid w:val="00AF24A1"/>
    <w:rsid w:val="00AF2589"/>
    <w:rsid w:val="00AF3DD4"/>
    <w:rsid w:val="00AF4000"/>
    <w:rsid w:val="00AF4551"/>
    <w:rsid w:val="00AF5293"/>
    <w:rsid w:val="00AF57E4"/>
    <w:rsid w:val="00AF65CA"/>
    <w:rsid w:val="00AF76CD"/>
    <w:rsid w:val="00AF78EE"/>
    <w:rsid w:val="00AF7B51"/>
    <w:rsid w:val="00AF7CD0"/>
    <w:rsid w:val="00AF7FAF"/>
    <w:rsid w:val="00B01E6A"/>
    <w:rsid w:val="00B02028"/>
    <w:rsid w:val="00B021FF"/>
    <w:rsid w:val="00B02418"/>
    <w:rsid w:val="00B02424"/>
    <w:rsid w:val="00B024CB"/>
    <w:rsid w:val="00B02E8A"/>
    <w:rsid w:val="00B030C0"/>
    <w:rsid w:val="00B0468E"/>
    <w:rsid w:val="00B0494F"/>
    <w:rsid w:val="00B04F84"/>
    <w:rsid w:val="00B0535B"/>
    <w:rsid w:val="00B059A0"/>
    <w:rsid w:val="00B104BE"/>
    <w:rsid w:val="00B11063"/>
    <w:rsid w:val="00B111A3"/>
    <w:rsid w:val="00B12F5C"/>
    <w:rsid w:val="00B147AE"/>
    <w:rsid w:val="00B1489B"/>
    <w:rsid w:val="00B149FC"/>
    <w:rsid w:val="00B14ED0"/>
    <w:rsid w:val="00B14EFD"/>
    <w:rsid w:val="00B15985"/>
    <w:rsid w:val="00B15A54"/>
    <w:rsid w:val="00B163D8"/>
    <w:rsid w:val="00B16CF8"/>
    <w:rsid w:val="00B174EA"/>
    <w:rsid w:val="00B200B6"/>
    <w:rsid w:val="00B20397"/>
    <w:rsid w:val="00B2091F"/>
    <w:rsid w:val="00B21734"/>
    <w:rsid w:val="00B2258C"/>
    <w:rsid w:val="00B22CDB"/>
    <w:rsid w:val="00B23DEA"/>
    <w:rsid w:val="00B2455E"/>
    <w:rsid w:val="00B25055"/>
    <w:rsid w:val="00B25ACA"/>
    <w:rsid w:val="00B268C9"/>
    <w:rsid w:val="00B27773"/>
    <w:rsid w:val="00B27B49"/>
    <w:rsid w:val="00B30067"/>
    <w:rsid w:val="00B3022E"/>
    <w:rsid w:val="00B3080A"/>
    <w:rsid w:val="00B3149D"/>
    <w:rsid w:val="00B3153B"/>
    <w:rsid w:val="00B31DE1"/>
    <w:rsid w:val="00B32116"/>
    <w:rsid w:val="00B325BE"/>
    <w:rsid w:val="00B32A52"/>
    <w:rsid w:val="00B33A7C"/>
    <w:rsid w:val="00B34113"/>
    <w:rsid w:val="00B3500B"/>
    <w:rsid w:val="00B35530"/>
    <w:rsid w:val="00B362B5"/>
    <w:rsid w:val="00B36405"/>
    <w:rsid w:val="00B364CD"/>
    <w:rsid w:val="00B36693"/>
    <w:rsid w:val="00B36B85"/>
    <w:rsid w:val="00B36DC0"/>
    <w:rsid w:val="00B36FF9"/>
    <w:rsid w:val="00B372BF"/>
    <w:rsid w:val="00B37B47"/>
    <w:rsid w:val="00B37E3B"/>
    <w:rsid w:val="00B37F90"/>
    <w:rsid w:val="00B403F9"/>
    <w:rsid w:val="00B40648"/>
    <w:rsid w:val="00B419A1"/>
    <w:rsid w:val="00B421C6"/>
    <w:rsid w:val="00B43E77"/>
    <w:rsid w:val="00B44169"/>
    <w:rsid w:val="00B457E6"/>
    <w:rsid w:val="00B457EA"/>
    <w:rsid w:val="00B45D8D"/>
    <w:rsid w:val="00B473C4"/>
    <w:rsid w:val="00B4759E"/>
    <w:rsid w:val="00B47692"/>
    <w:rsid w:val="00B477E5"/>
    <w:rsid w:val="00B47A16"/>
    <w:rsid w:val="00B50B6F"/>
    <w:rsid w:val="00B50C03"/>
    <w:rsid w:val="00B515DF"/>
    <w:rsid w:val="00B51649"/>
    <w:rsid w:val="00B51DFD"/>
    <w:rsid w:val="00B52F01"/>
    <w:rsid w:val="00B5365C"/>
    <w:rsid w:val="00B53B19"/>
    <w:rsid w:val="00B5444C"/>
    <w:rsid w:val="00B55C31"/>
    <w:rsid w:val="00B55E7F"/>
    <w:rsid w:val="00B6009C"/>
    <w:rsid w:val="00B602D4"/>
    <w:rsid w:val="00B603B4"/>
    <w:rsid w:val="00B6093E"/>
    <w:rsid w:val="00B6209C"/>
    <w:rsid w:val="00B620AA"/>
    <w:rsid w:val="00B62EA6"/>
    <w:rsid w:val="00B63817"/>
    <w:rsid w:val="00B638C0"/>
    <w:rsid w:val="00B64397"/>
    <w:rsid w:val="00B650E9"/>
    <w:rsid w:val="00B65DC9"/>
    <w:rsid w:val="00B65DD8"/>
    <w:rsid w:val="00B661DD"/>
    <w:rsid w:val="00B66F7D"/>
    <w:rsid w:val="00B67598"/>
    <w:rsid w:val="00B67B1A"/>
    <w:rsid w:val="00B70080"/>
    <w:rsid w:val="00B70434"/>
    <w:rsid w:val="00B704D4"/>
    <w:rsid w:val="00B7202F"/>
    <w:rsid w:val="00B72084"/>
    <w:rsid w:val="00B728F8"/>
    <w:rsid w:val="00B729AD"/>
    <w:rsid w:val="00B731D6"/>
    <w:rsid w:val="00B741B5"/>
    <w:rsid w:val="00B742EE"/>
    <w:rsid w:val="00B745FD"/>
    <w:rsid w:val="00B74B64"/>
    <w:rsid w:val="00B76DB4"/>
    <w:rsid w:val="00B770FF"/>
    <w:rsid w:val="00B77BD9"/>
    <w:rsid w:val="00B80485"/>
    <w:rsid w:val="00B8084A"/>
    <w:rsid w:val="00B80CAC"/>
    <w:rsid w:val="00B81341"/>
    <w:rsid w:val="00B825D4"/>
    <w:rsid w:val="00B829E1"/>
    <w:rsid w:val="00B82EF9"/>
    <w:rsid w:val="00B8343E"/>
    <w:rsid w:val="00B83622"/>
    <w:rsid w:val="00B8366F"/>
    <w:rsid w:val="00B83DBC"/>
    <w:rsid w:val="00B857B0"/>
    <w:rsid w:val="00B85F47"/>
    <w:rsid w:val="00B87927"/>
    <w:rsid w:val="00B87FFE"/>
    <w:rsid w:val="00B9222F"/>
    <w:rsid w:val="00B92619"/>
    <w:rsid w:val="00B928A1"/>
    <w:rsid w:val="00B930BB"/>
    <w:rsid w:val="00B93E07"/>
    <w:rsid w:val="00B95813"/>
    <w:rsid w:val="00B95FD4"/>
    <w:rsid w:val="00B963C3"/>
    <w:rsid w:val="00B96F28"/>
    <w:rsid w:val="00B970FD"/>
    <w:rsid w:val="00B9715C"/>
    <w:rsid w:val="00BA057A"/>
    <w:rsid w:val="00BA0ED6"/>
    <w:rsid w:val="00BA170D"/>
    <w:rsid w:val="00BA30B3"/>
    <w:rsid w:val="00BA4487"/>
    <w:rsid w:val="00BA45BF"/>
    <w:rsid w:val="00BA557E"/>
    <w:rsid w:val="00BA6675"/>
    <w:rsid w:val="00BA7E83"/>
    <w:rsid w:val="00BB0869"/>
    <w:rsid w:val="00BB1E74"/>
    <w:rsid w:val="00BB21B7"/>
    <w:rsid w:val="00BB311C"/>
    <w:rsid w:val="00BB38E9"/>
    <w:rsid w:val="00BB4DFC"/>
    <w:rsid w:val="00BB5CB3"/>
    <w:rsid w:val="00BB69F5"/>
    <w:rsid w:val="00BC011B"/>
    <w:rsid w:val="00BC1754"/>
    <w:rsid w:val="00BC1D55"/>
    <w:rsid w:val="00BC1E3A"/>
    <w:rsid w:val="00BC1F55"/>
    <w:rsid w:val="00BC3574"/>
    <w:rsid w:val="00BC3BE0"/>
    <w:rsid w:val="00BC3D9B"/>
    <w:rsid w:val="00BC3FE6"/>
    <w:rsid w:val="00BC417F"/>
    <w:rsid w:val="00BC4461"/>
    <w:rsid w:val="00BC4502"/>
    <w:rsid w:val="00BC5420"/>
    <w:rsid w:val="00BC5AE6"/>
    <w:rsid w:val="00BD02D5"/>
    <w:rsid w:val="00BD0757"/>
    <w:rsid w:val="00BD0A26"/>
    <w:rsid w:val="00BD108D"/>
    <w:rsid w:val="00BD1850"/>
    <w:rsid w:val="00BD1B7F"/>
    <w:rsid w:val="00BD1BC3"/>
    <w:rsid w:val="00BD315C"/>
    <w:rsid w:val="00BD353C"/>
    <w:rsid w:val="00BD4399"/>
    <w:rsid w:val="00BD4551"/>
    <w:rsid w:val="00BD49A6"/>
    <w:rsid w:val="00BD4ABE"/>
    <w:rsid w:val="00BD5186"/>
    <w:rsid w:val="00BD5650"/>
    <w:rsid w:val="00BD67F0"/>
    <w:rsid w:val="00BD6965"/>
    <w:rsid w:val="00BD6A64"/>
    <w:rsid w:val="00BD748F"/>
    <w:rsid w:val="00BD7B0D"/>
    <w:rsid w:val="00BE01AE"/>
    <w:rsid w:val="00BE0C64"/>
    <w:rsid w:val="00BE1A1E"/>
    <w:rsid w:val="00BE21AC"/>
    <w:rsid w:val="00BE380F"/>
    <w:rsid w:val="00BE3B79"/>
    <w:rsid w:val="00BE45D3"/>
    <w:rsid w:val="00BE4B2C"/>
    <w:rsid w:val="00BE5B6F"/>
    <w:rsid w:val="00BE5E81"/>
    <w:rsid w:val="00BE6DA6"/>
    <w:rsid w:val="00BE6E56"/>
    <w:rsid w:val="00BE7ECE"/>
    <w:rsid w:val="00BF0B1D"/>
    <w:rsid w:val="00BF1144"/>
    <w:rsid w:val="00BF15E4"/>
    <w:rsid w:val="00BF1980"/>
    <w:rsid w:val="00BF1E0E"/>
    <w:rsid w:val="00BF1F21"/>
    <w:rsid w:val="00BF20A6"/>
    <w:rsid w:val="00BF2684"/>
    <w:rsid w:val="00BF39EE"/>
    <w:rsid w:val="00BF3A37"/>
    <w:rsid w:val="00BF41D1"/>
    <w:rsid w:val="00BF455E"/>
    <w:rsid w:val="00BF4DE3"/>
    <w:rsid w:val="00BF5696"/>
    <w:rsid w:val="00BF6652"/>
    <w:rsid w:val="00BF75E2"/>
    <w:rsid w:val="00BF7F91"/>
    <w:rsid w:val="00C00471"/>
    <w:rsid w:val="00C0107B"/>
    <w:rsid w:val="00C012CB"/>
    <w:rsid w:val="00C01C7A"/>
    <w:rsid w:val="00C0200A"/>
    <w:rsid w:val="00C03810"/>
    <w:rsid w:val="00C04971"/>
    <w:rsid w:val="00C04F35"/>
    <w:rsid w:val="00C0506B"/>
    <w:rsid w:val="00C06433"/>
    <w:rsid w:val="00C06BF5"/>
    <w:rsid w:val="00C075BE"/>
    <w:rsid w:val="00C12805"/>
    <w:rsid w:val="00C12856"/>
    <w:rsid w:val="00C135C6"/>
    <w:rsid w:val="00C1438E"/>
    <w:rsid w:val="00C14437"/>
    <w:rsid w:val="00C14CC8"/>
    <w:rsid w:val="00C14DF1"/>
    <w:rsid w:val="00C15237"/>
    <w:rsid w:val="00C15C10"/>
    <w:rsid w:val="00C15D94"/>
    <w:rsid w:val="00C16052"/>
    <w:rsid w:val="00C162E9"/>
    <w:rsid w:val="00C17278"/>
    <w:rsid w:val="00C203C1"/>
    <w:rsid w:val="00C20C51"/>
    <w:rsid w:val="00C2181D"/>
    <w:rsid w:val="00C21C64"/>
    <w:rsid w:val="00C220B6"/>
    <w:rsid w:val="00C23511"/>
    <w:rsid w:val="00C23C50"/>
    <w:rsid w:val="00C23FDD"/>
    <w:rsid w:val="00C24856"/>
    <w:rsid w:val="00C25394"/>
    <w:rsid w:val="00C26F39"/>
    <w:rsid w:val="00C272FB"/>
    <w:rsid w:val="00C30146"/>
    <w:rsid w:val="00C30297"/>
    <w:rsid w:val="00C306EF"/>
    <w:rsid w:val="00C3106E"/>
    <w:rsid w:val="00C310DE"/>
    <w:rsid w:val="00C31449"/>
    <w:rsid w:val="00C324B2"/>
    <w:rsid w:val="00C3255A"/>
    <w:rsid w:val="00C3391D"/>
    <w:rsid w:val="00C33A76"/>
    <w:rsid w:val="00C3539F"/>
    <w:rsid w:val="00C3552C"/>
    <w:rsid w:val="00C369AE"/>
    <w:rsid w:val="00C36B4F"/>
    <w:rsid w:val="00C405B7"/>
    <w:rsid w:val="00C40BB2"/>
    <w:rsid w:val="00C41823"/>
    <w:rsid w:val="00C41F45"/>
    <w:rsid w:val="00C42111"/>
    <w:rsid w:val="00C423A2"/>
    <w:rsid w:val="00C42B85"/>
    <w:rsid w:val="00C42C00"/>
    <w:rsid w:val="00C433DC"/>
    <w:rsid w:val="00C44070"/>
    <w:rsid w:val="00C44DFA"/>
    <w:rsid w:val="00C4568A"/>
    <w:rsid w:val="00C45FB0"/>
    <w:rsid w:val="00C4660B"/>
    <w:rsid w:val="00C469FA"/>
    <w:rsid w:val="00C47841"/>
    <w:rsid w:val="00C504B3"/>
    <w:rsid w:val="00C5098C"/>
    <w:rsid w:val="00C5159B"/>
    <w:rsid w:val="00C518BB"/>
    <w:rsid w:val="00C518F0"/>
    <w:rsid w:val="00C51CFE"/>
    <w:rsid w:val="00C5405E"/>
    <w:rsid w:val="00C5477D"/>
    <w:rsid w:val="00C547DB"/>
    <w:rsid w:val="00C547DF"/>
    <w:rsid w:val="00C54E4E"/>
    <w:rsid w:val="00C55FFC"/>
    <w:rsid w:val="00C57DFA"/>
    <w:rsid w:val="00C6118B"/>
    <w:rsid w:val="00C61572"/>
    <w:rsid w:val="00C61B42"/>
    <w:rsid w:val="00C61B48"/>
    <w:rsid w:val="00C62583"/>
    <w:rsid w:val="00C6290D"/>
    <w:rsid w:val="00C6327F"/>
    <w:rsid w:val="00C64ACD"/>
    <w:rsid w:val="00C651E0"/>
    <w:rsid w:val="00C65830"/>
    <w:rsid w:val="00C65D4C"/>
    <w:rsid w:val="00C663AB"/>
    <w:rsid w:val="00C67623"/>
    <w:rsid w:val="00C67B97"/>
    <w:rsid w:val="00C7041F"/>
    <w:rsid w:val="00C704E3"/>
    <w:rsid w:val="00C705F5"/>
    <w:rsid w:val="00C70A18"/>
    <w:rsid w:val="00C71550"/>
    <w:rsid w:val="00C72134"/>
    <w:rsid w:val="00C72C23"/>
    <w:rsid w:val="00C735AA"/>
    <w:rsid w:val="00C748F5"/>
    <w:rsid w:val="00C75A0E"/>
    <w:rsid w:val="00C75C28"/>
    <w:rsid w:val="00C765CF"/>
    <w:rsid w:val="00C80041"/>
    <w:rsid w:val="00C81227"/>
    <w:rsid w:val="00C81382"/>
    <w:rsid w:val="00C81B78"/>
    <w:rsid w:val="00C82126"/>
    <w:rsid w:val="00C82743"/>
    <w:rsid w:val="00C829DC"/>
    <w:rsid w:val="00C841B9"/>
    <w:rsid w:val="00C844BD"/>
    <w:rsid w:val="00C84930"/>
    <w:rsid w:val="00C85314"/>
    <w:rsid w:val="00C853FF"/>
    <w:rsid w:val="00C85947"/>
    <w:rsid w:val="00C86C87"/>
    <w:rsid w:val="00C87B01"/>
    <w:rsid w:val="00C900B4"/>
    <w:rsid w:val="00C9050B"/>
    <w:rsid w:val="00C90DC8"/>
    <w:rsid w:val="00C91425"/>
    <w:rsid w:val="00C9215F"/>
    <w:rsid w:val="00C9221E"/>
    <w:rsid w:val="00C92B67"/>
    <w:rsid w:val="00C92EC5"/>
    <w:rsid w:val="00C9311A"/>
    <w:rsid w:val="00C940CC"/>
    <w:rsid w:val="00C94336"/>
    <w:rsid w:val="00C94445"/>
    <w:rsid w:val="00C95158"/>
    <w:rsid w:val="00C95AE1"/>
    <w:rsid w:val="00C96D8C"/>
    <w:rsid w:val="00C971CE"/>
    <w:rsid w:val="00C974C5"/>
    <w:rsid w:val="00C97D27"/>
    <w:rsid w:val="00CA0342"/>
    <w:rsid w:val="00CA0E12"/>
    <w:rsid w:val="00CA0FF1"/>
    <w:rsid w:val="00CA1F11"/>
    <w:rsid w:val="00CA28CD"/>
    <w:rsid w:val="00CA2C5F"/>
    <w:rsid w:val="00CA3419"/>
    <w:rsid w:val="00CA38B6"/>
    <w:rsid w:val="00CA41DA"/>
    <w:rsid w:val="00CA4388"/>
    <w:rsid w:val="00CA46D6"/>
    <w:rsid w:val="00CA4884"/>
    <w:rsid w:val="00CA4BC0"/>
    <w:rsid w:val="00CA4D9C"/>
    <w:rsid w:val="00CA510A"/>
    <w:rsid w:val="00CA63AE"/>
    <w:rsid w:val="00CA688F"/>
    <w:rsid w:val="00CA6986"/>
    <w:rsid w:val="00CA741A"/>
    <w:rsid w:val="00CA7847"/>
    <w:rsid w:val="00CA7EFD"/>
    <w:rsid w:val="00CB2162"/>
    <w:rsid w:val="00CB37B6"/>
    <w:rsid w:val="00CB3AE6"/>
    <w:rsid w:val="00CB4B95"/>
    <w:rsid w:val="00CB7A47"/>
    <w:rsid w:val="00CB7BE0"/>
    <w:rsid w:val="00CB7FD8"/>
    <w:rsid w:val="00CC006E"/>
    <w:rsid w:val="00CC0507"/>
    <w:rsid w:val="00CC1036"/>
    <w:rsid w:val="00CC112D"/>
    <w:rsid w:val="00CC1142"/>
    <w:rsid w:val="00CC3D35"/>
    <w:rsid w:val="00CC4EC8"/>
    <w:rsid w:val="00CC559D"/>
    <w:rsid w:val="00CC5D10"/>
    <w:rsid w:val="00CC5E38"/>
    <w:rsid w:val="00CC6165"/>
    <w:rsid w:val="00CC71EC"/>
    <w:rsid w:val="00CD01CC"/>
    <w:rsid w:val="00CD0D2D"/>
    <w:rsid w:val="00CD0E3A"/>
    <w:rsid w:val="00CD1085"/>
    <w:rsid w:val="00CD1D12"/>
    <w:rsid w:val="00CD2403"/>
    <w:rsid w:val="00CD3259"/>
    <w:rsid w:val="00CD3A23"/>
    <w:rsid w:val="00CD4C6C"/>
    <w:rsid w:val="00CD6278"/>
    <w:rsid w:val="00CD654B"/>
    <w:rsid w:val="00CD6BD4"/>
    <w:rsid w:val="00CE0BDD"/>
    <w:rsid w:val="00CE10BB"/>
    <w:rsid w:val="00CE13FD"/>
    <w:rsid w:val="00CE223E"/>
    <w:rsid w:val="00CE256B"/>
    <w:rsid w:val="00CE358D"/>
    <w:rsid w:val="00CE45F4"/>
    <w:rsid w:val="00CE5147"/>
    <w:rsid w:val="00CE5B0C"/>
    <w:rsid w:val="00CE7E06"/>
    <w:rsid w:val="00CF00A5"/>
    <w:rsid w:val="00CF0641"/>
    <w:rsid w:val="00CF0768"/>
    <w:rsid w:val="00CF2CA2"/>
    <w:rsid w:val="00CF34EA"/>
    <w:rsid w:val="00CF4368"/>
    <w:rsid w:val="00CF47DE"/>
    <w:rsid w:val="00CF6327"/>
    <w:rsid w:val="00CF63B9"/>
    <w:rsid w:val="00CF7094"/>
    <w:rsid w:val="00CF77CC"/>
    <w:rsid w:val="00D00D72"/>
    <w:rsid w:val="00D01C59"/>
    <w:rsid w:val="00D01D2A"/>
    <w:rsid w:val="00D0419F"/>
    <w:rsid w:val="00D04921"/>
    <w:rsid w:val="00D04CC1"/>
    <w:rsid w:val="00D05A97"/>
    <w:rsid w:val="00D071FF"/>
    <w:rsid w:val="00D072C4"/>
    <w:rsid w:val="00D1009D"/>
    <w:rsid w:val="00D114EF"/>
    <w:rsid w:val="00D11EEA"/>
    <w:rsid w:val="00D12734"/>
    <w:rsid w:val="00D13A8B"/>
    <w:rsid w:val="00D13F19"/>
    <w:rsid w:val="00D145F5"/>
    <w:rsid w:val="00D1479D"/>
    <w:rsid w:val="00D14E83"/>
    <w:rsid w:val="00D15321"/>
    <w:rsid w:val="00D166AE"/>
    <w:rsid w:val="00D175BA"/>
    <w:rsid w:val="00D176C5"/>
    <w:rsid w:val="00D17E78"/>
    <w:rsid w:val="00D20DAB"/>
    <w:rsid w:val="00D214FB"/>
    <w:rsid w:val="00D2192B"/>
    <w:rsid w:val="00D219EA"/>
    <w:rsid w:val="00D22941"/>
    <w:rsid w:val="00D22DFF"/>
    <w:rsid w:val="00D2327A"/>
    <w:rsid w:val="00D2414A"/>
    <w:rsid w:val="00D25049"/>
    <w:rsid w:val="00D253AA"/>
    <w:rsid w:val="00D26089"/>
    <w:rsid w:val="00D26346"/>
    <w:rsid w:val="00D26FAE"/>
    <w:rsid w:val="00D324DE"/>
    <w:rsid w:val="00D32A1C"/>
    <w:rsid w:val="00D333E4"/>
    <w:rsid w:val="00D33F85"/>
    <w:rsid w:val="00D355F0"/>
    <w:rsid w:val="00D35A32"/>
    <w:rsid w:val="00D36855"/>
    <w:rsid w:val="00D369E0"/>
    <w:rsid w:val="00D371A1"/>
    <w:rsid w:val="00D37784"/>
    <w:rsid w:val="00D37B90"/>
    <w:rsid w:val="00D41CEB"/>
    <w:rsid w:val="00D420E2"/>
    <w:rsid w:val="00D424D5"/>
    <w:rsid w:val="00D443D2"/>
    <w:rsid w:val="00D4489D"/>
    <w:rsid w:val="00D45AF8"/>
    <w:rsid w:val="00D45FFF"/>
    <w:rsid w:val="00D4629A"/>
    <w:rsid w:val="00D50290"/>
    <w:rsid w:val="00D5182B"/>
    <w:rsid w:val="00D519CD"/>
    <w:rsid w:val="00D51C05"/>
    <w:rsid w:val="00D51DC5"/>
    <w:rsid w:val="00D530E9"/>
    <w:rsid w:val="00D53369"/>
    <w:rsid w:val="00D537EB"/>
    <w:rsid w:val="00D543AA"/>
    <w:rsid w:val="00D560DB"/>
    <w:rsid w:val="00D56422"/>
    <w:rsid w:val="00D56C44"/>
    <w:rsid w:val="00D57B74"/>
    <w:rsid w:val="00D57C74"/>
    <w:rsid w:val="00D60ACE"/>
    <w:rsid w:val="00D61911"/>
    <w:rsid w:val="00D61949"/>
    <w:rsid w:val="00D63DC4"/>
    <w:rsid w:val="00D64999"/>
    <w:rsid w:val="00D64E35"/>
    <w:rsid w:val="00D65ACF"/>
    <w:rsid w:val="00D665C7"/>
    <w:rsid w:val="00D6763D"/>
    <w:rsid w:val="00D676E6"/>
    <w:rsid w:val="00D67A72"/>
    <w:rsid w:val="00D67BC8"/>
    <w:rsid w:val="00D67F89"/>
    <w:rsid w:val="00D70622"/>
    <w:rsid w:val="00D70780"/>
    <w:rsid w:val="00D70EBA"/>
    <w:rsid w:val="00D719A7"/>
    <w:rsid w:val="00D71D05"/>
    <w:rsid w:val="00D71D28"/>
    <w:rsid w:val="00D722AB"/>
    <w:rsid w:val="00D727C6"/>
    <w:rsid w:val="00D72B69"/>
    <w:rsid w:val="00D73344"/>
    <w:rsid w:val="00D75911"/>
    <w:rsid w:val="00D75F88"/>
    <w:rsid w:val="00D76AFC"/>
    <w:rsid w:val="00D80167"/>
    <w:rsid w:val="00D801AF"/>
    <w:rsid w:val="00D80526"/>
    <w:rsid w:val="00D819B4"/>
    <w:rsid w:val="00D81DAB"/>
    <w:rsid w:val="00D82136"/>
    <w:rsid w:val="00D82CFB"/>
    <w:rsid w:val="00D83673"/>
    <w:rsid w:val="00D83BD9"/>
    <w:rsid w:val="00D84BCC"/>
    <w:rsid w:val="00D84DA4"/>
    <w:rsid w:val="00D86ABB"/>
    <w:rsid w:val="00D87281"/>
    <w:rsid w:val="00D87497"/>
    <w:rsid w:val="00D87572"/>
    <w:rsid w:val="00D877E1"/>
    <w:rsid w:val="00D87A29"/>
    <w:rsid w:val="00D87F7A"/>
    <w:rsid w:val="00D90551"/>
    <w:rsid w:val="00D907DB"/>
    <w:rsid w:val="00D90E45"/>
    <w:rsid w:val="00D9230F"/>
    <w:rsid w:val="00D9248B"/>
    <w:rsid w:val="00D92AD1"/>
    <w:rsid w:val="00D92F3A"/>
    <w:rsid w:val="00D9524D"/>
    <w:rsid w:val="00D95FB9"/>
    <w:rsid w:val="00D9607C"/>
    <w:rsid w:val="00D96248"/>
    <w:rsid w:val="00D96E95"/>
    <w:rsid w:val="00D97157"/>
    <w:rsid w:val="00D975AE"/>
    <w:rsid w:val="00DA0531"/>
    <w:rsid w:val="00DA09D9"/>
    <w:rsid w:val="00DA0DFB"/>
    <w:rsid w:val="00DA1026"/>
    <w:rsid w:val="00DA1F1F"/>
    <w:rsid w:val="00DA3D3C"/>
    <w:rsid w:val="00DA3E38"/>
    <w:rsid w:val="00DA4C89"/>
    <w:rsid w:val="00DA6109"/>
    <w:rsid w:val="00DA686B"/>
    <w:rsid w:val="00DA716E"/>
    <w:rsid w:val="00DA71C6"/>
    <w:rsid w:val="00DA7344"/>
    <w:rsid w:val="00DA775A"/>
    <w:rsid w:val="00DA7EC5"/>
    <w:rsid w:val="00DB0171"/>
    <w:rsid w:val="00DB0435"/>
    <w:rsid w:val="00DB0A44"/>
    <w:rsid w:val="00DB0DEB"/>
    <w:rsid w:val="00DB32B1"/>
    <w:rsid w:val="00DB4A08"/>
    <w:rsid w:val="00DB5E54"/>
    <w:rsid w:val="00DB5EAC"/>
    <w:rsid w:val="00DB6DB6"/>
    <w:rsid w:val="00DB6EFE"/>
    <w:rsid w:val="00DB6FBE"/>
    <w:rsid w:val="00DB757E"/>
    <w:rsid w:val="00DB775B"/>
    <w:rsid w:val="00DB7F09"/>
    <w:rsid w:val="00DC00E8"/>
    <w:rsid w:val="00DC01C9"/>
    <w:rsid w:val="00DC2CE6"/>
    <w:rsid w:val="00DC2D76"/>
    <w:rsid w:val="00DC5ACF"/>
    <w:rsid w:val="00DC71E4"/>
    <w:rsid w:val="00DC75FD"/>
    <w:rsid w:val="00DD0671"/>
    <w:rsid w:val="00DD1891"/>
    <w:rsid w:val="00DD25DA"/>
    <w:rsid w:val="00DD30AB"/>
    <w:rsid w:val="00DD321E"/>
    <w:rsid w:val="00DD3840"/>
    <w:rsid w:val="00DD38C2"/>
    <w:rsid w:val="00DD3C76"/>
    <w:rsid w:val="00DD3E9E"/>
    <w:rsid w:val="00DD4467"/>
    <w:rsid w:val="00DD476F"/>
    <w:rsid w:val="00DD4859"/>
    <w:rsid w:val="00DD4DAC"/>
    <w:rsid w:val="00DD5CED"/>
    <w:rsid w:val="00DD64DD"/>
    <w:rsid w:val="00DD697A"/>
    <w:rsid w:val="00DE03DF"/>
    <w:rsid w:val="00DE1A84"/>
    <w:rsid w:val="00DE2131"/>
    <w:rsid w:val="00DE22F8"/>
    <w:rsid w:val="00DE2B48"/>
    <w:rsid w:val="00DE33C0"/>
    <w:rsid w:val="00DE33D2"/>
    <w:rsid w:val="00DE3527"/>
    <w:rsid w:val="00DE4A4B"/>
    <w:rsid w:val="00DE4C87"/>
    <w:rsid w:val="00DE4DA6"/>
    <w:rsid w:val="00DE54F8"/>
    <w:rsid w:val="00DE581F"/>
    <w:rsid w:val="00DE65AC"/>
    <w:rsid w:val="00DE7DB9"/>
    <w:rsid w:val="00DF013C"/>
    <w:rsid w:val="00DF07B2"/>
    <w:rsid w:val="00DF0F9D"/>
    <w:rsid w:val="00DF13EF"/>
    <w:rsid w:val="00DF1E5B"/>
    <w:rsid w:val="00DF1F19"/>
    <w:rsid w:val="00DF23E8"/>
    <w:rsid w:val="00DF2587"/>
    <w:rsid w:val="00DF3335"/>
    <w:rsid w:val="00DF3382"/>
    <w:rsid w:val="00DF42E2"/>
    <w:rsid w:val="00DF51B9"/>
    <w:rsid w:val="00DF750D"/>
    <w:rsid w:val="00DF76F2"/>
    <w:rsid w:val="00DF797E"/>
    <w:rsid w:val="00E01005"/>
    <w:rsid w:val="00E02B75"/>
    <w:rsid w:val="00E034D8"/>
    <w:rsid w:val="00E04072"/>
    <w:rsid w:val="00E05412"/>
    <w:rsid w:val="00E05F08"/>
    <w:rsid w:val="00E05F5B"/>
    <w:rsid w:val="00E0667E"/>
    <w:rsid w:val="00E06821"/>
    <w:rsid w:val="00E0777A"/>
    <w:rsid w:val="00E07B18"/>
    <w:rsid w:val="00E10B72"/>
    <w:rsid w:val="00E10D39"/>
    <w:rsid w:val="00E11012"/>
    <w:rsid w:val="00E1136B"/>
    <w:rsid w:val="00E12DF9"/>
    <w:rsid w:val="00E12F83"/>
    <w:rsid w:val="00E13B86"/>
    <w:rsid w:val="00E13E90"/>
    <w:rsid w:val="00E149DA"/>
    <w:rsid w:val="00E15736"/>
    <w:rsid w:val="00E15970"/>
    <w:rsid w:val="00E15E27"/>
    <w:rsid w:val="00E16752"/>
    <w:rsid w:val="00E16827"/>
    <w:rsid w:val="00E172C7"/>
    <w:rsid w:val="00E20482"/>
    <w:rsid w:val="00E20A1B"/>
    <w:rsid w:val="00E21268"/>
    <w:rsid w:val="00E217EF"/>
    <w:rsid w:val="00E22D51"/>
    <w:rsid w:val="00E2592D"/>
    <w:rsid w:val="00E26536"/>
    <w:rsid w:val="00E26762"/>
    <w:rsid w:val="00E308FB"/>
    <w:rsid w:val="00E30E70"/>
    <w:rsid w:val="00E30F24"/>
    <w:rsid w:val="00E34700"/>
    <w:rsid w:val="00E347F8"/>
    <w:rsid w:val="00E34818"/>
    <w:rsid w:val="00E35032"/>
    <w:rsid w:val="00E3529D"/>
    <w:rsid w:val="00E35D3D"/>
    <w:rsid w:val="00E35FA1"/>
    <w:rsid w:val="00E369AF"/>
    <w:rsid w:val="00E37018"/>
    <w:rsid w:val="00E40629"/>
    <w:rsid w:val="00E411CC"/>
    <w:rsid w:val="00E41DFF"/>
    <w:rsid w:val="00E4259E"/>
    <w:rsid w:val="00E42616"/>
    <w:rsid w:val="00E42AB4"/>
    <w:rsid w:val="00E44561"/>
    <w:rsid w:val="00E4471A"/>
    <w:rsid w:val="00E44AC1"/>
    <w:rsid w:val="00E45817"/>
    <w:rsid w:val="00E4672F"/>
    <w:rsid w:val="00E47387"/>
    <w:rsid w:val="00E4783F"/>
    <w:rsid w:val="00E509C9"/>
    <w:rsid w:val="00E50E7C"/>
    <w:rsid w:val="00E51545"/>
    <w:rsid w:val="00E55326"/>
    <w:rsid w:val="00E569D8"/>
    <w:rsid w:val="00E56B3F"/>
    <w:rsid w:val="00E56B58"/>
    <w:rsid w:val="00E56DC8"/>
    <w:rsid w:val="00E616A9"/>
    <w:rsid w:val="00E62AB5"/>
    <w:rsid w:val="00E62ECE"/>
    <w:rsid w:val="00E62FCB"/>
    <w:rsid w:val="00E632D4"/>
    <w:rsid w:val="00E63740"/>
    <w:rsid w:val="00E6479D"/>
    <w:rsid w:val="00E651AF"/>
    <w:rsid w:val="00E653D0"/>
    <w:rsid w:val="00E658BA"/>
    <w:rsid w:val="00E66560"/>
    <w:rsid w:val="00E66767"/>
    <w:rsid w:val="00E67435"/>
    <w:rsid w:val="00E677FE"/>
    <w:rsid w:val="00E70169"/>
    <w:rsid w:val="00E70B24"/>
    <w:rsid w:val="00E71130"/>
    <w:rsid w:val="00E711D7"/>
    <w:rsid w:val="00E7130B"/>
    <w:rsid w:val="00E7133E"/>
    <w:rsid w:val="00E718BA"/>
    <w:rsid w:val="00E71AF2"/>
    <w:rsid w:val="00E71DEC"/>
    <w:rsid w:val="00E72700"/>
    <w:rsid w:val="00E72C5E"/>
    <w:rsid w:val="00E72F41"/>
    <w:rsid w:val="00E73647"/>
    <w:rsid w:val="00E73A71"/>
    <w:rsid w:val="00E73B64"/>
    <w:rsid w:val="00E75580"/>
    <w:rsid w:val="00E77CEA"/>
    <w:rsid w:val="00E77F99"/>
    <w:rsid w:val="00E80133"/>
    <w:rsid w:val="00E8047B"/>
    <w:rsid w:val="00E8094C"/>
    <w:rsid w:val="00E80DBC"/>
    <w:rsid w:val="00E81A40"/>
    <w:rsid w:val="00E8356D"/>
    <w:rsid w:val="00E83E82"/>
    <w:rsid w:val="00E84161"/>
    <w:rsid w:val="00E85601"/>
    <w:rsid w:val="00E86394"/>
    <w:rsid w:val="00E900C5"/>
    <w:rsid w:val="00E902B0"/>
    <w:rsid w:val="00E902E8"/>
    <w:rsid w:val="00E90A54"/>
    <w:rsid w:val="00E90A6B"/>
    <w:rsid w:val="00E91F73"/>
    <w:rsid w:val="00E9499C"/>
    <w:rsid w:val="00E9648E"/>
    <w:rsid w:val="00E97395"/>
    <w:rsid w:val="00E97FE1"/>
    <w:rsid w:val="00EA01FC"/>
    <w:rsid w:val="00EA0EB1"/>
    <w:rsid w:val="00EA1538"/>
    <w:rsid w:val="00EA15EC"/>
    <w:rsid w:val="00EA1DCF"/>
    <w:rsid w:val="00EA2428"/>
    <w:rsid w:val="00EA32CA"/>
    <w:rsid w:val="00EA3B11"/>
    <w:rsid w:val="00EA3BF2"/>
    <w:rsid w:val="00EA4435"/>
    <w:rsid w:val="00EA51CB"/>
    <w:rsid w:val="00EA5D1A"/>
    <w:rsid w:val="00EA6A29"/>
    <w:rsid w:val="00EA781A"/>
    <w:rsid w:val="00EA78A2"/>
    <w:rsid w:val="00EA7F1E"/>
    <w:rsid w:val="00EB030F"/>
    <w:rsid w:val="00EB05C7"/>
    <w:rsid w:val="00EB110F"/>
    <w:rsid w:val="00EB1110"/>
    <w:rsid w:val="00EB1307"/>
    <w:rsid w:val="00EB1444"/>
    <w:rsid w:val="00EB179D"/>
    <w:rsid w:val="00EB1C19"/>
    <w:rsid w:val="00EB2103"/>
    <w:rsid w:val="00EB24E9"/>
    <w:rsid w:val="00EB4A44"/>
    <w:rsid w:val="00EB4F19"/>
    <w:rsid w:val="00EB5DAE"/>
    <w:rsid w:val="00EB68D5"/>
    <w:rsid w:val="00EB7057"/>
    <w:rsid w:val="00EB7B05"/>
    <w:rsid w:val="00EC02F2"/>
    <w:rsid w:val="00EC0656"/>
    <w:rsid w:val="00EC096B"/>
    <w:rsid w:val="00EC18CD"/>
    <w:rsid w:val="00EC1B11"/>
    <w:rsid w:val="00EC2031"/>
    <w:rsid w:val="00EC234D"/>
    <w:rsid w:val="00EC3126"/>
    <w:rsid w:val="00EC3BF5"/>
    <w:rsid w:val="00EC3E20"/>
    <w:rsid w:val="00EC6B16"/>
    <w:rsid w:val="00EC6D84"/>
    <w:rsid w:val="00ED00EF"/>
    <w:rsid w:val="00ED0455"/>
    <w:rsid w:val="00ED0B94"/>
    <w:rsid w:val="00ED1254"/>
    <w:rsid w:val="00ED14FB"/>
    <w:rsid w:val="00ED1CF3"/>
    <w:rsid w:val="00ED1EA5"/>
    <w:rsid w:val="00ED41C1"/>
    <w:rsid w:val="00ED55B8"/>
    <w:rsid w:val="00ED55F2"/>
    <w:rsid w:val="00ED6451"/>
    <w:rsid w:val="00ED6652"/>
    <w:rsid w:val="00EE0AAE"/>
    <w:rsid w:val="00EE1AEB"/>
    <w:rsid w:val="00EE1D05"/>
    <w:rsid w:val="00EE22D7"/>
    <w:rsid w:val="00EE290B"/>
    <w:rsid w:val="00EE2E0D"/>
    <w:rsid w:val="00EE3E65"/>
    <w:rsid w:val="00EE3F74"/>
    <w:rsid w:val="00EE402A"/>
    <w:rsid w:val="00EE4D42"/>
    <w:rsid w:val="00EE677F"/>
    <w:rsid w:val="00EE67F0"/>
    <w:rsid w:val="00EF0D0E"/>
    <w:rsid w:val="00EF1453"/>
    <w:rsid w:val="00EF2009"/>
    <w:rsid w:val="00EF2FBF"/>
    <w:rsid w:val="00EF30D1"/>
    <w:rsid w:val="00EF323F"/>
    <w:rsid w:val="00EF3608"/>
    <w:rsid w:val="00EF36EE"/>
    <w:rsid w:val="00EF3A9E"/>
    <w:rsid w:val="00EF48E7"/>
    <w:rsid w:val="00EF4AA5"/>
    <w:rsid w:val="00EF57D6"/>
    <w:rsid w:val="00EF5F60"/>
    <w:rsid w:val="00EF655E"/>
    <w:rsid w:val="00EF6A04"/>
    <w:rsid w:val="00EF7819"/>
    <w:rsid w:val="00F004DB"/>
    <w:rsid w:val="00F0058D"/>
    <w:rsid w:val="00F0082D"/>
    <w:rsid w:val="00F02062"/>
    <w:rsid w:val="00F0267F"/>
    <w:rsid w:val="00F0280C"/>
    <w:rsid w:val="00F02B15"/>
    <w:rsid w:val="00F030B3"/>
    <w:rsid w:val="00F03125"/>
    <w:rsid w:val="00F031DD"/>
    <w:rsid w:val="00F033A4"/>
    <w:rsid w:val="00F03739"/>
    <w:rsid w:val="00F03FBA"/>
    <w:rsid w:val="00F04322"/>
    <w:rsid w:val="00F04F06"/>
    <w:rsid w:val="00F05064"/>
    <w:rsid w:val="00F0598D"/>
    <w:rsid w:val="00F065BB"/>
    <w:rsid w:val="00F077AA"/>
    <w:rsid w:val="00F07C90"/>
    <w:rsid w:val="00F07E75"/>
    <w:rsid w:val="00F11131"/>
    <w:rsid w:val="00F11792"/>
    <w:rsid w:val="00F120BF"/>
    <w:rsid w:val="00F139C6"/>
    <w:rsid w:val="00F13AD6"/>
    <w:rsid w:val="00F142C6"/>
    <w:rsid w:val="00F14A27"/>
    <w:rsid w:val="00F16535"/>
    <w:rsid w:val="00F17C17"/>
    <w:rsid w:val="00F17E4B"/>
    <w:rsid w:val="00F200F2"/>
    <w:rsid w:val="00F20469"/>
    <w:rsid w:val="00F20C8B"/>
    <w:rsid w:val="00F2124F"/>
    <w:rsid w:val="00F2137F"/>
    <w:rsid w:val="00F21972"/>
    <w:rsid w:val="00F2269F"/>
    <w:rsid w:val="00F229FE"/>
    <w:rsid w:val="00F23373"/>
    <w:rsid w:val="00F23678"/>
    <w:rsid w:val="00F23797"/>
    <w:rsid w:val="00F2562A"/>
    <w:rsid w:val="00F25A30"/>
    <w:rsid w:val="00F25E20"/>
    <w:rsid w:val="00F2646F"/>
    <w:rsid w:val="00F265E1"/>
    <w:rsid w:val="00F266D5"/>
    <w:rsid w:val="00F26C28"/>
    <w:rsid w:val="00F27AFC"/>
    <w:rsid w:val="00F27E49"/>
    <w:rsid w:val="00F30CD7"/>
    <w:rsid w:val="00F313D5"/>
    <w:rsid w:val="00F316EE"/>
    <w:rsid w:val="00F31B5C"/>
    <w:rsid w:val="00F31F16"/>
    <w:rsid w:val="00F329FC"/>
    <w:rsid w:val="00F33580"/>
    <w:rsid w:val="00F33A60"/>
    <w:rsid w:val="00F347A4"/>
    <w:rsid w:val="00F34C28"/>
    <w:rsid w:val="00F353E0"/>
    <w:rsid w:val="00F354F2"/>
    <w:rsid w:val="00F35514"/>
    <w:rsid w:val="00F35D01"/>
    <w:rsid w:val="00F3621E"/>
    <w:rsid w:val="00F3632E"/>
    <w:rsid w:val="00F363D1"/>
    <w:rsid w:val="00F36BFE"/>
    <w:rsid w:val="00F411A1"/>
    <w:rsid w:val="00F414E5"/>
    <w:rsid w:val="00F42321"/>
    <w:rsid w:val="00F431D9"/>
    <w:rsid w:val="00F432EA"/>
    <w:rsid w:val="00F44AF0"/>
    <w:rsid w:val="00F45496"/>
    <w:rsid w:val="00F45BCB"/>
    <w:rsid w:val="00F45C7B"/>
    <w:rsid w:val="00F46637"/>
    <w:rsid w:val="00F46E09"/>
    <w:rsid w:val="00F4780B"/>
    <w:rsid w:val="00F502E7"/>
    <w:rsid w:val="00F502FF"/>
    <w:rsid w:val="00F51C00"/>
    <w:rsid w:val="00F51E59"/>
    <w:rsid w:val="00F52670"/>
    <w:rsid w:val="00F52F60"/>
    <w:rsid w:val="00F53DC8"/>
    <w:rsid w:val="00F5406E"/>
    <w:rsid w:val="00F543FB"/>
    <w:rsid w:val="00F5501B"/>
    <w:rsid w:val="00F5664A"/>
    <w:rsid w:val="00F57059"/>
    <w:rsid w:val="00F60817"/>
    <w:rsid w:val="00F61121"/>
    <w:rsid w:val="00F61369"/>
    <w:rsid w:val="00F61D4D"/>
    <w:rsid w:val="00F6263B"/>
    <w:rsid w:val="00F62EB6"/>
    <w:rsid w:val="00F631D6"/>
    <w:rsid w:val="00F63250"/>
    <w:rsid w:val="00F638BB"/>
    <w:rsid w:val="00F63BAB"/>
    <w:rsid w:val="00F64FBE"/>
    <w:rsid w:val="00F65AED"/>
    <w:rsid w:val="00F6600C"/>
    <w:rsid w:val="00F66960"/>
    <w:rsid w:val="00F66B9F"/>
    <w:rsid w:val="00F66CB2"/>
    <w:rsid w:val="00F67533"/>
    <w:rsid w:val="00F676B6"/>
    <w:rsid w:val="00F67ABD"/>
    <w:rsid w:val="00F7010C"/>
    <w:rsid w:val="00F70327"/>
    <w:rsid w:val="00F711DC"/>
    <w:rsid w:val="00F71A0E"/>
    <w:rsid w:val="00F7234B"/>
    <w:rsid w:val="00F72DEF"/>
    <w:rsid w:val="00F75446"/>
    <w:rsid w:val="00F7605C"/>
    <w:rsid w:val="00F76B88"/>
    <w:rsid w:val="00F76FB8"/>
    <w:rsid w:val="00F7788D"/>
    <w:rsid w:val="00F77C07"/>
    <w:rsid w:val="00F83F8C"/>
    <w:rsid w:val="00F8428B"/>
    <w:rsid w:val="00F8474E"/>
    <w:rsid w:val="00F8544C"/>
    <w:rsid w:val="00F86283"/>
    <w:rsid w:val="00F92279"/>
    <w:rsid w:val="00F92375"/>
    <w:rsid w:val="00F92B34"/>
    <w:rsid w:val="00F934FC"/>
    <w:rsid w:val="00F93913"/>
    <w:rsid w:val="00F94CC6"/>
    <w:rsid w:val="00F95583"/>
    <w:rsid w:val="00F95EEB"/>
    <w:rsid w:val="00F9635D"/>
    <w:rsid w:val="00F96561"/>
    <w:rsid w:val="00F96C26"/>
    <w:rsid w:val="00F96CE3"/>
    <w:rsid w:val="00F97AD5"/>
    <w:rsid w:val="00FA0561"/>
    <w:rsid w:val="00FA072C"/>
    <w:rsid w:val="00FA0E08"/>
    <w:rsid w:val="00FA15E6"/>
    <w:rsid w:val="00FA231C"/>
    <w:rsid w:val="00FA2930"/>
    <w:rsid w:val="00FA2BCF"/>
    <w:rsid w:val="00FA2C23"/>
    <w:rsid w:val="00FA2E37"/>
    <w:rsid w:val="00FA3D24"/>
    <w:rsid w:val="00FA6AE2"/>
    <w:rsid w:val="00FB00C1"/>
    <w:rsid w:val="00FB0E1A"/>
    <w:rsid w:val="00FB1141"/>
    <w:rsid w:val="00FB35ED"/>
    <w:rsid w:val="00FB3B7E"/>
    <w:rsid w:val="00FB4A44"/>
    <w:rsid w:val="00FB4D0E"/>
    <w:rsid w:val="00FB53FB"/>
    <w:rsid w:val="00FB60AD"/>
    <w:rsid w:val="00FB64AA"/>
    <w:rsid w:val="00FB6F33"/>
    <w:rsid w:val="00FB76D0"/>
    <w:rsid w:val="00FB7ACE"/>
    <w:rsid w:val="00FC03DF"/>
    <w:rsid w:val="00FC148D"/>
    <w:rsid w:val="00FC331B"/>
    <w:rsid w:val="00FC3327"/>
    <w:rsid w:val="00FC4A2A"/>
    <w:rsid w:val="00FC6055"/>
    <w:rsid w:val="00FC6268"/>
    <w:rsid w:val="00FC6ADA"/>
    <w:rsid w:val="00FC6C7C"/>
    <w:rsid w:val="00FC6E9E"/>
    <w:rsid w:val="00FC758C"/>
    <w:rsid w:val="00FC7DEA"/>
    <w:rsid w:val="00FD2BC1"/>
    <w:rsid w:val="00FD2FE6"/>
    <w:rsid w:val="00FD3B75"/>
    <w:rsid w:val="00FD48AA"/>
    <w:rsid w:val="00FD512D"/>
    <w:rsid w:val="00FD5D4C"/>
    <w:rsid w:val="00FD7108"/>
    <w:rsid w:val="00FD7624"/>
    <w:rsid w:val="00FD7718"/>
    <w:rsid w:val="00FE0AE2"/>
    <w:rsid w:val="00FE1B23"/>
    <w:rsid w:val="00FE28AB"/>
    <w:rsid w:val="00FE3202"/>
    <w:rsid w:val="00FE39BA"/>
    <w:rsid w:val="00FE3FCD"/>
    <w:rsid w:val="00FE4571"/>
    <w:rsid w:val="00FE4D4E"/>
    <w:rsid w:val="00FE660F"/>
    <w:rsid w:val="00FE6E1C"/>
    <w:rsid w:val="00FE751B"/>
    <w:rsid w:val="00FE7B90"/>
    <w:rsid w:val="00FF0BAD"/>
    <w:rsid w:val="00FF0C50"/>
    <w:rsid w:val="00FF1551"/>
    <w:rsid w:val="00FF328B"/>
    <w:rsid w:val="00FF3664"/>
    <w:rsid w:val="00FF3F8D"/>
    <w:rsid w:val="00FF40BB"/>
    <w:rsid w:val="00FF40D9"/>
    <w:rsid w:val="00FF41B9"/>
    <w:rsid w:val="00FF58D9"/>
    <w:rsid w:val="00FF5E47"/>
    <w:rsid w:val="00FF631D"/>
    <w:rsid w:val="00FF6C2B"/>
    <w:rsid w:val="00FF713B"/>
    <w:rsid w:val="124C285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A128AC"/>
  <w15:docId w15:val="{B47A9EC9-744C-418D-B900-5FAC53B09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3EA"/>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8043EA"/>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8043EA"/>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8043EA"/>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8043EA"/>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8043E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8043EA"/>
    <w:pPr>
      <w:spacing w:before="120" w:after="0" w:line="276" w:lineRule="auto"/>
      <w:outlineLvl w:val="5"/>
    </w:pPr>
    <w:rPr>
      <w:rFonts w:ascii="Calibri Light" w:hAnsi="Calibri Light"/>
      <w:bCs w:val="0"/>
      <w:color w:val="000000" w:themeColor="text1"/>
      <w:sz w:val="22"/>
      <w:szCs w:val="22"/>
    </w:rPr>
  </w:style>
  <w:style w:type="paragraph" w:styleId="Heading7">
    <w:name w:val="heading 7"/>
    <w:basedOn w:val="Normal"/>
    <w:next w:val="Normal"/>
    <w:link w:val="Heading7Char"/>
    <w:uiPriority w:val="9"/>
    <w:semiHidden/>
    <w:unhideWhenUsed/>
    <w:rsid w:val="008F238D"/>
    <w:pPr>
      <w:keepNext/>
      <w:keepLines/>
      <w:spacing w:before="40" w:after="0"/>
      <w:outlineLvl w:val="6"/>
    </w:pPr>
    <w:rPr>
      <w:rFonts w:asciiTheme="majorHAnsi" w:eastAsiaTheme="majorEastAsia" w:hAnsiTheme="majorHAnsi" w:cstheme="majorBidi"/>
      <w:i/>
      <w:iCs/>
      <w:color w:val="161B24" w:themeColor="accent1" w:themeShade="7F"/>
    </w:rPr>
  </w:style>
  <w:style w:type="paragraph" w:styleId="Heading8">
    <w:name w:val="heading 8"/>
    <w:basedOn w:val="Normal"/>
    <w:next w:val="Normal"/>
    <w:link w:val="Heading8Char"/>
    <w:uiPriority w:val="9"/>
    <w:semiHidden/>
    <w:unhideWhenUsed/>
    <w:qFormat/>
    <w:rsid w:val="008F238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F238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043E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rsid w:val="008043EA"/>
    <w:pPr>
      <w:spacing w:before="0"/>
      <w:ind w:left="720" w:hanging="360"/>
    </w:pPr>
  </w:style>
  <w:style w:type="table" w:styleId="TableGridLight">
    <w:name w:val="Grid Table Light"/>
    <w:basedOn w:val="TableNormal"/>
    <w:uiPriority w:val="40"/>
    <w:rsid w:val="00313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6016A6"/>
    <w:pPr>
      <w:keepNext/>
      <w:spacing w:before="240"/>
    </w:pPr>
    <w:rPr>
      <w:b/>
      <w:color w:val="2C384A" w:themeColor="accent1"/>
      <w:sz w:val="28"/>
      <w:szCs w:val="26"/>
    </w:rPr>
  </w:style>
  <w:style w:type="paragraph" w:customStyle="1" w:styleId="BoxText">
    <w:name w:val="Box Text"/>
    <w:basedOn w:val="Normal"/>
    <w:link w:val="BoxTextChar"/>
    <w:rsid w:val="008043EA"/>
  </w:style>
  <w:style w:type="paragraph" w:customStyle="1" w:styleId="Bullet">
    <w:name w:val="Bullet"/>
    <w:aliases w:val="Body,BodyNum,Bullet + line,Bullet Char1,Bullet Char1 Char Char Char,Bullet Char1 Char Char Char Char,Bullet Char1 Char Char Char Char Char,b,b + line,b1,b1 Char Char Char,bulleted,level 1"/>
    <w:basedOn w:val="Normal"/>
    <w:link w:val="BulletChar"/>
    <w:qFormat/>
    <w:rsid w:val="008043EA"/>
    <w:pPr>
      <w:numPr>
        <w:numId w:val="6"/>
      </w:numPr>
      <w:tabs>
        <w:tab w:val="left" w:pos="720"/>
      </w:tabs>
      <w:spacing w:after="0" w:line="276" w:lineRule="auto"/>
    </w:pPr>
  </w:style>
  <w:style w:type="paragraph" w:customStyle="1" w:styleId="ChartandTableFootnoteAlpha">
    <w:name w:val="Chart and Table Footnote Alpha"/>
    <w:rsid w:val="008043EA"/>
    <w:pPr>
      <w:numPr>
        <w:numId w:val="5"/>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043EA"/>
    <w:pPr>
      <w:jc w:val="center"/>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before="0" w:after="360"/>
    </w:pPr>
    <w:rPr>
      <w:color w:val="2C384A" w:themeColor="accent1"/>
      <w:sz w:val="32"/>
    </w:rPr>
  </w:style>
  <w:style w:type="paragraph" w:customStyle="1" w:styleId="Dash">
    <w:name w:val="Dash"/>
    <w:basedOn w:val="Normal"/>
    <w:link w:val="DashChar"/>
    <w:qFormat/>
    <w:rsid w:val="008043EA"/>
    <w:pPr>
      <w:numPr>
        <w:ilvl w:val="1"/>
        <w:numId w:val="7"/>
      </w:numPr>
      <w:spacing w:before="0"/>
    </w:pPr>
  </w:style>
  <w:style w:type="paragraph" w:customStyle="1" w:styleId="DoubleDot">
    <w:name w:val="Double Dot"/>
    <w:basedOn w:val="Normal"/>
    <w:link w:val="DoubleDotChar"/>
    <w:qFormat/>
    <w:rsid w:val="008043EA"/>
    <w:pPr>
      <w:numPr>
        <w:ilvl w:val="2"/>
        <w:numId w:val="1"/>
      </w:numPr>
      <w:tabs>
        <w:tab w:val="clear" w:pos="850"/>
        <w:tab w:val="num" w:pos="360"/>
      </w:tabs>
      <w:spacing w:before="0"/>
      <w:ind w:left="0" w:firstLine="0"/>
    </w:pPr>
  </w:style>
  <w:style w:type="paragraph" w:customStyle="1" w:styleId="TableMainHeading">
    <w:name w:val="Table Main Heading"/>
    <w:basedOn w:val="Heading3"/>
    <w:next w:val="Normal"/>
    <w:qFormat/>
    <w:rsid w:val="008043EA"/>
    <w:pPr>
      <w:spacing w:before="120"/>
    </w:pPr>
    <w:rPr>
      <w:b w:val="0"/>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link w:val="OutlineNumbered1Char"/>
    <w:rsid w:val="0056754D"/>
    <w:pPr>
      <w:numPr>
        <w:numId w:val="10"/>
      </w:numPr>
      <w:spacing w:after="160" w:line="259" w:lineRule="auto"/>
    </w:pPr>
  </w:style>
  <w:style w:type="paragraph" w:customStyle="1" w:styleId="OneLevelNumberedParagraph">
    <w:name w:val="One Level Numbered Paragraph"/>
    <w:basedOn w:val="Normal"/>
    <w:rsid w:val="008043EA"/>
    <w:pPr>
      <w:numPr>
        <w:numId w:val="3"/>
      </w:numPr>
      <w:tabs>
        <w:tab w:val="clear" w:pos="284"/>
        <w:tab w:val="num" w:pos="360"/>
      </w:tabs>
      <w:spacing w:before="0"/>
      <w:ind w:left="0" w:firstLine="0"/>
    </w:pPr>
  </w:style>
  <w:style w:type="paragraph" w:customStyle="1" w:styleId="OutlineNumbered2">
    <w:name w:val="Outline Numbered 2"/>
    <w:basedOn w:val="Normal"/>
    <w:link w:val="OutlineNumbered2Char"/>
    <w:rsid w:val="0056754D"/>
    <w:pPr>
      <w:numPr>
        <w:ilvl w:val="1"/>
        <w:numId w:val="11"/>
      </w:numPr>
      <w:spacing w:after="160"/>
    </w:pPr>
  </w:style>
  <w:style w:type="paragraph" w:customStyle="1" w:styleId="OutlineNumbered3">
    <w:name w:val="Outline Numbered 3"/>
    <w:basedOn w:val="Normal"/>
    <w:rsid w:val="008043EA"/>
    <w:pPr>
      <w:numPr>
        <w:ilvl w:val="2"/>
        <w:numId w:val="9"/>
      </w:numPr>
      <w:tabs>
        <w:tab w:val="num" w:pos="360"/>
      </w:tabs>
      <w:spacing w:before="0"/>
      <w:ind w:left="0" w:firstLine="0"/>
    </w:pPr>
  </w:style>
  <w:style w:type="paragraph" w:customStyle="1" w:styleId="SingleParagraph">
    <w:name w:val="Single Paragraph"/>
    <w:basedOn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rsid w:val="00AB6791"/>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OutlineNumbered1"/>
    <w:rsid w:val="00042625"/>
    <w:pPr>
      <w:numPr>
        <w:numId w:val="0"/>
      </w:numPr>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4"/>
      </w:numPr>
    </w:pPr>
  </w:style>
  <w:style w:type="numbering" w:customStyle="1" w:styleId="BulletedList">
    <w:name w:val="Bulleted List"/>
    <w:uiPriority w:val="99"/>
    <w:rsid w:val="008043EA"/>
    <w:pPr>
      <w:numPr>
        <w:numId w:val="1"/>
      </w:numPr>
    </w:pPr>
  </w:style>
  <w:style w:type="numbering" w:customStyle="1" w:styleId="BoxBulletedList">
    <w:name w:val="Box Bulleted List"/>
    <w:uiPriority w:val="99"/>
    <w:rsid w:val="008043EA"/>
    <w:pPr>
      <w:numPr>
        <w:numId w:val="2"/>
      </w:numPr>
    </w:pPr>
  </w:style>
  <w:style w:type="numbering" w:customStyle="1" w:styleId="OneLevelList">
    <w:name w:val="OneLevelList"/>
    <w:uiPriority w:val="99"/>
    <w:rsid w:val="008043EA"/>
    <w:pPr>
      <w:numPr>
        <w:numId w:val="3"/>
      </w:numPr>
    </w:pPr>
  </w:style>
  <w:style w:type="numbering" w:customStyle="1" w:styleId="ChartandTableFootnoteAlphaList">
    <w:name w:val="ChartandTableFootnoteAlphaList"/>
    <w:uiPriority w:val="99"/>
    <w:rsid w:val="008043EA"/>
    <w:pPr>
      <w:numPr>
        <w:numId w:val="5"/>
      </w:numPr>
    </w:pPr>
  </w:style>
  <w:style w:type="paragraph" w:customStyle="1" w:styleId="Heading1Numbered">
    <w:name w:val="Heading 1 Numbered"/>
    <w:basedOn w:val="Heading1"/>
    <w:next w:val="Normal"/>
    <w:rsid w:val="008043EA"/>
    <w:pPr>
      <w:numPr>
        <w:numId w:val="8"/>
      </w:numPr>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numPr>
        <w:ilvl w:val="1"/>
        <w:numId w:val="8"/>
      </w:numPr>
    </w:pPr>
  </w:style>
  <w:style w:type="paragraph" w:customStyle="1" w:styleId="Heading3Numbered">
    <w:name w:val="Heading 3 Numbered"/>
    <w:basedOn w:val="Heading3"/>
    <w:rsid w:val="008043EA"/>
    <w:pPr>
      <w:numPr>
        <w:ilvl w:val="2"/>
        <w:numId w:val="8"/>
      </w:numPr>
    </w:pPr>
  </w:style>
  <w:style w:type="paragraph" w:styleId="Title">
    <w:name w:val="Title"/>
    <w:basedOn w:val="Normal"/>
    <w:next w:val="Normal"/>
    <w:link w:val="TitleChar"/>
    <w:uiPriority w:val="10"/>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8043EA"/>
    <w:rPr>
      <w:i/>
      <w:iCs/>
      <w:color w:val="808080" w:themeColor="text1" w:themeTint="7F"/>
    </w:rPr>
  </w:style>
  <w:style w:type="paragraph" w:styleId="Header">
    <w:name w:val="header"/>
    <w:basedOn w:val="Normal"/>
    <w:link w:val="HeaderChar"/>
    <w:uiPriority w:val="99"/>
    <w:unhideWhenUsed/>
    <w:rsid w:val="008043EA"/>
    <w:pPr>
      <w:keepNext/>
      <w:spacing w:before="0"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basedOn w:val="DefaultParagraphFont"/>
    <w:uiPriority w:val="99"/>
    <w:rsid w:val="008043EA"/>
    <w:rPr>
      <w:sz w:val="18"/>
    </w:rPr>
  </w:style>
  <w:style w:type="paragraph" w:styleId="FootnoteText">
    <w:name w:val="footnote text"/>
    <w:basedOn w:val="Normal"/>
    <w:link w:val="FootnoteTextChar"/>
    <w:uiPriority w:val="99"/>
    <w:rsid w:val="008043EA"/>
    <w:pPr>
      <w:spacing w:before="0" w:after="0"/>
      <w:ind w:left="397" w:hanging="397"/>
    </w:pPr>
    <w:rPr>
      <w:sz w:val="20"/>
    </w:rPr>
  </w:style>
  <w:style w:type="character" w:customStyle="1" w:styleId="FootnoteTextChar">
    <w:name w:val="Footnote Text Char"/>
    <w:basedOn w:val="DefaultParagraphFont"/>
    <w:link w:val="FootnoteText"/>
    <w:uiPriority w:val="99"/>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aliases w:val="Body Char,Bulleted Para Char,Bullets Char,FooterText Char,L Char,List Paragraph Char,List Paragraph1 Char,List Paragraph11 Char,List Paragraph2 Char,Number Char,Recommendation Char,b + line Char,b + line Char Char,b Char,b Char Char,b1 Char"/>
    <w:basedOn w:val="DefaultParagraphFont"/>
    <w:link w:val="Bullet"/>
    <w:qFormat/>
    <w:locked/>
    <w:rsid w:val="008043EA"/>
    <w:rPr>
      <w:rFonts w:ascii="Calibri Light" w:eastAsia="Times New Roman" w:hAnsi="Calibri Light" w:cs="Times New Roman"/>
      <w:szCs w:val="20"/>
      <w:lang w:eastAsia="en-AU"/>
    </w:rPr>
  </w:style>
  <w:style w:type="paragraph" w:customStyle="1" w:styleId="Boxbullet">
    <w:name w:val="Box bullet"/>
    <w:basedOn w:val="Bullet"/>
    <w:rsid w:val="008043EA"/>
    <w:pPr>
      <w:tabs>
        <w:tab w:val="num" w:pos="284"/>
      </w:tabs>
      <w:spacing w:before="60"/>
      <w:ind w:left="170" w:hanging="170"/>
    </w:pPr>
    <w:rPr>
      <w:color w:val="0D0D0D" w:themeColor="text1" w:themeTint="F2"/>
    </w:rPr>
  </w:style>
  <w:style w:type="character" w:customStyle="1" w:styleId="DashChar">
    <w:name w:val="Dash Char"/>
    <w:basedOn w:val="DefaultParagraphFont"/>
    <w:link w:val="Dash"/>
    <w:locked/>
    <w:rsid w:val="008043EA"/>
    <w:rPr>
      <w:rFonts w:ascii="Calibri Light" w:eastAsia="Times New Roman" w:hAnsi="Calibri Light" w:cs="Times New Roman"/>
      <w:szCs w:val="20"/>
      <w:lang w:eastAsia="en-AU"/>
    </w:rPr>
  </w:style>
  <w:style w:type="paragraph" w:customStyle="1" w:styleId="Boxdash">
    <w:name w:val="Box dash"/>
    <w:basedOn w:val="Dash"/>
    <w:rsid w:val="008043EA"/>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uiPriority w:val="22"/>
    <w:qFormat/>
    <w:rsid w:val="00555D14"/>
    <w:rPr>
      <w:b/>
      <w:bCs/>
    </w:rPr>
  </w:style>
  <w:style w:type="paragraph" w:customStyle="1" w:styleId="Instructions">
    <w:name w:val="Instructions"/>
    <w:basedOn w:val="Normal"/>
    <w:uiPriority w:val="1"/>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semiHidden/>
    <w:unhideWhenUsed/>
    <w:rsid w:val="00F347A4"/>
    <w:rPr>
      <w:color w:val="605E5C"/>
      <w:shd w:val="clear" w:color="auto" w:fill="E1DFDD"/>
    </w:rPr>
  </w:style>
  <w:style w:type="paragraph" w:styleId="Footer">
    <w:name w:val="footer"/>
    <w:basedOn w:val="Normal"/>
    <w:link w:val="FooterChar"/>
    <w:unhideWhenUsed/>
    <w:rsid w:val="00E13E90"/>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rsid w:val="00E13E90"/>
    <w:rPr>
      <w:rFonts w:ascii="Calibri Light" w:eastAsia="Times New Roman" w:hAnsi="Calibri Light" w:cs="Times New Roman"/>
      <w:noProof/>
      <w:color w:val="2C384A" w:themeColor="accent1"/>
      <w:sz w:val="20"/>
      <w:szCs w:val="20"/>
      <w:lang w:eastAsia="en-AU"/>
    </w:rPr>
  </w:style>
  <w:style w:type="character" w:customStyle="1" w:styleId="OutlineNumbered1Char">
    <w:name w:val="Outline Numbered 1 Char"/>
    <w:basedOn w:val="DefaultParagraphFont"/>
    <w:link w:val="OutlineNumbered1"/>
    <w:rsid w:val="0056754D"/>
    <w:rPr>
      <w:rFonts w:ascii="Calibri Light" w:eastAsia="Times New Roman" w:hAnsi="Calibri Light" w:cs="Times New Roman"/>
      <w:szCs w:val="20"/>
      <w:lang w:eastAsia="en-AU"/>
    </w:rPr>
  </w:style>
  <w:style w:type="character" w:styleId="CommentReference">
    <w:name w:val="annotation reference"/>
    <w:basedOn w:val="DefaultParagraphFont"/>
    <w:uiPriority w:val="99"/>
    <w:semiHidden/>
    <w:unhideWhenUsed/>
    <w:rsid w:val="00253184"/>
    <w:rPr>
      <w:sz w:val="16"/>
      <w:szCs w:val="16"/>
    </w:rPr>
  </w:style>
  <w:style w:type="paragraph" w:styleId="CommentText">
    <w:name w:val="annotation text"/>
    <w:basedOn w:val="Normal"/>
    <w:link w:val="CommentTextChar"/>
    <w:uiPriority w:val="99"/>
    <w:unhideWhenUsed/>
    <w:rsid w:val="00253184"/>
    <w:rPr>
      <w:sz w:val="20"/>
    </w:rPr>
  </w:style>
  <w:style w:type="character" w:customStyle="1" w:styleId="CommentTextChar">
    <w:name w:val="Comment Text Char"/>
    <w:basedOn w:val="DefaultParagraphFont"/>
    <w:link w:val="CommentText"/>
    <w:uiPriority w:val="99"/>
    <w:rsid w:val="00253184"/>
    <w:rPr>
      <w:rFonts w:ascii="Calibri Light" w:eastAsia="Times New Roman" w:hAnsi="Calibri Light"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253184"/>
    <w:rPr>
      <w:b/>
      <w:bCs/>
    </w:rPr>
  </w:style>
  <w:style w:type="character" w:customStyle="1" w:styleId="CommentSubjectChar">
    <w:name w:val="Comment Subject Char"/>
    <w:basedOn w:val="CommentTextChar"/>
    <w:link w:val="CommentSubject"/>
    <w:uiPriority w:val="99"/>
    <w:semiHidden/>
    <w:rsid w:val="00253184"/>
    <w:rPr>
      <w:rFonts w:ascii="Calibri Light" w:eastAsia="Times New Roman" w:hAnsi="Calibri Light" w:cs="Times New Roman"/>
      <w:b/>
      <w:bCs/>
      <w:sz w:val="20"/>
      <w:szCs w:val="20"/>
      <w:lang w:eastAsia="en-AU"/>
    </w:rPr>
  </w:style>
  <w:style w:type="paragraph" w:styleId="NormalWeb">
    <w:name w:val="Normal (Web)"/>
    <w:basedOn w:val="Normal"/>
    <w:link w:val="NormalWebChar"/>
    <w:uiPriority w:val="99"/>
    <w:unhideWhenUsed/>
    <w:rsid w:val="00A80024"/>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A80024"/>
    <w:pPr>
      <w:ind w:left="720"/>
      <w:contextualSpacing/>
    </w:pPr>
  </w:style>
  <w:style w:type="character" w:styleId="FollowedHyperlink">
    <w:name w:val="FollowedHyperlink"/>
    <w:basedOn w:val="DefaultParagraphFont"/>
    <w:uiPriority w:val="99"/>
    <w:semiHidden/>
    <w:unhideWhenUsed/>
    <w:rsid w:val="00AD2E31"/>
    <w:rPr>
      <w:color w:val="844D9E" w:themeColor="followedHyperlink"/>
      <w:u w:val="single"/>
    </w:rPr>
  </w:style>
  <w:style w:type="paragraph" w:styleId="Revision">
    <w:name w:val="Revision"/>
    <w:hidden/>
    <w:uiPriority w:val="99"/>
    <w:semiHidden/>
    <w:rsid w:val="00812A33"/>
    <w:pPr>
      <w:spacing w:after="0" w:line="240" w:lineRule="auto"/>
    </w:pPr>
    <w:rPr>
      <w:rFonts w:ascii="Calibri Light" w:eastAsia="Times New Roman" w:hAnsi="Calibri Light" w:cs="Times New Roman"/>
      <w:szCs w:val="20"/>
      <w:lang w:eastAsia="en-AU"/>
    </w:rPr>
  </w:style>
  <w:style w:type="character" w:customStyle="1" w:styleId="OutlineNumbered2Char">
    <w:name w:val="Outline Numbered 2 Char"/>
    <w:basedOn w:val="DefaultParagraphFont"/>
    <w:link w:val="OutlineNumbered2"/>
    <w:rsid w:val="0056754D"/>
    <w:rPr>
      <w:rFonts w:ascii="Calibri Light" w:eastAsia="Times New Roman" w:hAnsi="Calibri Light" w:cs="Times New Roman"/>
      <w:szCs w:val="20"/>
      <w:lang w:eastAsia="en-AU"/>
    </w:rPr>
  </w:style>
  <w:style w:type="character" w:customStyle="1" w:styleId="NormalWebChar">
    <w:name w:val="Normal (Web) Char"/>
    <w:basedOn w:val="DefaultParagraphFont"/>
    <w:link w:val="NormalWeb"/>
    <w:uiPriority w:val="99"/>
    <w:rsid w:val="00F76FB8"/>
    <w:rPr>
      <w:rFonts w:ascii="Times New Roman" w:eastAsia="Times New Roman" w:hAnsi="Times New Roman" w:cs="Times New Roman"/>
      <w:sz w:val="24"/>
      <w:szCs w:val="24"/>
      <w:lang w:eastAsia="en-AU"/>
    </w:rPr>
  </w:style>
  <w:style w:type="paragraph" w:styleId="Bibliography">
    <w:name w:val="Bibliography"/>
    <w:basedOn w:val="Normal"/>
    <w:next w:val="Normal"/>
    <w:uiPriority w:val="37"/>
    <w:semiHidden/>
    <w:unhideWhenUsed/>
    <w:rsid w:val="008F238D"/>
  </w:style>
  <w:style w:type="paragraph" w:styleId="BlockText">
    <w:name w:val="Block Text"/>
    <w:basedOn w:val="Normal"/>
    <w:uiPriority w:val="99"/>
    <w:semiHidden/>
    <w:unhideWhenUsed/>
    <w:rsid w:val="008F238D"/>
    <w:pPr>
      <w:pBdr>
        <w:top w:val="single" w:sz="2" w:space="10" w:color="2C384A" w:themeColor="accent1"/>
        <w:left w:val="single" w:sz="2" w:space="10" w:color="2C384A" w:themeColor="accent1"/>
        <w:bottom w:val="single" w:sz="2" w:space="10" w:color="2C384A" w:themeColor="accent1"/>
        <w:right w:val="single" w:sz="2" w:space="10" w:color="2C384A" w:themeColor="accent1"/>
      </w:pBdr>
      <w:ind w:left="1152" w:right="1152"/>
    </w:pPr>
    <w:rPr>
      <w:rFonts w:asciiTheme="minorHAnsi" w:eastAsiaTheme="minorEastAsia" w:hAnsiTheme="minorHAnsi" w:cstheme="minorBidi"/>
      <w:i/>
      <w:iCs/>
      <w:color w:val="2C384A" w:themeColor="accent1"/>
    </w:rPr>
  </w:style>
  <w:style w:type="paragraph" w:styleId="BodyText">
    <w:name w:val="Body Text"/>
    <w:basedOn w:val="Normal"/>
    <w:link w:val="BodyTextChar"/>
    <w:uiPriority w:val="99"/>
    <w:semiHidden/>
    <w:unhideWhenUsed/>
    <w:rsid w:val="008F238D"/>
  </w:style>
  <w:style w:type="character" w:customStyle="1" w:styleId="BodyTextChar">
    <w:name w:val="Body Text Char"/>
    <w:basedOn w:val="DefaultParagraphFont"/>
    <w:link w:val="BodyText"/>
    <w:uiPriority w:val="99"/>
    <w:semiHidden/>
    <w:rsid w:val="008F238D"/>
    <w:rPr>
      <w:rFonts w:ascii="Calibri Light" w:eastAsia="Times New Roman" w:hAnsi="Calibri Light" w:cs="Times New Roman"/>
      <w:szCs w:val="20"/>
      <w:lang w:eastAsia="en-AU"/>
    </w:rPr>
  </w:style>
  <w:style w:type="paragraph" w:styleId="BodyText2">
    <w:name w:val="Body Text 2"/>
    <w:basedOn w:val="Normal"/>
    <w:link w:val="BodyText2Char"/>
    <w:uiPriority w:val="99"/>
    <w:semiHidden/>
    <w:unhideWhenUsed/>
    <w:rsid w:val="008F238D"/>
    <w:pPr>
      <w:spacing w:line="480" w:lineRule="auto"/>
    </w:pPr>
  </w:style>
  <w:style w:type="character" w:customStyle="1" w:styleId="BodyText2Char">
    <w:name w:val="Body Text 2 Char"/>
    <w:basedOn w:val="DefaultParagraphFont"/>
    <w:link w:val="BodyText2"/>
    <w:uiPriority w:val="99"/>
    <w:semiHidden/>
    <w:rsid w:val="008F238D"/>
    <w:rPr>
      <w:rFonts w:ascii="Calibri Light" w:eastAsia="Times New Roman" w:hAnsi="Calibri Light" w:cs="Times New Roman"/>
      <w:szCs w:val="20"/>
      <w:lang w:eastAsia="en-AU"/>
    </w:rPr>
  </w:style>
  <w:style w:type="paragraph" w:styleId="BodyText3">
    <w:name w:val="Body Text 3"/>
    <w:basedOn w:val="Normal"/>
    <w:link w:val="BodyText3Char"/>
    <w:uiPriority w:val="99"/>
    <w:semiHidden/>
    <w:unhideWhenUsed/>
    <w:rsid w:val="008F238D"/>
    <w:rPr>
      <w:sz w:val="16"/>
      <w:szCs w:val="16"/>
    </w:rPr>
  </w:style>
  <w:style w:type="character" w:customStyle="1" w:styleId="BodyText3Char">
    <w:name w:val="Body Text 3 Char"/>
    <w:basedOn w:val="DefaultParagraphFont"/>
    <w:link w:val="BodyText3"/>
    <w:uiPriority w:val="99"/>
    <w:semiHidden/>
    <w:rsid w:val="008F238D"/>
    <w:rPr>
      <w:rFonts w:ascii="Calibri Light" w:eastAsia="Times New Roman" w:hAnsi="Calibri Light" w:cs="Times New Roman"/>
      <w:sz w:val="16"/>
      <w:szCs w:val="16"/>
      <w:lang w:eastAsia="en-AU"/>
    </w:rPr>
  </w:style>
  <w:style w:type="paragraph" w:styleId="BodyTextFirstIndent">
    <w:name w:val="Body Text First Indent"/>
    <w:basedOn w:val="BodyText"/>
    <w:link w:val="BodyTextFirstIndentChar"/>
    <w:uiPriority w:val="99"/>
    <w:semiHidden/>
    <w:unhideWhenUsed/>
    <w:rsid w:val="008F238D"/>
    <w:pPr>
      <w:ind w:firstLine="360"/>
    </w:pPr>
  </w:style>
  <w:style w:type="character" w:customStyle="1" w:styleId="BodyTextFirstIndentChar">
    <w:name w:val="Body Text First Indent Char"/>
    <w:basedOn w:val="BodyTextChar"/>
    <w:link w:val="BodyTextFirstIndent"/>
    <w:uiPriority w:val="99"/>
    <w:semiHidden/>
    <w:rsid w:val="008F238D"/>
    <w:rPr>
      <w:rFonts w:ascii="Calibri Light" w:eastAsia="Times New Roman" w:hAnsi="Calibri Light" w:cs="Times New Roman"/>
      <w:szCs w:val="20"/>
      <w:lang w:eastAsia="en-AU"/>
    </w:rPr>
  </w:style>
  <w:style w:type="paragraph" w:styleId="BodyTextIndent">
    <w:name w:val="Body Text Indent"/>
    <w:basedOn w:val="Normal"/>
    <w:link w:val="BodyTextIndentChar"/>
    <w:uiPriority w:val="99"/>
    <w:semiHidden/>
    <w:unhideWhenUsed/>
    <w:rsid w:val="008F238D"/>
    <w:pPr>
      <w:ind w:left="283"/>
    </w:pPr>
  </w:style>
  <w:style w:type="character" w:customStyle="1" w:styleId="BodyTextIndentChar">
    <w:name w:val="Body Text Indent Char"/>
    <w:basedOn w:val="DefaultParagraphFont"/>
    <w:link w:val="BodyTextIndent"/>
    <w:uiPriority w:val="99"/>
    <w:semiHidden/>
    <w:rsid w:val="008F238D"/>
    <w:rPr>
      <w:rFonts w:ascii="Calibri Light" w:eastAsia="Times New Roman" w:hAnsi="Calibri Light" w:cs="Times New Roman"/>
      <w:szCs w:val="20"/>
      <w:lang w:eastAsia="en-AU"/>
    </w:rPr>
  </w:style>
  <w:style w:type="paragraph" w:styleId="BodyTextFirstIndent2">
    <w:name w:val="Body Text First Indent 2"/>
    <w:basedOn w:val="BodyTextIndent"/>
    <w:link w:val="BodyTextFirstIndent2Char"/>
    <w:uiPriority w:val="99"/>
    <w:semiHidden/>
    <w:unhideWhenUsed/>
    <w:rsid w:val="008F238D"/>
    <w:pPr>
      <w:ind w:left="360" w:firstLine="360"/>
    </w:pPr>
  </w:style>
  <w:style w:type="character" w:customStyle="1" w:styleId="BodyTextFirstIndent2Char">
    <w:name w:val="Body Text First Indent 2 Char"/>
    <w:basedOn w:val="BodyTextIndentChar"/>
    <w:link w:val="BodyTextFirstIndent2"/>
    <w:uiPriority w:val="99"/>
    <w:semiHidden/>
    <w:rsid w:val="008F238D"/>
    <w:rPr>
      <w:rFonts w:ascii="Calibri Light" w:eastAsia="Times New Roman" w:hAnsi="Calibri Light" w:cs="Times New Roman"/>
      <w:szCs w:val="20"/>
      <w:lang w:eastAsia="en-AU"/>
    </w:rPr>
  </w:style>
  <w:style w:type="paragraph" w:styleId="BodyTextIndent2">
    <w:name w:val="Body Text Indent 2"/>
    <w:basedOn w:val="Normal"/>
    <w:link w:val="BodyTextIndent2Char"/>
    <w:uiPriority w:val="99"/>
    <w:semiHidden/>
    <w:unhideWhenUsed/>
    <w:rsid w:val="008F238D"/>
    <w:pPr>
      <w:spacing w:line="480" w:lineRule="auto"/>
      <w:ind w:left="283"/>
    </w:pPr>
  </w:style>
  <w:style w:type="character" w:customStyle="1" w:styleId="BodyTextIndent2Char">
    <w:name w:val="Body Text Indent 2 Char"/>
    <w:basedOn w:val="DefaultParagraphFont"/>
    <w:link w:val="BodyTextIndent2"/>
    <w:uiPriority w:val="99"/>
    <w:semiHidden/>
    <w:rsid w:val="008F238D"/>
    <w:rPr>
      <w:rFonts w:ascii="Calibri Light" w:eastAsia="Times New Roman" w:hAnsi="Calibri Light" w:cs="Times New Roman"/>
      <w:szCs w:val="20"/>
      <w:lang w:eastAsia="en-AU"/>
    </w:rPr>
  </w:style>
  <w:style w:type="paragraph" w:styleId="BodyTextIndent3">
    <w:name w:val="Body Text Indent 3"/>
    <w:basedOn w:val="Normal"/>
    <w:link w:val="BodyTextIndent3Char"/>
    <w:uiPriority w:val="99"/>
    <w:semiHidden/>
    <w:unhideWhenUsed/>
    <w:rsid w:val="008F238D"/>
    <w:pPr>
      <w:ind w:left="283"/>
    </w:pPr>
    <w:rPr>
      <w:sz w:val="16"/>
      <w:szCs w:val="16"/>
    </w:rPr>
  </w:style>
  <w:style w:type="character" w:customStyle="1" w:styleId="BodyTextIndent3Char">
    <w:name w:val="Body Text Indent 3 Char"/>
    <w:basedOn w:val="DefaultParagraphFont"/>
    <w:link w:val="BodyTextIndent3"/>
    <w:uiPriority w:val="99"/>
    <w:semiHidden/>
    <w:rsid w:val="008F238D"/>
    <w:rPr>
      <w:rFonts w:ascii="Calibri Light" w:eastAsia="Times New Roman" w:hAnsi="Calibri Light" w:cs="Times New Roman"/>
      <w:sz w:val="16"/>
      <w:szCs w:val="16"/>
      <w:lang w:eastAsia="en-AU"/>
    </w:rPr>
  </w:style>
  <w:style w:type="paragraph" w:styleId="Caption">
    <w:name w:val="caption"/>
    <w:basedOn w:val="Normal"/>
    <w:next w:val="Normal"/>
    <w:uiPriority w:val="35"/>
    <w:semiHidden/>
    <w:unhideWhenUsed/>
    <w:qFormat/>
    <w:rsid w:val="008F238D"/>
    <w:pPr>
      <w:spacing w:before="0" w:after="200"/>
    </w:pPr>
    <w:rPr>
      <w:i/>
      <w:iCs/>
      <w:color w:val="5F5F5F" w:themeColor="text2"/>
      <w:sz w:val="18"/>
      <w:szCs w:val="18"/>
    </w:rPr>
  </w:style>
  <w:style w:type="paragraph" w:styleId="Closing">
    <w:name w:val="Closing"/>
    <w:basedOn w:val="Normal"/>
    <w:link w:val="ClosingChar"/>
    <w:uiPriority w:val="99"/>
    <w:semiHidden/>
    <w:unhideWhenUsed/>
    <w:rsid w:val="008F238D"/>
    <w:pPr>
      <w:spacing w:before="0" w:after="0"/>
      <w:ind w:left="4252"/>
    </w:pPr>
  </w:style>
  <w:style w:type="character" w:customStyle="1" w:styleId="ClosingChar">
    <w:name w:val="Closing Char"/>
    <w:basedOn w:val="DefaultParagraphFont"/>
    <w:link w:val="Closing"/>
    <w:uiPriority w:val="99"/>
    <w:semiHidden/>
    <w:rsid w:val="008F238D"/>
    <w:rPr>
      <w:rFonts w:ascii="Calibri Light" w:eastAsia="Times New Roman" w:hAnsi="Calibri Light" w:cs="Times New Roman"/>
      <w:szCs w:val="20"/>
      <w:lang w:eastAsia="en-AU"/>
    </w:rPr>
  </w:style>
  <w:style w:type="paragraph" w:styleId="Date">
    <w:name w:val="Date"/>
    <w:basedOn w:val="Normal"/>
    <w:next w:val="Normal"/>
    <w:link w:val="DateChar"/>
    <w:uiPriority w:val="99"/>
    <w:semiHidden/>
    <w:unhideWhenUsed/>
    <w:rsid w:val="008F238D"/>
  </w:style>
  <w:style w:type="character" w:customStyle="1" w:styleId="DateChar">
    <w:name w:val="Date Char"/>
    <w:basedOn w:val="DefaultParagraphFont"/>
    <w:link w:val="Date"/>
    <w:uiPriority w:val="99"/>
    <w:semiHidden/>
    <w:rsid w:val="008F238D"/>
    <w:rPr>
      <w:rFonts w:ascii="Calibri Light" w:eastAsia="Times New Roman" w:hAnsi="Calibri Light" w:cs="Times New Roman"/>
      <w:szCs w:val="20"/>
      <w:lang w:eastAsia="en-AU"/>
    </w:rPr>
  </w:style>
  <w:style w:type="paragraph" w:styleId="DocumentMap">
    <w:name w:val="Document Map"/>
    <w:basedOn w:val="Normal"/>
    <w:link w:val="DocumentMapChar"/>
    <w:uiPriority w:val="99"/>
    <w:semiHidden/>
    <w:unhideWhenUsed/>
    <w:rsid w:val="008F238D"/>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F238D"/>
    <w:rPr>
      <w:rFonts w:ascii="Segoe UI" w:eastAsia="Times New Roman" w:hAnsi="Segoe UI" w:cs="Segoe UI"/>
      <w:sz w:val="16"/>
      <w:szCs w:val="16"/>
      <w:lang w:eastAsia="en-AU"/>
    </w:rPr>
  </w:style>
  <w:style w:type="paragraph" w:styleId="E-mailSignature">
    <w:name w:val="E-mail Signature"/>
    <w:basedOn w:val="Normal"/>
    <w:link w:val="E-mailSignatureChar"/>
    <w:uiPriority w:val="99"/>
    <w:semiHidden/>
    <w:unhideWhenUsed/>
    <w:rsid w:val="008F238D"/>
    <w:pPr>
      <w:spacing w:before="0" w:after="0"/>
    </w:pPr>
  </w:style>
  <w:style w:type="character" w:customStyle="1" w:styleId="E-mailSignatureChar">
    <w:name w:val="E-mail Signature Char"/>
    <w:basedOn w:val="DefaultParagraphFont"/>
    <w:link w:val="E-mailSignature"/>
    <w:uiPriority w:val="99"/>
    <w:semiHidden/>
    <w:rsid w:val="008F238D"/>
    <w:rPr>
      <w:rFonts w:ascii="Calibri Light" w:eastAsia="Times New Roman" w:hAnsi="Calibri Light" w:cs="Times New Roman"/>
      <w:szCs w:val="20"/>
      <w:lang w:eastAsia="en-AU"/>
    </w:rPr>
  </w:style>
  <w:style w:type="paragraph" w:styleId="EndnoteText">
    <w:name w:val="endnote text"/>
    <w:basedOn w:val="Normal"/>
    <w:link w:val="EndnoteTextChar"/>
    <w:uiPriority w:val="99"/>
    <w:semiHidden/>
    <w:unhideWhenUsed/>
    <w:rsid w:val="008F238D"/>
    <w:pPr>
      <w:spacing w:before="0" w:after="0"/>
    </w:pPr>
    <w:rPr>
      <w:sz w:val="20"/>
    </w:rPr>
  </w:style>
  <w:style w:type="character" w:customStyle="1" w:styleId="EndnoteTextChar">
    <w:name w:val="Endnote Text Char"/>
    <w:basedOn w:val="DefaultParagraphFont"/>
    <w:link w:val="EndnoteText"/>
    <w:uiPriority w:val="99"/>
    <w:semiHidden/>
    <w:rsid w:val="008F238D"/>
    <w:rPr>
      <w:rFonts w:ascii="Calibri Light" w:eastAsia="Times New Roman" w:hAnsi="Calibri Light" w:cs="Times New Roman"/>
      <w:sz w:val="20"/>
      <w:szCs w:val="20"/>
      <w:lang w:eastAsia="en-AU"/>
    </w:rPr>
  </w:style>
  <w:style w:type="paragraph" w:styleId="EnvelopeAddress">
    <w:name w:val="envelope address"/>
    <w:basedOn w:val="Normal"/>
    <w:uiPriority w:val="99"/>
    <w:semiHidden/>
    <w:unhideWhenUsed/>
    <w:rsid w:val="008F238D"/>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F238D"/>
    <w:pPr>
      <w:spacing w:before="0" w:after="0"/>
    </w:pPr>
    <w:rPr>
      <w:rFonts w:asciiTheme="majorHAnsi" w:eastAsiaTheme="majorEastAsia" w:hAnsiTheme="majorHAnsi" w:cstheme="majorBidi"/>
      <w:sz w:val="20"/>
    </w:rPr>
  </w:style>
  <w:style w:type="character" w:customStyle="1" w:styleId="Heading7Char">
    <w:name w:val="Heading 7 Char"/>
    <w:basedOn w:val="DefaultParagraphFont"/>
    <w:link w:val="Heading7"/>
    <w:uiPriority w:val="9"/>
    <w:semiHidden/>
    <w:rsid w:val="008F238D"/>
    <w:rPr>
      <w:rFonts w:asciiTheme="majorHAnsi" w:eastAsiaTheme="majorEastAsia" w:hAnsiTheme="majorHAnsi" w:cstheme="majorBidi"/>
      <w:i/>
      <w:iCs/>
      <w:color w:val="161B24" w:themeColor="accent1" w:themeShade="7F"/>
      <w:szCs w:val="20"/>
      <w:lang w:eastAsia="en-AU"/>
    </w:rPr>
  </w:style>
  <w:style w:type="character" w:customStyle="1" w:styleId="Heading8Char">
    <w:name w:val="Heading 8 Char"/>
    <w:basedOn w:val="DefaultParagraphFont"/>
    <w:link w:val="Heading8"/>
    <w:uiPriority w:val="9"/>
    <w:semiHidden/>
    <w:rsid w:val="008F238D"/>
    <w:rPr>
      <w:rFonts w:asciiTheme="majorHAnsi" w:eastAsiaTheme="majorEastAsia" w:hAnsiTheme="majorHAnsi" w:cstheme="majorBidi"/>
      <w:color w:val="272727" w:themeColor="text1" w:themeTint="D8"/>
      <w:sz w:val="21"/>
      <w:szCs w:val="21"/>
      <w:lang w:eastAsia="en-AU"/>
    </w:rPr>
  </w:style>
  <w:style w:type="character" w:customStyle="1" w:styleId="Heading9Char">
    <w:name w:val="Heading 9 Char"/>
    <w:basedOn w:val="DefaultParagraphFont"/>
    <w:link w:val="Heading9"/>
    <w:uiPriority w:val="9"/>
    <w:semiHidden/>
    <w:rsid w:val="008F238D"/>
    <w:rPr>
      <w:rFonts w:asciiTheme="majorHAnsi" w:eastAsiaTheme="majorEastAsia" w:hAnsiTheme="majorHAnsi" w:cstheme="majorBidi"/>
      <w:i/>
      <w:iCs/>
      <w:color w:val="272727" w:themeColor="text1" w:themeTint="D8"/>
      <w:sz w:val="21"/>
      <w:szCs w:val="21"/>
      <w:lang w:eastAsia="en-AU"/>
    </w:rPr>
  </w:style>
  <w:style w:type="paragraph" w:styleId="HTMLAddress">
    <w:name w:val="HTML Address"/>
    <w:basedOn w:val="Normal"/>
    <w:link w:val="HTMLAddressChar"/>
    <w:uiPriority w:val="99"/>
    <w:semiHidden/>
    <w:unhideWhenUsed/>
    <w:rsid w:val="008F238D"/>
    <w:pPr>
      <w:spacing w:before="0" w:after="0"/>
    </w:pPr>
    <w:rPr>
      <w:i/>
      <w:iCs/>
    </w:rPr>
  </w:style>
  <w:style w:type="character" w:customStyle="1" w:styleId="HTMLAddressChar">
    <w:name w:val="HTML Address Char"/>
    <w:basedOn w:val="DefaultParagraphFont"/>
    <w:link w:val="HTMLAddress"/>
    <w:uiPriority w:val="99"/>
    <w:semiHidden/>
    <w:rsid w:val="008F238D"/>
    <w:rPr>
      <w:rFonts w:ascii="Calibri Light" w:eastAsia="Times New Roman" w:hAnsi="Calibri Light" w:cs="Times New Roman"/>
      <w:i/>
      <w:iCs/>
      <w:szCs w:val="20"/>
      <w:lang w:eastAsia="en-AU"/>
    </w:rPr>
  </w:style>
  <w:style w:type="paragraph" w:styleId="HTMLPreformatted">
    <w:name w:val="HTML Preformatted"/>
    <w:basedOn w:val="Normal"/>
    <w:link w:val="HTMLPreformattedChar"/>
    <w:uiPriority w:val="99"/>
    <w:semiHidden/>
    <w:unhideWhenUsed/>
    <w:rsid w:val="008F238D"/>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8F238D"/>
    <w:rPr>
      <w:rFonts w:ascii="Consolas" w:eastAsia="Times New Roman" w:hAnsi="Consolas" w:cs="Times New Roman"/>
      <w:sz w:val="20"/>
      <w:szCs w:val="20"/>
      <w:lang w:eastAsia="en-AU"/>
    </w:rPr>
  </w:style>
  <w:style w:type="paragraph" w:styleId="Index1">
    <w:name w:val="index 1"/>
    <w:basedOn w:val="Normal"/>
    <w:next w:val="Normal"/>
    <w:autoRedefine/>
    <w:uiPriority w:val="99"/>
    <w:semiHidden/>
    <w:unhideWhenUsed/>
    <w:rsid w:val="008F238D"/>
    <w:pPr>
      <w:spacing w:before="0" w:after="0"/>
      <w:ind w:left="220" w:hanging="220"/>
    </w:pPr>
  </w:style>
  <w:style w:type="paragraph" w:styleId="Index2">
    <w:name w:val="index 2"/>
    <w:basedOn w:val="Normal"/>
    <w:next w:val="Normal"/>
    <w:autoRedefine/>
    <w:uiPriority w:val="99"/>
    <w:semiHidden/>
    <w:unhideWhenUsed/>
    <w:rsid w:val="008F238D"/>
    <w:pPr>
      <w:spacing w:before="0" w:after="0"/>
      <w:ind w:left="440" w:hanging="220"/>
    </w:pPr>
  </w:style>
  <w:style w:type="paragraph" w:styleId="Index3">
    <w:name w:val="index 3"/>
    <w:basedOn w:val="Normal"/>
    <w:next w:val="Normal"/>
    <w:autoRedefine/>
    <w:uiPriority w:val="99"/>
    <w:semiHidden/>
    <w:unhideWhenUsed/>
    <w:rsid w:val="008F238D"/>
    <w:pPr>
      <w:spacing w:before="0" w:after="0"/>
      <w:ind w:left="660" w:hanging="220"/>
    </w:pPr>
  </w:style>
  <w:style w:type="paragraph" w:styleId="Index4">
    <w:name w:val="index 4"/>
    <w:basedOn w:val="Normal"/>
    <w:next w:val="Normal"/>
    <w:autoRedefine/>
    <w:uiPriority w:val="99"/>
    <w:semiHidden/>
    <w:unhideWhenUsed/>
    <w:rsid w:val="008F238D"/>
    <w:pPr>
      <w:spacing w:before="0" w:after="0"/>
      <w:ind w:left="880" w:hanging="220"/>
    </w:pPr>
  </w:style>
  <w:style w:type="paragraph" w:styleId="Index5">
    <w:name w:val="index 5"/>
    <w:basedOn w:val="Normal"/>
    <w:next w:val="Normal"/>
    <w:autoRedefine/>
    <w:uiPriority w:val="99"/>
    <w:semiHidden/>
    <w:unhideWhenUsed/>
    <w:rsid w:val="008F238D"/>
    <w:pPr>
      <w:spacing w:before="0" w:after="0"/>
      <w:ind w:left="1100" w:hanging="220"/>
    </w:pPr>
  </w:style>
  <w:style w:type="paragraph" w:styleId="Index6">
    <w:name w:val="index 6"/>
    <w:basedOn w:val="Normal"/>
    <w:next w:val="Normal"/>
    <w:autoRedefine/>
    <w:uiPriority w:val="99"/>
    <w:semiHidden/>
    <w:unhideWhenUsed/>
    <w:rsid w:val="008F238D"/>
    <w:pPr>
      <w:spacing w:before="0" w:after="0"/>
      <w:ind w:left="1320" w:hanging="220"/>
    </w:pPr>
  </w:style>
  <w:style w:type="paragraph" w:styleId="Index7">
    <w:name w:val="index 7"/>
    <w:basedOn w:val="Normal"/>
    <w:next w:val="Normal"/>
    <w:autoRedefine/>
    <w:uiPriority w:val="99"/>
    <w:semiHidden/>
    <w:unhideWhenUsed/>
    <w:rsid w:val="008F238D"/>
    <w:pPr>
      <w:spacing w:before="0" w:after="0"/>
      <w:ind w:left="1540" w:hanging="220"/>
    </w:pPr>
  </w:style>
  <w:style w:type="paragraph" w:styleId="Index8">
    <w:name w:val="index 8"/>
    <w:basedOn w:val="Normal"/>
    <w:next w:val="Normal"/>
    <w:autoRedefine/>
    <w:uiPriority w:val="99"/>
    <w:semiHidden/>
    <w:unhideWhenUsed/>
    <w:rsid w:val="008F238D"/>
    <w:pPr>
      <w:spacing w:before="0" w:after="0"/>
      <w:ind w:left="1760" w:hanging="220"/>
    </w:pPr>
  </w:style>
  <w:style w:type="paragraph" w:styleId="Index9">
    <w:name w:val="index 9"/>
    <w:basedOn w:val="Normal"/>
    <w:next w:val="Normal"/>
    <w:autoRedefine/>
    <w:uiPriority w:val="99"/>
    <w:semiHidden/>
    <w:unhideWhenUsed/>
    <w:rsid w:val="008F238D"/>
    <w:pPr>
      <w:spacing w:before="0" w:after="0"/>
      <w:ind w:left="1980" w:hanging="220"/>
    </w:pPr>
  </w:style>
  <w:style w:type="paragraph" w:styleId="IndexHeading">
    <w:name w:val="index heading"/>
    <w:basedOn w:val="Normal"/>
    <w:next w:val="Index1"/>
    <w:uiPriority w:val="99"/>
    <w:semiHidden/>
    <w:unhideWhenUsed/>
    <w:rsid w:val="008F238D"/>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8F238D"/>
    <w:pPr>
      <w:pBdr>
        <w:top w:val="single" w:sz="4" w:space="10" w:color="2C384A" w:themeColor="accent1"/>
        <w:bottom w:val="single" w:sz="4" w:space="10" w:color="2C384A" w:themeColor="accent1"/>
      </w:pBdr>
      <w:spacing w:before="360" w:after="360"/>
      <w:ind w:left="864" w:right="864"/>
      <w:jc w:val="center"/>
    </w:pPr>
    <w:rPr>
      <w:i/>
      <w:iCs/>
      <w:color w:val="2C384A" w:themeColor="accent1"/>
    </w:rPr>
  </w:style>
  <w:style w:type="character" w:customStyle="1" w:styleId="IntenseQuoteChar">
    <w:name w:val="Intense Quote Char"/>
    <w:basedOn w:val="DefaultParagraphFont"/>
    <w:link w:val="IntenseQuote"/>
    <w:uiPriority w:val="30"/>
    <w:rsid w:val="008F238D"/>
    <w:rPr>
      <w:rFonts w:ascii="Calibri Light" w:eastAsia="Times New Roman" w:hAnsi="Calibri Light" w:cs="Times New Roman"/>
      <w:i/>
      <w:iCs/>
      <w:color w:val="2C384A" w:themeColor="accent1"/>
      <w:szCs w:val="20"/>
      <w:lang w:eastAsia="en-AU"/>
    </w:rPr>
  </w:style>
  <w:style w:type="paragraph" w:styleId="List">
    <w:name w:val="List"/>
    <w:basedOn w:val="Normal"/>
    <w:uiPriority w:val="99"/>
    <w:semiHidden/>
    <w:unhideWhenUsed/>
    <w:rsid w:val="008F238D"/>
    <w:pPr>
      <w:ind w:left="283" w:hanging="283"/>
      <w:contextualSpacing/>
    </w:pPr>
  </w:style>
  <w:style w:type="paragraph" w:styleId="List2">
    <w:name w:val="List 2"/>
    <w:basedOn w:val="Normal"/>
    <w:uiPriority w:val="99"/>
    <w:semiHidden/>
    <w:unhideWhenUsed/>
    <w:rsid w:val="008F238D"/>
    <w:pPr>
      <w:ind w:left="566" w:hanging="283"/>
      <w:contextualSpacing/>
    </w:pPr>
  </w:style>
  <w:style w:type="paragraph" w:styleId="List3">
    <w:name w:val="List 3"/>
    <w:basedOn w:val="Normal"/>
    <w:uiPriority w:val="99"/>
    <w:semiHidden/>
    <w:unhideWhenUsed/>
    <w:rsid w:val="008F238D"/>
    <w:pPr>
      <w:ind w:left="849" w:hanging="283"/>
      <w:contextualSpacing/>
    </w:pPr>
  </w:style>
  <w:style w:type="paragraph" w:styleId="List4">
    <w:name w:val="List 4"/>
    <w:basedOn w:val="Normal"/>
    <w:uiPriority w:val="99"/>
    <w:semiHidden/>
    <w:unhideWhenUsed/>
    <w:rsid w:val="008F238D"/>
    <w:pPr>
      <w:ind w:left="1132" w:hanging="283"/>
      <w:contextualSpacing/>
    </w:pPr>
  </w:style>
  <w:style w:type="paragraph" w:styleId="List5">
    <w:name w:val="List 5"/>
    <w:basedOn w:val="Normal"/>
    <w:uiPriority w:val="99"/>
    <w:semiHidden/>
    <w:unhideWhenUsed/>
    <w:rsid w:val="008F238D"/>
    <w:pPr>
      <w:ind w:left="1415" w:hanging="283"/>
      <w:contextualSpacing/>
    </w:pPr>
  </w:style>
  <w:style w:type="paragraph" w:styleId="ListBullet">
    <w:name w:val="List Bullet"/>
    <w:basedOn w:val="Normal"/>
    <w:uiPriority w:val="99"/>
    <w:semiHidden/>
    <w:unhideWhenUsed/>
    <w:rsid w:val="008F238D"/>
    <w:pPr>
      <w:numPr>
        <w:numId w:val="15"/>
      </w:numPr>
      <w:contextualSpacing/>
    </w:pPr>
  </w:style>
  <w:style w:type="paragraph" w:styleId="ListBullet2">
    <w:name w:val="List Bullet 2"/>
    <w:basedOn w:val="Normal"/>
    <w:uiPriority w:val="99"/>
    <w:semiHidden/>
    <w:unhideWhenUsed/>
    <w:rsid w:val="008F238D"/>
    <w:pPr>
      <w:numPr>
        <w:numId w:val="16"/>
      </w:numPr>
      <w:contextualSpacing/>
    </w:pPr>
  </w:style>
  <w:style w:type="paragraph" w:styleId="ListBullet3">
    <w:name w:val="List Bullet 3"/>
    <w:basedOn w:val="Normal"/>
    <w:uiPriority w:val="99"/>
    <w:semiHidden/>
    <w:unhideWhenUsed/>
    <w:rsid w:val="008F238D"/>
    <w:pPr>
      <w:numPr>
        <w:numId w:val="17"/>
      </w:numPr>
      <w:contextualSpacing/>
    </w:pPr>
  </w:style>
  <w:style w:type="paragraph" w:styleId="ListBullet4">
    <w:name w:val="List Bullet 4"/>
    <w:basedOn w:val="Normal"/>
    <w:uiPriority w:val="99"/>
    <w:semiHidden/>
    <w:unhideWhenUsed/>
    <w:rsid w:val="008F238D"/>
    <w:pPr>
      <w:numPr>
        <w:numId w:val="18"/>
      </w:numPr>
      <w:contextualSpacing/>
    </w:pPr>
  </w:style>
  <w:style w:type="paragraph" w:styleId="ListBullet5">
    <w:name w:val="List Bullet 5"/>
    <w:basedOn w:val="Normal"/>
    <w:uiPriority w:val="99"/>
    <w:semiHidden/>
    <w:unhideWhenUsed/>
    <w:rsid w:val="008F238D"/>
    <w:pPr>
      <w:numPr>
        <w:numId w:val="19"/>
      </w:numPr>
      <w:contextualSpacing/>
    </w:pPr>
  </w:style>
  <w:style w:type="paragraph" w:styleId="ListContinue">
    <w:name w:val="List Continue"/>
    <w:basedOn w:val="Normal"/>
    <w:uiPriority w:val="99"/>
    <w:semiHidden/>
    <w:unhideWhenUsed/>
    <w:rsid w:val="008F238D"/>
    <w:pPr>
      <w:ind w:left="283"/>
      <w:contextualSpacing/>
    </w:pPr>
  </w:style>
  <w:style w:type="paragraph" w:styleId="ListContinue2">
    <w:name w:val="List Continue 2"/>
    <w:basedOn w:val="Normal"/>
    <w:uiPriority w:val="99"/>
    <w:semiHidden/>
    <w:unhideWhenUsed/>
    <w:rsid w:val="008F238D"/>
    <w:pPr>
      <w:ind w:left="566"/>
      <w:contextualSpacing/>
    </w:pPr>
  </w:style>
  <w:style w:type="paragraph" w:styleId="ListContinue3">
    <w:name w:val="List Continue 3"/>
    <w:basedOn w:val="Normal"/>
    <w:uiPriority w:val="99"/>
    <w:semiHidden/>
    <w:unhideWhenUsed/>
    <w:rsid w:val="008F238D"/>
    <w:pPr>
      <w:ind w:left="849"/>
      <w:contextualSpacing/>
    </w:pPr>
  </w:style>
  <w:style w:type="paragraph" w:styleId="ListContinue4">
    <w:name w:val="List Continue 4"/>
    <w:basedOn w:val="Normal"/>
    <w:uiPriority w:val="99"/>
    <w:semiHidden/>
    <w:unhideWhenUsed/>
    <w:rsid w:val="008F238D"/>
    <w:pPr>
      <w:ind w:left="1132"/>
      <w:contextualSpacing/>
    </w:pPr>
  </w:style>
  <w:style w:type="paragraph" w:styleId="ListContinue5">
    <w:name w:val="List Continue 5"/>
    <w:basedOn w:val="Normal"/>
    <w:uiPriority w:val="99"/>
    <w:semiHidden/>
    <w:unhideWhenUsed/>
    <w:rsid w:val="008F238D"/>
    <w:pPr>
      <w:ind w:left="1415"/>
      <w:contextualSpacing/>
    </w:pPr>
  </w:style>
  <w:style w:type="paragraph" w:styleId="ListNumber">
    <w:name w:val="List Number"/>
    <w:basedOn w:val="Normal"/>
    <w:uiPriority w:val="99"/>
    <w:semiHidden/>
    <w:unhideWhenUsed/>
    <w:rsid w:val="008F238D"/>
    <w:pPr>
      <w:numPr>
        <w:numId w:val="20"/>
      </w:numPr>
      <w:contextualSpacing/>
    </w:pPr>
  </w:style>
  <w:style w:type="paragraph" w:styleId="ListNumber2">
    <w:name w:val="List Number 2"/>
    <w:basedOn w:val="Normal"/>
    <w:uiPriority w:val="99"/>
    <w:semiHidden/>
    <w:unhideWhenUsed/>
    <w:rsid w:val="008F238D"/>
    <w:pPr>
      <w:numPr>
        <w:numId w:val="21"/>
      </w:numPr>
      <w:contextualSpacing/>
    </w:pPr>
  </w:style>
  <w:style w:type="paragraph" w:styleId="ListNumber3">
    <w:name w:val="List Number 3"/>
    <w:basedOn w:val="Normal"/>
    <w:uiPriority w:val="99"/>
    <w:semiHidden/>
    <w:unhideWhenUsed/>
    <w:rsid w:val="008F238D"/>
    <w:pPr>
      <w:numPr>
        <w:numId w:val="22"/>
      </w:numPr>
      <w:contextualSpacing/>
    </w:pPr>
  </w:style>
  <w:style w:type="paragraph" w:styleId="ListNumber4">
    <w:name w:val="List Number 4"/>
    <w:basedOn w:val="Normal"/>
    <w:uiPriority w:val="99"/>
    <w:semiHidden/>
    <w:unhideWhenUsed/>
    <w:rsid w:val="008F238D"/>
    <w:pPr>
      <w:numPr>
        <w:numId w:val="23"/>
      </w:numPr>
      <w:contextualSpacing/>
    </w:pPr>
  </w:style>
  <w:style w:type="paragraph" w:styleId="ListNumber5">
    <w:name w:val="List Number 5"/>
    <w:basedOn w:val="Normal"/>
    <w:uiPriority w:val="99"/>
    <w:semiHidden/>
    <w:unhideWhenUsed/>
    <w:rsid w:val="008F238D"/>
    <w:pPr>
      <w:numPr>
        <w:numId w:val="24"/>
      </w:numPr>
      <w:contextualSpacing/>
    </w:pPr>
  </w:style>
  <w:style w:type="paragraph" w:styleId="MacroText">
    <w:name w:val="macro"/>
    <w:link w:val="MacroTextChar"/>
    <w:uiPriority w:val="99"/>
    <w:semiHidden/>
    <w:unhideWhenUsed/>
    <w:rsid w:val="008F238D"/>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Times New Roman" w:hAnsi="Consolas" w:cs="Times New Roman"/>
      <w:sz w:val="20"/>
      <w:szCs w:val="20"/>
      <w:lang w:eastAsia="en-AU"/>
    </w:rPr>
  </w:style>
  <w:style w:type="character" w:customStyle="1" w:styleId="MacroTextChar">
    <w:name w:val="Macro Text Char"/>
    <w:basedOn w:val="DefaultParagraphFont"/>
    <w:link w:val="MacroText"/>
    <w:uiPriority w:val="99"/>
    <w:semiHidden/>
    <w:rsid w:val="008F238D"/>
    <w:rPr>
      <w:rFonts w:ascii="Consolas" w:eastAsia="Times New Roman" w:hAnsi="Consolas" w:cs="Times New Roman"/>
      <w:sz w:val="20"/>
      <w:szCs w:val="20"/>
      <w:lang w:eastAsia="en-AU"/>
    </w:rPr>
  </w:style>
  <w:style w:type="paragraph" w:styleId="MessageHeader">
    <w:name w:val="Message Header"/>
    <w:basedOn w:val="Normal"/>
    <w:link w:val="MessageHeaderChar"/>
    <w:uiPriority w:val="99"/>
    <w:semiHidden/>
    <w:unhideWhenUsed/>
    <w:rsid w:val="008F238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F238D"/>
    <w:rPr>
      <w:rFonts w:asciiTheme="majorHAnsi" w:eastAsiaTheme="majorEastAsia" w:hAnsiTheme="majorHAnsi" w:cstheme="majorBidi"/>
      <w:sz w:val="24"/>
      <w:szCs w:val="24"/>
      <w:shd w:val="pct20" w:color="auto" w:fill="auto"/>
      <w:lang w:eastAsia="en-AU"/>
    </w:rPr>
  </w:style>
  <w:style w:type="paragraph" w:styleId="NoSpacing">
    <w:name w:val="No Spacing"/>
    <w:uiPriority w:val="1"/>
    <w:rsid w:val="008F238D"/>
    <w:pPr>
      <w:spacing w:after="0" w:line="240" w:lineRule="auto"/>
    </w:pPr>
    <w:rPr>
      <w:rFonts w:ascii="Calibri Light" w:eastAsia="Times New Roman" w:hAnsi="Calibri Light" w:cs="Times New Roman"/>
      <w:szCs w:val="20"/>
      <w:lang w:eastAsia="en-AU"/>
    </w:rPr>
  </w:style>
  <w:style w:type="paragraph" w:styleId="NormalIndent">
    <w:name w:val="Normal Indent"/>
    <w:basedOn w:val="Normal"/>
    <w:uiPriority w:val="99"/>
    <w:semiHidden/>
    <w:unhideWhenUsed/>
    <w:rsid w:val="008F238D"/>
    <w:pPr>
      <w:ind w:left="720"/>
    </w:pPr>
  </w:style>
  <w:style w:type="paragraph" w:styleId="NoteHeading">
    <w:name w:val="Note Heading"/>
    <w:basedOn w:val="Normal"/>
    <w:next w:val="Normal"/>
    <w:link w:val="NoteHeadingChar"/>
    <w:uiPriority w:val="99"/>
    <w:semiHidden/>
    <w:unhideWhenUsed/>
    <w:rsid w:val="008F238D"/>
    <w:pPr>
      <w:spacing w:before="0" w:after="0"/>
    </w:pPr>
  </w:style>
  <w:style w:type="character" w:customStyle="1" w:styleId="NoteHeadingChar">
    <w:name w:val="Note Heading Char"/>
    <w:basedOn w:val="DefaultParagraphFont"/>
    <w:link w:val="NoteHeading"/>
    <w:uiPriority w:val="99"/>
    <w:semiHidden/>
    <w:rsid w:val="008F238D"/>
    <w:rPr>
      <w:rFonts w:ascii="Calibri Light" w:eastAsia="Times New Roman" w:hAnsi="Calibri Light" w:cs="Times New Roman"/>
      <w:szCs w:val="20"/>
      <w:lang w:eastAsia="en-AU"/>
    </w:rPr>
  </w:style>
  <w:style w:type="paragraph" w:styleId="PlainText">
    <w:name w:val="Plain Text"/>
    <w:basedOn w:val="Normal"/>
    <w:link w:val="PlainTextChar"/>
    <w:uiPriority w:val="99"/>
    <w:semiHidden/>
    <w:unhideWhenUsed/>
    <w:rsid w:val="008F238D"/>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8F238D"/>
    <w:rPr>
      <w:rFonts w:ascii="Consolas" w:eastAsia="Times New Roman" w:hAnsi="Consolas" w:cs="Times New Roman"/>
      <w:sz w:val="21"/>
      <w:szCs w:val="21"/>
      <w:lang w:eastAsia="en-AU"/>
    </w:rPr>
  </w:style>
  <w:style w:type="paragraph" w:styleId="Quote">
    <w:name w:val="Quote"/>
    <w:basedOn w:val="Normal"/>
    <w:next w:val="Normal"/>
    <w:link w:val="QuoteChar"/>
    <w:uiPriority w:val="29"/>
    <w:rsid w:val="008F238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F238D"/>
    <w:rPr>
      <w:rFonts w:ascii="Calibri Light" w:eastAsia="Times New Roman" w:hAnsi="Calibri Light" w:cs="Times New Roman"/>
      <w:i/>
      <w:iCs/>
      <w:color w:val="404040" w:themeColor="text1" w:themeTint="BF"/>
      <w:szCs w:val="20"/>
      <w:lang w:eastAsia="en-AU"/>
    </w:rPr>
  </w:style>
  <w:style w:type="paragraph" w:styleId="Salutation">
    <w:name w:val="Salutation"/>
    <w:basedOn w:val="Normal"/>
    <w:next w:val="Normal"/>
    <w:link w:val="SalutationChar"/>
    <w:uiPriority w:val="99"/>
    <w:semiHidden/>
    <w:unhideWhenUsed/>
    <w:rsid w:val="008F238D"/>
  </w:style>
  <w:style w:type="character" w:customStyle="1" w:styleId="SalutationChar">
    <w:name w:val="Salutation Char"/>
    <w:basedOn w:val="DefaultParagraphFont"/>
    <w:link w:val="Salutation"/>
    <w:uiPriority w:val="99"/>
    <w:semiHidden/>
    <w:rsid w:val="008F238D"/>
    <w:rPr>
      <w:rFonts w:ascii="Calibri Light" w:eastAsia="Times New Roman" w:hAnsi="Calibri Light" w:cs="Times New Roman"/>
      <w:szCs w:val="20"/>
      <w:lang w:eastAsia="en-AU"/>
    </w:rPr>
  </w:style>
  <w:style w:type="paragraph" w:styleId="Signature">
    <w:name w:val="Signature"/>
    <w:basedOn w:val="Normal"/>
    <w:link w:val="SignatureChar"/>
    <w:uiPriority w:val="99"/>
    <w:semiHidden/>
    <w:unhideWhenUsed/>
    <w:rsid w:val="008F238D"/>
    <w:pPr>
      <w:spacing w:before="0" w:after="0"/>
      <w:ind w:left="4252"/>
    </w:pPr>
  </w:style>
  <w:style w:type="character" w:customStyle="1" w:styleId="SignatureChar">
    <w:name w:val="Signature Char"/>
    <w:basedOn w:val="DefaultParagraphFont"/>
    <w:link w:val="Signature"/>
    <w:uiPriority w:val="99"/>
    <w:semiHidden/>
    <w:rsid w:val="008F238D"/>
    <w:rPr>
      <w:rFonts w:ascii="Calibri Light" w:eastAsia="Times New Roman" w:hAnsi="Calibri Light" w:cs="Times New Roman"/>
      <w:szCs w:val="20"/>
      <w:lang w:eastAsia="en-AU"/>
    </w:rPr>
  </w:style>
  <w:style w:type="paragraph" w:styleId="TableofAuthorities">
    <w:name w:val="table of authorities"/>
    <w:basedOn w:val="Normal"/>
    <w:next w:val="Normal"/>
    <w:uiPriority w:val="99"/>
    <w:semiHidden/>
    <w:unhideWhenUsed/>
    <w:rsid w:val="008F238D"/>
    <w:pPr>
      <w:spacing w:after="0"/>
      <w:ind w:left="220" w:hanging="220"/>
    </w:pPr>
  </w:style>
  <w:style w:type="paragraph" w:styleId="TableofFigures">
    <w:name w:val="table of figures"/>
    <w:basedOn w:val="Normal"/>
    <w:next w:val="Normal"/>
    <w:uiPriority w:val="99"/>
    <w:semiHidden/>
    <w:unhideWhenUsed/>
    <w:rsid w:val="008F238D"/>
    <w:pPr>
      <w:spacing w:after="0"/>
    </w:pPr>
  </w:style>
  <w:style w:type="paragraph" w:styleId="TOAHeading">
    <w:name w:val="toa heading"/>
    <w:basedOn w:val="Normal"/>
    <w:next w:val="Normal"/>
    <w:uiPriority w:val="99"/>
    <w:semiHidden/>
    <w:unhideWhenUsed/>
    <w:rsid w:val="008F238D"/>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8F238D"/>
    <w:pPr>
      <w:spacing w:after="100"/>
      <w:ind w:left="660"/>
    </w:pPr>
  </w:style>
  <w:style w:type="paragraph" w:styleId="TOC5">
    <w:name w:val="toc 5"/>
    <w:basedOn w:val="Normal"/>
    <w:next w:val="Normal"/>
    <w:autoRedefine/>
    <w:uiPriority w:val="39"/>
    <w:semiHidden/>
    <w:unhideWhenUsed/>
    <w:rsid w:val="008F238D"/>
    <w:pPr>
      <w:spacing w:after="100"/>
      <w:ind w:left="880"/>
    </w:pPr>
  </w:style>
  <w:style w:type="paragraph" w:styleId="TOC6">
    <w:name w:val="toc 6"/>
    <w:basedOn w:val="Normal"/>
    <w:next w:val="Normal"/>
    <w:autoRedefine/>
    <w:uiPriority w:val="39"/>
    <w:semiHidden/>
    <w:unhideWhenUsed/>
    <w:rsid w:val="008F238D"/>
    <w:pPr>
      <w:spacing w:after="100"/>
      <w:ind w:left="1100"/>
    </w:pPr>
  </w:style>
  <w:style w:type="paragraph" w:styleId="TOC7">
    <w:name w:val="toc 7"/>
    <w:basedOn w:val="Normal"/>
    <w:next w:val="Normal"/>
    <w:autoRedefine/>
    <w:uiPriority w:val="39"/>
    <w:semiHidden/>
    <w:unhideWhenUsed/>
    <w:rsid w:val="008F238D"/>
    <w:pPr>
      <w:spacing w:after="100"/>
      <w:ind w:left="1320"/>
    </w:pPr>
  </w:style>
  <w:style w:type="paragraph" w:styleId="TOC8">
    <w:name w:val="toc 8"/>
    <w:basedOn w:val="Normal"/>
    <w:next w:val="Normal"/>
    <w:autoRedefine/>
    <w:uiPriority w:val="39"/>
    <w:semiHidden/>
    <w:unhideWhenUsed/>
    <w:rsid w:val="008F238D"/>
    <w:pPr>
      <w:spacing w:after="100"/>
      <w:ind w:left="1540"/>
    </w:pPr>
  </w:style>
  <w:style w:type="paragraph" w:styleId="TOC9">
    <w:name w:val="toc 9"/>
    <w:basedOn w:val="Normal"/>
    <w:next w:val="Normal"/>
    <w:autoRedefine/>
    <w:uiPriority w:val="39"/>
    <w:semiHidden/>
    <w:unhideWhenUsed/>
    <w:rsid w:val="008F238D"/>
    <w:pPr>
      <w:spacing w:after="100"/>
      <w:ind w:left="1760"/>
    </w:pPr>
  </w:style>
  <w:style w:type="paragraph" w:styleId="TOCHeading">
    <w:name w:val="TOC Heading"/>
    <w:basedOn w:val="Heading1"/>
    <w:next w:val="Normal"/>
    <w:uiPriority w:val="39"/>
    <w:semiHidden/>
    <w:unhideWhenUsed/>
    <w:qFormat/>
    <w:rsid w:val="008F238D"/>
    <w:pPr>
      <w:keepLines/>
      <w:spacing w:before="240" w:after="0" w:line="240" w:lineRule="auto"/>
      <w:outlineLvl w:val="9"/>
    </w:pPr>
    <w:rPr>
      <w:rFonts w:asciiTheme="majorHAnsi" w:eastAsiaTheme="majorEastAsia" w:hAnsiTheme="majorHAnsi" w:cstheme="majorBidi"/>
      <w:b w:val="0"/>
      <w:color w:val="212937"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26595">
      <w:bodyDiv w:val="1"/>
      <w:marLeft w:val="0"/>
      <w:marRight w:val="0"/>
      <w:marTop w:val="0"/>
      <w:marBottom w:val="0"/>
      <w:divBdr>
        <w:top w:val="none" w:sz="0" w:space="0" w:color="auto"/>
        <w:left w:val="none" w:sz="0" w:space="0" w:color="auto"/>
        <w:bottom w:val="none" w:sz="0" w:space="0" w:color="auto"/>
        <w:right w:val="none" w:sz="0" w:space="0" w:color="auto"/>
      </w:divBdr>
    </w:div>
    <w:div w:id="202834154">
      <w:bodyDiv w:val="1"/>
      <w:marLeft w:val="0"/>
      <w:marRight w:val="0"/>
      <w:marTop w:val="0"/>
      <w:marBottom w:val="0"/>
      <w:divBdr>
        <w:top w:val="none" w:sz="0" w:space="0" w:color="auto"/>
        <w:left w:val="none" w:sz="0" w:space="0" w:color="auto"/>
        <w:bottom w:val="none" w:sz="0" w:space="0" w:color="auto"/>
        <w:right w:val="none" w:sz="0" w:space="0" w:color="auto"/>
      </w:divBdr>
    </w:div>
    <w:div w:id="253128311">
      <w:bodyDiv w:val="1"/>
      <w:marLeft w:val="0"/>
      <w:marRight w:val="0"/>
      <w:marTop w:val="0"/>
      <w:marBottom w:val="0"/>
      <w:divBdr>
        <w:top w:val="none" w:sz="0" w:space="0" w:color="auto"/>
        <w:left w:val="none" w:sz="0" w:space="0" w:color="auto"/>
        <w:bottom w:val="none" w:sz="0" w:space="0" w:color="auto"/>
        <w:right w:val="none" w:sz="0" w:space="0" w:color="auto"/>
      </w:divBdr>
    </w:div>
    <w:div w:id="354573940">
      <w:bodyDiv w:val="1"/>
      <w:marLeft w:val="0"/>
      <w:marRight w:val="0"/>
      <w:marTop w:val="0"/>
      <w:marBottom w:val="0"/>
      <w:divBdr>
        <w:top w:val="none" w:sz="0" w:space="0" w:color="auto"/>
        <w:left w:val="none" w:sz="0" w:space="0" w:color="auto"/>
        <w:bottom w:val="none" w:sz="0" w:space="0" w:color="auto"/>
        <w:right w:val="none" w:sz="0" w:space="0" w:color="auto"/>
      </w:divBdr>
    </w:div>
    <w:div w:id="396711555">
      <w:bodyDiv w:val="1"/>
      <w:marLeft w:val="0"/>
      <w:marRight w:val="0"/>
      <w:marTop w:val="0"/>
      <w:marBottom w:val="0"/>
      <w:divBdr>
        <w:top w:val="none" w:sz="0" w:space="0" w:color="auto"/>
        <w:left w:val="none" w:sz="0" w:space="0" w:color="auto"/>
        <w:bottom w:val="none" w:sz="0" w:space="0" w:color="auto"/>
        <w:right w:val="none" w:sz="0" w:space="0" w:color="auto"/>
      </w:divBdr>
      <w:divsChild>
        <w:div w:id="1771003463">
          <w:marLeft w:val="0"/>
          <w:marRight w:val="0"/>
          <w:marTop w:val="0"/>
          <w:marBottom w:val="0"/>
          <w:divBdr>
            <w:top w:val="none" w:sz="0" w:space="0" w:color="auto"/>
            <w:left w:val="none" w:sz="0" w:space="0" w:color="auto"/>
            <w:bottom w:val="none" w:sz="0" w:space="0" w:color="auto"/>
            <w:right w:val="none" w:sz="0" w:space="0" w:color="auto"/>
          </w:divBdr>
        </w:div>
      </w:divsChild>
    </w:div>
    <w:div w:id="437919671">
      <w:bodyDiv w:val="1"/>
      <w:marLeft w:val="0"/>
      <w:marRight w:val="0"/>
      <w:marTop w:val="0"/>
      <w:marBottom w:val="0"/>
      <w:divBdr>
        <w:top w:val="none" w:sz="0" w:space="0" w:color="auto"/>
        <w:left w:val="none" w:sz="0" w:space="0" w:color="auto"/>
        <w:bottom w:val="none" w:sz="0" w:space="0" w:color="auto"/>
        <w:right w:val="none" w:sz="0" w:space="0" w:color="auto"/>
      </w:divBdr>
    </w:div>
    <w:div w:id="840699553">
      <w:bodyDiv w:val="1"/>
      <w:marLeft w:val="0"/>
      <w:marRight w:val="0"/>
      <w:marTop w:val="0"/>
      <w:marBottom w:val="0"/>
      <w:divBdr>
        <w:top w:val="none" w:sz="0" w:space="0" w:color="auto"/>
        <w:left w:val="none" w:sz="0" w:space="0" w:color="auto"/>
        <w:bottom w:val="none" w:sz="0" w:space="0" w:color="auto"/>
        <w:right w:val="none" w:sz="0" w:space="0" w:color="auto"/>
      </w:divBdr>
    </w:div>
    <w:div w:id="904991016">
      <w:bodyDiv w:val="1"/>
      <w:marLeft w:val="0"/>
      <w:marRight w:val="0"/>
      <w:marTop w:val="0"/>
      <w:marBottom w:val="0"/>
      <w:divBdr>
        <w:top w:val="none" w:sz="0" w:space="0" w:color="auto"/>
        <w:left w:val="none" w:sz="0" w:space="0" w:color="auto"/>
        <w:bottom w:val="none" w:sz="0" w:space="0" w:color="auto"/>
        <w:right w:val="none" w:sz="0" w:space="0" w:color="auto"/>
      </w:divBdr>
    </w:div>
    <w:div w:id="911738518">
      <w:bodyDiv w:val="1"/>
      <w:marLeft w:val="0"/>
      <w:marRight w:val="0"/>
      <w:marTop w:val="0"/>
      <w:marBottom w:val="0"/>
      <w:divBdr>
        <w:top w:val="none" w:sz="0" w:space="0" w:color="auto"/>
        <w:left w:val="none" w:sz="0" w:space="0" w:color="auto"/>
        <w:bottom w:val="none" w:sz="0" w:space="0" w:color="auto"/>
        <w:right w:val="none" w:sz="0" w:space="0" w:color="auto"/>
      </w:divBdr>
    </w:div>
    <w:div w:id="927542883">
      <w:bodyDiv w:val="1"/>
      <w:marLeft w:val="0"/>
      <w:marRight w:val="0"/>
      <w:marTop w:val="0"/>
      <w:marBottom w:val="0"/>
      <w:divBdr>
        <w:top w:val="none" w:sz="0" w:space="0" w:color="auto"/>
        <w:left w:val="none" w:sz="0" w:space="0" w:color="auto"/>
        <w:bottom w:val="none" w:sz="0" w:space="0" w:color="auto"/>
        <w:right w:val="none" w:sz="0" w:space="0" w:color="auto"/>
      </w:divBdr>
      <w:divsChild>
        <w:div w:id="686710023">
          <w:marLeft w:val="0"/>
          <w:marRight w:val="0"/>
          <w:marTop w:val="0"/>
          <w:marBottom w:val="0"/>
          <w:divBdr>
            <w:top w:val="none" w:sz="0" w:space="0" w:color="auto"/>
            <w:left w:val="none" w:sz="0" w:space="0" w:color="auto"/>
            <w:bottom w:val="none" w:sz="0" w:space="0" w:color="auto"/>
            <w:right w:val="none" w:sz="0" w:space="0" w:color="auto"/>
          </w:divBdr>
          <w:divsChild>
            <w:div w:id="1688872967">
              <w:marLeft w:val="0"/>
              <w:marRight w:val="0"/>
              <w:marTop w:val="0"/>
              <w:marBottom w:val="0"/>
              <w:divBdr>
                <w:top w:val="none" w:sz="0" w:space="0" w:color="auto"/>
                <w:left w:val="none" w:sz="0" w:space="0" w:color="auto"/>
                <w:bottom w:val="none" w:sz="0" w:space="0" w:color="auto"/>
                <w:right w:val="none" w:sz="0" w:space="0" w:color="auto"/>
              </w:divBdr>
              <w:divsChild>
                <w:div w:id="74456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846497">
      <w:bodyDiv w:val="1"/>
      <w:marLeft w:val="0"/>
      <w:marRight w:val="0"/>
      <w:marTop w:val="0"/>
      <w:marBottom w:val="0"/>
      <w:divBdr>
        <w:top w:val="none" w:sz="0" w:space="0" w:color="auto"/>
        <w:left w:val="none" w:sz="0" w:space="0" w:color="auto"/>
        <w:bottom w:val="none" w:sz="0" w:space="0" w:color="auto"/>
        <w:right w:val="none" w:sz="0" w:space="0" w:color="auto"/>
      </w:divBdr>
    </w:div>
    <w:div w:id="1237475127">
      <w:bodyDiv w:val="1"/>
      <w:marLeft w:val="0"/>
      <w:marRight w:val="0"/>
      <w:marTop w:val="0"/>
      <w:marBottom w:val="0"/>
      <w:divBdr>
        <w:top w:val="none" w:sz="0" w:space="0" w:color="auto"/>
        <w:left w:val="none" w:sz="0" w:space="0" w:color="auto"/>
        <w:bottom w:val="none" w:sz="0" w:space="0" w:color="auto"/>
        <w:right w:val="none" w:sz="0" w:space="0" w:color="auto"/>
      </w:divBdr>
    </w:div>
    <w:div w:id="1294825119">
      <w:bodyDiv w:val="1"/>
      <w:marLeft w:val="0"/>
      <w:marRight w:val="0"/>
      <w:marTop w:val="0"/>
      <w:marBottom w:val="0"/>
      <w:divBdr>
        <w:top w:val="none" w:sz="0" w:space="0" w:color="auto"/>
        <w:left w:val="none" w:sz="0" w:space="0" w:color="auto"/>
        <w:bottom w:val="none" w:sz="0" w:space="0" w:color="auto"/>
        <w:right w:val="none" w:sz="0" w:space="0" w:color="auto"/>
      </w:divBdr>
    </w:div>
    <w:div w:id="1300108720">
      <w:bodyDiv w:val="1"/>
      <w:marLeft w:val="0"/>
      <w:marRight w:val="0"/>
      <w:marTop w:val="0"/>
      <w:marBottom w:val="0"/>
      <w:divBdr>
        <w:top w:val="none" w:sz="0" w:space="0" w:color="auto"/>
        <w:left w:val="none" w:sz="0" w:space="0" w:color="auto"/>
        <w:bottom w:val="none" w:sz="0" w:space="0" w:color="auto"/>
        <w:right w:val="none" w:sz="0" w:space="0" w:color="auto"/>
      </w:divBdr>
    </w:div>
    <w:div w:id="1358965746">
      <w:bodyDiv w:val="1"/>
      <w:marLeft w:val="0"/>
      <w:marRight w:val="0"/>
      <w:marTop w:val="0"/>
      <w:marBottom w:val="0"/>
      <w:divBdr>
        <w:top w:val="none" w:sz="0" w:space="0" w:color="auto"/>
        <w:left w:val="none" w:sz="0" w:space="0" w:color="auto"/>
        <w:bottom w:val="none" w:sz="0" w:space="0" w:color="auto"/>
        <w:right w:val="none" w:sz="0" w:space="0" w:color="auto"/>
      </w:divBdr>
    </w:div>
    <w:div w:id="1431389031">
      <w:bodyDiv w:val="1"/>
      <w:marLeft w:val="0"/>
      <w:marRight w:val="0"/>
      <w:marTop w:val="0"/>
      <w:marBottom w:val="0"/>
      <w:divBdr>
        <w:top w:val="none" w:sz="0" w:space="0" w:color="auto"/>
        <w:left w:val="none" w:sz="0" w:space="0" w:color="auto"/>
        <w:bottom w:val="none" w:sz="0" w:space="0" w:color="auto"/>
        <w:right w:val="none" w:sz="0" w:space="0" w:color="auto"/>
      </w:divBdr>
    </w:div>
    <w:div w:id="1535463958">
      <w:bodyDiv w:val="1"/>
      <w:marLeft w:val="0"/>
      <w:marRight w:val="0"/>
      <w:marTop w:val="0"/>
      <w:marBottom w:val="0"/>
      <w:divBdr>
        <w:top w:val="none" w:sz="0" w:space="0" w:color="auto"/>
        <w:left w:val="none" w:sz="0" w:space="0" w:color="auto"/>
        <w:bottom w:val="none" w:sz="0" w:space="0" w:color="auto"/>
        <w:right w:val="none" w:sz="0" w:space="0" w:color="auto"/>
      </w:divBdr>
    </w:div>
    <w:div w:id="1540895745">
      <w:bodyDiv w:val="1"/>
      <w:marLeft w:val="0"/>
      <w:marRight w:val="0"/>
      <w:marTop w:val="0"/>
      <w:marBottom w:val="0"/>
      <w:divBdr>
        <w:top w:val="none" w:sz="0" w:space="0" w:color="auto"/>
        <w:left w:val="none" w:sz="0" w:space="0" w:color="auto"/>
        <w:bottom w:val="none" w:sz="0" w:space="0" w:color="auto"/>
        <w:right w:val="none" w:sz="0" w:space="0" w:color="auto"/>
      </w:divBdr>
    </w:div>
    <w:div w:id="1659915445">
      <w:bodyDiv w:val="1"/>
      <w:marLeft w:val="0"/>
      <w:marRight w:val="0"/>
      <w:marTop w:val="0"/>
      <w:marBottom w:val="0"/>
      <w:divBdr>
        <w:top w:val="none" w:sz="0" w:space="0" w:color="auto"/>
        <w:left w:val="none" w:sz="0" w:space="0" w:color="auto"/>
        <w:bottom w:val="none" w:sz="0" w:space="0" w:color="auto"/>
        <w:right w:val="none" w:sz="0" w:space="0" w:color="auto"/>
      </w:divBdr>
    </w:div>
    <w:div w:id="1796295080">
      <w:bodyDiv w:val="1"/>
      <w:marLeft w:val="0"/>
      <w:marRight w:val="0"/>
      <w:marTop w:val="0"/>
      <w:marBottom w:val="0"/>
      <w:divBdr>
        <w:top w:val="none" w:sz="0" w:space="0" w:color="auto"/>
        <w:left w:val="none" w:sz="0" w:space="0" w:color="auto"/>
        <w:bottom w:val="none" w:sz="0" w:space="0" w:color="auto"/>
        <w:right w:val="none" w:sz="0" w:space="0" w:color="auto"/>
      </w:divBdr>
    </w:div>
    <w:div w:id="2013413828">
      <w:bodyDiv w:val="1"/>
      <w:marLeft w:val="0"/>
      <w:marRight w:val="0"/>
      <w:marTop w:val="0"/>
      <w:marBottom w:val="0"/>
      <w:divBdr>
        <w:top w:val="none" w:sz="0" w:space="0" w:color="auto"/>
        <w:left w:val="none" w:sz="0" w:space="0" w:color="auto"/>
        <w:bottom w:val="none" w:sz="0" w:space="0" w:color="auto"/>
        <w:right w:val="none" w:sz="0" w:space="0" w:color="auto"/>
      </w:divBdr>
    </w:div>
    <w:div w:id="213031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creativecommons.org/licenses/by/3.0/au/deed.en" TargetMode="External"/><Relationship Id="rId26" Type="http://schemas.openxmlformats.org/officeDocument/2006/relationships/hyperlink" Target="https://download.asic.gov.au/media/5230063/rg247-published-12-august-2019.pdf" TargetMode="Externa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wmf"/><Relationship Id="rId25" Type="http://schemas.openxmlformats.org/officeDocument/2006/relationships/hyperlink" Target="mailto:climatereportingconsultation@treasury.gov.a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creativecommons.org/licenses/by/3.0/au/legalcode" TargetMode="External"/><Relationship Id="rId20" Type="http://schemas.openxmlformats.org/officeDocument/2006/relationships/hyperlink" Target="mailto:media@treasury.gov.a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32"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yperlink" Target="http://creativecommons.org/licenses/by/3.0/au/deed.en" TargetMode="External"/><Relationship Id="rId23" Type="http://schemas.openxmlformats.org/officeDocument/2006/relationships/footer" Target="footer1.xml"/><Relationship Id="rId28"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hyperlink" Target="http://www.pmc.gov.au/government/commonwealth-coat-arm"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2.xml"/><Relationship Id="rId27" Type="http://schemas.openxmlformats.org/officeDocument/2006/relationships/header" Target="header3.xml"/><Relationship Id="rId30" Type="http://schemas.openxmlformats.org/officeDocument/2006/relationships/footer" Target="footer4.xml"/><Relationship Id="rId35" Type="http://schemas.openxmlformats.org/officeDocument/2006/relationships/theme" Target="theme/theme1.xml"/><Relationship Id="rId8" Type="http://schemas.openxmlformats.org/officeDocument/2006/relationships/numbering" Target="numbering.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Treasury\TSY%20Consultation%20Pap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C4DFC8A3A940BC898FBC2AF48E6180"/>
        <w:category>
          <w:name w:val="General"/>
          <w:gallery w:val="placeholder"/>
        </w:category>
        <w:types>
          <w:type w:val="bbPlcHdr"/>
        </w:types>
        <w:behaviors>
          <w:behavior w:val="content"/>
        </w:behaviors>
        <w:guid w:val="{51FC9484-EC87-44C8-AAEE-F126117A2646}"/>
      </w:docPartPr>
      <w:docPartBody>
        <w:p w:rsidR="003E1579" w:rsidRDefault="00BA2DE1" w:rsidP="00BA2DE1">
          <w:pPr>
            <w:pStyle w:val="F9C4DFC8A3A940BC898FBC2AF48E6180"/>
          </w:pPr>
          <w:r w:rsidRPr="00225CD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Rockwell">
    <w:panose1 w:val="02060603020205020403"/>
    <w:charset w:val="00"/>
    <w:family w:val="roman"/>
    <w:pitch w:val="variable"/>
    <w:sig w:usb0="00000007" w:usb1="00000000" w:usb2="00000000" w:usb3="00000000" w:csb0="00000003" w:csb1="00000000"/>
  </w:font>
  <w:font w:name="ZWAdobeF">
    <w:altName w:val="Calibri"/>
    <w:panose1 w:val="00000000000000000000"/>
    <w:charset w:val="00"/>
    <w:family w:val="auto"/>
    <w:pitch w:val="variable"/>
    <w:sig w:usb0="20002A87" w:usb1="00000000"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F58"/>
    <w:rsid w:val="00030EC4"/>
    <w:rsid w:val="00050EB5"/>
    <w:rsid w:val="000C354F"/>
    <w:rsid w:val="000C755C"/>
    <w:rsid w:val="000E3889"/>
    <w:rsid w:val="00163A2F"/>
    <w:rsid w:val="00183EF8"/>
    <w:rsid w:val="001F0A13"/>
    <w:rsid w:val="001F725C"/>
    <w:rsid w:val="00216514"/>
    <w:rsid w:val="0027178F"/>
    <w:rsid w:val="002A13AC"/>
    <w:rsid w:val="00315439"/>
    <w:rsid w:val="00324C54"/>
    <w:rsid w:val="00365AA1"/>
    <w:rsid w:val="00375953"/>
    <w:rsid w:val="003815AD"/>
    <w:rsid w:val="00387653"/>
    <w:rsid w:val="003B155C"/>
    <w:rsid w:val="003D4556"/>
    <w:rsid w:val="003E1579"/>
    <w:rsid w:val="004A4403"/>
    <w:rsid w:val="004E12A7"/>
    <w:rsid w:val="0056639C"/>
    <w:rsid w:val="007357CA"/>
    <w:rsid w:val="00736FC0"/>
    <w:rsid w:val="007540B1"/>
    <w:rsid w:val="007B2178"/>
    <w:rsid w:val="00870090"/>
    <w:rsid w:val="00892144"/>
    <w:rsid w:val="0089587E"/>
    <w:rsid w:val="0093515D"/>
    <w:rsid w:val="00960E2E"/>
    <w:rsid w:val="00963AC4"/>
    <w:rsid w:val="009C733F"/>
    <w:rsid w:val="00A00760"/>
    <w:rsid w:val="00A57FB7"/>
    <w:rsid w:val="00B06611"/>
    <w:rsid w:val="00B13FAA"/>
    <w:rsid w:val="00B356A1"/>
    <w:rsid w:val="00B51DAF"/>
    <w:rsid w:val="00B94F58"/>
    <w:rsid w:val="00BA10AB"/>
    <w:rsid w:val="00BA2DE1"/>
    <w:rsid w:val="00BA3E9D"/>
    <w:rsid w:val="00BB154F"/>
    <w:rsid w:val="00C06E00"/>
    <w:rsid w:val="00C121D7"/>
    <w:rsid w:val="00C655D4"/>
    <w:rsid w:val="00CB36A3"/>
    <w:rsid w:val="00D15932"/>
    <w:rsid w:val="00D40AA0"/>
    <w:rsid w:val="00E14FF6"/>
    <w:rsid w:val="00E47449"/>
    <w:rsid w:val="00E74488"/>
    <w:rsid w:val="00E77703"/>
    <w:rsid w:val="00E84A2B"/>
    <w:rsid w:val="00EC1887"/>
    <w:rsid w:val="00EC38E1"/>
    <w:rsid w:val="00ED120C"/>
    <w:rsid w:val="00FA1617"/>
    <w:rsid w:val="00FB2038"/>
    <w:rsid w:val="00FD670C"/>
    <w:rsid w:val="00FF5A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C7EBFAB"/>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2DE1"/>
    <w:rPr>
      <w:color w:val="808080"/>
    </w:rPr>
  </w:style>
  <w:style w:type="paragraph" w:customStyle="1" w:styleId="F9C4DFC8A3A940BC898FBC2AF48E6180">
    <w:name w:val="F9C4DFC8A3A940BC898FBC2AF48E6180"/>
    <w:rsid w:val="00BA2D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935D0CF8835BE447895972B43AB8EC93" ma:contentTypeVersion="51772" ma:contentTypeDescription=" " ma:contentTypeScope="" ma:versionID="d66d163c2061742ccde38eea60b5d4e2">
  <xsd:schema xmlns:xsd="http://www.w3.org/2001/XMLSchema" xmlns:xs="http://www.w3.org/2001/XMLSchema" xmlns:p="http://schemas.microsoft.com/office/2006/metadata/properties" xmlns:ns1="http://schemas.microsoft.com/sharepoint/v3" xmlns:ns2="0f563589-9cf9-4143-b1eb-fb0534803d38" xmlns:ns3="d4dd4adf-ddb3-46a3-8d7c-fab3fb2a6bc7" xmlns:ns4="http://schemas.microsoft.com/sharepoint/v4" targetNamespace="http://schemas.microsoft.com/office/2006/metadata/properties" ma:root="true" ma:fieldsID="2c8535b94b0076d8c56fa48f59093e42" ns1:_="" ns2:_="" ns3:_="" ns4: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4:IconOverlay" minOccurs="0"/>
                <xsd:element ref="ns1:_dlc_Exempt" minOccurs="0"/>
                <xsd:element ref="ns3:SecurityClassification"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6" nillable="true" ma:displayName="Exempt from Policy" ma:hidden="true" ma:internalName="_dlc_Exempt" ma:readOnly="true">
      <xsd:simpleType>
        <xsd:restriction base="dms:Unknown"/>
      </xsd:simpleType>
    </xsd:element>
    <xsd:element name="_vti_ItemDeclaredRecord" ma:index="18" nillable="true" ma:displayName="Declared Record" ma:hidden="true" ma:internalName="_vti_ItemDeclaredRecord" ma:readOnly="true">
      <xsd:simpleType>
        <xsd:restriction base="dms:DateTime"/>
      </xsd:simpleType>
    </xsd:element>
    <xsd:element name="_vti_ItemHoldRecordStatus" ma:index="1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SecurityClassification" ma:index="17" nillable="true" ma:displayName="Security Classification" ma:internalName="SecurityClassific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2</Value>
    </TaxCatchAll>
    <SecurityClassification xmlns="d4dd4adf-ddb3-46a3-8d7c-fab3fb2a6bc7" xsi:nil="true"/>
    <IconOverlay xmlns="http://schemas.microsoft.com/sharepoint/v4" xsi:nil="true"/>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0f563589-9cf9-4143-b1eb-fb0534803d38">2022MG-90-38150</_dlc_DocId>
    <_dlc_DocIdUrl xmlns="0f563589-9cf9-4143-b1eb-fb0534803d38">
      <Url>http://tweb/sites/mg/fsd/_layouts/15/DocIdRedir.aspx?ID=2022MG-90-38150</Url>
      <Description>2022MG-90-38150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6.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7.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16ABC14A-321F-4C8A-82B8-B4D997F73160}">
  <ds:schemaRefs>
    <ds:schemaRef ds:uri="http://schemas.openxmlformats.org/officeDocument/2006/bibliography"/>
  </ds:schemaRefs>
</ds:datastoreItem>
</file>

<file path=customXml/itemProps2.xml><?xml version="1.0" encoding="utf-8"?>
<ds:datastoreItem xmlns:ds="http://schemas.openxmlformats.org/officeDocument/2006/customXml" ds:itemID="{5B2E1456-45D7-4B42-8EDD-CF097BE03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937841-92F2-476D-AC94-4FB1CCDFF2DC}">
  <ds:schemaRefs>
    <ds:schemaRef ds:uri="http://schemas.microsoft.com/office/2006/metadata/properties"/>
    <ds:schemaRef ds:uri="http://schemas.microsoft.com/office/infopath/2007/PartnerControls"/>
    <ds:schemaRef ds:uri="0f563589-9cf9-4143-b1eb-fb0534803d38"/>
    <ds:schemaRef ds:uri="d4dd4adf-ddb3-46a3-8d7c-fab3fb2a6bc7"/>
    <ds:schemaRef ds:uri="http://schemas.microsoft.com/sharepoint/v4"/>
  </ds:schemaRefs>
</ds:datastoreItem>
</file>

<file path=customXml/itemProps4.xml><?xml version="1.0" encoding="utf-8"?>
<ds:datastoreItem xmlns:ds="http://schemas.openxmlformats.org/officeDocument/2006/customXml" ds:itemID="{0FBA6F3E-3171-4F1C-9D58-7C293580F076}">
  <ds:schemaRefs>
    <ds:schemaRef ds:uri="http://schemas.microsoft.com/sharepoint/v3/contenttype/forms"/>
  </ds:schemaRefs>
</ds:datastoreItem>
</file>

<file path=customXml/itemProps5.xml><?xml version="1.0" encoding="utf-8"?>
<ds:datastoreItem xmlns:ds="http://schemas.openxmlformats.org/officeDocument/2006/customXml" ds:itemID="{0765548A-01EA-402D-AF5B-91F265CF5C57}">
  <ds:schemaRefs>
    <ds:schemaRef ds:uri="office.server.policy"/>
  </ds:schemaRefs>
</ds:datastoreItem>
</file>

<file path=customXml/itemProps6.xml><?xml version="1.0" encoding="utf-8"?>
<ds:datastoreItem xmlns:ds="http://schemas.openxmlformats.org/officeDocument/2006/customXml" ds:itemID="{F0109241-2518-4556-9526-BF9D75FCE0AE}">
  <ds:schemaRefs>
    <ds:schemaRef ds:uri="http://schemas.microsoft.com/sharepoint/events"/>
  </ds:schemaRefs>
</ds:datastoreItem>
</file>

<file path=customXml/itemProps7.xml><?xml version="1.0" encoding="utf-8"?>
<ds:datastoreItem xmlns:ds="http://schemas.openxmlformats.org/officeDocument/2006/customXml" ds:itemID="{1DD8EDCB-3ACE-4CB6-B518-C8017090C74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TSY Consultation Paper.dotm</Template>
  <TotalTime>29</TotalTime>
  <Pages>23</Pages>
  <Words>8288</Words>
  <Characters>51141</Characters>
  <Application>Microsoft Office Word</Application>
  <DocSecurity>0</DocSecurity>
  <Lines>811</Lines>
  <Paragraphs>337</Paragraphs>
  <ScaleCrop>false</ScaleCrop>
  <HeadingPairs>
    <vt:vector size="2" baseType="variant">
      <vt:variant>
        <vt:lpstr>Title</vt:lpstr>
      </vt:variant>
      <vt:variant>
        <vt:i4>1</vt:i4>
      </vt:variant>
    </vt:vector>
  </HeadingPairs>
  <TitlesOfParts>
    <vt:vector size="1" baseType="lpstr">
      <vt:lpstr>Climate-related financial disclosure - Consultation paper</vt:lpstr>
    </vt:vector>
  </TitlesOfParts>
  <Company/>
  <LinksUpToDate>false</LinksUpToDate>
  <CharactersWithSpaces>59092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Climate-related financial disclosure - Consultation paper</dc:title>
  <dc:subject/>
  <dc:creator>Australian Government</dc:creator>
  <cp:keywords/>
  <dc:description/>
  <cp:lastModifiedBy>Smith, Matthew</cp:lastModifiedBy>
  <cp:revision>12</cp:revision>
  <cp:lastPrinted>2022-12-08T00:26:00Z</cp:lastPrinted>
  <dcterms:created xsi:type="dcterms:W3CDTF">2022-12-07T22:33:00Z</dcterms:created>
  <dcterms:modified xsi:type="dcterms:W3CDTF">2022-12-11T20:20:00Z</dcterms:modified>
  <cp:category/>
  <cp:contentStatus/>
</cp:coreProperties>
</file>