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822B" w14:textId="28DC5D50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5893F9" wp14:editId="44318E1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C46975" w:rsidRPr="00290521" w14:paraId="2F7599F5" w14:textId="77777777" w:rsidTr="00C46975">
        <w:trPr>
          <w:trHeight w:val="629"/>
        </w:trPr>
        <w:tc>
          <w:tcPr>
            <w:tcW w:w="5000" w:type="pct"/>
            <w:shd w:val="clear" w:color="auto" w:fill="auto"/>
          </w:tcPr>
          <w:p w14:paraId="4B1994FD" w14:textId="77777777" w:rsidR="00C46975" w:rsidRPr="00290521" w:rsidRDefault="00C46975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08D65B94" w14:textId="59D37F87" w:rsidR="00F5638C" w:rsidRDefault="00F5638C" w:rsidP="00F5638C">
      <w:pPr>
        <w:rPr>
          <w:sz w:val="19"/>
        </w:rPr>
      </w:pPr>
    </w:p>
    <w:p w14:paraId="21D031F7" w14:textId="77777777" w:rsidR="00C46975" w:rsidRDefault="00C46975" w:rsidP="00F5638C">
      <w:pPr>
        <w:rPr>
          <w:sz w:val="19"/>
        </w:rPr>
      </w:pPr>
    </w:p>
    <w:p w14:paraId="2283F9D6" w14:textId="651B36E5" w:rsidR="00F5638C" w:rsidRDefault="006A4EA6" w:rsidP="00F5638C">
      <w:pPr>
        <w:pStyle w:val="ShortT"/>
      </w:pPr>
      <w:r>
        <w:t>Treasury Laws Amendment (Miscellaneous Amendments No. 1) Instrument 2022</w:t>
      </w:r>
    </w:p>
    <w:p w14:paraId="3C143BA4" w14:textId="373F159A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AF7885">
        <w:rPr>
          <w:szCs w:val="22"/>
        </w:rPr>
        <w:t>Stephen Jones</w:t>
      </w:r>
      <w:r w:rsidRPr="00BC5754">
        <w:rPr>
          <w:szCs w:val="22"/>
        </w:rPr>
        <w:t xml:space="preserve">, </w:t>
      </w:r>
      <w:r w:rsidR="00AF7885">
        <w:rPr>
          <w:szCs w:val="22"/>
        </w:rPr>
        <w:t xml:space="preserve">Assistant Treasurer and Minister for Financial Services, </w:t>
      </w:r>
      <w:r w:rsidRPr="00BC5754">
        <w:rPr>
          <w:szCs w:val="22"/>
        </w:rPr>
        <w:t xml:space="preserve">make the following </w:t>
      </w:r>
      <w:r w:rsidR="006A4EA6">
        <w:rPr>
          <w:szCs w:val="22"/>
        </w:rPr>
        <w:t>instrument</w:t>
      </w:r>
      <w:r w:rsidRPr="00BC5754">
        <w:rPr>
          <w:szCs w:val="22"/>
        </w:rPr>
        <w:t>.</w:t>
      </w:r>
    </w:p>
    <w:p w14:paraId="6F40E58E" w14:textId="65184A87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6A4EA6">
        <w:rPr>
          <w:szCs w:val="22"/>
        </w:rPr>
        <w:t>2022</w:t>
      </w:r>
    </w:p>
    <w:p w14:paraId="71345A6D" w14:textId="6FF0069D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07DF213" w14:textId="1A3E7BD3" w:rsidR="00F5638C" w:rsidRPr="00BC5754" w:rsidRDefault="00AF7885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 w:rsidR="00F5638C" w:rsidRPr="00BC5754">
        <w:t xml:space="preserve">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7ABC7AB8" w14:textId="48E37310" w:rsidR="00F5638C" w:rsidRPr="00BC5754" w:rsidRDefault="00AF7885" w:rsidP="00F5638C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2BBCF169" w14:textId="77777777" w:rsidR="00F5638C" w:rsidRDefault="00F5638C" w:rsidP="00F5638C"/>
    <w:p w14:paraId="0A86253C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74F2B56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33E7975" w14:textId="77777777" w:rsidR="00F5638C" w:rsidRDefault="00F5638C" w:rsidP="00F5638C">
      <w:pPr>
        <w:sectPr w:rsidR="00F5638C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EC6309A" w14:textId="117FCAFA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1204E6D" w14:textId="326529E7" w:rsidR="006E1FC2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1FC2">
        <w:fldChar w:fldCharType="begin"/>
      </w:r>
      <w:r>
        <w:instrText xml:space="preserve"> TOC \o "1-9" </w:instrText>
      </w:r>
      <w:r w:rsidRPr="006E1FC2">
        <w:fldChar w:fldCharType="separate"/>
      </w:r>
      <w:r w:rsidR="006E1FC2">
        <w:rPr>
          <w:noProof/>
        </w:rPr>
        <w:t>1  Name</w:t>
      </w:r>
      <w:r w:rsidR="006E1FC2">
        <w:rPr>
          <w:noProof/>
        </w:rPr>
        <w:tab/>
      </w:r>
      <w:r w:rsidR="006E1FC2">
        <w:rPr>
          <w:noProof/>
        </w:rPr>
        <w:tab/>
      </w:r>
      <w:r w:rsidR="006E1FC2" w:rsidRPr="006E1FC2">
        <w:rPr>
          <w:noProof/>
        </w:rPr>
        <w:fldChar w:fldCharType="begin"/>
      </w:r>
      <w:r w:rsidR="006E1FC2" w:rsidRPr="006E1FC2">
        <w:rPr>
          <w:noProof/>
        </w:rPr>
        <w:instrText xml:space="preserve"> PAGEREF _Toc101879546 \h </w:instrText>
      </w:r>
      <w:r w:rsidR="006E1FC2" w:rsidRPr="006E1FC2">
        <w:rPr>
          <w:noProof/>
        </w:rPr>
      </w:r>
      <w:r w:rsidR="006E1FC2" w:rsidRPr="006E1FC2">
        <w:rPr>
          <w:noProof/>
        </w:rPr>
        <w:fldChar w:fldCharType="separate"/>
      </w:r>
      <w:r w:rsidR="00C6465D">
        <w:rPr>
          <w:noProof/>
        </w:rPr>
        <w:t>1</w:t>
      </w:r>
      <w:r w:rsidR="006E1FC2" w:rsidRPr="006E1FC2">
        <w:rPr>
          <w:noProof/>
        </w:rPr>
        <w:fldChar w:fldCharType="end"/>
      </w:r>
    </w:p>
    <w:p w14:paraId="3F6D87C3" w14:textId="5A942063" w:rsidR="006E1FC2" w:rsidRDefault="006E1F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6E1FC2">
        <w:rPr>
          <w:noProof/>
        </w:rPr>
        <w:fldChar w:fldCharType="begin"/>
      </w:r>
      <w:r w:rsidRPr="006E1FC2">
        <w:rPr>
          <w:noProof/>
        </w:rPr>
        <w:instrText xml:space="preserve"> PAGEREF _Toc101879547 \h </w:instrText>
      </w:r>
      <w:r w:rsidRPr="006E1FC2">
        <w:rPr>
          <w:noProof/>
        </w:rPr>
      </w:r>
      <w:r w:rsidRPr="006E1FC2">
        <w:rPr>
          <w:noProof/>
        </w:rPr>
        <w:fldChar w:fldCharType="separate"/>
      </w:r>
      <w:r w:rsidR="00C6465D">
        <w:rPr>
          <w:noProof/>
        </w:rPr>
        <w:t>1</w:t>
      </w:r>
      <w:r w:rsidRPr="006E1FC2">
        <w:rPr>
          <w:noProof/>
        </w:rPr>
        <w:fldChar w:fldCharType="end"/>
      </w:r>
    </w:p>
    <w:p w14:paraId="67FE0759" w14:textId="6A779FA0" w:rsidR="006E1FC2" w:rsidRDefault="006E1F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6E1FC2">
        <w:rPr>
          <w:noProof/>
        </w:rPr>
        <w:fldChar w:fldCharType="begin"/>
      </w:r>
      <w:r w:rsidRPr="006E1FC2">
        <w:rPr>
          <w:noProof/>
        </w:rPr>
        <w:instrText xml:space="preserve"> PAGEREF _Toc101879548 \h </w:instrText>
      </w:r>
      <w:r w:rsidRPr="006E1FC2">
        <w:rPr>
          <w:noProof/>
        </w:rPr>
      </w:r>
      <w:r w:rsidRPr="006E1FC2">
        <w:rPr>
          <w:noProof/>
        </w:rPr>
        <w:fldChar w:fldCharType="separate"/>
      </w:r>
      <w:r w:rsidR="00C6465D">
        <w:rPr>
          <w:noProof/>
        </w:rPr>
        <w:t>1</w:t>
      </w:r>
      <w:r w:rsidRPr="006E1FC2">
        <w:rPr>
          <w:noProof/>
        </w:rPr>
        <w:fldChar w:fldCharType="end"/>
      </w:r>
    </w:p>
    <w:p w14:paraId="176CD46D" w14:textId="7C9A20B4" w:rsidR="006E1FC2" w:rsidRDefault="006E1F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6E1FC2">
        <w:rPr>
          <w:noProof/>
        </w:rPr>
        <w:fldChar w:fldCharType="begin"/>
      </w:r>
      <w:r w:rsidRPr="006E1FC2">
        <w:rPr>
          <w:noProof/>
        </w:rPr>
        <w:instrText xml:space="preserve"> PAGEREF _Toc101879549 \h </w:instrText>
      </w:r>
      <w:r w:rsidRPr="006E1FC2">
        <w:rPr>
          <w:noProof/>
        </w:rPr>
      </w:r>
      <w:r w:rsidRPr="006E1FC2">
        <w:rPr>
          <w:noProof/>
        </w:rPr>
        <w:fldChar w:fldCharType="separate"/>
      </w:r>
      <w:r w:rsidR="00C6465D">
        <w:rPr>
          <w:noProof/>
        </w:rPr>
        <w:t>1</w:t>
      </w:r>
      <w:r w:rsidRPr="006E1FC2">
        <w:rPr>
          <w:noProof/>
        </w:rPr>
        <w:fldChar w:fldCharType="end"/>
      </w:r>
    </w:p>
    <w:p w14:paraId="451E0D13" w14:textId="658FF5FB" w:rsidR="006E1FC2" w:rsidRDefault="006E1F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E1FC2">
        <w:rPr>
          <w:b w:val="0"/>
          <w:noProof/>
          <w:sz w:val="18"/>
        </w:rPr>
        <w:fldChar w:fldCharType="begin"/>
      </w:r>
      <w:r w:rsidRPr="006E1FC2">
        <w:rPr>
          <w:b w:val="0"/>
          <w:noProof/>
          <w:sz w:val="18"/>
        </w:rPr>
        <w:instrText xml:space="preserve"> PAGEREF _Toc101879550 \h </w:instrText>
      </w:r>
      <w:r w:rsidRPr="006E1FC2">
        <w:rPr>
          <w:b w:val="0"/>
          <w:noProof/>
          <w:sz w:val="18"/>
        </w:rPr>
      </w:r>
      <w:r w:rsidRPr="006E1FC2">
        <w:rPr>
          <w:b w:val="0"/>
          <w:noProof/>
          <w:sz w:val="18"/>
        </w:rPr>
        <w:fldChar w:fldCharType="separate"/>
      </w:r>
      <w:r w:rsidR="00C6465D">
        <w:rPr>
          <w:b w:val="0"/>
          <w:noProof/>
          <w:sz w:val="18"/>
        </w:rPr>
        <w:t>2</w:t>
      </w:r>
      <w:r w:rsidRPr="006E1FC2">
        <w:rPr>
          <w:b w:val="0"/>
          <w:noProof/>
          <w:sz w:val="18"/>
        </w:rPr>
        <w:fldChar w:fldCharType="end"/>
      </w:r>
    </w:p>
    <w:p w14:paraId="2CE86393" w14:textId="4FBAF8E3" w:rsidR="006E1FC2" w:rsidRDefault="006E1F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Business Names Registration (Availability of Names) Determination 2012</w:t>
      </w:r>
      <w:r>
        <w:rPr>
          <w:noProof/>
        </w:rPr>
        <w:tab/>
      </w:r>
      <w:r w:rsidRPr="006E1FC2">
        <w:rPr>
          <w:i w:val="0"/>
          <w:iCs/>
          <w:noProof/>
          <w:sz w:val="18"/>
        </w:rPr>
        <w:fldChar w:fldCharType="begin"/>
      </w:r>
      <w:r w:rsidRPr="006E1FC2">
        <w:rPr>
          <w:i w:val="0"/>
          <w:iCs/>
          <w:noProof/>
          <w:sz w:val="18"/>
        </w:rPr>
        <w:instrText xml:space="preserve"> PAGEREF _Toc101879551 \h </w:instrText>
      </w:r>
      <w:r w:rsidRPr="006E1FC2">
        <w:rPr>
          <w:i w:val="0"/>
          <w:iCs/>
          <w:noProof/>
          <w:sz w:val="18"/>
        </w:rPr>
      </w:r>
      <w:r w:rsidRPr="006E1FC2">
        <w:rPr>
          <w:i w:val="0"/>
          <w:iCs/>
          <w:noProof/>
          <w:sz w:val="18"/>
        </w:rPr>
        <w:fldChar w:fldCharType="separate"/>
      </w:r>
      <w:r w:rsidR="00C6465D">
        <w:rPr>
          <w:i w:val="0"/>
          <w:iCs/>
          <w:noProof/>
          <w:sz w:val="18"/>
        </w:rPr>
        <w:t>2</w:t>
      </w:r>
      <w:r w:rsidRPr="006E1FC2">
        <w:rPr>
          <w:i w:val="0"/>
          <w:iCs/>
          <w:noProof/>
          <w:sz w:val="18"/>
        </w:rPr>
        <w:fldChar w:fldCharType="end"/>
      </w:r>
    </w:p>
    <w:p w14:paraId="6A40D7CA" w14:textId="1CE369E5" w:rsidR="006E1FC2" w:rsidRPr="006E1FC2" w:rsidRDefault="006E1F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Insolvency Practice Rules (Corporations) 2016</w:t>
      </w:r>
      <w:r>
        <w:rPr>
          <w:noProof/>
        </w:rPr>
        <w:tab/>
      </w:r>
      <w:r w:rsidRPr="006E1FC2">
        <w:rPr>
          <w:i w:val="0"/>
          <w:iCs/>
          <w:noProof/>
          <w:sz w:val="18"/>
        </w:rPr>
        <w:fldChar w:fldCharType="begin"/>
      </w:r>
      <w:r w:rsidRPr="006E1FC2">
        <w:rPr>
          <w:i w:val="0"/>
          <w:iCs/>
          <w:noProof/>
          <w:sz w:val="18"/>
        </w:rPr>
        <w:instrText xml:space="preserve"> PAGEREF _Toc101879552 \h </w:instrText>
      </w:r>
      <w:r w:rsidRPr="006E1FC2">
        <w:rPr>
          <w:i w:val="0"/>
          <w:iCs/>
          <w:noProof/>
          <w:sz w:val="18"/>
        </w:rPr>
      </w:r>
      <w:r w:rsidRPr="006E1FC2">
        <w:rPr>
          <w:i w:val="0"/>
          <w:iCs/>
          <w:noProof/>
          <w:sz w:val="18"/>
        </w:rPr>
        <w:fldChar w:fldCharType="separate"/>
      </w:r>
      <w:r w:rsidR="00C6465D">
        <w:rPr>
          <w:i w:val="0"/>
          <w:iCs/>
          <w:noProof/>
          <w:sz w:val="18"/>
        </w:rPr>
        <w:t>2</w:t>
      </w:r>
      <w:r w:rsidRPr="006E1FC2">
        <w:rPr>
          <w:i w:val="0"/>
          <w:iCs/>
          <w:noProof/>
          <w:sz w:val="18"/>
        </w:rPr>
        <w:fldChar w:fldCharType="end"/>
      </w:r>
    </w:p>
    <w:p w14:paraId="03F8FFFD" w14:textId="54A354F8" w:rsidR="00F5638C" w:rsidRDefault="00F5638C" w:rsidP="00F5638C">
      <w:r w:rsidRPr="006E1FC2">
        <w:rPr>
          <w:sz w:val="18"/>
        </w:rPr>
        <w:fldChar w:fldCharType="end"/>
      </w:r>
    </w:p>
    <w:p w14:paraId="02814662" w14:textId="77777777" w:rsidR="00F5638C" w:rsidRPr="007A1328" w:rsidRDefault="00F5638C" w:rsidP="00F5638C"/>
    <w:p w14:paraId="3475DD4B" w14:textId="77777777" w:rsidR="00F5638C" w:rsidRDefault="00F5638C" w:rsidP="00F5638C">
      <w:pPr>
        <w:sectPr w:rsidR="00F5638C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B748DD" w14:textId="77777777" w:rsidR="00F5638C" w:rsidRDefault="00F5638C" w:rsidP="00F5638C">
      <w:pPr>
        <w:pStyle w:val="ActHead5"/>
      </w:pPr>
      <w:bookmarkStart w:id="12" w:name="_Toc101879546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2"/>
      <w:proofErr w:type="gramEnd"/>
    </w:p>
    <w:p w14:paraId="1A72FCC3" w14:textId="6AC59C2D" w:rsidR="00F5638C" w:rsidRDefault="00F5638C" w:rsidP="00F5638C">
      <w:pPr>
        <w:pStyle w:val="subsection"/>
      </w:pPr>
      <w:r>
        <w:tab/>
      </w:r>
      <w:r>
        <w:tab/>
        <w:t xml:space="preserve">This instrument is </w:t>
      </w:r>
      <w:r w:rsidRPr="004A1222">
        <w:t xml:space="preserve">the </w:t>
      </w:r>
      <w:r w:rsidR="006A4EA6" w:rsidRPr="004A1222">
        <w:rPr>
          <w:i/>
          <w:noProof/>
        </w:rPr>
        <w:t>Treasury Laws Amendment (Miscellaneous Amendments No. 1) Instrument 2022</w:t>
      </w:r>
      <w:r w:rsidRPr="004A1222">
        <w:t>.</w:t>
      </w:r>
    </w:p>
    <w:p w14:paraId="48577A57" w14:textId="77777777" w:rsidR="00F5638C" w:rsidRDefault="00F5638C" w:rsidP="00F5638C">
      <w:pPr>
        <w:pStyle w:val="ActHead5"/>
      </w:pPr>
      <w:bookmarkStart w:id="13" w:name="_Toc101879547"/>
      <w:proofErr w:type="gramStart"/>
      <w:r>
        <w:rPr>
          <w:rStyle w:val="CharSectno"/>
        </w:rPr>
        <w:t>2</w:t>
      </w:r>
      <w:r>
        <w:t xml:space="preserve">  Commencement</w:t>
      </w:r>
      <w:bookmarkEnd w:id="13"/>
      <w:proofErr w:type="gramEnd"/>
    </w:p>
    <w:p w14:paraId="5EFD299B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131FC85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EBCD6CA" w14:textId="77777777" w:rsidTr="00AF788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5B152A8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6F8703E8" w14:textId="77777777" w:rsidTr="00AF788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88E278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64DC53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6547F9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647E9C96" w14:textId="77777777" w:rsidTr="00AF788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ADBD10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3AEA4E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3B5D7F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409659B7" w14:textId="77777777" w:rsidTr="00AF788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416C39" w14:textId="09E9E829" w:rsidR="00F5638C" w:rsidRDefault="00AF7885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4E19D2C" w14:textId="5CC38365" w:rsidR="00F5638C" w:rsidRDefault="00AF7885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E57925A" w14:textId="77777777" w:rsidR="00F5638C" w:rsidRDefault="00F5638C" w:rsidP="00133D1C">
            <w:pPr>
              <w:pStyle w:val="Tabletext"/>
            </w:pPr>
          </w:p>
        </w:tc>
      </w:tr>
    </w:tbl>
    <w:p w14:paraId="62FCA535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115AD965" w14:textId="13976E9A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E63AEF8" w14:textId="77777777" w:rsidR="00F5638C" w:rsidRDefault="00F5638C" w:rsidP="00F5638C">
      <w:pPr>
        <w:pStyle w:val="ActHead5"/>
      </w:pPr>
      <w:bookmarkStart w:id="14" w:name="_Toc101879548"/>
      <w:proofErr w:type="gramStart"/>
      <w:r>
        <w:t>3  Authority</w:t>
      </w:r>
      <w:bookmarkEnd w:id="14"/>
      <w:proofErr w:type="gramEnd"/>
    </w:p>
    <w:p w14:paraId="413C275A" w14:textId="345D19E1" w:rsidR="00F5638C" w:rsidRDefault="00F5638C" w:rsidP="00F5638C">
      <w:pPr>
        <w:pStyle w:val="subsection"/>
        <w:rPr>
          <w:i/>
        </w:rPr>
      </w:pPr>
      <w:r>
        <w:tab/>
      </w:r>
      <w:r>
        <w:tab/>
        <w:t>This instrument is made under the</w:t>
      </w:r>
      <w:r w:rsidR="00E72995">
        <w:t xml:space="preserve"> following</w:t>
      </w:r>
      <w:r w:rsidR="00E72995">
        <w:rPr>
          <w:i/>
        </w:rPr>
        <w:t>:</w:t>
      </w:r>
    </w:p>
    <w:p w14:paraId="72B68F46" w14:textId="71C6EDAD" w:rsidR="00E72995" w:rsidRDefault="00E72995" w:rsidP="00E72995">
      <w:pPr>
        <w:pStyle w:val="paragraph"/>
      </w:pPr>
      <w:r>
        <w:tab/>
        <w:t>(a)</w:t>
      </w:r>
      <w:r>
        <w:tab/>
      </w:r>
      <w:r w:rsidRPr="00E72995">
        <w:rPr>
          <w:i/>
          <w:iCs/>
        </w:rPr>
        <w:t>Business Names Registration Act 2011</w:t>
      </w:r>
      <w:r>
        <w:t>; and</w:t>
      </w:r>
    </w:p>
    <w:p w14:paraId="7798F650" w14:textId="125570A7" w:rsidR="00E72995" w:rsidRDefault="00E72995" w:rsidP="00E72995">
      <w:pPr>
        <w:pStyle w:val="paragraph"/>
      </w:pPr>
      <w:r>
        <w:tab/>
        <w:t>(b)</w:t>
      </w:r>
      <w:r>
        <w:tab/>
      </w:r>
      <w:r w:rsidRPr="00E72995">
        <w:rPr>
          <w:i/>
          <w:iCs/>
        </w:rPr>
        <w:t>Corporations Act 2001</w:t>
      </w:r>
      <w:r>
        <w:t>.</w:t>
      </w:r>
    </w:p>
    <w:p w14:paraId="3BBE7792" w14:textId="77777777" w:rsidR="00F5638C" w:rsidRDefault="00F5638C" w:rsidP="00F5638C">
      <w:pPr>
        <w:pStyle w:val="ActHead5"/>
      </w:pPr>
      <w:bookmarkStart w:id="15" w:name="_Toc101879549"/>
      <w:proofErr w:type="gramStart"/>
      <w:r>
        <w:t>4  Schedules</w:t>
      </w:r>
      <w:bookmarkEnd w:id="15"/>
      <w:proofErr w:type="gramEnd"/>
    </w:p>
    <w:p w14:paraId="14FDE7A5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6BAC62FB" w14:textId="77777777" w:rsidR="00F5638C" w:rsidRDefault="00F5638C" w:rsidP="00F5638C">
      <w:pPr>
        <w:pStyle w:val="ActHead6"/>
        <w:pageBreakBefore/>
      </w:pPr>
      <w:bookmarkStart w:id="16" w:name="_Toc101879550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6"/>
    </w:p>
    <w:p w14:paraId="4F5E204F" w14:textId="77777777" w:rsidR="00F5638C" w:rsidRDefault="00F5638C" w:rsidP="00F5638C">
      <w:pPr>
        <w:pStyle w:val="Header"/>
      </w:pPr>
      <w:r>
        <w:t xml:space="preserve">  </w:t>
      </w:r>
    </w:p>
    <w:p w14:paraId="6F64AAF0" w14:textId="7B81899F" w:rsidR="004A1222" w:rsidRPr="004A1222" w:rsidRDefault="004A1222" w:rsidP="004A1222">
      <w:pPr>
        <w:pStyle w:val="ActHead9"/>
      </w:pPr>
      <w:bookmarkStart w:id="17" w:name="_Toc101879551"/>
      <w:r w:rsidRPr="004A1222">
        <w:t>Business Names Registration (Availability of Names) Determination 2012</w:t>
      </w:r>
      <w:bookmarkEnd w:id="17"/>
    </w:p>
    <w:p w14:paraId="690A4A8B" w14:textId="5459E185" w:rsidR="00F5638C" w:rsidRDefault="00A065E7" w:rsidP="00F5638C">
      <w:pPr>
        <w:pStyle w:val="ItemHead"/>
      </w:pPr>
      <w:proofErr w:type="gramStart"/>
      <w:r>
        <w:t>1</w:t>
      </w:r>
      <w:r w:rsidR="00F5638C">
        <w:t xml:space="preserve">  </w:t>
      </w:r>
      <w:r w:rsidR="004A1222">
        <w:t>The</w:t>
      </w:r>
      <w:proofErr w:type="gramEnd"/>
      <w:r w:rsidR="004A1222">
        <w:t xml:space="preserve"> whole of the instrument</w:t>
      </w:r>
    </w:p>
    <w:p w14:paraId="4ADA9A26" w14:textId="2CB28519" w:rsidR="00F5638C" w:rsidRDefault="004A1222" w:rsidP="00F5638C">
      <w:pPr>
        <w:pStyle w:val="Item"/>
      </w:pPr>
      <w:r>
        <w:t>Repeal the instrument.</w:t>
      </w:r>
    </w:p>
    <w:p w14:paraId="7256B76F" w14:textId="3563251A" w:rsidR="00251066" w:rsidRDefault="00E72995" w:rsidP="00E72995">
      <w:pPr>
        <w:pStyle w:val="ActHead9"/>
      </w:pPr>
      <w:bookmarkStart w:id="18" w:name="_Toc101879552"/>
      <w:r w:rsidRPr="00E72995">
        <w:t>Insolvency Practice Rules (Corporations) 2016</w:t>
      </w:r>
      <w:bookmarkEnd w:id="18"/>
    </w:p>
    <w:p w14:paraId="37932772" w14:textId="7D7D3325" w:rsidR="00E72995" w:rsidRDefault="00A065E7" w:rsidP="00E72995">
      <w:pPr>
        <w:pStyle w:val="ItemHead"/>
      </w:pPr>
      <w:proofErr w:type="gramStart"/>
      <w:r>
        <w:t>2</w:t>
      </w:r>
      <w:r w:rsidR="00E72995">
        <w:t xml:space="preserve">  </w:t>
      </w:r>
      <w:r w:rsidR="005F7B16">
        <w:t>Section</w:t>
      </w:r>
      <w:proofErr w:type="gramEnd"/>
      <w:r w:rsidR="005F7B16">
        <w:t xml:space="preserve"> 75-140 (heading)</w:t>
      </w:r>
    </w:p>
    <w:p w14:paraId="11982653" w14:textId="76ABBEBB" w:rsidR="005F7B16" w:rsidRDefault="005F7B16" w:rsidP="005F7B16">
      <w:pPr>
        <w:pStyle w:val="Item"/>
      </w:pPr>
      <w:r>
        <w:t>Omit “of creditors”.</w:t>
      </w:r>
    </w:p>
    <w:p w14:paraId="49202695" w14:textId="1662FBBD" w:rsidR="005F7B16" w:rsidRDefault="00A065E7" w:rsidP="005F7B16">
      <w:pPr>
        <w:pStyle w:val="ItemHead"/>
      </w:pPr>
      <w:proofErr w:type="gramStart"/>
      <w:r>
        <w:t>3</w:t>
      </w:r>
      <w:r w:rsidR="005F7B16">
        <w:t xml:space="preserve">  Section</w:t>
      </w:r>
      <w:proofErr w:type="gramEnd"/>
      <w:r w:rsidR="005F7B16">
        <w:t xml:space="preserve"> 75-145 (heading)</w:t>
      </w:r>
    </w:p>
    <w:p w14:paraId="7174F0E0" w14:textId="77777777" w:rsidR="005F7B16" w:rsidRDefault="005F7B16" w:rsidP="005F7B16">
      <w:pPr>
        <w:pStyle w:val="Item"/>
      </w:pPr>
      <w:r>
        <w:t>Omit “of creditors”.</w:t>
      </w:r>
    </w:p>
    <w:p w14:paraId="73AFD51A" w14:textId="12367D60" w:rsidR="004F38D5" w:rsidRDefault="00A065E7" w:rsidP="004F38D5">
      <w:pPr>
        <w:pStyle w:val="ItemHead"/>
      </w:pPr>
      <w:proofErr w:type="gramStart"/>
      <w:r>
        <w:t>4</w:t>
      </w:r>
      <w:r w:rsidR="004F38D5">
        <w:t xml:space="preserve">  Subsection</w:t>
      </w:r>
      <w:proofErr w:type="gramEnd"/>
      <w:r w:rsidR="004F38D5">
        <w:t xml:space="preserve"> 75-265(2) and (3) (notes)</w:t>
      </w:r>
    </w:p>
    <w:p w14:paraId="06030F81" w14:textId="29C24FCE" w:rsidR="00FE57ED" w:rsidRPr="00FE57ED" w:rsidRDefault="00FE57ED" w:rsidP="00FE57ED">
      <w:pPr>
        <w:pStyle w:val="Item"/>
      </w:pPr>
      <w:r>
        <w:t>Repeal the notes.</w:t>
      </w:r>
    </w:p>
    <w:sectPr w:rsidR="00FE57ED" w:rsidRPr="00FE57ED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3FBA" w14:textId="77777777" w:rsidR="00133955" w:rsidRDefault="00133955" w:rsidP="00F5638C">
      <w:pPr>
        <w:spacing w:line="240" w:lineRule="auto"/>
      </w:pPr>
      <w:r>
        <w:separator/>
      </w:r>
    </w:p>
  </w:endnote>
  <w:endnote w:type="continuationSeparator" w:id="0">
    <w:p w14:paraId="2CF8463C" w14:textId="77777777" w:rsidR="00133955" w:rsidRDefault="00133955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4F03" w14:textId="11855565" w:rsidR="00C46975" w:rsidRDefault="00C469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329CA33" wp14:editId="677EB00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C22CDD" w14:textId="65885C4B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9CA3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47C22CDD" w14:textId="65885C4B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E246" w14:textId="576E65C5" w:rsidR="00C46975" w:rsidRDefault="00C469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430A1D" wp14:editId="01553FA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677B7" w14:textId="6CAD3CF7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30A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2D1677B7" w14:textId="6CAD3CF7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1869" w14:textId="77777777" w:rsidR="00F5638C" w:rsidRPr="00C46975" w:rsidRDefault="00F5638C" w:rsidP="00C46975">
    <w:pPr>
      <w:pStyle w:val="Footer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5292" w14:textId="7160E537" w:rsidR="00F5638C" w:rsidRPr="00E33C1C" w:rsidRDefault="00C469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D4661FF" wp14:editId="401C1F3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BFB51" w14:textId="3B75F2A0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661F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0;margin-top:793.7pt;width:347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622BFB51" w14:textId="3B75F2A0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1A125A49" w14:textId="77777777" w:rsidTr="006A4EA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A66AF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221188" w14:textId="1BEDE6C2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6465D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F7CDB" w14:textId="77777777" w:rsidR="00C46975" w:rsidRDefault="00C46975" w:rsidP="00830B62">
          <w:pPr>
            <w:spacing w:line="0" w:lineRule="atLeast"/>
            <w:jc w:val="right"/>
            <w:rPr>
              <w:sz w:val="18"/>
            </w:rPr>
          </w:pPr>
        </w:p>
        <w:p w14:paraId="13074C9A" w14:textId="1314A44B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13D23A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C57E" w14:textId="68762139" w:rsidR="00F5638C" w:rsidRPr="00E33C1C" w:rsidRDefault="00C469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5917"/>
    <w:bookmarkStart w:id="7" w:name="_Hlk26285918"/>
    <w:bookmarkStart w:id="8" w:name="_Hlk26285921"/>
    <w:bookmarkStart w:id="9" w:name="_Hlk26285922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6E57268" wp14:editId="5DCC05D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5F0AFF" w14:textId="5BCF3392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5726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0;margin-top:793.7pt;width:347.5pt;height:31.15pt;z-index:-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685F0AFF" w14:textId="5BCF3392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7943B873" w14:textId="77777777" w:rsidTr="006A4EA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963130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E9E40B" w14:textId="08DFBCF6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36F7F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5DE3929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5CA93AEA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5E6E" w14:textId="3ACF5EC2" w:rsidR="00A136F5" w:rsidRPr="00E33C1C" w:rsidRDefault="00C469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072F924" wp14:editId="2878724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54E995" w14:textId="38782AFE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2F92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0;margin-top:793.7pt;width:347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5D54E995" w14:textId="38782AFE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D4FF175" w14:textId="77777777" w:rsidTr="006A4EA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5882C5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9D8D1E" w14:textId="6F9BF5F0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36F7F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B99439" w14:textId="77777777" w:rsidR="00C46975" w:rsidRDefault="00C46975" w:rsidP="00830B62">
          <w:pPr>
            <w:spacing w:line="0" w:lineRule="atLeast"/>
            <w:jc w:val="right"/>
            <w:rPr>
              <w:sz w:val="18"/>
            </w:rPr>
          </w:pPr>
        </w:p>
        <w:p w14:paraId="793B91A9" w14:textId="11D26000" w:rsidR="00A136F5" w:rsidRDefault="00C36F7F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761C777" w14:textId="77777777" w:rsidR="00A136F5" w:rsidRPr="00ED79B6" w:rsidRDefault="00C36F7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A503" w14:textId="296B02FA" w:rsidR="007A6863" w:rsidRPr="00E33C1C" w:rsidRDefault="00C469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3" w:name="_Hlk26285929"/>
    <w:bookmarkStart w:id="24" w:name="_Hlk26285930"/>
    <w:bookmarkStart w:id="25" w:name="_Hlk26285933"/>
    <w:bookmarkStart w:id="26" w:name="_Hlk26285934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95DED11" wp14:editId="2B4B5C8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BD483F" w14:textId="3D973C05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ED1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0;margin-top:793.7pt;width:347.5pt;height:31.1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6CBD483F" w14:textId="3D973C05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BEE7239" w14:textId="77777777" w:rsidTr="006A4E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903277" w14:textId="77777777" w:rsidR="007A6863" w:rsidRDefault="00C36F7F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ECD8EC" w14:textId="4D065197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36F7F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4A9978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  <w:bookmarkEnd w:id="25"/>
    <w:bookmarkEnd w:id="26"/>
  </w:tbl>
  <w:p w14:paraId="497F5C99" w14:textId="77777777" w:rsidR="007A6863" w:rsidRPr="00ED79B6" w:rsidRDefault="00C36F7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EF54" w14:textId="77777777" w:rsidR="00A136F5" w:rsidRPr="00E33C1C" w:rsidRDefault="00C36F7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9" w:name="_Hlk26285931"/>
    <w:bookmarkStart w:id="30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1182456" w14:textId="77777777" w:rsidTr="006A4E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473784" w14:textId="77777777" w:rsidR="00A136F5" w:rsidRDefault="00C36F7F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29A02B" w14:textId="08FF1464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465D">
            <w:rPr>
              <w:i/>
              <w:sz w:val="18"/>
            </w:rPr>
            <w:t>Treasury Laws Amendment (Miscellaneous Amendments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F2439A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</w:tbl>
  <w:p w14:paraId="0AFDD39A" w14:textId="77777777" w:rsidR="00A136F5" w:rsidRPr="00ED79B6" w:rsidRDefault="00C36F7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69A3" w14:textId="77777777" w:rsidR="00133955" w:rsidRDefault="00133955" w:rsidP="00F5638C">
      <w:pPr>
        <w:spacing w:line="240" w:lineRule="auto"/>
      </w:pPr>
      <w:r>
        <w:separator/>
      </w:r>
    </w:p>
  </w:footnote>
  <w:footnote w:type="continuationSeparator" w:id="0">
    <w:p w14:paraId="38B1005D" w14:textId="77777777" w:rsidR="00133955" w:rsidRDefault="00133955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EE4B" w14:textId="6F9F252F" w:rsidR="00F5638C" w:rsidRPr="005F1388" w:rsidRDefault="00C4697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6274B5" wp14:editId="6710E7D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7E07B2" w14:textId="300C35A0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274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277E07B2" w14:textId="300C35A0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08CA" w14:textId="3D9F60A5" w:rsidR="00F5638C" w:rsidRPr="005F1388" w:rsidRDefault="00C4697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4B7BCD" wp14:editId="49BD58C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64B227" w14:textId="61D23123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B7B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364B227" w14:textId="61D23123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E471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E31D" w14:textId="645760C1" w:rsidR="00F5638C" w:rsidRPr="00ED79B6" w:rsidRDefault="00C46975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7AE93" wp14:editId="7F74479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B7778A" w14:textId="4CAAF53B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7AE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27B7778A" w14:textId="4CAAF53B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7E97" w14:textId="48B3F98D" w:rsidR="00F5638C" w:rsidRPr="00ED79B6" w:rsidRDefault="00C46975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796A71" wp14:editId="28ED11E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BAAF0" w14:textId="5E399D50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96A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763BAAF0" w14:textId="5E399D50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315D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C0E3" w14:textId="6379D9FF" w:rsidR="0048364F" w:rsidRPr="00A961C4" w:rsidRDefault="00C46975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7D3D1942" wp14:editId="6AFE434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BDEDFB" w14:textId="7C85397F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D194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11.3pt;width:347.5pt;height:31.15pt;z-index:-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2CBDEDFB" w14:textId="7C85397F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C36F7F">
      <w:rPr>
        <w:b/>
        <w:sz w:val="20"/>
      </w:rPr>
      <w:fldChar w:fldCharType="separate"/>
    </w:r>
    <w:r w:rsidR="00C36F7F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C36F7F">
      <w:rPr>
        <w:sz w:val="20"/>
      </w:rPr>
      <w:fldChar w:fldCharType="separate"/>
    </w:r>
    <w:r w:rsidR="00C36F7F">
      <w:rPr>
        <w:noProof/>
        <w:sz w:val="20"/>
      </w:rPr>
      <w:t>Amendments</w:t>
    </w:r>
    <w:r w:rsidR="003C1503">
      <w:rPr>
        <w:sz w:val="20"/>
      </w:rPr>
      <w:fldChar w:fldCharType="end"/>
    </w:r>
  </w:p>
  <w:p w14:paraId="0B92BB14" w14:textId="4D488CAE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71FB66D" w14:textId="77777777" w:rsidR="0048364F" w:rsidRPr="00A961C4" w:rsidRDefault="00C36F7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FAE1" w14:textId="5FB77E25" w:rsidR="0048364F" w:rsidRPr="00A961C4" w:rsidRDefault="00C46975" w:rsidP="0048364F">
    <w:pPr>
      <w:jc w:val="right"/>
      <w:rPr>
        <w:sz w:val="20"/>
      </w:rPr>
    </w:pPr>
    <w:bookmarkStart w:id="19" w:name="_Hlk26285923"/>
    <w:bookmarkStart w:id="20" w:name="_Hlk26285924"/>
    <w:bookmarkStart w:id="21" w:name="_Hlk26285927"/>
    <w:bookmarkStart w:id="22" w:name="_Hlk26285928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3970F695" wp14:editId="67B627E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5815CF" w14:textId="128F229E" w:rsidR="00C46975" w:rsidRPr="00C46975" w:rsidRDefault="00C46975" w:rsidP="00C469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465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0F6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0;margin-top:11.3pt;width:347.5pt;height:31.15pt;z-index:-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45815CF" w14:textId="128F229E" w:rsidR="00C46975" w:rsidRPr="00C46975" w:rsidRDefault="00C46975" w:rsidP="00C469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465D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end"/>
    </w:r>
  </w:p>
  <w:p w14:paraId="46084C46" w14:textId="78CA857F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9"/>
  <w:bookmarkEnd w:id="20"/>
  <w:bookmarkEnd w:id="21"/>
  <w:bookmarkEnd w:id="22"/>
  <w:p w14:paraId="4762FEA8" w14:textId="77777777" w:rsidR="0048364F" w:rsidRPr="00A961C4" w:rsidRDefault="00C36F7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D072" w14:textId="77777777" w:rsidR="0048364F" w:rsidRPr="00A961C4" w:rsidRDefault="00C36F7F" w:rsidP="0048364F">
    <w:bookmarkStart w:id="27" w:name="_Hlk26285925"/>
    <w:bookmarkStart w:id="28" w:name="_Hlk26285926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A6"/>
    <w:rsid w:val="000319BC"/>
    <w:rsid w:val="000B0955"/>
    <w:rsid w:val="00133955"/>
    <w:rsid w:val="00187992"/>
    <w:rsid w:val="001C7CB2"/>
    <w:rsid w:val="00251066"/>
    <w:rsid w:val="003C1503"/>
    <w:rsid w:val="004A1222"/>
    <w:rsid w:val="004E2206"/>
    <w:rsid w:val="004F38D5"/>
    <w:rsid w:val="005F7B16"/>
    <w:rsid w:val="006A4EA6"/>
    <w:rsid w:val="006E1FC2"/>
    <w:rsid w:val="0076773E"/>
    <w:rsid w:val="007B36DB"/>
    <w:rsid w:val="00873E71"/>
    <w:rsid w:val="009B15A1"/>
    <w:rsid w:val="00A065E7"/>
    <w:rsid w:val="00AF7885"/>
    <w:rsid w:val="00B74B49"/>
    <w:rsid w:val="00C30D9B"/>
    <w:rsid w:val="00C36F7F"/>
    <w:rsid w:val="00C46975"/>
    <w:rsid w:val="00C6465D"/>
    <w:rsid w:val="00C776FF"/>
    <w:rsid w:val="00C9209D"/>
    <w:rsid w:val="00C9500F"/>
    <w:rsid w:val="00D04271"/>
    <w:rsid w:val="00D74395"/>
    <w:rsid w:val="00DA5BE9"/>
    <w:rsid w:val="00E0611F"/>
    <w:rsid w:val="00E72995"/>
    <w:rsid w:val="00EA5108"/>
    <w:rsid w:val="00F5638C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87E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(Miscellaneous Amendments No. 1) Instrument 2022</dc:title>
  <dc:subject/>
  <dc:creator/>
  <cp:keywords/>
  <dc:description/>
  <cp:lastModifiedBy/>
  <cp:revision>1</cp:revision>
  <dcterms:created xsi:type="dcterms:W3CDTF">2022-09-01T07:13:00Z</dcterms:created>
  <dcterms:modified xsi:type="dcterms:W3CDTF">2022-09-01T07:13:00Z</dcterms:modified>
</cp:coreProperties>
</file>