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442289537"/>
        <w:docPartObj>
          <w:docPartGallery w:val="Cover Pages"/>
          <w:docPartUnique/>
        </w:docPartObj>
      </w:sdtPr>
      <w:sdtEndPr/>
      <w:sdtContent>
        <w:p w14:paraId="32331036" w14:textId="48D957A9" w:rsidR="00A97160" w:rsidRPr="006D0240" w:rsidRDefault="00A97160" w:rsidP="006469CC">
          <w:pPr>
            <w:pStyle w:val="ListParagraph"/>
          </w:pPr>
          <w:r>
            <w:rPr>
              <w:noProof/>
            </w:rPr>
            <w:drawing>
              <wp:anchor distT="0" distB="0" distL="114300" distR="114300" simplePos="0" relativeHeight="251658240" behindDoc="1" locked="0" layoutInCell="1" allowOverlap="1" wp14:anchorId="6C37A3B5" wp14:editId="37BAFFAC">
                <wp:simplePos x="0" y="0"/>
                <wp:positionH relativeFrom="margin">
                  <wp:posOffset>-909955</wp:posOffset>
                </wp:positionH>
                <wp:positionV relativeFrom="page">
                  <wp:posOffset>-18560</wp:posOffset>
                </wp:positionV>
                <wp:extent cx="7570800" cy="10709019"/>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0800" cy="107090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01AECC" w14:textId="77777777" w:rsidR="00A97160" w:rsidRPr="006D0240" w:rsidRDefault="00A97160" w:rsidP="00301755">
          <w:pPr>
            <w:pStyle w:val="Header"/>
            <w:spacing w:after="1200"/>
          </w:pPr>
        </w:p>
        <w:p w14:paraId="09F12642" w14:textId="77777777" w:rsidR="00CE5E87" w:rsidRDefault="00CE5E87" w:rsidP="002A7A31">
          <w:pPr>
            <w:pStyle w:val="Title"/>
            <w:tabs>
              <w:tab w:val="left" w:pos="6379"/>
            </w:tabs>
            <w:spacing w:after="120" w:line="720" w:lineRule="exact"/>
            <w:ind w:right="1982"/>
          </w:pPr>
        </w:p>
        <w:p w14:paraId="179BC505" w14:textId="0F372396" w:rsidR="00A97160" w:rsidRDefault="00A519D0" w:rsidP="002A7A31">
          <w:pPr>
            <w:pStyle w:val="Title"/>
            <w:tabs>
              <w:tab w:val="left" w:pos="6379"/>
            </w:tabs>
            <w:spacing w:after="120" w:line="720" w:lineRule="exact"/>
            <w:ind w:right="1982"/>
          </w:pPr>
          <w:r w:rsidRPr="00A519D0">
            <w:t>National licensing f</w:t>
          </w:r>
          <w:r w:rsidR="00CE5E87">
            <w:t>or</w:t>
          </w:r>
          <w:r>
            <w:t xml:space="preserve"> </w:t>
          </w:r>
          <w:r w:rsidRPr="00A519D0">
            <w:t>electrical occupations</w:t>
          </w:r>
        </w:p>
        <w:p w14:paraId="70E7F820" w14:textId="77777777" w:rsidR="00A519D0" w:rsidRPr="00A519D0" w:rsidRDefault="00A519D0" w:rsidP="00A519D0"/>
        <w:p w14:paraId="4DE1FC80" w14:textId="4C3A2CA7" w:rsidR="00A97160" w:rsidRPr="006923DF" w:rsidRDefault="00A519D0" w:rsidP="004C2902">
          <w:pPr>
            <w:pStyle w:val="Subtitle"/>
            <w:spacing w:after="360"/>
          </w:pPr>
          <w:r w:rsidRPr="00A519D0">
            <w:rPr>
              <w:color w:val="000000" w:themeColor="text1"/>
            </w:rPr>
            <w:t>Issues paper</w:t>
          </w:r>
        </w:p>
        <w:p w14:paraId="71A0905D" w14:textId="0D163668" w:rsidR="00A97160" w:rsidRPr="00586605" w:rsidRDefault="0034606A" w:rsidP="006923DF">
          <w:pPr>
            <w:pStyle w:val="ReportDate"/>
          </w:pPr>
          <w:r>
            <w:rPr>
              <w:rStyle w:val="ReportDateChar"/>
            </w:rPr>
            <w:t>August</w:t>
          </w:r>
          <w:r w:rsidR="006F3E90">
            <w:rPr>
              <w:rStyle w:val="ReportDateChar"/>
            </w:rPr>
            <w:t xml:space="preserve"> </w:t>
          </w:r>
          <w:r w:rsidR="00A519D0">
            <w:rPr>
              <w:rStyle w:val="ReportDateChar"/>
            </w:rPr>
            <w:t>2025</w:t>
          </w:r>
        </w:p>
        <w:p w14:paraId="37CF4622" w14:textId="77777777" w:rsidR="00A97160" w:rsidRDefault="00A97160">
          <w:pPr>
            <w:spacing w:before="0" w:after="160" w:line="259" w:lineRule="auto"/>
            <w:rPr>
              <w:noProof/>
            </w:rPr>
          </w:pPr>
        </w:p>
        <w:p w14:paraId="2B1F5E6D" w14:textId="77777777" w:rsidR="00A97160" w:rsidRDefault="00A97160" w:rsidP="00BE7EA5">
          <w:pPr>
            <w:spacing w:before="0" w:after="160" w:line="259" w:lineRule="auto"/>
            <w:rPr>
              <w:noProof/>
            </w:rPr>
          </w:pPr>
        </w:p>
        <w:p w14:paraId="2D8F2F10" w14:textId="368F649E" w:rsidR="00B775EE" w:rsidRDefault="00A97160">
          <w:pPr>
            <w:spacing w:before="0" w:after="160" w:line="259" w:lineRule="auto"/>
          </w:pPr>
          <w:r>
            <w:br w:type="page"/>
          </w:r>
        </w:p>
      </w:sdtContent>
    </w:sdt>
    <w:p w14:paraId="75B9DDA5" w14:textId="2803EB1E" w:rsidR="000E0B74" w:rsidRDefault="000E0B74" w:rsidP="005877AC">
      <w:pPr>
        <w:spacing w:before="0" w:after="160" w:line="259" w:lineRule="auto"/>
      </w:pPr>
      <w:r w:rsidRPr="00661BF0">
        <w:lastRenderedPageBreak/>
        <w:t xml:space="preserve">© Commonwealth of Australia </w:t>
      </w:r>
      <w:r w:rsidRPr="00A519D0">
        <w:t>20</w:t>
      </w:r>
      <w:r w:rsidR="00D64CEC" w:rsidRPr="00A519D0">
        <w:t>2</w:t>
      </w:r>
      <w:r w:rsidR="00A519D0" w:rsidRPr="00A519D0">
        <w:t>5</w:t>
      </w:r>
    </w:p>
    <w:p w14:paraId="767904F0" w14:textId="26B5DFA2"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8"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9"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1BBF7116" w14:textId="77777777" w:rsidR="000E0B74" w:rsidRDefault="000E0B74" w:rsidP="000E0B74">
      <w:pPr>
        <w:pStyle w:val="ChartGraphic"/>
        <w:jc w:val="left"/>
      </w:pPr>
      <w:r w:rsidRPr="00E56DFB">
        <w:rPr>
          <w:noProof/>
        </w:rPr>
        <w:drawing>
          <wp:inline distT="0" distB="0" distL="0" distR="0" wp14:anchorId="61B4ECB0" wp14:editId="74E8FE9D">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1A622340" w14:textId="762FDF5C"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1" w:history="1">
        <w:r w:rsidRPr="002F1BC2">
          <w:rPr>
            <w:rStyle w:val="Hyperlink"/>
          </w:rPr>
          <w:t>Creative Commons Attribution 3.0 Australia</w:t>
        </w:r>
      </w:hyperlink>
      <w:r w:rsidR="00A155F0">
        <w:t xml:space="preserve"> l</w:t>
      </w:r>
      <w:r w:rsidRPr="006627B4">
        <w:t>icence requires you to attribute the work (but not in any way that suggests that the Treasury endorse</w:t>
      </w:r>
      <w:r>
        <w:t>s you or your use of the work).</w:t>
      </w:r>
    </w:p>
    <w:p w14:paraId="41EF01F3" w14:textId="2598C5BC" w:rsidR="000E0B74" w:rsidRPr="006469CC" w:rsidRDefault="000E0B74" w:rsidP="006469CC">
      <w:pPr>
        <w:spacing w:before="240"/>
        <w:rPr>
          <w:b/>
        </w:rPr>
      </w:pPr>
      <w:r w:rsidRPr="006469CC">
        <w:rPr>
          <w:b/>
        </w:rPr>
        <w:t>Treasury material used ‘as supplied’</w:t>
      </w:r>
    </w:p>
    <w:p w14:paraId="092AADDC" w14:textId="77777777" w:rsidR="000E0B74" w:rsidRPr="00476F09" w:rsidRDefault="000E0B74" w:rsidP="00386297">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455C7796" w14:textId="777551E4" w:rsidR="000E0B74" w:rsidRPr="00A13A11" w:rsidRDefault="000E0B74" w:rsidP="000E0B74">
      <w:pPr>
        <w:ind w:firstLine="720"/>
      </w:pPr>
      <w:r w:rsidRPr="002F1BC2">
        <w:rPr>
          <w:i/>
        </w:rPr>
        <w:t xml:space="preserve">Source: The </w:t>
      </w:r>
      <w:r w:rsidRPr="002F1BC2">
        <w:rPr>
          <w:i/>
          <w:iCs/>
        </w:rPr>
        <w:t>Australian Government the Treasury</w:t>
      </w:r>
      <w:r>
        <w:t>.</w:t>
      </w:r>
    </w:p>
    <w:p w14:paraId="076484D8" w14:textId="77777777" w:rsidR="000E0B74" w:rsidRPr="006627B4" w:rsidRDefault="000E0B74" w:rsidP="000E0B74">
      <w:pPr>
        <w:spacing w:before="240"/>
      </w:pPr>
      <w:r w:rsidRPr="00CC63CC">
        <w:rPr>
          <w:b/>
        </w:rPr>
        <w:t>Derivative</w:t>
      </w:r>
      <w:r w:rsidRPr="006627B4">
        <w:t xml:space="preserve"> </w:t>
      </w:r>
      <w:r w:rsidRPr="00CC63CC">
        <w:rPr>
          <w:b/>
        </w:rPr>
        <w:t>material</w:t>
      </w:r>
    </w:p>
    <w:p w14:paraId="364913A8"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2C83EEEC" w14:textId="43CF6769" w:rsidR="000E0B74" w:rsidRPr="006627B4" w:rsidRDefault="000E0B74" w:rsidP="000E0B74">
      <w:pPr>
        <w:ind w:firstLine="720"/>
      </w:pPr>
      <w:r w:rsidRPr="002F1BC2">
        <w:rPr>
          <w:i/>
        </w:rPr>
        <w:t>Based on The Australian Government the Treasury data</w:t>
      </w:r>
      <w:r>
        <w:t>.</w:t>
      </w:r>
    </w:p>
    <w:p w14:paraId="5C7193DF" w14:textId="77777777" w:rsidR="000E0B74" w:rsidRPr="006627B4" w:rsidRDefault="000E0B74" w:rsidP="000E0B74">
      <w:pPr>
        <w:spacing w:before="240"/>
        <w:rPr>
          <w:b/>
        </w:rPr>
      </w:pPr>
      <w:r w:rsidRPr="006627B4">
        <w:rPr>
          <w:b/>
        </w:rPr>
        <w:t>Use of the Coat of Arms</w:t>
      </w:r>
    </w:p>
    <w:p w14:paraId="0C42BE70" w14:textId="2DF80B77" w:rsidR="005C503A" w:rsidRPr="005C503A" w:rsidRDefault="005C503A" w:rsidP="005C503A">
      <w:pPr>
        <w:spacing w:before="240"/>
      </w:pPr>
      <w:r w:rsidRPr="005C503A">
        <w:t xml:space="preserve">The terms under which the Coat of Arms can be used are set out on the Department of the Prime Minister and Cabinet website (see </w:t>
      </w:r>
      <w:hyperlink r:id="rId12" w:history="1">
        <w:r w:rsidR="00D64CEC">
          <w:rPr>
            <w:rStyle w:val="Hyperlink"/>
          </w:rPr>
          <w:t>https://www.pmc.gov.au/honours-and-symbols/commonwealth-coat-arms</w:t>
        </w:r>
      </w:hyperlink>
      <w:r w:rsidRPr="005C503A">
        <w:t>).</w:t>
      </w:r>
    </w:p>
    <w:p w14:paraId="77907BCB" w14:textId="77777777" w:rsidR="000E0B74" w:rsidRPr="006627B4" w:rsidRDefault="000E0B74" w:rsidP="000E0B74">
      <w:pPr>
        <w:spacing w:before="240"/>
        <w:rPr>
          <w:b/>
        </w:rPr>
      </w:pPr>
      <w:r>
        <w:rPr>
          <w:b/>
        </w:rPr>
        <w:t>Other u</w:t>
      </w:r>
      <w:r w:rsidRPr="006627B4">
        <w:rPr>
          <w:b/>
        </w:rPr>
        <w:t>ses</w:t>
      </w:r>
    </w:p>
    <w:p w14:paraId="7CEA01EB" w14:textId="77777777" w:rsidR="000E0B74" w:rsidRPr="006627B4" w:rsidRDefault="000E0B74" w:rsidP="000E0B74">
      <w:r>
        <w:t>E</w:t>
      </w:r>
      <w:r w:rsidRPr="006627B4">
        <w:t>nquiries regarding this licence and any other use of this document are welcome at:</w:t>
      </w:r>
    </w:p>
    <w:p w14:paraId="38589938" w14:textId="26D4DD96" w:rsidR="000E0B74" w:rsidRPr="002F1BC2" w:rsidRDefault="000E0B74" w:rsidP="000E0B74">
      <w:pPr>
        <w:ind w:left="720"/>
        <w:rPr>
          <w:rStyle w:val="Hyperlink"/>
        </w:rPr>
      </w:pPr>
      <w:r w:rsidRPr="006627B4">
        <w:t>Manager</w:t>
      </w:r>
      <w:r w:rsidR="00A72960">
        <w:br/>
      </w:r>
      <w:r>
        <w:t>Media Unit</w:t>
      </w:r>
      <w:r>
        <w:br/>
      </w:r>
      <w:r w:rsidRPr="006627B4">
        <w:t>The Treasury</w:t>
      </w:r>
      <w:r>
        <w:br/>
      </w:r>
      <w:r w:rsidRPr="006627B4">
        <w:t xml:space="preserve">Langton Crescent </w:t>
      </w:r>
      <w:r>
        <w:br/>
      </w:r>
      <w:r w:rsidRPr="006627B4">
        <w:t xml:space="preserve">Parkes ACT </w:t>
      </w:r>
      <w:r>
        <w:t xml:space="preserve"> </w:t>
      </w:r>
      <w:r w:rsidRPr="006627B4">
        <w:t>2600</w:t>
      </w:r>
      <w:r>
        <w:br/>
      </w:r>
      <w:r w:rsidRPr="006627B4">
        <w:t xml:space="preserve">Email: </w:t>
      </w:r>
      <w:hyperlink r:id="rId13" w:history="1">
        <w:r w:rsidR="00386297">
          <w:rPr>
            <w:rStyle w:val="Hyperlink"/>
          </w:rPr>
          <w:t>media@treasury.gov.au</w:t>
        </w:r>
      </w:hyperlink>
    </w:p>
    <w:p w14:paraId="39FAD522" w14:textId="77777777" w:rsidR="00F836F9" w:rsidRDefault="00F836F9" w:rsidP="000E0B74">
      <w:pPr>
        <w:pStyle w:val="Heading1"/>
        <w:sectPr w:rsidR="00F836F9" w:rsidSect="00954488">
          <w:headerReference w:type="even" r:id="rId14"/>
          <w:footerReference w:type="even" r:id="rId15"/>
          <w:headerReference w:type="first" r:id="rId16"/>
          <w:footerReference w:type="first" r:id="rId17"/>
          <w:pgSz w:w="11906" w:h="16838" w:code="9"/>
          <w:pgMar w:top="1843" w:right="1418" w:bottom="1418" w:left="1418" w:header="709" w:footer="709" w:gutter="0"/>
          <w:pgNumType w:fmt="lowerRoman" w:start="0"/>
          <w:cols w:space="708"/>
          <w:titlePg/>
          <w:docGrid w:linePitch="360"/>
        </w:sectPr>
      </w:pPr>
    </w:p>
    <w:p w14:paraId="0F70E3AA" w14:textId="77777777" w:rsidR="00AA16A6" w:rsidRDefault="000E0B74" w:rsidP="00386297">
      <w:pPr>
        <w:pStyle w:val="Heading1"/>
        <w:rPr>
          <w:noProof/>
        </w:rPr>
      </w:pPr>
      <w:bookmarkStart w:id="0" w:name="_Toc111026801"/>
      <w:bookmarkStart w:id="1" w:name="_Toc207008639"/>
      <w:r w:rsidRPr="001F1B27">
        <w:lastRenderedPageBreak/>
        <w:t>Contents</w:t>
      </w:r>
      <w:bookmarkEnd w:id="0"/>
      <w:bookmarkEnd w:id="1"/>
      <w:r>
        <w:rPr>
          <w:noProof/>
          <w:color w:val="004A7F"/>
          <w:szCs w:val="22"/>
        </w:rPr>
        <w:fldChar w:fldCharType="begin"/>
      </w:r>
      <w:r w:rsidRPr="0025652F">
        <w:instrText xml:space="preserve"> TOC \o "1-3" \h \z \u </w:instrText>
      </w:r>
      <w:r>
        <w:rPr>
          <w:noProof/>
          <w:color w:val="004A7F"/>
          <w:szCs w:val="22"/>
        </w:rPr>
        <w:fldChar w:fldCharType="separate"/>
      </w:r>
    </w:p>
    <w:p w14:paraId="78DAA37B" w14:textId="59360F04" w:rsidR="00AA16A6" w:rsidRDefault="00AA16A6">
      <w:pPr>
        <w:pStyle w:val="TOC1"/>
        <w:rPr>
          <w:rFonts w:asciiTheme="minorHAnsi" w:eastAsiaTheme="minorEastAsia" w:hAnsiTheme="minorHAnsi" w:cstheme="minorBidi"/>
          <w:b w:val="0"/>
          <w:color w:val="auto"/>
          <w:kern w:val="2"/>
          <w:sz w:val="24"/>
          <w:szCs w:val="24"/>
          <w14:ligatures w14:val="standardContextual"/>
        </w:rPr>
      </w:pPr>
      <w:hyperlink w:anchor="_Toc207008639" w:history="1">
        <w:r w:rsidRPr="00D320CE">
          <w:rPr>
            <w:rStyle w:val="Hyperlink"/>
          </w:rPr>
          <w:t>Contents</w:t>
        </w:r>
        <w:r>
          <w:rPr>
            <w:webHidden/>
          </w:rPr>
          <w:tab/>
        </w:r>
        <w:r>
          <w:rPr>
            <w:webHidden/>
          </w:rPr>
          <w:fldChar w:fldCharType="begin"/>
        </w:r>
        <w:r>
          <w:rPr>
            <w:webHidden/>
          </w:rPr>
          <w:instrText xml:space="preserve"> PAGEREF _Toc207008639 \h </w:instrText>
        </w:r>
        <w:r>
          <w:rPr>
            <w:webHidden/>
          </w:rPr>
        </w:r>
        <w:r>
          <w:rPr>
            <w:webHidden/>
          </w:rPr>
          <w:fldChar w:fldCharType="separate"/>
        </w:r>
        <w:r w:rsidR="00AA449F">
          <w:rPr>
            <w:webHidden/>
          </w:rPr>
          <w:t>2</w:t>
        </w:r>
        <w:r>
          <w:rPr>
            <w:webHidden/>
          </w:rPr>
          <w:fldChar w:fldCharType="end"/>
        </w:r>
      </w:hyperlink>
    </w:p>
    <w:p w14:paraId="76BEA4C2" w14:textId="29100CC5" w:rsidR="00AA16A6" w:rsidRDefault="00AA16A6">
      <w:pPr>
        <w:pStyle w:val="TOC1"/>
        <w:rPr>
          <w:rFonts w:asciiTheme="minorHAnsi" w:eastAsiaTheme="minorEastAsia" w:hAnsiTheme="minorHAnsi" w:cstheme="minorBidi"/>
          <w:b w:val="0"/>
          <w:color w:val="auto"/>
          <w:kern w:val="2"/>
          <w:sz w:val="24"/>
          <w:szCs w:val="24"/>
          <w14:ligatures w14:val="standardContextual"/>
        </w:rPr>
      </w:pPr>
      <w:hyperlink w:anchor="_Toc207008640" w:history="1">
        <w:r w:rsidRPr="00D320CE">
          <w:rPr>
            <w:rStyle w:val="Hyperlink"/>
          </w:rPr>
          <w:t>Consultation Process</w:t>
        </w:r>
        <w:r>
          <w:rPr>
            <w:webHidden/>
          </w:rPr>
          <w:tab/>
        </w:r>
        <w:r>
          <w:rPr>
            <w:webHidden/>
          </w:rPr>
          <w:fldChar w:fldCharType="begin"/>
        </w:r>
        <w:r>
          <w:rPr>
            <w:webHidden/>
          </w:rPr>
          <w:instrText xml:space="preserve"> PAGEREF _Toc207008640 \h </w:instrText>
        </w:r>
        <w:r>
          <w:rPr>
            <w:webHidden/>
          </w:rPr>
        </w:r>
        <w:r>
          <w:rPr>
            <w:webHidden/>
          </w:rPr>
          <w:fldChar w:fldCharType="separate"/>
        </w:r>
        <w:r w:rsidR="00AA449F">
          <w:rPr>
            <w:webHidden/>
          </w:rPr>
          <w:t>3</w:t>
        </w:r>
        <w:r>
          <w:rPr>
            <w:webHidden/>
          </w:rPr>
          <w:fldChar w:fldCharType="end"/>
        </w:r>
      </w:hyperlink>
    </w:p>
    <w:p w14:paraId="0AC3A915" w14:textId="49E5E66F" w:rsidR="00AA16A6" w:rsidRDefault="00AA16A6">
      <w:pPr>
        <w:pStyle w:val="TOC2"/>
        <w:rPr>
          <w:rFonts w:asciiTheme="minorHAnsi" w:eastAsiaTheme="minorEastAsia" w:hAnsiTheme="minorHAnsi" w:cstheme="minorBidi"/>
          <w:color w:val="auto"/>
          <w:kern w:val="2"/>
          <w:sz w:val="24"/>
          <w:szCs w:val="24"/>
          <w14:ligatures w14:val="standardContextual"/>
        </w:rPr>
      </w:pPr>
      <w:hyperlink w:anchor="_Toc207008641" w:history="1">
        <w:r w:rsidRPr="00D320CE">
          <w:rPr>
            <w:rStyle w:val="Hyperlink"/>
          </w:rPr>
          <w:t>Purpose of the paper</w:t>
        </w:r>
        <w:r>
          <w:rPr>
            <w:webHidden/>
          </w:rPr>
          <w:tab/>
        </w:r>
        <w:r>
          <w:rPr>
            <w:webHidden/>
          </w:rPr>
          <w:fldChar w:fldCharType="begin"/>
        </w:r>
        <w:r>
          <w:rPr>
            <w:webHidden/>
          </w:rPr>
          <w:instrText xml:space="preserve"> PAGEREF _Toc207008641 \h </w:instrText>
        </w:r>
        <w:r>
          <w:rPr>
            <w:webHidden/>
          </w:rPr>
        </w:r>
        <w:r>
          <w:rPr>
            <w:webHidden/>
          </w:rPr>
          <w:fldChar w:fldCharType="separate"/>
        </w:r>
        <w:r w:rsidR="00AA449F">
          <w:rPr>
            <w:webHidden/>
          </w:rPr>
          <w:t>3</w:t>
        </w:r>
        <w:r>
          <w:rPr>
            <w:webHidden/>
          </w:rPr>
          <w:fldChar w:fldCharType="end"/>
        </w:r>
      </w:hyperlink>
    </w:p>
    <w:p w14:paraId="0F3A2ED3" w14:textId="2E97E968" w:rsidR="00AA16A6" w:rsidRDefault="00AA16A6">
      <w:pPr>
        <w:pStyle w:val="TOC2"/>
        <w:rPr>
          <w:rFonts w:asciiTheme="minorHAnsi" w:eastAsiaTheme="minorEastAsia" w:hAnsiTheme="minorHAnsi" w:cstheme="minorBidi"/>
          <w:color w:val="auto"/>
          <w:kern w:val="2"/>
          <w:sz w:val="24"/>
          <w:szCs w:val="24"/>
          <w14:ligatures w14:val="standardContextual"/>
        </w:rPr>
      </w:pPr>
      <w:hyperlink w:anchor="_Toc207008642" w:history="1">
        <w:r w:rsidRPr="00D320CE">
          <w:rPr>
            <w:rStyle w:val="Hyperlink"/>
          </w:rPr>
          <w:t>How to make a submission</w:t>
        </w:r>
        <w:r>
          <w:rPr>
            <w:webHidden/>
          </w:rPr>
          <w:tab/>
        </w:r>
        <w:r>
          <w:rPr>
            <w:webHidden/>
          </w:rPr>
          <w:fldChar w:fldCharType="begin"/>
        </w:r>
        <w:r>
          <w:rPr>
            <w:webHidden/>
          </w:rPr>
          <w:instrText xml:space="preserve"> PAGEREF _Toc207008642 \h </w:instrText>
        </w:r>
        <w:r>
          <w:rPr>
            <w:webHidden/>
          </w:rPr>
        </w:r>
        <w:r>
          <w:rPr>
            <w:webHidden/>
          </w:rPr>
          <w:fldChar w:fldCharType="separate"/>
        </w:r>
        <w:r w:rsidR="00AA449F">
          <w:rPr>
            <w:webHidden/>
          </w:rPr>
          <w:t>3</w:t>
        </w:r>
        <w:r>
          <w:rPr>
            <w:webHidden/>
          </w:rPr>
          <w:fldChar w:fldCharType="end"/>
        </w:r>
      </w:hyperlink>
    </w:p>
    <w:p w14:paraId="4622FDDD" w14:textId="3E74DDFF" w:rsidR="00AA16A6" w:rsidRDefault="00AA16A6">
      <w:pPr>
        <w:pStyle w:val="TOC2"/>
        <w:rPr>
          <w:rFonts w:asciiTheme="minorHAnsi" w:eastAsiaTheme="minorEastAsia" w:hAnsiTheme="minorHAnsi" w:cstheme="minorBidi"/>
          <w:color w:val="auto"/>
          <w:kern w:val="2"/>
          <w:sz w:val="24"/>
          <w:szCs w:val="24"/>
          <w14:ligatures w14:val="standardContextual"/>
        </w:rPr>
      </w:pPr>
      <w:hyperlink w:anchor="_Toc207008643" w:history="1">
        <w:r w:rsidRPr="00D320CE">
          <w:rPr>
            <w:rStyle w:val="Hyperlink"/>
          </w:rPr>
          <w:t>Consultation process and next steps</w:t>
        </w:r>
        <w:r>
          <w:rPr>
            <w:webHidden/>
          </w:rPr>
          <w:tab/>
        </w:r>
        <w:r>
          <w:rPr>
            <w:webHidden/>
          </w:rPr>
          <w:fldChar w:fldCharType="begin"/>
        </w:r>
        <w:r>
          <w:rPr>
            <w:webHidden/>
          </w:rPr>
          <w:instrText xml:space="preserve"> PAGEREF _Toc207008643 \h </w:instrText>
        </w:r>
        <w:r>
          <w:rPr>
            <w:webHidden/>
          </w:rPr>
        </w:r>
        <w:r>
          <w:rPr>
            <w:webHidden/>
          </w:rPr>
          <w:fldChar w:fldCharType="separate"/>
        </w:r>
        <w:r w:rsidR="00AA449F">
          <w:rPr>
            <w:webHidden/>
          </w:rPr>
          <w:t>3</w:t>
        </w:r>
        <w:r>
          <w:rPr>
            <w:webHidden/>
          </w:rPr>
          <w:fldChar w:fldCharType="end"/>
        </w:r>
      </w:hyperlink>
    </w:p>
    <w:p w14:paraId="4771DD61" w14:textId="455B0A77" w:rsidR="00AA16A6" w:rsidRDefault="00AA16A6">
      <w:pPr>
        <w:pStyle w:val="TOC1"/>
        <w:rPr>
          <w:rFonts w:asciiTheme="minorHAnsi" w:eastAsiaTheme="minorEastAsia" w:hAnsiTheme="minorHAnsi" w:cstheme="minorBidi"/>
          <w:b w:val="0"/>
          <w:color w:val="auto"/>
          <w:kern w:val="2"/>
          <w:sz w:val="24"/>
          <w:szCs w:val="24"/>
          <w14:ligatures w14:val="standardContextual"/>
        </w:rPr>
      </w:pPr>
      <w:hyperlink w:anchor="_Toc207008644" w:history="1">
        <w:r w:rsidRPr="00D320CE">
          <w:rPr>
            <w:rStyle w:val="Hyperlink"/>
          </w:rPr>
          <w:t>A national licensing scheme for electrical occupations</w:t>
        </w:r>
        <w:r>
          <w:rPr>
            <w:webHidden/>
          </w:rPr>
          <w:tab/>
        </w:r>
        <w:r>
          <w:rPr>
            <w:webHidden/>
          </w:rPr>
          <w:fldChar w:fldCharType="begin"/>
        </w:r>
        <w:r>
          <w:rPr>
            <w:webHidden/>
          </w:rPr>
          <w:instrText xml:space="preserve"> PAGEREF _Toc207008644 \h </w:instrText>
        </w:r>
        <w:r>
          <w:rPr>
            <w:webHidden/>
          </w:rPr>
        </w:r>
        <w:r>
          <w:rPr>
            <w:webHidden/>
          </w:rPr>
          <w:fldChar w:fldCharType="separate"/>
        </w:r>
        <w:r w:rsidR="00AA449F">
          <w:rPr>
            <w:webHidden/>
          </w:rPr>
          <w:t>4</w:t>
        </w:r>
        <w:r>
          <w:rPr>
            <w:webHidden/>
          </w:rPr>
          <w:fldChar w:fldCharType="end"/>
        </w:r>
      </w:hyperlink>
    </w:p>
    <w:p w14:paraId="7646A0C3" w14:textId="255C4215" w:rsidR="00AA16A6" w:rsidRDefault="00AA16A6">
      <w:pPr>
        <w:pStyle w:val="TOC2"/>
        <w:rPr>
          <w:rFonts w:asciiTheme="minorHAnsi" w:eastAsiaTheme="minorEastAsia" w:hAnsiTheme="minorHAnsi" w:cstheme="minorBidi"/>
          <w:color w:val="auto"/>
          <w:kern w:val="2"/>
          <w:sz w:val="24"/>
          <w:szCs w:val="24"/>
          <w14:ligatures w14:val="standardContextual"/>
        </w:rPr>
      </w:pPr>
      <w:hyperlink w:anchor="_Toc207008645" w:history="1">
        <w:r w:rsidRPr="00D320CE">
          <w:rPr>
            <w:rStyle w:val="Hyperlink"/>
          </w:rPr>
          <w:t>Background</w:t>
        </w:r>
        <w:r>
          <w:rPr>
            <w:webHidden/>
          </w:rPr>
          <w:tab/>
        </w:r>
        <w:r>
          <w:rPr>
            <w:webHidden/>
          </w:rPr>
          <w:fldChar w:fldCharType="begin"/>
        </w:r>
        <w:r>
          <w:rPr>
            <w:webHidden/>
          </w:rPr>
          <w:instrText xml:space="preserve"> PAGEREF _Toc207008645 \h </w:instrText>
        </w:r>
        <w:r>
          <w:rPr>
            <w:webHidden/>
          </w:rPr>
        </w:r>
        <w:r>
          <w:rPr>
            <w:webHidden/>
          </w:rPr>
          <w:fldChar w:fldCharType="separate"/>
        </w:r>
        <w:r w:rsidR="00AA449F">
          <w:rPr>
            <w:webHidden/>
          </w:rPr>
          <w:t>4</w:t>
        </w:r>
        <w:r>
          <w:rPr>
            <w:webHidden/>
          </w:rPr>
          <w:fldChar w:fldCharType="end"/>
        </w:r>
      </w:hyperlink>
    </w:p>
    <w:p w14:paraId="0E924078" w14:textId="7C9C88AC" w:rsidR="00AA16A6" w:rsidRDefault="00AA16A6">
      <w:pPr>
        <w:pStyle w:val="TOC3"/>
        <w:rPr>
          <w:rFonts w:asciiTheme="minorHAnsi" w:eastAsiaTheme="minorEastAsia" w:hAnsiTheme="minorHAnsi" w:cstheme="minorBidi"/>
          <w:kern w:val="2"/>
          <w:sz w:val="24"/>
          <w:szCs w:val="24"/>
          <w14:ligatures w14:val="standardContextual"/>
        </w:rPr>
      </w:pPr>
      <w:hyperlink w:anchor="_Toc207008646" w:history="1">
        <w:r w:rsidRPr="00D320CE">
          <w:rPr>
            <w:rStyle w:val="Hyperlink"/>
          </w:rPr>
          <w:t>Why licence?</w:t>
        </w:r>
        <w:r>
          <w:rPr>
            <w:webHidden/>
          </w:rPr>
          <w:tab/>
        </w:r>
        <w:r>
          <w:rPr>
            <w:webHidden/>
          </w:rPr>
          <w:fldChar w:fldCharType="begin"/>
        </w:r>
        <w:r>
          <w:rPr>
            <w:webHidden/>
          </w:rPr>
          <w:instrText xml:space="preserve"> PAGEREF _Toc207008646 \h </w:instrText>
        </w:r>
        <w:r>
          <w:rPr>
            <w:webHidden/>
          </w:rPr>
        </w:r>
        <w:r>
          <w:rPr>
            <w:webHidden/>
          </w:rPr>
          <w:fldChar w:fldCharType="separate"/>
        </w:r>
        <w:r w:rsidR="00AA449F">
          <w:rPr>
            <w:webHidden/>
          </w:rPr>
          <w:t>4</w:t>
        </w:r>
        <w:r>
          <w:rPr>
            <w:webHidden/>
          </w:rPr>
          <w:fldChar w:fldCharType="end"/>
        </w:r>
      </w:hyperlink>
    </w:p>
    <w:p w14:paraId="1BBFF72A" w14:textId="1851CEBA" w:rsidR="00AA16A6" w:rsidRDefault="00AA16A6">
      <w:pPr>
        <w:pStyle w:val="TOC3"/>
        <w:rPr>
          <w:rFonts w:asciiTheme="minorHAnsi" w:eastAsiaTheme="minorEastAsia" w:hAnsiTheme="minorHAnsi" w:cstheme="minorBidi"/>
          <w:kern w:val="2"/>
          <w:sz w:val="24"/>
          <w:szCs w:val="24"/>
          <w14:ligatures w14:val="standardContextual"/>
        </w:rPr>
      </w:pPr>
      <w:hyperlink w:anchor="_Toc207008647" w:history="1">
        <w:r w:rsidRPr="00D320CE">
          <w:rPr>
            <w:rStyle w:val="Hyperlink"/>
          </w:rPr>
          <w:t>Australia’s electrical industry</w:t>
        </w:r>
        <w:r>
          <w:rPr>
            <w:webHidden/>
          </w:rPr>
          <w:tab/>
        </w:r>
        <w:r>
          <w:rPr>
            <w:webHidden/>
          </w:rPr>
          <w:fldChar w:fldCharType="begin"/>
        </w:r>
        <w:r>
          <w:rPr>
            <w:webHidden/>
          </w:rPr>
          <w:instrText xml:space="preserve"> PAGEREF _Toc207008647 \h </w:instrText>
        </w:r>
        <w:r>
          <w:rPr>
            <w:webHidden/>
          </w:rPr>
        </w:r>
        <w:r>
          <w:rPr>
            <w:webHidden/>
          </w:rPr>
          <w:fldChar w:fldCharType="separate"/>
        </w:r>
        <w:r w:rsidR="00AA449F">
          <w:rPr>
            <w:webHidden/>
          </w:rPr>
          <w:t>4</w:t>
        </w:r>
        <w:r>
          <w:rPr>
            <w:webHidden/>
          </w:rPr>
          <w:fldChar w:fldCharType="end"/>
        </w:r>
      </w:hyperlink>
    </w:p>
    <w:p w14:paraId="2E79C93F" w14:textId="2D5669E3" w:rsidR="00AA16A6" w:rsidRDefault="00AA16A6">
      <w:pPr>
        <w:pStyle w:val="TOC3"/>
        <w:rPr>
          <w:rFonts w:asciiTheme="minorHAnsi" w:eastAsiaTheme="minorEastAsia" w:hAnsiTheme="minorHAnsi" w:cstheme="minorBidi"/>
          <w:kern w:val="2"/>
          <w:sz w:val="24"/>
          <w:szCs w:val="24"/>
          <w14:ligatures w14:val="standardContextual"/>
        </w:rPr>
      </w:pPr>
      <w:hyperlink w:anchor="_Toc207008648" w:history="1">
        <w:r w:rsidRPr="00D320CE">
          <w:rPr>
            <w:rStyle w:val="Hyperlink"/>
          </w:rPr>
          <w:t>The opportunity for reform</w:t>
        </w:r>
        <w:r>
          <w:rPr>
            <w:webHidden/>
          </w:rPr>
          <w:tab/>
        </w:r>
        <w:r>
          <w:rPr>
            <w:webHidden/>
          </w:rPr>
          <w:fldChar w:fldCharType="begin"/>
        </w:r>
        <w:r>
          <w:rPr>
            <w:webHidden/>
          </w:rPr>
          <w:instrText xml:space="preserve"> PAGEREF _Toc207008648 \h </w:instrText>
        </w:r>
        <w:r>
          <w:rPr>
            <w:webHidden/>
          </w:rPr>
        </w:r>
        <w:r>
          <w:rPr>
            <w:webHidden/>
          </w:rPr>
          <w:fldChar w:fldCharType="separate"/>
        </w:r>
        <w:r w:rsidR="00AA449F">
          <w:rPr>
            <w:webHidden/>
          </w:rPr>
          <w:t>5</w:t>
        </w:r>
        <w:r>
          <w:rPr>
            <w:webHidden/>
          </w:rPr>
          <w:fldChar w:fldCharType="end"/>
        </w:r>
      </w:hyperlink>
    </w:p>
    <w:p w14:paraId="112A3834" w14:textId="299C0E17" w:rsidR="00AA16A6" w:rsidRDefault="00AA16A6">
      <w:pPr>
        <w:pStyle w:val="TOC2"/>
        <w:rPr>
          <w:rFonts w:asciiTheme="minorHAnsi" w:eastAsiaTheme="minorEastAsia" w:hAnsiTheme="minorHAnsi" w:cstheme="minorBidi"/>
          <w:color w:val="auto"/>
          <w:kern w:val="2"/>
          <w:sz w:val="24"/>
          <w:szCs w:val="24"/>
          <w14:ligatures w14:val="standardContextual"/>
        </w:rPr>
      </w:pPr>
      <w:hyperlink w:anchor="_Toc207008649" w:history="1">
        <w:r w:rsidRPr="00D320CE">
          <w:rPr>
            <w:rStyle w:val="Hyperlink"/>
          </w:rPr>
          <w:t>Current licensing arrangements</w:t>
        </w:r>
        <w:r>
          <w:rPr>
            <w:webHidden/>
          </w:rPr>
          <w:tab/>
        </w:r>
        <w:r>
          <w:rPr>
            <w:webHidden/>
          </w:rPr>
          <w:fldChar w:fldCharType="begin"/>
        </w:r>
        <w:r>
          <w:rPr>
            <w:webHidden/>
          </w:rPr>
          <w:instrText xml:space="preserve"> PAGEREF _Toc207008649 \h </w:instrText>
        </w:r>
        <w:r>
          <w:rPr>
            <w:webHidden/>
          </w:rPr>
        </w:r>
        <w:r>
          <w:rPr>
            <w:webHidden/>
          </w:rPr>
          <w:fldChar w:fldCharType="separate"/>
        </w:r>
        <w:r w:rsidR="00AA449F">
          <w:rPr>
            <w:webHidden/>
          </w:rPr>
          <w:t>6</w:t>
        </w:r>
        <w:r>
          <w:rPr>
            <w:webHidden/>
          </w:rPr>
          <w:fldChar w:fldCharType="end"/>
        </w:r>
      </w:hyperlink>
    </w:p>
    <w:p w14:paraId="1BBACCDA" w14:textId="2C422B13" w:rsidR="00AA16A6" w:rsidRDefault="00AA16A6">
      <w:pPr>
        <w:pStyle w:val="TOC3"/>
        <w:rPr>
          <w:rFonts w:asciiTheme="minorHAnsi" w:eastAsiaTheme="minorEastAsia" w:hAnsiTheme="minorHAnsi" w:cstheme="minorBidi"/>
          <w:kern w:val="2"/>
          <w:sz w:val="24"/>
          <w:szCs w:val="24"/>
          <w14:ligatures w14:val="standardContextual"/>
        </w:rPr>
      </w:pPr>
      <w:hyperlink w:anchor="_Toc207008650" w:history="1">
        <w:r w:rsidRPr="00D320CE">
          <w:rPr>
            <w:rStyle w:val="Hyperlink"/>
          </w:rPr>
          <w:t>Licensing is regulated by the states and territories</w:t>
        </w:r>
        <w:r>
          <w:rPr>
            <w:webHidden/>
          </w:rPr>
          <w:tab/>
        </w:r>
        <w:r>
          <w:rPr>
            <w:webHidden/>
          </w:rPr>
          <w:fldChar w:fldCharType="begin"/>
        </w:r>
        <w:r>
          <w:rPr>
            <w:webHidden/>
          </w:rPr>
          <w:instrText xml:space="preserve"> PAGEREF _Toc207008650 \h </w:instrText>
        </w:r>
        <w:r>
          <w:rPr>
            <w:webHidden/>
          </w:rPr>
        </w:r>
        <w:r>
          <w:rPr>
            <w:webHidden/>
          </w:rPr>
          <w:fldChar w:fldCharType="separate"/>
        </w:r>
        <w:r w:rsidR="00AA449F">
          <w:rPr>
            <w:webHidden/>
          </w:rPr>
          <w:t>6</w:t>
        </w:r>
        <w:r>
          <w:rPr>
            <w:webHidden/>
          </w:rPr>
          <w:fldChar w:fldCharType="end"/>
        </w:r>
      </w:hyperlink>
    </w:p>
    <w:p w14:paraId="6851963E" w14:textId="70A8B277" w:rsidR="00AA16A6" w:rsidRDefault="00AA16A6">
      <w:pPr>
        <w:pStyle w:val="TOC3"/>
        <w:rPr>
          <w:rFonts w:asciiTheme="minorHAnsi" w:eastAsiaTheme="minorEastAsia" w:hAnsiTheme="minorHAnsi" w:cstheme="minorBidi"/>
          <w:kern w:val="2"/>
          <w:sz w:val="24"/>
          <w:szCs w:val="24"/>
          <w14:ligatures w14:val="standardContextual"/>
        </w:rPr>
      </w:pPr>
      <w:hyperlink w:anchor="_Toc207008651" w:history="1">
        <w:r w:rsidRPr="00D320CE">
          <w:rPr>
            <w:rStyle w:val="Hyperlink"/>
          </w:rPr>
          <w:t>Mutual recognition</w:t>
        </w:r>
        <w:r>
          <w:rPr>
            <w:webHidden/>
          </w:rPr>
          <w:tab/>
        </w:r>
        <w:r>
          <w:rPr>
            <w:webHidden/>
          </w:rPr>
          <w:fldChar w:fldCharType="begin"/>
        </w:r>
        <w:r>
          <w:rPr>
            <w:webHidden/>
          </w:rPr>
          <w:instrText xml:space="preserve"> PAGEREF _Toc207008651 \h </w:instrText>
        </w:r>
        <w:r>
          <w:rPr>
            <w:webHidden/>
          </w:rPr>
        </w:r>
        <w:r>
          <w:rPr>
            <w:webHidden/>
          </w:rPr>
          <w:fldChar w:fldCharType="separate"/>
        </w:r>
        <w:r w:rsidR="00AA449F">
          <w:rPr>
            <w:webHidden/>
          </w:rPr>
          <w:t>8</w:t>
        </w:r>
        <w:r>
          <w:rPr>
            <w:webHidden/>
          </w:rPr>
          <w:fldChar w:fldCharType="end"/>
        </w:r>
      </w:hyperlink>
    </w:p>
    <w:p w14:paraId="1CFDBA91" w14:textId="525775E0" w:rsidR="00AA16A6" w:rsidRDefault="00AA16A6">
      <w:pPr>
        <w:pStyle w:val="TOC3"/>
        <w:rPr>
          <w:rFonts w:asciiTheme="minorHAnsi" w:eastAsiaTheme="minorEastAsia" w:hAnsiTheme="minorHAnsi" w:cstheme="minorBidi"/>
          <w:kern w:val="2"/>
          <w:sz w:val="24"/>
          <w:szCs w:val="24"/>
          <w14:ligatures w14:val="standardContextual"/>
        </w:rPr>
      </w:pPr>
      <w:hyperlink w:anchor="_Toc207008652" w:history="1">
        <w:r w:rsidRPr="00D320CE">
          <w:rPr>
            <w:rStyle w:val="Hyperlink"/>
          </w:rPr>
          <w:t>Previous attempts at national licensing</w:t>
        </w:r>
        <w:r>
          <w:rPr>
            <w:webHidden/>
          </w:rPr>
          <w:tab/>
        </w:r>
        <w:r>
          <w:rPr>
            <w:webHidden/>
          </w:rPr>
          <w:fldChar w:fldCharType="begin"/>
        </w:r>
        <w:r>
          <w:rPr>
            <w:webHidden/>
          </w:rPr>
          <w:instrText xml:space="preserve"> PAGEREF _Toc207008652 \h </w:instrText>
        </w:r>
        <w:r>
          <w:rPr>
            <w:webHidden/>
          </w:rPr>
        </w:r>
        <w:r>
          <w:rPr>
            <w:webHidden/>
          </w:rPr>
          <w:fldChar w:fldCharType="separate"/>
        </w:r>
        <w:r w:rsidR="00AA449F">
          <w:rPr>
            <w:webHidden/>
          </w:rPr>
          <w:t>8</w:t>
        </w:r>
        <w:r>
          <w:rPr>
            <w:webHidden/>
          </w:rPr>
          <w:fldChar w:fldCharType="end"/>
        </w:r>
      </w:hyperlink>
    </w:p>
    <w:p w14:paraId="4CEB11AF" w14:textId="655DC36E" w:rsidR="00AA16A6" w:rsidRDefault="00AA16A6">
      <w:pPr>
        <w:pStyle w:val="TOC3"/>
        <w:rPr>
          <w:rFonts w:asciiTheme="minorHAnsi" w:eastAsiaTheme="minorEastAsia" w:hAnsiTheme="minorHAnsi" w:cstheme="minorBidi"/>
          <w:kern w:val="2"/>
          <w:sz w:val="24"/>
          <w:szCs w:val="24"/>
          <w14:ligatures w14:val="standardContextual"/>
        </w:rPr>
      </w:pPr>
      <w:hyperlink w:anchor="_Toc207008653" w:history="1">
        <w:r w:rsidRPr="00D320CE">
          <w:rPr>
            <w:rStyle w:val="Hyperlink"/>
          </w:rPr>
          <w:t>East Coast Electrician’s Scheme</w:t>
        </w:r>
        <w:r>
          <w:rPr>
            <w:webHidden/>
          </w:rPr>
          <w:tab/>
        </w:r>
        <w:r>
          <w:rPr>
            <w:webHidden/>
          </w:rPr>
          <w:fldChar w:fldCharType="begin"/>
        </w:r>
        <w:r>
          <w:rPr>
            <w:webHidden/>
          </w:rPr>
          <w:instrText xml:space="preserve"> PAGEREF _Toc207008653 \h </w:instrText>
        </w:r>
        <w:r>
          <w:rPr>
            <w:webHidden/>
          </w:rPr>
        </w:r>
        <w:r>
          <w:rPr>
            <w:webHidden/>
          </w:rPr>
          <w:fldChar w:fldCharType="separate"/>
        </w:r>
        <w:r w:rsidR="00AA449F">
          <w:rPr>
            <w:webHidden/>
          </w:rPr>
          <w:t>9</w:t>
        </w:r>
        <w:r>
          <w:rPr>
            <w:webHidden/>
          </w:rPr>
          <w:fldChar w:fldCharType="end"/>
        </w:r>
      </w:hyperlink>
    </w:p>
    <w:p w14:paraId="71124B93" w14:textId="1F5C4E20" w:rsidR="00AA16A6" w:rsidRDefault="00AA16A6">
      <w:pPr>
        <w:pStyle w:val="TOC3"/>
        <w:rPr>
          <w:rFonts w:asciiTheme="minorHAnsi" w:eastAsiaTheme="minorEastAsia" w:hAnsiTheme="minorHAnsi" w:cstheme="minorBidi"/>
          <w:kern w:val="2"/>
          <w:sz w:val="24"/>
          <w:szCs w:val="24"/>
          <w14:ligatures w14:val="standardContextual"/>
        </w:rPr>
      </w:pPr>
      <w:hyperlink w:anchor="_Toc207008654" w:history="1">
        <w:r w:rsidRPr="00D320CE">
          <w:rPr>
            <w:rStyle w:val="Hyperlink"/>
          </w:rPr>
          <w:t>National automatic mutual recognition (AMR) scheme</w:t>
        </w:r>
        <w:r>
          <w:rPr>
            <w:webHidden/>
          </w:rPr>
          <w:tab/>
        </w:r>
        <w:r>
          <w:rPr>
            <w:webHidden/>
          </w:rPr>
          <w:fldChar w:fldCharType="begin"/>
        </w:r>
        <w:r>
          <w:rPr>
            <w:webHidden/>
          </w:rPr>
          <w:instrText xml:space="preserve"> PAGEREF _Toc207008654 \h </w:instrText>
        </w:r>
        <w:r>
          <w:rPr>
            <w:webHidden/>
          </w:rPr>
        </w:r>
        <w:r>
          <w:rPr>
            <w:webHidden/>
          </w:rPr>
          <w:fldChar w:fldCharType="separate"/>
        </w:r>
        <w:r w:rsidR="00AA449F">
          <w:rPr>
            <w:webHidden/>
          </w:rPr>
          <w:t>9</w:t>
        </w:r>
        <w:r>
          <w:rPr>
            <w:webHidden/>
          </w:rPr>
          <w:fldChar w:fldCharType="end"/>
        </w:r>
      </w:hyperlink>
    </w:p>
    <w:p w14:paraId="65EA40E8" w14:textId="0018BAD6" w:rsidR="00AA16A6" w:rsidRDefault="00AA16A6">
      <w:pPr>
        <w:pStyle w:val="TOC3"/>
        <w:rPr>
          <w:rFonts w:asciiTheme="minorHAnsi" w:eastAsiaTheme="minorEastAsia" w:hAnsiTheme="minorHAnsi" w:cstheme="minorBidi"/>
          <w:kern w:val="2"/>
          <w:sz w:val="24"/>
          <w:szCs w:val="24"/>
          <w14:ligatures w14:val="standardContextual"/>
        </w:rPr>
      </w:pPr>
      <w:hyperlink w:anchor="_Toc207008655" w:history="1">
        <w:r w:rsidRPr="00D320CE">
          <w:rPr>
            <w:rStyle w:val="Hyperlink"/>
          </w:rPr>
          <w:t>Barriers to mutual recognition remain</w:t>
        </w:r>
        <w:r>
          <w:rPr>
            <w:webHidden/>
          </w:rPr>
          <w:tab/>
        </w:r>
        <w:r>
          <w:rPr>
            <w:webHidden/>
          </w:rPr>
          <w:fldChar w:fldCharType="begin"/>
        </w:r>
        <w:r>
          <w:rPr>
            <w:webHidden/>
          </w:rPr>
          <w:instrText xml:space="preserve"> PAGEREF _Toc207008655 \h </w:instrText>
        </w:r>
        <w:r>
          <w:rPr>
            <w:webHidden/>
          </w:rPr>
        </w:r>
        <w:r>
          <w:rPr>
            <w:webHidden/>
          </w:rPr>
          <w:fldChar w:fldCharType="separate"/>
        </w:r>
        <w:r w:rsidR="00AA449F">
          <w:rPr>
            <w:webHidden/>
          </w:rPr>
          <w:t>10</w:t>
        </w:r>
        <w:r>
          <w:rPr>
            <w:webHidden/>
          </w:rPr>
          <w:fldChar w:fldCharType="end"/>
        </w:r>
      </w:hyperlink>
    </w:p>
    <w:p w14:paraId="66C903E2" w14:textId="3BBA20DA" w:rsidR="00AA16A6" w:rsidRDefault="00AA16A6">
      <w:pPr>
        <w:pStyle w:val="TOC2"/>
        <w:rPr>
          <w:rFonts w:asciiTheme="minorHAnsi" w:eastAsiaTheme="minorEastAsia" w:hAnsiTheme="minorHAnsi" w:cstheme="minorBidi"/>
          <w:color w:val="auto"/>
          <w:kern w:val="2"/>
          <w:sz w:val="24"/>
          <w:szCs w:val="24"/>
          <w14:ligatures w14:val="standardContextual"/>
        </w:rPr>
      </w:pPr>
      <w:hyperlink w:anchor="_Toc207008656" w:history="1">
        <w:r w:rsidRPr="00D320CE">
          <w:rPr>
            <w:rStyle w:val="Hyperlink"/>
          </w:rPr>
          <w:t>Comparison of jurisdictions</w:t>
        </w:r>
        <w:r>
          <w:rPr>
            <w:webHidden/>
          </w:rPr>
          <w:tab/>
        </w:r>
        <w:r>
          <w:rPr>
            <w:webHidden/>
          </w:rPr>
          <w:fldChar w:fldCharType="begin"/>
        </w:r>
        <w:r>
          <w:rPr>
            <w:webHidden/>
          </w:rPr>
          <w:instrText xml:space="preserve"> PAGEREF _Toc207008656 \h </w:instrText>
        </w:r>
        <w:r>
          <w:rPr>
            <w:webHidden/>
          </w:rPr>
        </w:r>
        <w:r>
          <w:rPr>
            <w:webHidden/>
          </w:rPr>
          <w:fldChar w:fldCharType="separate"/>
        </w:r>
        <w:r w:rsidR="00AA449F">
          <w:rPr>
            <w:webHidden/>
          </w:rPr>
          <w:t>11</w:t>
        </w:r>
        <w:r>
          <w:rPr>
            <w:webHidden/>
          </w:rPr>
          <w:fldChar w:fldCharType="end"/>
        </w:r>
      </w:hyperlink>
    </w:p>
    <w:p w14:paraId="48A6DBC1" w14:textId="6A9D0180" w:rsidR="00AA16A6" w:rsidRDefault="00AA16A6">
      <w:pPr>
        <w:pStyle w:val="TOC3"/>
        <w:rPr>
          <w:rFonts w:asciiTheme="minorHAnsi" w:eastAsiaTheme="minorEastAsia" w:hAnsiTheme="minorHAnsi" w:cstheme="minorBidi"/>
          <w:kern w:val="2"/>
          <w:sz w:val="24"/>
          <w:szCs w:val="24"/>
          <w14:ligatures w14:val="standardContextual"/>
        </w:rPr>
      </w:pPr>
      <w:hyperlink w:anchor="_Toc207008657" w:history="1">
        <w:r w:rsidRPr="00D320CE">
          <w:rPr>
            <w:rStyle w:val="Hyperlink"/>
          </w:rPr>
          <w:t>Extent of AMR and MR adopted by jurisdictions</w:t>
        </w:r>
        <w:r>
          <w:rPr>
            <w:webHidden/>
          </w:rPr>
          <w:tab/>
        </w:r>
        <w:r>
          <w:rPr>
            <w:webHidden/>
          </w:rPr>
          <w:fldChar w:fldCharType="begin"/>
        </w:r>
        <w:r>
          <w:rPr>
            <w:webHidden/>
          </w:rPr>
          <w:instrText xml:space="preserve"> PAGEREF _Toc207008657 \h </w:instrText>
        </w:r>
        <w:r>
          <w:rPr>
            <w:webHidden/>
          </w:rPr>
        </w:r>
        <w:r>
          <w:rPr>
            <w:webHidden/>
          </w:rPr>
          <w:fldChar w:fldCharType="separate"/>
        </w:r>
        <w:r w:rsidR="00AA449F">
          <w:rPr>
            <w:webHidden/>
          </w:rPr>
          <w:t>11</w:t>
        </w:r>
        <w:r>
          <w:rPr>
            <w:webHidden/>
          </w:rPr>
          <w:fldChar w:fldCharType="end"/>
        </w:r>
      </w:hyperlink>
    </w:p>
    <w:p w14:paraId="44494F1C" w14:textId="187063EE" w:rsidR="00AA16A6" w:rsidRDefault="00AA16A6">
      <w:pPr>
        <w:pStyle w:val="TOC3"/>
        <w:rPr>
          <w:rFonts w:asciiTheme="minorHAnsi" w:eastAsiaTheme="minorEastAsia" w:hAnsiTheme="minorHAnsi" w:cstheme="minorBidi"/>
          <w:kern w:val="2"/>
          <w:sz w:val="24"/>
          <w:szCs w:val="24"/>
          <w14:ligatures w14:val="standardContextual"/>
        </w:rPr>
      </w:pPr>
      <w:hyperlink w:anchor="_Toc207008658" w:history="1">
        <w:r w:rsidRPr="00D320CE">
          <w:rPr>
            <w:rStyle w:val="Hyperlink"/>
            <w:b/>
            <w:bCs/>
          </w:rPr>
          <w:t>Table 1</w:t>
        </w:r>
        <w:r w:rsidRPr="00D320CE">
          <w:rPr>
            <w:rStyle w:val="Hyperlink"/>
          </w:rPr>
          <w:t>: Electricians by jurisdiction</w:t>
        </w:r>
        <w:r>
          <w:rPr>
            <w:webHidden/>
          </w:rPr>
          <w:tab/>
        </w:r>
        <w:r>
          <w:rPr>
            <w:webHidden/>
          </w:rPr>
          <w:fldChar w:fldCharType="begin"/>
        </w:r>
        <w:r>
          <w:rPr>
            <w:webHidden/>
          </w:rPr>
          <w:instrText xml:space="preserve"> PAGEREF _Toc207008658 \h </w:instrText>
        </w:r>
        <w:r>
          <w:rPr>
            <w:webHidden/>
          </w:rPr>
        </w:r>
        <w:r>
          <w:rPr>
            <w:webHidden/>
          </w:rPr>
          <w:fldChar w:fldCharType="separate"/>
        </w:r>
        <w:r w:rsidR="00AA449F">
          <w:rPr>
            <w:webHidden/>
          </w:rPr>
          <w:t>12</w:t>
        </w:r>
        <w:r>
          <w:rPr>
            <w:webHidden/>
          </w:rPr>
          <w:fldChar w:fldCharType="end"/>
        </w:r>
      </w:hyperlink>
    </w:p>
    <w:p w14:paraId="4B6CB066" w14:textId="329CED90" w:rsidR="00AA16A6" w:rsidRDefault="00AA16A6">
      <w:pPr>
        <w:pStyle w:val="TOC3"/>
        <w:rPr>
          <w:rFonts w:asciiTheme="minorHAnsi" w:eastAsiaTheme="minorEastAsia" w:hAnsiTheme="minorHAnsi" w:cstheme="minorBidi"/>
          <w:kern w:val="2"/>
          <w:sz w:val="24"/>
          <w:szCs w:val="24"/>
          <w14:ligatures w14:val="standardContextual"/>
        </w:rPr>
      </w:pPr>
      <w:hyperlink w:anchor="_Toc207008659" w:history="1">
        <w:r w:rsidRPr="00D320CE">
          <w:rPr>
            <w:rStyle w:val="Hyperlink"/>
            <w:b/>
          </w:rPr>
          <w:t xml:space="preserve">Table </w:t>
        </w:r>
        <w:r w:rsidRPr="00D320CE">
          <w:rPr>
            <w:rStyle w:val="Hyperlink"/>
            <w:b/>
            <w:bCs/>
          </w:rPr>
          <w:t>2</w:t>
        </w:r>
        <w:r w:rsidRPr="00D320CE">
          <w:rPr>
            <w:rStyle w:val="Hyperlink"/>
          </w:rPr>
          <w:t>: Extent of AMR operating in each jurisdiction</w:t>
        </w:r>
        <w:r>
          <w:rPr>
            <w:webHidden/>
          </w:rPr>
          <w:tab/>
        </w:r>
        <w:r>
          <w:rPr>
            <w:webHidden/>
          </w:rPr>
          <w:fldChar w:fldCharType="begin"/>
        </w:r>
        <w:r>
          <w:rPr>
            <w:webHidden/>
          </w:rPr>
          <w:instrText xml:space="preserve"> PAGEREF _Toc207008659 \h </w:instrText>
        </w:r>
        <w:r>
          <w:rPr>
            <w:webHidden/>
          </w:rPr>
        </w:r>
        <w:r>
          <w:rPr>
            <w:webHidden/>
          </w:rPr>
          <w:fldChar w:fldCharType="separate"/>
        </w:r>
        <w:r w:rsidR="00AA449F">
          <w:rPr>
            <w:webHidden/>
          </w:rPr>
          <w:t>13</w:t>
        </w:r>
        <w:r>
          <w:rPr>
            <w:webHidden/>
          </w:rPr>
          <w:fldChar w:fldCharType="end"/>
        </w:r>
      </w:hyperlink>
    </w:p>
    <w:p w14:paraId="23B820FB" w14:textId="7E0C355B" w:rsidR="00AA16A6" w:rsidRDefault="00AA16A6">
      <w:pPr>
        <w:pStyle w:val="TOC3"/>
        <w:rPr>
          <w:rFonts w:asciiTheme="minorHAnsi" w:eastAsiaTheme="minorEastAsia" w:hAnsiTheme="minorHAnsi" w:cstheme="minorBidi"/>
          <w:kern w:val="2"/>
          <w:sz w:val="24"/>
          <w:szCs w:val="24"/>
          <w14:ligatures w14:val="standardContextual"/>
        </w:rPr>
      </w:pPr>
      <w:hyperlink w:anchor="_Toc207008660" w:history="1">
        <w:r w:rsidRPr="00D320CE">
          <w:rPr>
            <w:rStyle w:val="Hyperlink"/>
          </w:rPr>
          <w:t>Safety outcomes</w:t>
        </w:r>
        <w:r>
          <w:rPr>
            <w:webHidden/>
          </w:rPr>
          <w:tab/>
        </w:r>
        <w:r>
          <w:rPr>
            <w:webHidden/>
          </w:rPr>
          <w:fldChar w:fldCharType="begin"/>
        </w:r>
        <w:r>
          <w:rPr>
            <w:webHidden/>
          </w:rPr>
          <w:instrText xml:space="preserve"> PAGEREF _Toc207008660 \h </w:instrText>
        </w:r>
        <w:r>
          <w:rPr>
            <w:webHidden/>
          </w:rPr>
        </w:r>
        <w:r>
          <w:rPr>
            <w:webHidden/>
          </w:rPr>
          <w:fldChar w:fldCharType="separate"/>
        </w:r>
        <w:r w:rsidR="00AA449F">
          <w:rPr>
            <w:webHidden/>
          </w:rPr>
          <w:t>14</w:t>
        </w:r>
        <w:r>
          <w:rPr>
            <w:webHidden/>
          </w:rPr>
          <w:fldChar w:fldCharType="end"/>
        </w:r>
      </w:hyperlink>
    </w:p>
    <w:p w14:paraId="69D6148C" w14:textId="6A5416A0" w:rsidR="00AA16A6" w:rsidRDefault="00AA16A6">
      <w:pPr>
        <w:pStyle w:val="TOC3"/>
        <w:rPr>
          <w:rFonts w:asciiTheme="minorHAnsi" w:eastAsiaTheme="minorEastAsia" w:hAnsiTheme="minorHAnsi" w:cstheme="minorBidi"/>
          <w:kern w:val="2"/>
          <w:sz w:val="24"/>
          <w:szCs w:val="24"/>
          <w14:ligatures w14:val="standardContextual"/>
        </w:rPr>
      </w:pPr>
      <w:hyperlink w:anchor="_Toc207008661" w:history="1">
        <w:r w:rsidRPr="00D320CE">
          <w:rPr>
            <w:rStyle w:val="Hyperlink"/>
            <w:b/>
            <w:bCs/>
          </w:rPr>
          <w:t>Table 3</w:t>
        </w:r>
        <w:r w:rsidRPr="00D320CE">
          <w:rPr>
            <w:rStyle w:val="Hyperlink"/>
          </w:rPr>
          <w:t>: Electrical safety outcomes by jurisdiction</w:t>
        </w:r>
        <w:r>
          <w:rPr>
            <w:webHidden/>
          </w:rPr>
          <w:tab/>
        </w:r>
        <w:r>
          <w:rPr>
            <w:webHidden/>
          </w:rPr>
          <w:fldChar w:fldCharType="begin"/>
        </w:r>
        <w:r>
          <w:rPr>
            <w:webHidden/>
          </w:rPr>
          <w:instrText xml:space="preserve"> PAGEREF _Toc207008661 \h </w:instrText>
        </w:r>
        <w:r>
          <w:rPr>
            <w:webHidden/>
          </w:rPr>
        </w:r>
        <w:r>
          <w:rPr>
            <w:webHidden/>
          </w:rPr>
          <w:fldChar w:fldCharType="separate"/>
        </w:r>
        <w:r w:rsidR="00AA449F">
          <w:rPr>
            <w:webHidden/>
          </w:rPr>
          <w:t>16</w:t>
        </w:r>
        <w:r>
          <w:rPr>
            <w:webHidden/>
          </w:rPr>
          <w:fldChar w:fldCharType="end"/>
        </w:r>
      </w:hyperlink>
    </w:p>
    <w:p w14:paraId="54DF371E" w14:textId="6A33165F" w:rsidR="00AA16A6" w:rsidRDefault="00AA16A6">
      <w:pPr>
        <w:pStyle w:val="TOC2"/>
        <w:rPr>
          <w:rFonts w:asciiTheme="minorHAnsi" w:eastAsiaTheme="minorEastAsia" w:hAnsiTheme="minorHAnsi" w:cstheme="minorBidi"/>
          <w:color w:val="auto"/>
          <w:kern w:val="2"/>
          <w:sz w:val="24"/>
          <w:szCs w:val="24"/>
          <w14:ligatures w14:val="standardContextual"/>
        </w:rPr>
      </w:pPr>
      <w:hyperlink w:anchor="_Toc207008662" w:history="1">
        <w:r w:rsidRPr="00D320CE">
          <w:rPr>
            <w:rStyle w:val="Hyperlink"/>
          </w:rPr>
          <w:t>Key design elements of a national scheme</w:t>
        </w:r>
        <w:r>
          <w:rPr>
            <w:webHidden/>
          </w:rPr>
          <w:tab/>
        </w:r>
        <w:r>
          <w:rPr>
            <w:webHidden/>
          </w:rPr>
          <w:fldChar w:fldCharType="begin"/>
        </w:r>
        <w:r>
          <w:rPr>
            <w:webHidden/>
          </w:rPr>
          <w:instrText xml:space="preserve"> PAGEREF _Toc207008662 \h </w:instrText>
        </w:r>
        <w:r>
          <w:rPr>
            <w:webHidden/>
          </w:rPr>
        </w:r>
        <w:r>
          <w:rPr>
            <w:webHidden/>
          </w:rPr>
          <w:fldChar w:fldCharType="separate"/>
        </w:r>
        <w:r w:rsidR="00AA449F">
          <w:rPr>
            <w:webHidden/>
          </w:rPr>
          <w:t>17</w:t>
        </w:r>
        <w:r>
          <w:rPr>
            <w:webHidden/>
          </w:rPr>
          <w:fldChar w:fldCharType="end"/>
        </w:r>
      </w:hyperlink>
    </w:p>
    <w:p w14:paraId="12526832" w14:textId="024C7049" w:rsidR="00AA16A6" w:rsidRDefault="00AA16A6">
      <w:pPr>
        <w:pStyle w:val="TOC3"/>
        <w:rPr>
          <w:rFonts w:asciiTheme="minorHAnsi" w:eastAsiaTheme="minorEastAsia" w:hAnsiTheme="minorHAnsi" w:cstheme="minorBidi"/>
          <w:kern w:val="2"/>
          <w:sz w:val="24"/>
          <w:szCs w:val="24"/>
          <w14:ligatures w14:val="standardContextual"/>
        </w:rPr>
      </w:pPr>
      <w:hyperlink w:anchor="_Toc207008663" w:history="1">
        <w:r w:rsidRPr="00D320CE">
          <w:rPr>
            <w:rStyle w:val="Hyperlink"/>
            <w:b/>
            <w:bCs/>
          </w:rPr>
          <w:t>Table 4</w:t>
        </w:r>
        <w:r w:rsidRPr="00D320CE">
          <w:rPr>
            <w:rStyle w:val="Hyperlink"/>
          </w:rPr>
          <w:t>: Electrical licence fees by jurisdiction</w:t>
        </w:r>
        <w:r>
          <w:rPr>
            <w:webHidden/>
          </w:rPr>
          <w:tab/>
        </w:r>
        <w:r>
          <w:rPr>
            <w:webHidden/>
          </w:rPr>
          <w:fldChar w:fldCharType="begin"/>
        </w:r>
        <w:r>
          <w:rPr>
            <w:webHidden/>
          </w:rPr>
          <w:instrText xml:space="preserve"> PAGEREF _Toc207008663 \h </w:instrText>
        </w:r>
        <w:r>
          <w:rPr>
            <w:webHidden/>
          </w:rPr>
        </w:r>
        <w:r>
          <w:rPr>
            <w:webHidden/>
          </w:rPr>
          <w:fldChar w:fldCharType="separate"/>
        </w:r>
        <w:r w:rsidR="00AA449F">
          <w:rPr>
            <w:webHidden/>
          </w:rPr>
          <w:t>19</w:t>
        </w:r>
        <w:r>
          <w:rPr>
            <w:webHidden/>
          </w:rPr>
          <w:fldChar w:fldCharType="end"/>
        </w:r>
      </w:hyperlink>
    </w:p>
    <w:p w14:paraId="7E740806" w14:textId="423C08F9" w:rsidR="00AA16A6" w:rsidRDefault="00AA16A6">
      <w:pPr>
        <w:pStyle w:val="TOC2"/>
        <w:rPr>
          <w:rFonts w:asciiTheme="minorHAnsi" w:eastAsiaTheme="minorEastAsia" w:hAnsiTheme="minorHAnsi" w:cstheme="minorBidi"/>
          <w:color w:val="auto"/>
          <w:kern w:val="2"/>
          <w:sz w:val="24"/>
          <w:szCs w:val="24"/>
          <w14:ligatures w14:val="standardContextual"/>
        </w:rPr>
      </w:pPr>
      <w:hyperlink w:anchor="_Toc207008664" w:history="1">
        <w:r w:rsidRPr="00D320CE">
          <w:rPr>
            <w:rStyle w:val="Hyperlink"/>
          </w:rPr>
          <w:t>Potential models for national licensing</w:t>
        </w:r>
        <w:r>
          <w:rPr>
            <w:webHidden/>
          </w:rPr>
          <w:tab/>
        </w:r>
        <w:r>
          <w:rPr>
            <w:webHidden/>
          </w:rPr>
          <w:fldChar w:fldCharType="begin"/>
        </w:r>
        <w:r>
          <w:rPr>
            <w:webHidden/>
          </w:rPr>
          <w:instrText xml:space="preserve"> PAGEREF _Toc207008664 \h </w:instrText>
        </w:r>
        <w:r>
          <w:rPr>
            <w:webHidden/>
          </w:rPr>
        </w:r>
        <w:r>
          <w:rPr>
            <w:webHidden/>
          </w:rPr>
          <w:fldChar w:fldCharType="separate"/>
        </w:r>
        <w:r w:rsidR="00AA449F">
          <w:rPr>
            <w:webHidden/>
          </w:rPr>
          <w:t>20</w:t>
        </w:r>
        <w:r>
          <w:rPr>
            <w:webHidden/>
          </w:rPr>
          <w:fldChar w:fldCharType="end"/>
        </w:r>
      </w:hyperlink>
    </w:p>
    <w:p w14:paraId="4464C16B" w14:textId="3B74E9D0" w:rsidR="00AA16A6" w:rsidRDefault="00AA16A6">
      <w:pPr>
        <w:pStyle w:val="TOC3"/>
        <w:rPr>
          <w:rFonts w:asciiTheme="minorHAnsi" w:eastAsiaTheme="minorEastAsia" w:hAnsiTheme="minorHAnsi" w:cstheme="minorBidi"/>
          <w:kern w:val="2"/>
          <w:sz w:val="24"/>
          <w:szCs w:val="24"/>
          <w14:ligatures w14:val="standardContextual"/>
        </w:rPr>
      </w:pPr>
      <w:hyperlink w:anchor="_Toc207008665" w:history="1">
        <w:r w:rsidRPr="00D320CE">
          <w:rPr>
            <w:rStyle w:val="Hyperlink"/>
          </w:rPr>
          <w:t>Option 1: A uniform national licensing</w:t>
        </w:r>
        <w:r w:rsidRPr="00D320CE">
          <w:rPr>
            <w:rStyle w:val="Hyperlink"/>
            <w:iCs/>
          </w:rPr>
          <w:t xml:space="preserve"> scheme for electrical occupations</w:t>
        </w:r>
        <w:r>
          <w:rPr>
            <w:webHidden/>
          </w:rPr>
          <w:tab/>
        </w:r>
        <w:r>
          <w:rPr>
            <w:webHidden/>
          </w:rPr>
          <w:fldChar w:fldCharType="begin"/>
        </w:r>
        <w:r>
          <w:rPr>
            <w:webHidden/>
          </w:rPr>
          <w:instrText xml:space="preserve"> PAGEREF _Toc207008665 \h </w:instrText>
        </w:r>
        <w:r>
          <w:rPr>
            <w:webHidden/>
          </w:rPr>
        </w:r>
        <w:r>
          <w:rPr>
            <w:webHidden/>
          </w:rPr>
          <w:fldChar w:fldCharType="separate"/>
        </w:r>
        <w:r w:rsidR="00AA449F">
          <w:rPr>
            <w:webHidden/>
          </w:rPr>
          <w:t>20</w:t>
        </w:r>
        <w:r>
          <w:rPr>
            <w:webHidden/>
          </w:rPr>
          <w:fldChar w:fldCharType="end"/>
        </w:r>
      </w:hyperlink>
    </w:p>
    <w:p w14:paraId="685D0DCB" w14:textId="598DF8BE" w:rsidR="00AA16A6" w:rsidRDefault="00AA16A6">
      <w:pPr>
        <w:pStyle w:val="TOC3"/>
        <w:rPr>
          <w:rFonts w:asciiTheme="minorHAnsi" w:eastAsiaTheme="minorEastAsia" w:hAnsiTheme="minorHAnsi" w:cstheme="minorBidi"/>
          <w:kern w:val="2"/>
          <w:sz w:val="24"/>
          <w:szCs w:val="24"/>
          <w14:ligatures w14:val="standardContextual"/>
        </w:rPr>
      </w:pPr>
      <w:hyperlink w:anchor="_Toc207008666" w:history="1">
        <w:r w:rsidRPr="00D320CE">
          <w:rPr>
            <w:rStyle w:val="Hyperlink"/>
          </w:rPr>
          <w:t>Option 2: Extending and enhancing the existing AMR scheme</w:t>
        </w:r>
        <w:r>
          <w:rPr>
            <w:webHidden/>
          </w:rPr>
          <w:tab/>
        </w:r>
        <w:r>
          <w:rPr>
            <w:webHidden/>
          </w:rPr>
          <w:fldChar w:fldCharType="begin"/>
        </w:r>
        <w:r>
          <w:rPr>
            <w:webHidden/>
          </w:rPr>
          <w:instrText xml:space="preserve"> PAGEREF _Toc207008666 \h </w:instrText>
        </w:r>
        <w:r>
          <w:rPr>
            <w:webHidden/>
          </w:rPr>
        </w:r>
        <w:r>
          <w:rPr>
            <w:webHidden/>
          </w:rPr>
          <w:fldChar w:fldCharType="separate"/>
        </w:r>
        <w:r w:rsidR="00AA449F">
          <w:rPr>
            <w:webHidden/>
          </w:rPr>
          <w:t>22</w:t>
        </w:r>
        <w:r>
          <w:rPr>
            <w:webHidden/>
          </w:rPr>
          <w:fldChar w:fldCharType="end"/>
        </w:r>
      </w:hyperlink>
    </w:p>
    <w:p w14:paraId="54E7227A" w14:textId="463117D5" w:rsidR="00AA16A6" w:rsidRDefault="00AA16A6">
      <w:pPr>
        <w:pStyle w:val="TOC3"/>
        <w:rPr>
          <w:rFonts w:asciiTheme="minorHAnsi" w:eastAsiaTheme="minorEastAsia" w:hAnsiTheme="minorHAnsi" w:cstheme="minorBidi"/>
          <w:kern w:val="2"/>
          <w:sz w:val="24"/>
          <w:szCs w:val="24"/>
          <w14:ligatures w14:val="standardContextual"/>
        </w:rPr>
      </w:pPr>
      <w:hyperlink w:anchor="_Toc207008667" w:history="1">
        <w:r w:rsidRPr="00D320CE">
          <w:rPr>
            <w:rStyle w:val="Hyperlink"/>
          </w:rPr>
          <w:t>Option 3: A hybrid approach</w:t>
        </w:r>
        <w:r>
          <w:rPr>
            <w:webHidden/>
          </w:rPr>
          <w:tab/>
        </w:r>
        <w:r>
          <w:rPr>
            <w:webHidden/>
          </w:rPr>
          <w:fldChar w:fldCharType="begin"/>
        </w:r>
        <w:r>
          <w:rPr>
            <w:webHidden/>
          </w:rPr>
          <w:instrText xml:space="preserve"> PAGEREF _Toc207008667 \h </w:instrText>
        </w:r>
        <w:r>
          <w:rPr>
            <w:webHidden/>
          </w:rPr>
        </w:r>
        <w:r>
          <w:rPr>
            <w:webHidden/>
          </w:rPr>
          <w:fldChar w:fldCharType="separate"/>
        </w:r>
        <w:r w:rsidR="00AA449F">
          <w:rPr>
            <w:webHidden/>
          </w:rPr>
          <w:t>23</w:t>
        </w:r>
        <w:r>
          <w:rPr>
            <w:webHidden/>
          </w:rPr>
          <w:fldChar w:fldCharType="end"/>
        </w:r>
      </w:hyperlink>
    </w:p>
    <w:p w14:paraId="5709E014" w14:textId="1044CB02" w:rsidR="00F836F9" w:rsidRDefault="000E0B74" w:rsidP="0056582C">
      <w:pPr>
        <w:pStyle w:val="SingleParagraph"/>
        <w:ind w:right="-2"/>
      </w:pPr>
      <w:r>
        <w:fldChar w:fldCharType="end"/>
      </w:r>
      <w:bookmarkStart w:id="2" w:name="_Toc432067103"/>
      <w:bookmarkStart w:id="3" w:name="_Toc452635030"/>
    </w:p>
    <w:p w14:paraId="0156E0F8" w14:textId="77777777" w:rsidR="00B775EE" w:rsidRDefault="00B775EE" w:rsidP="0056582C">
      <w:pPr>
        <w:pStyle w:val="SingleParagraph"/>
        <w:ind w:right="-2"/>
      </w:pPr>
    </w:p>
    <w:p w14:paraId="361CC607" w14:textId="77777777" w:rsidR="00A519D0" w:rsidRDefault="00A519D0" w:rsidP="00A519D0"/>
    <w:p w14:paraId="4B84D179" w14:textId="77777777" w:rsidR="00A519D0" w:rsidRDefault="00A519D0" w:rsidP="00A519D0"/>
    <w:p w14:paraId="059B4AD9" w14:textId="77777777" w:rsidR="00A519D0" w:rsidRDefault="00A519D0" w:rsidP="00A519D0"/>
    <w:p w14:paraId="7735EBB7" w14:textId="77777777" w:rsidR="00A519D0" w:rsidRDefault="00A519D0" w:rsidP="00A519D0"/>
    <w:p w14:paraId="38E86DC2" w14:textId="77777777" w:rsidR="00A519D0" w:rsidRDefault="00A519D0" w:rsidP="00A519D0"/>
    <w:p w14:paraId="3EE6E901" w14:textId="77777777" w:rsidR="00A519D0" w:rsidRDefault="00A519D0" w:rsidP="00A519D0"/>
    <w:p w14:paraId="1D6EB83B" w14:textId="77777777" w:rsidR="00A519D0" w:rsidRDefault="00A519D0" w:rsidP="00A519D0"/>
    <w:p w14:paraId="403730DE" w14:textId="77777777" w:rsidR="00A519D0" w:rsidRDefault="00A519D0" w:rsidP="00A519D0">
      <w:pPr>
        <w:pStyle w:val="Heading1"/>
      </w:pPr>
      <w:bookmarkStart w:id="4" w:name="_Toc199402803"/>
      <w:bookmarkStart w:id="5" w:name="_Toc207008640"/>
      <w:r>
        <w:lastRenderedPageBreak/>
        <w:t>Consultation Process</w:t>
      </w:r>
      <w:bookmarkEnd w:id="4"/>
      <w:bookmarkEnd w:id="5"/>
    </w:p>
    <w:p w14:paraId="205A972E" w14:textId="77777777" w:rsidR="00A519D0" w:rsidRDefault="00A519D0" w:rsidP="00A519D0">
      <w:pPr>
        <w:pStyle w:val="Heading2"/>
      </w:pPr>
      <w:bookmarkStart w:id="6" w:name="_Toc199402804"/>
      <w:bookmarkStart w:id="7" w:name="_Toc207008641"/>
      <w:r>
        <w:t>Purpose of the paper</w:t>
      </w:r>
      <w:bookmarkEnd w:id="6"/>
      <w:bookmarkEnd w:id="7"/>
    </w:p>
    <w:p w14:paraId="4E669414" w14:textId="77777777" w:rsidR="00A519D0" w:rsidRDefault="00A519D0" w:rsidP="00A519D0">
      <w:r>
        <w:t xml:space="preserve">This paper seeks information and views to inform the development of a national licensing scheme for electrical occupations. Feedback from electrical workers, businesses, consumers, and professional bodies, including industry representatives and unions, is important to ensure any new arrangements are effective.  </w:t>
      </w:r>
    </w:p>
    <w:p w14:paraId="504BB156" w14:textId="77777777" w:rsidR="00A519D0" w:rsidRDefault="00A519D0" w:rsidP="00A519D0">
      <w:r>
        <w:t>Questions are included throughout the paper to guide comments. You are invited to answer some or all the questions, or to comment on issues more broadly.</w:t>
      </w:r>
    </w:p>
    <w:p w14:paraId="02DF0391" w14:textId="77777777" w:rsidR="00A519D0" w:rsidRDefault="00A519D0" w:rsidP="00A519D0">
      <w:pPr>
        <w:pStyle w:val="Heading2"/>
      </w:pPr>
      <w:bookmarkStart w:id="8" w:name="_Toc199402805"/>
      <w:bookmarkStart w:id="9" w:name="_Toc207008642"/>
      <w:r>
        <w:t>How to make a submission</w:t>
      </w:r>
      <w:bookmarkEnd w:id="8"/>
      <w:bookmarkEnd w:id="9"/>
    </w:p>
    <w:p w14:paraId="4098848D" w14:textId="77B65149" w:rsidR="00A519D0" w:rsidRDefault="00A519D0" w:rsidP="00A519D0">
      <w:r w:rsidRPr="001E29A4">
        <w:t xml:space="preserve">The closing date for </w:t>
      </w:r>
      <w:r w:rsidRPr="001F6C61">
        <w:t xml:space="preserve">submissions is </w:t>
      </w:r>
      <w:r w:rsidR="00A1561D">
        <w:rPr>
          <w:color w:val="000000" w:themeColor="text1"/>
        </w:rPr>
        <w:t>2</w:t>
      </w:r>
      <w:r w:rsidR="00C72003">
        <w:rPr>
          <w:color w:val="000000" w:themeColor="text1"/>
        </w:rPr>
        <w:t>6</w:t>
      </w:r>
      <w:r w:rsidR="00E47663" w:rsidRPr="00AF1830">
        <w:rPr>
          <w:color w:val="000000" w:themeColor="text1"/>
        </w:rPr>
        <w:t xml:space="preserve"> September</w:t>
      </w:r>
      <w:r w:rsidRPr="00AF1830">
        <w:rPr>
          <w:color w:val="000000" w:themeColor="text1"/>
        </w:rPr>
        <w:t xml:space="preserve"> </w:t>
      </w:r>
      <w:r w:rsidRPr="00AF1830">
        <w:t>2025</w:t>
      </w:r>
      <w:r w:rsidRPr="001F6C61">
        <w:t>.</w:t>
      </w:r>
    </w:p>
    <w:tbl>
      <w:tblPr>
        <w:tblStyle w:val="TableGrid"/>
        <w:tblW w:w="0" w:type="auto"/>
        <w:tblLook w:val="04A0" w:firstRow="1" w:lastRow="0" w:firstColumn="1" w:lastColumn="0" w:noHBand="0" w:noVBand="1"/>
      </w:tblPr>
      <w:tblGrid>
        <w:gridCol w:w="1034"/>
        <w:gridCol w:w="7897"/>
      </w:tblGrid>
      <w:tr w:rsidR="0015394E" w:rsidRPr="00B85F47" w14:paraId="7829CD59" w14:textId="77777777" w:rsidTr="009063F0">
        <w:trPr>
          <w:cnfStyle w:val="100000000000" w:firstRow="1" w:lastRow="0" w:firstColumn="0" w:lastColumn="0" w:oddVBand="0" w:evenVBand="0" w:oddHBand="0" w:evenHBand="0" w:firstRowFirstColumn="0" w:firstRowLastColumn="0" w:lastRowFirstColumn="0" w:lastRowLastColumn="0"/>
        </w:trPr>
        <w:tc>
          <w:tcPr>
            <w:tcW w:w="1034" w:type="dxa"/>
          </w:tcPr>
          <w:p w14:paraId="349FC1C3" w14:textId="77777777" w:rsidR="0015394E" w:rsidRPr="00B85F47" w:rsidRDefault="0015394E" w:rsidP="00732061">
            <w:pPr>
              <w:spacing w:before="96" w:after="96"/>
              <w:rPr>
                <w:sz w:val="22"/>
                <w:szCs w:val="22"/>
              </w:rPr>
            </w:pPr>
            <w:r w:rsidRPr="00B85F47">
              <w:rPr>
                <w:sz w:val="22"/>
                <w:szCs w:val="22"/>
              </w:rPr>
              <w:t>Email</w:t>
            </w:r>
          </w:p>
        </w:tc>
        <w:tc>
          <w:tcPr>
            <w:tcW w:w="7897" w:type="dxa"/>
          </w:tcPr>
          <w:p w14:paraId="6FD9233D" w14:textId="77777777" w:rsidR="0015394E" w:rsidRPr="005B6EA3" w:rsidRDefault="0015394E" w:rsidP="00732061">
            <w:pPr>
              <w:spacing w:before="96" w:after="96"/>
              <w:rPr>
                <w:rFonts w:cs="Arial"/>
                <w:b w:val="0"/>
                <w:szCs w:val="22"/>
              </w:rPr>
            </w:pPr>
            <w:hyperlink r:id="rId18" w:history="1">
              <w:r w:rsidRPr="00874256">
                <w:rPr>
                  <w:rStyle w:val="Hyperlink"/>
                  <w:rFonts w:cs="Arial"/>
                  <w:color w:val="346BAB"/>
                  <w:szCs w:val="22"/>
                </w:rPr>
                <w:t>CompetitionTaskforce@treasury.gov.au</w:t>
              </w:r>
            </w:hyperlink>
          </w:p>
        </w:tc>
      </w:tr>
      <w:tr w:rsidR="0015394E" w:rsidRPr="00B85F47" w14:paraId="1F3ACF18" w14:textId="77777777" w:rsidTr="009063F0">
        <w:tc>
          <w:tcPr>
            <w:tcW w:w="1034" w:type="dxa"/>
          </w:tcPr>
          <w:p w14:paraId="76B7C8A3" w14:textId="77777777" w:rsidR="0015394E" w:rsidRPr="00B85F47" w:rsidRDefault="0015394E" w:rsidP="00732061">
            <w:pPr>
              <w:rPr>
                <w:sz w:val="22"/>
                <w:szCs w:val="22"/>
              </w:rPr>
            </w:pPr>
            <w:r w:rsidRPr="00B85F47">
              <w:rPr>
                <w:sz w:val="22"/>
                <w:szCs w:val="22"/>
              </w:rPr>
              <w:t>Mail</w:t>
            </w:r>
          </w:p>
        </w:tc>
        <w:tc>
          <w:tcPr>
            <w:tcW w:w="7897" w:type="dxa"/>
          </w:tcPr>
          <w:p w14:paraId="0399186B" w14:textId="77777777" w:rsidR="0015394E" w:rsidRPr="001E29A4" w:rsidRDefault="0015394E" w:rsidP="00732061">
            <w:pPr>
              <w:pStyle w:val="SingleParagraph"/>
              <w:rPr>
                <w:rFonts w:cs="Arial"/>
                <w:sz w:val="22"/>
                <w:szCs w:val="22"/>
              </w:rPr>
            </w:pPr>
            <w:r w:rsidRPr="001E29A4">
              <w:rPr>
                <w:rFonts w:cs="Arial"/>
                <w:sz w:val="22"/>
                <w:szCs w:val="22"/>
              </w:rPr>
              <w:t>Competition Taskforce</w:t>
            </w:r>
          </w:p>
          <w:p w14:paraId="234A7672" w14:textId="77777777" w:rsidR="0015394E" w:rsidRPr="00B85F47" w:rsidRDefault="0015394E" w:rsidP="00732061">
            <w:pPr>
              <w:pStyle w:val="SingleParagraph"/>
              <w:rPr>
                <w:rFonts w:cs="Arial"/>
                <w:sz w:val="22"/>
                <w:szCs w:val="22"/>
              </w:rPr>
            </w:pPr>
            <w:r w:rsidRPr="00B85F47">
              <w:rPr>
                <w:rFonts w:cs="Arial"/>
                <w:sz w:val="22"/>
                <w:szCs w:val="22"/>
              </w:rPr>
              <w:t>The Treasury</w:t>
            </w:r>
          </w:p>
          <w:p w14:paraId="7AAEC861" w14:textId="77777777" w:rsidR="0015394E" w:rsidRPr="00B85F47" w:rsidRDefault="0015394E" w:rsidP="00732061">
            <w:pPr>
              <w:pStyle w:val="SingleParagraph"/>
              <w:rPr>
                <w:rFonts w:cs="Arial"/>
                <w:sz w:val="22"/>
                <w:szCs w:val="22"/>
              </w:rPr>
            </w:pPr>
            <w:r w:rsidRPr="00B85F47">
              <w:rPr>
                <w:rFonts w:cs="Arial"/>
                <w:sz w:val="22"/>
                <w:szCs w:val="22"/>
              </w:rPr>
              <w:t>Langton Crescent</w:t>
            </w:r>
          </w:p>
          <w:p w14:paraId="1E4A30B2" w14:textId="77777777" w:rsidR="0015394E" w:rsidRPr="00B85F47" w:rsidRDefault="0015394E" w:rsidP="00732061">
            <w:pPr>
              <w:pStyle w:val="SingleParagraph"/>
              <w:rPr>
                <w:sz w:val="22"/>
                <w:szCs w:val="22"/>
              </w:rPr>
            </w:pPr>
            <w:r w:rsidRPr="00B85F47">
              <w:rPr>
                <w:sz w:val="22"/>
                <w:szCs w:val="22"/>
              </w:rPr>
              <w:t>PARKES ACT 2600</w:t>
            </w:r>
          </w:p>
        </w:tc>
      </w:tr>
      <w:tr w:rsidR="0015394E" w:rsidRPr="00B85F47" w14:paraId="746F0976" w14:textId="77777777" w:rsidTr="009063F0">
        <w:tc>
          <w:tcPr>
            <w:tcW w:w="1034" w:type="dxa"/>
          </w:tcPr>
          <w:p w14:paraId="2E278890" w14:textId="77777777" w:rsidR="0015394E" w:rsidRPr="00B85F47" w:rsidRDefault="0015394E" w:rsidP="00732061">
            <w:pPr>
              <w:rPr>
                <w:sz w:val="22"/>
                <w:szCs w:val="22"/>
              </w:rPr>
            </w:pPr>
            <w:r w:rsidRPr="00B85F47">
              <w:rPr>
                <w:sz w:val="22"/>
                <w:szCs w:val="22"/>
              </w:rPr>
              <w:t>Enquiries</w:t>
            </w:r>
          </w:p>
        </w:tc>
        <w:tc>
          <w:tcPr>
            <w:tcW w:w="7897" w:type="dxa"/>
          </w:tcPr>
          <w:p w14:paraId="3DAEC2AC" w14:textId="77777777" w:rsidR="0015394E" w:rsidRPr="005B6EA3" w:rsidRDefault="0015394E" w:rsidP="00732061">
            <w:pPr>
              <w:rPr>
                <w:rFonts w:cs="Arial"/>
                <w:szCs w:val="22"/>
              </w:rPr>
            </w:pPr>
            <w:r w:rsidRPr="00B85F47">
              <w:rPr>
                <w:rFonts w:cs="Arial"/>
                <w:sz w:val="22"/>
                <w:szCs w:val="22"/>
              </w:rPr>
              <w:t xml:space="preserve">Enquiries can be initially directed to </w:t>
            </w:r>
            <w:hyperlink r:id="rId19" w:history="1">
              <w:r w:rsidRPr="008D2ADE">
                <w:rPr>
                  <w:rStyle w:val="Hyperlink"/>
                  <w:rFonts w:cs="Arial"/>
                  <w:szCs w:val="22"/>
                </w:rPr>
                <w:t>CompetitionTaskforce@treasury.gov.au</w:t>
              </w:r>
            </w:hyperlink>
          </w:p>
        </w:tc>
      </w:tr>
    </w:tbl>
    <w:p w14:paraId="3CB8BFF4" w14:textId="77777777" w:rsidR="00A519D0" w:rsidRDefault="00A519D0" w:rsidP="00A519D0">
      <w:r w:rsidRPr="005B6EA3">
        <w:t>While submissions may be lodged electronically or by post, electronic lodgement is preferred. For accessibility reasons, please submit responses sent via email in a Word or RTF format. An additional PDF version may also be submitted.</w:t>
      </w:r>
    </w:p>
    <w:p w14:paraId="16A8D98C" w14:textId="77777777" w:rsidR="00A519D0" w:rsidRDefault="00A519D0" w:rsidP="00A519D0">
      <w:r>
        <w:t xml:space="preserve">All information (including name and address details) contained in formal submissions will be made available to the public on the Australian Treasury website, unless you indicate that you would like all or part of your submission to remain confidential. Automatically generated confidentiality statements in emails do not suffice for this purpose. Respondents who would like part of their submission to remain confidential should provide this information marked as such in a separate attachment. </w:t>
      </w:r>
    </w:p>
    <w:p w14:paraId="66AE8488" w14:textId="77777777" w:rsidR="00A519D0" w:rsidRDefault="00A519D0" w:rsidP="00A519D0">
      <w:r>
        <w:t>Legal requirements, such as those imposed by the Freedom of Information Act 1982, may affect the confidentiality of your submission.</w:t>
      </w:r>
    </w:p>
    <w:p w14:paraId="501F49D8" w14:textId="77777777" w:rsidR="00A519D0" w:rsidRDefault="00A519D0" w:rsidP="00A519D0">
      <w:pPr>
        <w:pStyle w:val="Heading2"/>
      </w:pPr>
      <w:bookmarkStart w:id="10" w:name="_Toc199402806"/>
      <w:bookmarkStart w:id="11" w:name="_Toc207008643"/>
      <w:r>
        <w:t>Consultation process and next steps</w:t>
      </w:r>
      <w:bookmarkEnd w:id="10"/>
      <w:bookmarkEnd w:id="11"/>
    </w:p>
    <w:p w14:paraId="5B60C7A6" w14:textId="77777777" w:rsidR="00A519D0" w:rsidRDefault="00A519D0" w:rsidP="00A519D0">
      <w:r>
        <w:t>The Competition Taskforce will continue to work with state and territory governments to consult with a range of stakeholders on the proposal. The Taskforce will also continue to gather and review evidence, including undertaking analysis of data related to current occupational licensing arrangements.</w:t>
      </w:r>
    </w:p>
    <w:p w14:paraId="2AD7FF87" w14:textId="60B916B5" w:rsidR="00A519D0" w:rsidRDefault="00A519D0" w:rsidP="00A519D0">
      <w:r>
        <w:t xml:space="preserve">Following consideration of the views expressed through this consultation process, the Taskforce will </w:t>
      </w:r>
      <w:r w:rsidR="005275A4">
        <w:t xml:space="preserve">work with states and territories to </w:t>
      </w:r>
      <w:r w:rsidR="00710796">
        <w:t xml:space="preserve">develop </w:t>
      </w:r>
      <w:r w:rsidR="001E7F59">
        <w:t>a proposed approach to reform</w:t>
      </w:r>
      <w:r w:rsidR="000C72D4">
        <w:t xml:space="preserve"> and implementation</w:t>
      </w:r>
      <w:r>
        <w:t xml:space="preserve">. The Taskforce will then engage in further consultation on the final scheme design.  </w:t>
      </w:r>
      <w:r>
        <w:br w:type="page"/>
      </w:r>
    </w:p>
    <w:p w14:paraId="3B7297D0" w14:textId="77777777" w:rsidR="00A519D0" w:rsidRDefault="00A519D0" w:rsidP="00A519D0">
      <w:pPr>
        <w:pStyle w:val="Heading1"/>
      </w:pPr>
      <w:bookmarkStart w:id="12" w:name="_Toc199402807"/>
      <w:bookmarkStart w:id="13" w:name="_Toc207008644"/>
      <w:r>
        <w:lastRenderedPageBreak/>
        <w:t>A national licensing scheme for electrical occupations</w:t>
      </w:r>
      <w:bookmarkEnd w:id="12"/>
      <w:bookmarkEnd w:id="13"/>
    </w:p>
    <w:p w14:paraId="3636E220" w14:textId="77777777" w:rsidR="00A519D0" w:rsidRDefault="00A519D0" w:rsidP="00A519D0">
      <w:pPr>
        <w:pStyle w:val="Heading2"/>
      </w:pPr>
      <w:bookmarkStart w:id="14" w:name="_Toc306887371"/>
      <w:bookmarkStart w:id="15" w:name="_Toc432064635"/>
      <w:bookmarkStart w:id="16" w:name="_Toc199402808"/>
      <w:bookmarkStart w:id="17" w:name="_Toc207008645"/>
      <w:r>
        <w:t>Background</w:t>
      </w:r>
      <w:bookmarkEnd w:id="14"/>
      <w:bookmarkEnd w:id="15"/>
      <w:bookmarkEnd w:id="16"/>
      <w:bookmarkEnd w:id="17"/>
    </w:p>
    <w:p w14:paraId="728DBE1D" w14:textId="77777777" w:rsidR="00A519D0" w:rsidRDefault="00A519D0" w:rsidP="00A519D0">
      <w:pPr>
        <w:pStyle w:val="Heading3"/>
      </w:pPr>
      <w:bookmarkStart w:id="18" w:name="_Toc207008646"/>
      <w:bookmarkStart w:id="19" w:name="_Toc199402809"/>
      <w:r>
        <w:t>Why licence?</w:t>
      </w:r>
      <w:bookmarkEnd w:id="18"/>
    </w:p>
    <w:p w14:paraId="42C34C3B" w14:textId="2DA24935" w:rsidR="00A519D0" w:rsidRPr="00074B8F" w:rsidRDefault="00A519D0" w:rsidP="00A519D0">
      <w:pPr>
        <w:rPr>
          <w:bCs/>
        </w:rPr>
      </w:pPr>
      <w:r>
        <w:rPr>
          <w:bCs/>
        </w:rPr>
        <w:t xml:space="preserve">Occupational licensing </w:t>
      </w:r>
      <w:r w:rsidR="00E46C33">
        <w:rPr>
          <w:bCs/>
        </w:rPr>
        <w:t>can</w:t>
      </w:r>
      <w:r>
        <w:rPr>
          <w:bCs/>
        </w:rPr>
        <w:t xml:space="preserve"> benefit consumers, workers and the broader community by ensuring workers are qualified to provide services at an acceptable level of safety and quality. Licensing can provide an important signal to consumers, who otherwise may not be able to easily determine whether </w:t>
      </w:r>
      <w:r w:rsidRPr="009516DB">
        <w:rPr>
          <w:bCs/>
        </w:rPr>
        <w:t xml:space="preserve">a </w:t>
      </w:r>
      <w:r>
        <w:rPr>
          <w:bCs/>
        </w:rPr>
        <w:t>worker</w:t>
      </w:r>
      <w:r w:rsidRPr="009516DB">
        <w:rPr>
          <w:bCs/>
        </w:rPr>
        <w:t xml:space="preserve"> </w:t>
      </w:r>
      <w:r>
        <w:rPr>
          <w:bCs/>
        </w:rPr>
        <w:t xml:space="preserve">possesses the </w:t>
      </w:r>
      <w:r w:rsidRPr="009516DB">
        <w:rPr>
          <w:bCs/>
        </w:rPr>
        <w:t xml:space="preserve">training and skills </w:t>
      </w:r>
      <w:r>
        <w:rPr>
          <w:bCs/>
        </w:rPr>
        <w:t xml:space="preserve">needed </w:t>
      </w:r>
      <w:r w:rsidRPr="009516DB">
        <w:rPr>
          <w:bCs/>
        </w:rPr>
        <w:t xml:space="preserve">to </w:t>
      </w:r>
      <w:r>
        <w:rPr>
          <w:bCs/>
        </w:rPr>
        <w:t>provide services</w:t>
      </w:r>
      <w:r w:rsidRPr="009516DB">
        <w:rPr>
          <w:bCs/>
        </w:rPr>
        <w:t xml:space="preserve"> competently and safely</w:t>
      </w:r>
      <w:r>
        <w:rPr>
          <w:bCs/>
        </w:rPr>
        <w:t xml:space="preserve">. </w:t>
      </w:r>
      <w:r w:rsidR="008210F0">
        <w:rPr>
          <w:bCs/>
        </w:rPr>
        <w:t xml:space="preserve">It can also ensure that workers only enter </w:t>
      </w:r>
      <w:r w:rsidR="009736D7">
        <w:rPr>
          <w:bCs/>
        </w:rPr>
        <w:t>more risky occupations once they have sufficient training or qualifications to do so safely.</w:t>
      </w:r>
    </w:p>
    <w:p w14:paraId="59504A46" w14:textId="221524C1" w:rsidR="00A519D0" w:rsidRPr="00111660" w:rsidRDefault="00A519D0" w:rsidP="00A519D0">
      <w:r>
        <w:rPr>
          <w:bCs/>
        </w:rPr>
        <w:t xml:space="preserve">While licensing provides benefits, overly restrictive licensing requirements also impose costs. </w:t>
      </w:r>
      <w:r w:rsidR="00F26C25">
        <w:rPr>
          <w:bCs/>
        </w:rPr>
        <w:t>By definition, l</w:t>
      </w:r>
      <w:r>
        <w:rPr>
          <w:bCs/>
        </w:rPr>
        <w:t>icensing rais</w:t>
      </w:r>
      <w:r w:rsidR="00F26C25">
        <w:rPr>
          <w:bCs/>
        </w:rPr>
        <w:t>es</w:t>
      </w:r>
      <w:r>
        <w:rPr>
          <w:bCs/>
        </w:rPr>
        <w:t xml:space="preserve"> barriers to entry and </w:t>
      </w:r>
      <w:r w:rsidR="0080261A">
        <w:rPr>
          <w:bCs/>
        </w:rPr>
        <w:t>restricts</w:t>
      </w:r>
      <w:r>
        <w:rPr>
          <w:bCs/>
        </w:rPr>
        <w:t xml:space="preserve"> labour mobility</w:t>
      </w:r>
      <w:r w:rsidR="0080261A">
        <w:rPr>
          <w:bCs/>
        </w:rPr>
        <w:t xml:space="preserve">. Where this </w:t>
      </w:r>
      <w:r w:rsidR="00A36B00">
        <w:rPr>
          <w:bCs/>
        </w:rPr>
        <w:t>unnecessarily restricts competition</w:t>
      </w:r>
      <w:r>
        <w:rPr>
          <w:bCs/>
        </w:rPr>
        <w:t xml:space="preserve">, </w:t>
      </w:r>
      <w:r w:rsidR="00A36B00">
        <w:rPr>
          <w:bCs/>
        </w:rPr>
        <w:t>this can result in</w:t>
      </w:r>
      <w:r>
        <w:rPr>
          <w:bCs/>
        </w:rPr>
        <w:t xml:space="preserve"> higher prices, reduced choice and </w:t>
      </w:r>
      <w:r w:rsidR="00F103C1">
        <w:rPr>
          <w:bCs/>
        </w:rPr>
        <w:t xml:space="preserve">potentially, </w:t>
      </w:r>
      <w:r>
        <w:rPr>
          <w:bCs/>
        </w:rPr>
        <w:t>lower quality.</w:t>
      </w:r>
      <w:r w:rsidRPr="0052586D">
        <w:rPr>
          <w:bCs/>
        </w:rPr>
        <w:t xml:space="preserve"> </w:t>
      </w:r>
      <w:r>
        <w:rPr>
          <w:bCs/>
        </w:rPr>
        <w:t xml:space="preserve">Restrictive </w:t>
      </w:r>
      <w:r w:rsidRPr="00313C81">
        <w:t xml:space="preserve">licensing requirements </w:t>
      </w:r>
      <w:r>
        <w:t>may also</w:t>
      </w:r>
      <w:r w:rsidRPr="00313C81">
        <w:t xml:space="preserve"> reduce productivity growth </w:t>
      </w:r>
      <w:r>
        <w:t>by</w:t>
      </w:r>
      <w:r w:rsidRPr="00313C81">
        <w:t xml:space="preserve"> limit</w:t>
      </w:r>
      <w:r>
        <w:t>ing</w:t>
      </w:r>
      <w:r w:rsidRPr="00313C81">
        <w:t xml:space="preserve"> the ability of occupations to evolve as technology and consumer demand</w:t>
      </w:r>
      <w:r w:rsidR="00F103C1">
        <w:t>s</w:t>
      </w:r>
      <w:r w:rsidRPr="00313C81">
        <w:t xml:space="preserve"> change.</w:t>
      </w:r>
      <w:r w:rsidR="00C42544" w:rsidRPr="00D867B0">
        <w:rPr>
          <w:rStyle w:val="FootnoteReference"/>
          <w:sz w:val="22"/>
          <w:szCs w:val="22"/>
          <w:vertAlign w:val="superscript"/>
        </w:rPr>
        <w:footnoteReference w:id="2"/>
      </w:r>
      <w:r w:rsidRPr="00D867B0">
        <w:rPr>
          <w:szCs w:val="22"/>
          <w:vertAlign w:val="superscript"/>
        </w:rPr>
        <w:t xml:space="preserve"> </w:t>
      </w:r>
    </w:p>
    <w:p w14:paraId="783E4D45" w14:textId="67842FE7" w:rsidR="00A519D0" w:rsidRPr="00C97325" w:rsidRDefault="00A519D0" w:rsidP="00A519D0">
      <w:r w:rsidRPr="00585581">
        <w:rPr>
          <w:szCs w:val="22"/>
        </w:rPr>
        <w:t>Differences</w:t>
      </w:r>
      <w:r>
        <w:rPr>
          <w:szCs w:val="22"/>
        </w:rPr>
        <w:t xml:space="preserve"> in licence requirements</w:t>
      </w:r>
      <w:r w:rsidRPr="00585581">
        <w:rPr>
          <w:szCs w:val="22"/>
        </w:rPr>
        <w:t xml:space="preserve"> between jurisdictions make it harder for </w:t>
      </w:r>
      <w:r>
        <w:rPr>
          <w:szCs w:val="22"/>
        </w:rPr>
        <w:t>workers</w:t>
      </w:r>
      <w:r w:rsidRPr="00585581">
        <w:rPr>
          <w:szCs w:val="22"/>
        </w:rPr>
        <w:t xml:space="preserve"> to move across borders for work, raising the costs to employers of filling job vacancies and expanding their business. </w:t>
      </w:r>
      <w:r w:rsidR="00BE18E6">
        <w:rPr>
          <w:szCs w:val="22"/>
        </w:rPr>
        <w:t>Where l</w:t>
      </w:r>
      <w:r w:rsidRPr="00585581">
        <w:rPr>
          <w:szCs w:val="22"/>
        </w:rPr>
        <w:t xml:space="preserve">icensing </w:t>
      </w:r>
      <w:r w:rsidR="00BE18E6">
        <w:rPr>
          <w:szCs w:val="22"/>
        </w:rPr>
        <w:t xml:space="preserve">is </w:t>
      </w:r>
      <w:r w:rsidRPr="00585581">
        <w:rPr>
          <w:szCs w:val="22"/>
        </w:rPr>
        <w:t xml:space="preserve">unnecessarily restrictive or misaligned with the regulatory objective, </w:t>
      </w:r>
      <w:r w:rsidR="00BE18E6">
        <w:rPr>
          <w:szCs w:val="22"/>
        </w:rPr>
        <w:t xml:space="preserve">this </w:t>
      </w:r>
      <w:r w:rsidRPr="00585581">
        <w:rPr>
          <w:szCs w:val="22"/>
        </w:rPr>
        <w:t xml:space="preserve">can </w:t>
      </w:r>
      <w:r w:rsidR="00BE18E6">
        <w:rPr>
          <w:szCs w:val="22"/>
        </w:rPr>
        <w:t>also</w:t>
      </w:r>
      <w:r w:rsidRPr="00585581">
        <w:rPr>
          <w:szCs w:val="22"/>
        </w:rPr>
        <w:t xml:space="preserve"> create and exacerbate skill shortages and make it harder for people to change occupations.</w:t>
      </w:r>
    </w:p>
    <w:p w14:paraId="09275B36" w14:textId="77777777" w:rsidR="00A519D0" w:rsidRPr="00E637D6" w:rsidRDefault="00A519D0" w:rsidP="00A519D0">
      <w:pPr>
        <w:pStyle w:val="Heading3"/>
      </w:pPr>
      <w:bookmarkStart w:id="20" w:name="_Toc207008647"/>
      <w:r>
        <w:t>Australia’s</w:t>
      </w:r>
      <w:r w:rsidRPr="00E637D6">
        <w:t xml:space="preserve"> electrical </w:t>
      </w:r>
      <w:r>
        <w:t>industry</w:t>
      </w:r>
      <w:bookmarkEnd w:id="19"/>
      <w:bookmarkEnd w:id="20"/>
    </w:p>
    <w:p w14:paraId="45E2E5EE" w14:textId="3C9B194F" w:rsidR="00A519D0" w:rsidRDefault="00A519D0" w:rsidP="00586D09">
      <w:pPr>
        <w:rPr>
          <w:szCs w:val="22"/>
        </w:rPr>
      </w:pPr>
      <w:r w:rsidRPr="00585581">
        <w:rPr>
          <w:szCs w:val="22"/>
        </w:rPr>
        <w:t xml:space="preserve">Electrical occupations are vital to the Australian economy. </w:t>
      </w:r>
      <w:r w:rsidR="00D4151B">
        <w:rPr>
          <w:szCs w:val="22"/>
        </w:rPr>
        <w:t>The electrotechnology sector</w:t>
      </w:r>
      <w:r w:rsidR="00134E18">
        <w:rPr>
          <w:szCs w:val="22"/>
        </w:rPr>
        <w:t xml:space="preserve"> employs over 241,000 employees across over</w:t>
      </w:r>
      <w:r w:rsidR="00E81B41">
        <w:rPr>
          <w:szCs w:val="22"/>
        </w:rPr>
        <w:t xml:space="preserve"> </w:t>
      </w:r>
      <w:r w:rsidR="00D4151B" w:rsidRPr="00D4151B">
        <w:rPr>
          <w:szCs w:val="22"/>
        </w:rPr>
        <w:t>56,</w:t>
      </w:r>
      <w:r w:rsidR="00134E18">
        <w:rPr>
          <w:szCs w:val="22"/>
        </w:rPr>
        <w:t>000</w:t>
      </w:r>
      <w:r w:rsidR="00D4151B" w:rsidRPr="00D4151B">
        <w:rPr>
          <w:szCs w:val="22"/>
        </w:rPr>
        <w:t xml:space="preserve"> businesses</w:t>
      </w:r>
      <w:r w:rsidR="00F6751D" w:rsidRPr="00F66081">
        <w:rPr>
          <w:rStyle w:val="FootnoteReference"/>
          <w:sz w:val="22"/>
          <w:szCs w:val="22"/>
          <w:vertAlign w:val="superscript"/>
        </w:rPr>
        <w:footnoteReference w:id="3"/>
      </w:r>
      <w:r w:rsidR="00586D09">
        <w:rPr>
          <w:szCs w:val="22"/>
        </w:rPr>
        <w:t xml:space="preserve"> </w:t>
      </w:r>
      <w:r w:rsidRPr="00585581">
        <w:rPr>
          <w:szCs w:val="22"/>
        </w:rPr>
        <w:t>in key industries such as building and construction, mining and utilities</w:t>
      </w:r>
      <w:r w:rsidR="00BB5673">
        <w:rPr>
          <w:szCs w:val="22"/>
        </w:rPr>
        <w:t>.</w:t>
      </w:r>
      <w:r w:rsidRPr="00D867B0">
        <w:rPr>
          <w:rStyle w:val="FootnoteReference"/>
          <w:sz w:val="22"/>
          <w:szCs w:val="22"/>
          <w:vertAlign w:val="superscript"/>
        </w:rPr>
        <w:footnoteReference w:id="4"/>
      </w:r>
      <w:r w:rsidR="00D074D3">
        <w:rPr>
          <w:szCs w:val="22"/>
        </w:rPr>
        <w:t xml:space="preserve"> </w:t>
      </w:r>
    </w:p>
    <w:p w14:paraId="2C9BC7F5" w14:textId="0ED1ED02" w:rsidR="00A519D0" w:rsidRDefault="00600969" w:rsidP="00A519D0">
      <w:pPr>
        <w:rPr>
          <w:szCs w:val="22"/>
        </w:rPr>
      </w:pPr>
      <w:r>
        <w:rPr>
          <w:szCs w:val="22"/>
        </w:rPr>
        <w:t>Most e</w:t>
      </w:r>
      <w:r w:rsidR="00A519D0" w:rsidRPr="00585581">
        <w:rPr>
          <w:szCs w:val="22"/>
        </w:rPr>
        <w:t>lectric</w:t>
      </w:r>
      <w:r w:rsidR="00942595">
        <w:rPr>
          <w:szCs w:val="22"/>
        </w:rPr>
        <w:t>al workers</w:t>
      </w:r>
      <w:r w:rsidR="00A519D0" w:rsidRPr="00585581">
        <w:rPr>
          <w:szCs w:val="22"/>
        </w:rPr>
        <w:t xml:space="preserve"> require a licence to work in Australia.</w:t>
      </w:r>
      <w:r w:rsidR="00A519D0" w:rsidRPr="00B75F95">
        <w:rPr>
          <w:szCs w:val="22"/>
        </w:rPr>
        <w:t xml:space="preserve"> </w:t>
      </w:r>
      <w:r w:rsidR="00A519D0" w:rsidRPr="00585581">
        <w:rPr>
          <w:szCs w:val="22"/>
        </w:rPr>
        <w:t>Regulatory requirements and processes</w:t>
      </w:r>
      <w:r w:rsidR="00A519D0">
        <w:rPr>
          <w:szCs w:val="22"/>
        </w:rPr>
        <w:t xml:space="preserve"> for</w:t>
      </w:r>
      <w:r w:rsidR="00A519D0" w:rsidRPr="00585581">
        <w:rPr>
          <w:szCs w:val="22"/>
        </w:rPr>
        <w:t xml:space="preserve"> </w:t>
      </w:r>
      <w:r w:rsidR="00A519D0">
        <w:rPr>
          <w:szCs w:val="22"/>
        </w:rPr>
        <w:t>electric</w:t>
      </w:r>
      <w:r w:rsidR="00942595">
        <w:rPr>
          <w:szCs w:val="22"/>
        </w:rPr>
        <w:t>al workers</w:t>
      </w:r>
      <w:r w:rsidR="00A519D0" w:rsidRPr="00585581">
        <w:rPr>
          <w:szCs w:val="22"/>
        </w:rPr>
        <w:t xml:space="preserve"> are managed differently in each of the eight states and territories (states)</w:t>
      </w:r>
      <w:r w:rsidR="00A519D0">
        <w:rPr>
          <w:szCs w:val="22"/>
        </w:rPr>
        <w:t xml:space="preserve">, and each state has different categories of electrical </w:t>
      </w:r>
      <w:r w:rsidR="00BA1C91">
        <w:rPr>
          <w:szCs w:val="22"/>
        </w:rPr>
        <w:t xml:space="preserve">licences </w:t>
      </w:r>
      <w:r w:rsidR="00A519D0">
        <w:rPr>
          <w:szCs w:val="22"/>
        </w:rPr>
        <w:t>(Box 1)</w:t>
      </w:r>
      <w:r w:rsidR="00A519D0" w:rsidRPr="00585581">
        <w:rPr>
          <w:szCs w:val="22"/>
        </w:rPr>
        <w:t>.</w:t>
      </w:r>
    </w:p>
    <w:p w14:paraId="58DFBE1B" w14:textId="76F4E50A" w:rsidR="00A519D0" w:rsidRDefault="00DD49A3" w:rsidP="00A519D0">
      <w:pPr>
        <w:rPr>
          <w:szCs w:val="22"/>
        </w:rPr>
      </w:pPr>
      <w:r w:rsidRPr="00DD49A3">
        <w:rPr>
          <w:szCs w:val="22"/>
        </w:rPr>
        <w:t xml:space="preserve">Jobs and Skills Australia </w:t>
      </w:r>
      <w:r>
        <w:rPr>
          <w:szCs w:val="22"/>
        </w:rPr>
        <w:t>(JSA) have persiste</w:t>
      </w:r>
      <w:r w:rsidR="00FC7316">
        <w:rPr>
          <w:szCs w:val="22"/>
        </w:rPr>
        <w:t>ntly</w:t>
      </w:r>
      <w:r>
        <w:rPr>
          <w:szCs w:val="22"/>
        </w:rPr>
        <w:t xml:space="preserve"> identified e</w:t>
      </w:r>
      <w:r w:rsidR="00FA4BA2">
        <w:rPr>
          <w:szCs w:val="22"/>
        </w:rPr>
        <w:t xml:space="preserve">lectricians and other electrical trades </w:t>
      </w:r>
      <w:r w:rsidR="00B65E28">
        <w:rPr>
          <w:szCs w:val="22"/>
        </w:rPr>
        <w:t>as ‘in shortage’.</w:t>
      </w:r>
      <w:r w:rsidR="008D21B3" w:rsidRPr="00C25F1E">
        <w:rPr>
          <w:rStyle w:val="FootnoteReference"/>
          <w:sz w:val="22"/>
          <w:szCs w:val="22"/>
          <w:vertAlign w:val="superscript"/>
        </w:rPr>
        <w:footnoteReference w:id="5"/>
      </w:r>
      <w:r w:rsidR="00E75165" w:rsidRPr="00C25F1E">
        <w:rPr>
          <w:rStyle w:val="FootnoteReference"/>
          <w:sz w:val="22"/>
          <w:vertAlign w:val="superscript"/>
        </w:rPr>
        <w:t xml:space="preserve"> </w:t>
      </w:r>
      <w:r w:rsidR="00A519D0" w:rsidRPr="00585581">
        <w:rPr>
          <w:szCs w:val="22"/>
        </w:rPr>
        <w:t>An adequate supply of skilled electric</w:t>
      </w:r>
      <w:r w:rsidR="00942595">
        <w:rPr>
          <w:szCs w:val="22"/>
        </w:rPr>
        <w:t>al workers</w:t>
      </w:r>
      <w:r w:rsidR="00A519D0" w:rsidRPr="00585581">
        <w:rPr>
          <w:szCs w:val="22"/>
        </w:rPr>
        <w:t xml:space="preserve"> will continue to be critical for the delivery of several national priorities including the Government’s clean energy commitments</w:t>
      </w:r>
      <w:r w:rsidR="00A519D0" w:rsidRPr="00D867B0">
        <w:rPr>
          <w:rStyle w:val="FootnoteReference"/>
          <w:sz w:val="22"/>
          <w:szCs w:val="22"/>
          <w:vertAlign w:val="superscript"/>
        </w:rPr>
        <w:footnoteReference w:id="6"/>
      </w:r>
      <w:r w:rsidR="00A519D0" w:rsidRPr="00585581">
        <w:rPr>
          <w:szCs w:val="22"/>
        </w:rPr>
        <w:t xml:space="preserve"> and Housing </w:t>
      </w:r>
      <w:r w:rsidR="00A519D0" w:rsidRPr="00585581">
        <w:rPr>
          <w:szCs w:val="22"/>
        </w:rPr>
        <w:lastRenderedPageBreak/>
        <w:t>Accord targets (Figure 1)</w:t>
      </w:r>
      <w:r w:rsidR="00DE35F8">
        <w:rPr>
          <w:szCs w:val="22"/>
        </w:rPr>
        <w:t xml:space="preserve">, as well as </w:t>
      </w:r>
      <w:r w:rsidR="00FC08E6">
        <w:rPr>
          <w:szCs w:val="22"/>
        </w:rPr>
        <w:t xml:space="preserve">manufacturing, critical minerals and </w:t>
      </w:r>
      <w:r w:rsidR="001F6846">
        <w:rPr>
          <w:szCs w:val="22"/>
        </w:rPr>
        <w:t xml:space="preserve">the </w:t>
      </w:r>
      <w:r w:rsidR="00FC08E6">
        <w:rPr>
          <w:szCs w:val="22"/>
        </w:rPr>
        <w:t>defence</w:t>
      </w:r>
      <w:r w:rsidR="001F6846">
        <w:rPr>
          <w:szCs w:val="22"/>
        </w:rPr>
        <w:t xml:space="preserve"> industry</w:t>
      </w:r>
      <w:r w:rsidR="00A519D0" w:rsidRPr="00585581">
        <w:rPr>
          <w:szCs w:val="22"/>
        </w:rPr>
        <w:t>.</w:t>
      </w:r>
      <w:r w:rsidR="00A519D0" w:rsidRPr="00D867B0">
        <w:rPr>
          <w:rStyle w:val="FootnoteReference"/>
          <w:sz w:val="22"/>
          <w:szCs w:val="22"/>
          <w:vertAlign w:val="superscript"/>
        </w:rPr>
        <w:footnoteReference w:id="7"/>
      </w:r>
      <w:r w:rsidR="008E21C5">
        <w:rPr>
          <w:szCs w:val="22"/>
        </w:rPr>
        <w:t xml:space="preserve"> A nationally-mobile electrical workforce w</w:t>
      </w:r>
      <w:r w:rsidR="00187056">
        <w:rPr>
          <w:szCs w:val="22"/>
        </w:rPr>
        <w:t>ill</w:t>
      </w:r>
      <w:r w:rsidR="008E21C5">
        <w:rPr>
          <w:szCs w:val="22"/>
        </w:rPr>
        <w:t xml:space="preserve"> also </w:t>
      </w:r>
      <w:r w:rsidR="00BF6421">
        <w:rPr>
          <w:szCs w:val="22"/>
        </w:rPr>
        <w:t>assist in</w:t>
      </w:r>
      <w:r w:rsidR="008E21C5">
        <w:rPr>
          <w:szCs w:val="22"/>
        </w:rPr>
        <w:t xml:space="preserve"> meet</w:t>
      </w:r>
      <w:r w:rsidR="00BF6421">
        <w:rPr>
          <w:szCs w:val="22"/>
        </w:rPr>
        <w:t>ing</w:t>
      </w:r>
      <w:r w:rsidR="008E21C5">
        <w:rPr>
          <w:szCs w:val="22"/>
        </w:rPr>
        <w:t xml:space="preserve"> local surges in demand across the country, such as </w:t>
      </w:r>
      <w:r w:rsidR="00242C18">
        <w:rPr>
          <w:szCs w:val="22"/>
        </w:rPr>
        <w:t xml:space="preserve">enabling the timely development of major infrastructure projects or </w:t>
      </w:r>
      <w:r w:rsidR="00BF6421">
        <w:rPr>
          <w:szCs w:val="22"/>
        </w:rPr>
        <w:t>supporting</w:t>
      </w:r>
      <w:r w:rsidR="008E21C5">
        <w:rPr>
          <w:szCs w:val="22"/>
        </w:rPr>
        <w:t xml:space="preserve"> recovery efforts following natural disasters</w:t>
      </w:r>
      <w:r w:rsidR="00BF6421">
        <w:rPr>
          <w:szCs w:val="22"/>
        </w:rPr>
        <w:t>.</w:t>
      </w: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046953" w:rsidRPr="007C019B" w14:paraId="2BFC882F"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1A8CF0BF" w14:textId="77777777" w:rsidR="00A519D0" w:rsidRPr="00075E6E" w:rsidRDefault="00A519D0">
            <w:pPr>
              <w:spacing w:before="96" w:after="96"/>
              <w:rPr>
                <w:sz w:val="22"/>
                <w:szCs w:val="22"/>
              </w:rPr>
            </w:pPr>
            <w:r w:rsidRPr="00911D28">
              <w:rPr>
                <w:szCs w:val="22"/>
              </w:rPr>
              <w:t xml:space="preserve">Box 1: </w:t>
            </w:r>
            <w:r>
              <w:rPr>
                <w:szCs w:val="22"/>
              </w:rPr>
              <w:t>Categories of e</w:t>
            </w:r>
            <w:r w:rsidRPr="00911D28">
              <w:rPr>
                <w:szCs w:val="22"/>
              </w:rPr>
              <w:t xml:space="preserve">lectrical occupations </w:t>
            </w:r>
            <w:r>
              <w:rPr>
                <w:szCs w:val="22"/>
              </w:rPr>
              <w:t>and licences</w:t>
            </w:r>
          </w:p>
        </w:tc>
      </w:tr>
      <w:tr w:rsidR="00A519D0" w:rsidRPr="007C019B" w14:paraId="7ADDCB52" w14:textId="77777777" w:rsidTr="008D1580">
        <w:tc>
          <w:tcPr>
            <w:tcW w:w="0" w:type="dxa"/>
          </w:tcPr>
          <w:p w14:paraId="22A5D36B" w14:textId="1057073B" w:rsidR="001D7138" w:rsidRPr="00A96F04" w:rsidRDefault="001B34BA" w:rsidP="001D7138">
            <w:pPr>
              <w:spacing w:before="96" w:after="96"/>
              <w:rPr>
                <w:color w:val="2C384A" w:themeColor="accent1"/>
                <w:szCs w:val="18"/>
              </w:rPr>
            </w:pPr>
            <w:r w:rsidRPr="00A96F04">
              <w:rPr>
                <w:color w:val="2C384A" w:themeColor="accent1"/>
                <w:szCs w:val="18"/>
              </w:rPr>
              <w:t>Electrical trades</w:t>
            </w:r>
            <w:r w:rsidR="00A519D0" w:rsidRPr="00A96F04">
              <w:rPr>
                <w:color w:val="2C384A" w:themeColor="accent1"/>
                <w:szCs w:val="18"/>
              </w:rPr>
              <w:t xml:space="preserve"> encompass a </w:t>
            </w:r>
            <w:r w:rsidR="001B382F" w:rsidRPr="00A96F04">
              <w:rPr>
                <w:color w:val="2C384A" w:themeColor="accent1"/>
                <w:szCs w:val="18"/>
              </w:rPr>
              <w:t xml:space="preserve">wide </w:t>
            </w:r>
            <w:r w:rsidR="00A519D0" w:rsidRPr="00A96F04">
              <w:rPr>
                <w:color w:val="2C384A" w:themeColor="accent1"/>
                <w:szCs w:val="18"/>
              </w:rPr>
              <w:t>range of occupations and job types. For example, electrical tradespeople work across residential, commercial, industrial, mining, construction, renewable energy and other fields.</w:t>
            </w:r>
            <w:r w:rsidR="00A96F04" w:rsidRPr="00A96F04">
              <w:rPr>
                <w:color w:val="2C384A" w:themeColor="accent1"/>
                <w:szCs w:val="18"/>
              </w:rPr>
              <w:t xml:space="preserve"> </w:t>
            </w:r>
            <w:r w:rsidR="001D7138" w:rsidRPr="00A96F04">
              <w:rPr>
                <w:rFonts w:cs="Calibri Light"/>
                <w:color w:val="2C384A" w:themeColor="accent1"/>
                <w:szCs w:val="18"/>
              </w:rPr>
              <w:t>States also vary in how different job types relate to their licen</w:t>
            </w:r>
            <w:r w:rsidR="00C9085F">
              <w:rPr>
                <w:rFonts w:cs="Calibri Light"/>
                <w:color w:val="2C384A" w:themeColor="accent1"/>
                <w:szCs w:val="18"/>
              </w:rPr>
              <w:t>s</w:t>
            </w:r>
            <w:r w:rsidR="001D7138" w:rsidRPr="00A96F04">
              <w:rPr>
                <w:rFonts w:cs="Calibri Light"/>
                <w:color w:val="2C384A" w:themeColor="accent1"/>
                <w:szCs w:val="18"/>
              </w:rPr>
              <w:t>ing schemes</w:t>
            </w:r>
            <w:r w:rsidR="001D7138" w:rsidRPr="00A96F04">
              <w:rPr>
                <w:color w:val="2C384A" w:themeColor="accent1"/>
                <w:szCs w:val="18"/>
              </w:rPr>
              <w:t xml:space="preserve">. </w:t>
            </w:r>
            <w:r w:rsidR="00DB0215">
              <w:rPr>
                <w:color w:val="2C384A" w:themeColor="accent1"/>
                <w:szCs w:val="18"/>
              </w:rPr>
              <w:t>Some c</w:t>
            </w:r>
            <w:r w:rsidR="001D7138" w:rsidRPr="00A96F04">
              <w:rPr>
                <w:color w:val="2C384A" w:themeColor="accent1"/>
                <w:szCs w:val="18"/>
              </w:rPr>
              <w:t>ommon electrical licence types</w:t>
            </w:r>
            <w:r w:rsidR="00DB0215">
              <w:rPr>
                <w:color w:val="2C384A" w:themeColor="accent1"/>
                <w:szCs w:val="18"/>
              </w:rPr>
              <w:t xml:space="preserve"> </w:t>
            </w:r>
            <w:r w:rsidR="001833E9">
              <w:rPr>
                <w:color w:val="2C384A" w:themeColor="accent1"/>
                <w:szCs w:val="18"/>
              </w:rPr>
              <w:t>include:</w:t>
            </w:r>
          </w:p>
          <w:p w14:paraId="4EAC642C" w14:textId="1AAC02AB" w:rsidR="001D7138" w:rsidRPr="00A96F04" w:rsidRDefault="001D7138" w:rsidP="001D7138">
            <w:pPr>
              <w:pStyle w:val="ListParagraph"/>
              <w:numPr>
                <w:ilvl w:val="0"/>
                <w:numId w:val="47"/>
              </w:numPr>
              <w:spacing w:before="96" w:after="96"/>
              <w:rPr>
                <w:color w:val="2C384A" w:themeColor="accent1"/>
                <w:szCs w:val="18"/>
              </w:rPr>
            </w:pPr>
            <w:bookmarkStart w:id="21" w:name="tempbookmark"/>
            <w:r w:rsidRPr="00A96F04">
              <w:rPr>
                <w:b/>
                <w:bCs/>
                <w:color w:val="2C384A" w:themeColor="accent1"/>
                <w:szCs w:val="18"/>
              </w:rPr>
              <w:t>Contractor licences</w:t>
            </w:r>
            <w:r w:rsidRPr="00A96F04">
              <w:rPr>
                <w:color w:val="2C384A" w:themeColor="accent1"/>
                <w:szCs w:val="18"/>
              </w:rPr>
              <w:t xml:space="preserve"> enable individuals or businesses to contract and advertise to perform electrical work</w:t>
            </w:r>
            <w:r w:rsidR="00924E4C">
              <w:rPr>
                <w:color w:val="2C384A" w:themeColor="accent1"/>
                <w:szCs w:val="18"/>
              </w:rPr>
              <w:t xml:space="preserve"> as a sole trader, partnership or company</w:t>
            </w:r>
            <w:r w:rsidRPr="00A96F04">
              <w:rPr>
                <w:color w:val="2C384A" w:themeColor="accent1"/>
                <w:szCs w:val="18"/>
              </w:rPr>
              <w:t>.</w:t>
            </w:r>
            <w:r w:rsidR="002D4363">
              <w:rPr>
                <w:color w:val="2C384A" w:themeColor="accent1"/>
                <w:szCs w:val="18"/>
              </w:rPr>
              <w:t xml:space="preserve"> </w:t>
            </w:r>
          </w:p>
          <w:p w14:paraId="468BBD95" w14:textId="123DCAE5" w:rsidR="001D7138" w:rsidRPr="00A96F04" w:rsidRDefault="001D7138" w:rsidP="001D7138">
            <w:pPr>
              <w:pStyle w:val="ListParagraph"/>
              <w:numPr>
                <w:ilvl w:val="0"/>
                <w:numId w:val="47"/>
              </w:numPr>
              <w:spacing w:before="96" w:after="96"/>
              <w:rPr>
                <w:b/>
                <w:bCs/>
                <w:color w:val="2C384A" w:themeColor="accent1"/>
                <w:szCs w:val="18"/>
              </w:rPr>
            </w:pPr>
            <w:r w:rsidRPr="00A96F04">
              <w:rPr>
                <w:b/>
                <w:bCs/>
                <w:color w:val="2C384A" w:themeColor="accent1"/>
                <w:szCs w:val="18"/>
              </w:rPr>
              <w:t>Unrestricted electrical licences</w:t>
            </w:r>
            <w:r w:rsidRPr="00A96F04">
              <w:rPr>
                <w:color w:val="2C384A" w:themeColor="accent1"/>
                <w:szCs w:val="18"/>
              </w:rPr>
              <w:t xml:space="preserve"> enable individuals to undertake a broad scope of general electrical work without direct supervision.</w:t>
            </w:r>
            <w:r w:rsidRPr="00A96F04">
              <w:rPr>
                <w:b/>
                <w:bCs/>
                <w:color w:val="2C384A" w:themeColor="accent1"/>
                <w:szCs w:val="18"/>
              </w:rPr>
              <w:t xml:space="preserve"> </w:t>
            </w:r>
            <w:r w:rsidR="00AC6DBB" w:rsidRPr="00933F39">
              <w:rPr>
                <w:color w:val="2C384A" w:themeColor="accent1"/>
                <w:szCs w:val="18"/>
              </w:rPr>
              <w:t xml:space="preserve">To obtain this licence, workers must obtain a Certificate III in Electrotechnology Electrician and </w:t>
            </w:r>
            <w:r w:rsidR="00AC6DBB">
              <w:rPr>
                <w:color w:val="2C384A" w:themeColor="accent1"/>
                <w:szCs w:val="18"/>
              </w:rPr>
              <w:t xml:space="preserve">typically </w:t>
            </w:r>
            <w:r w:rsidR="00AC6DBB" w:rsidRPr="00933F39">
              <w:rPr>
                <w:color w:val="2C384A" w:themeColor="accent1"/>
                <w:szCs w:val="18"/>
              </w:rPr>
              <w:t>complete an apprenticeship under the supervision of a licensed electrician</w:t>
            </w:r>
            <w:r w:rsidR="00AC6DBB">
              <w:rPr>
                <w:color w:val="2C384A" w:themeColor="accent1"/>
                <w:szCs w:val="18"/>
              </w:rPr>
              <w:t>.</w:t>
            </w:r>
          </w:p>
          <w:p w14:paraId="79F4CF8C" w14:textId="648B18B4" w:rsidR="001D7138" w:rsidRPr="00A96F04" w:rsidRDefault="001D7138" w:rsidP="001D7138">
            <w:pPr>
              <w:pStyle w:val="ListParagraph"/>
              <w:numPr>
                <w:ilvl w:val="0"/>
                <w:numId w:val="47"/>
              </w:numPr>
              <w:spacing w:before="96" w:after="96"/>
              <w:rPr>
                <w:b/>
                <w:bCs/>
                <w:color w:val="2C384A" w:themeColor="accent1"/>
                <w:szCs w:val="18"/>
              </w:rPr>
            </w:pPr>
            <w:r w:rsidRPr="00A96F04">
              <w:rPr>
                <w:b/>
                <w:bCs/>
                <w:color w:val="2C384A" w:themeColor="accent1"/>
                <w:szCs w:val="18"/>
              </w:rPr>
              <w:t xml:space="preserve">Linesworker licences </w:t>
            </w:r>
            <w:r w:rsidRPr="00A96F04">
              <w:rPr>
                <w:color w:val="2C384A" w:themeColor="accent1"/>
                <w:szCs w:val="18"/>
              </w:rPr>
              <w:t xml:space="preserve">enable individuals to undertake electrical work on overhead and underground power lines.  </w:t>
            </w:r>
          </w:p>
          <w:p w14:paraId="0C476207" w14:textId="77777777" w:rsidR="009778BB" w:rsidRDefault="001D7138" w:rsidP="00DF5D47">
            <w:pPr>
              <w:pStyle w:val="ListParagraph"/>
              <w:numPr>
                <w:ilvl w:val="0"/>
                <w:numId w:val="47"/>
              </w:numPr>
              <w:spacing w:before="96" w:after="96"/>
              <w:rPr>
                <w:color w:val="2C384A" w:themeColor="accent1"/>
                <w:szCs w:val="18"/>
              </w:rPr>
            </w:pPr>
            <w:r w:rsidRPr="00A96F04">
              <w:rPr>
                <w:b/>
                <w:bCs/>
                <w:color w:val="2C384A" w:themeColor="accent1"/>
                <w:szCs w:val="18"/>
              </w:rPr>
              <w:t xml:space="preserve">Restricted electrical licences </w:t>
            </w:r>
            <w:r w:rsidRPr="00A96F04">
              <w:rPr>
                <w:color w:val="2C384A" w:themeColor="accent1"/>
                <w:szCs w:val="18"/>
              </w:rPr>
              <w:t>enable individuals to undertake specific types of</w:t>
            </w:r>
            <w:r w:rsidR="00462565" w:rsidRPr="00A96F04">
              <w:rPr>
                <w:color w:val="2C384A" w:themeColor="accent1"/>
                <w:szCs w:val="18"/>
              </w:rPr>
              <w:t xml:space="preserve"> limited</w:t>
            </w:r>
            <w:r w:rsidRPr="00A96F04">
              <w:rPr>
                <w:color w:val="2C384A" w:themeColor="accent1"/>
                <w:szCs w:val="18"/>
              </w:rPr>
              <w:t xml:space="preserve"> electrical work, but not more general electrical work.</w:t>
            </w:r>
          </w:p>
          <w:p w14:paraId="1AA9B051" w14:textId="28234C54" w:rsidR="00A519D0" w:rsidRPr="00075E6E" w:rsidRDefault="00DE4A92" w:rsidP="008424F1">
            <w:pPr>
              <w:rPr>
                <w:rFonts w:cs="Calibri Light"/>
                <w:b/>
                <w:sz w:val="22"/>
                <w:szCs w:val="22"/>
              </w:rPr>
            </w:pPr>
            <w:r>
              <w:rPr>
                <w:color w:val="2C384A" w:themeColor="accent1"/>
                <w:szCs w:val="18"/>
              </w:rPr>
              <w:t xml:space="preserve">The sub-categories and eligibility requirements for </w:t>
            </w:r>
            <w:r w:rsidR="008F2EA0">
              <w:rPr>
                <w:color w:val="2C384A" w:themeColor="accent1"/>
                <w:szCs w:val="18"/>
              </w:rPr>
              <w:t>the different electrical licence types can vary significantly across jurisdictions</w:t>
            </w:r>
            <w:r w:rsidR="008A61AF">
              <w:rPr>
                <w:color w:val="2C384A" w:themeColor="accent1"/>
                <w:szCs w:val="18"/>
              </w:rPr>
              <w:t>, particularly for restricted electrical licences</w:t>
            </w:r>
            <w:r w:rsidR="008F2EA0">
              <w:rPr>
                <w:color w:val="2C384A" w:themeColor="accent1"/>
                <w:szCs w:val="18"/>
              </w:rPr>
              <w:t xml:space="preserve">. For example, </w:t>
            </w:r>
            <w:bookmarkEnd w:id="21"/>
            <w:r w:rsidR="008A61AF">
              <w:rPr>
                <w:rFonts w:cs="Calibri Light"/>
              </w:rPr>
              <w:t>r</w:t>
            </w:r>
            <w:r w:rsidR="00A519D0" w:rsidRPr="00A96F04">
              <w:rPr>
                <w:rFonts w:cs="Calibri Light"/>
              </w:rPr>
              <w:t>efrigeration</w:t>
            </w:r>
            <w:r w:rsidR="00DA6F78" w:rsidRPr="00A96F04">
              <w:rPr>
                <w:rFonts w:cs="Calibri Light"/>
              </w:rPr>
              <w:t xml:space="preserve"> and air-conditioning</w:t>
            </w:r>
            <w:r w:rsidR="00354479">
              <w:rPr>
                <w:rFonts w:cs="Calibri Light"/>
              </w:rPr>
              <w:t xml:space="preserve"> (RAC)</w:t>
            </w:r>
            <w:r w:rsidR="00DA6F78" w:rsidRPr="00A96F04">
              <w:rPr>
                <w:rFonts w:cs="Calibri Light"/>
              </w:rPr>
              <w:t xml:space="preserve"> </w:t>
            </w:r>
            <w:r w:rsidR="00A519D0" w:rsidRPr="00A96F04">
              <w:rPr>
                <w:rFonts w:cs="Calibri Light"/>
              </w:rPr>
              <w:t>mechanics</w:t>
            </w:r>
            <w:r w:rsidR="00DA6F78" w:rsidRPr="00A96F04">
              <w:rPr>
                <w:rFonts w:cs="Calibri Light"/>
              </w:rPr>
              <w:t xml:space="preserve"> in some jurisdictions</w:t>
            </w:r>
            <w:r w:rsidR="00A519D0" w:rsidRPr="00A96F04">
              <w:rPr>
                <w:rFonts w:cs="Calibri Light"/>
              </w:rPr>
              <w:t xml:space="preserve"> are required to hold state-based</w:t>
            </w:r>
            <w:r w:rsidR="00DA6F78" w:rsidRPr="00A96F04">
              <w:rPr>
                <w:rFonts w:cs="Calibri Light"/>
              </w:rPr>
              <w:t xml:space="preserve"> licences in</w:t>
            </w:r>
            <w:r w:rsidR="00A519D0" w:rsidRPr="00A96F04">
              <w:rPr>
                <w:rFonts w:cs="Calibri Light"/>
              </w:rPr>
              <w:t xml:space="preserve"> </w:t>
            </w:r>
            <w:r w:rsidR="00DA6F78" w:rsidRPr="00A96F04">
              <w:rPr>
                <w:rFonts w:cs="Calibri Light"/>
              </w:rPr>
              <w:t xml:space="preserve">both </w:t>
            </w:r>
            <w:r w:rsidR="00A519D0" w:rsidRPr="00A96F04">
              <w:rPr>
                <w:rFonts w:cs="Calibri Light"/>
              </w:rPr>
              <w:t>restricted electrical</w:t>
            </w:r>
            <w:r w:rsidR="00DA6F78" w:rsidRPr="00A96F04">
              <w:rPr>
                <w:rFonts w:cs="Calibri Light"/>
              </w:rPr>
              <w:t xml:space="preserve"> work and RAC work, while also holding </w:t>
            </w:r>
            <w:r w:rsidR="00A519D0" w:rsidRPr="00A96F04">
              <w:rPr>
                <w:rFonts w:cs="Calibri Light"/>
              </w:rPr>
              <w:t xml:space="preserve">a </w:t>
            </w:r>
            <w:r w:rsidR="00DA6F78" w:rsidRPr="00A96F04">
              <w:rPr>
                <w:rFonts w:cs="Calibri Light"/>
              </w:rPr>
              <w:t xml:space="preserve">national </w:t>
            </w:r>
            <w:r w:rsidR="00A519D0" w:rsidRPr="00A96F04">
              <w:rPr>
                <w:rFonts w:cs="Calibri Light"/>
              </w:rPr>
              <w:t>refrigerant handling licence issued by the Australian Refrigeration Council.</w:t>
            </w:r>
            <w:r w:rsidR="002953DA">
              <w:rPr>
                <w:rFonts w:cs="Calibri Light"/>
                <w:szCs w:val="22"/>
              </w:rPr>
              <w:t xml:space="preserve"> </w:t>
            </w:r>
            <w:r w:rsidR="003138F4">
              <w:rPr>
                <w:rFonts w:cs="Calibri Light"/>
                <w:szCs w:val="22"/>
              </w:rPr>
              <w:t>S</w:t>
            </w:r>
            <w:r w:rsidR="004E731E">
              <w:rPr>
                <w:rFonts w:cs="Calibri Light"/>
                <w:szCs w:val="22"/>
              </w:rPr>
              <w:t>ome electrical job types, such as linesworker</w:t>
            </w:r>
            <w:r w:rsidR="005F12C8">
              <w:rPr>
                <w:rFonts w:cs="Calibri Light"/>
                <w:szCs w:val="22"/>
              </w:rPr>
              <w:t>s</w:t>
            </w:r>
            <w:r w:rsidR="004E731E">
              <w:rPr>
                <w:rFonts w:cs="Calibri Light"/>
                <w:szCs w:val="22"/>
              </w:rPr>
              <w:t>, do not</w:t>
            </w:r>
            <w:r w:rsidR="002953DA">
              <w:rPr>
                <w:rFonts w:cs="Calibri Light"/>
                <w:szCs w:val="22"/>
              </w:rPr>
              <w:t xml:space="preserve"> require</w:t>
            </w:r>
            <w:r w:rsidR="004E731E">
              <w:rPr>
                <w:rFonts w:cs="Calibri Light"/>
                <w:szCs w:val="22"/>
              </w:rPr>
              <w:t xml:space="preserve"> a</w:t>
            </w:r>
            <w:r w:rsidR="002953DA">
              <w:rPr>
                <w:rFonts w:cs="Calibri Light"/>
                <w:szCs w:val="22"/>
              </w:rPr>
              <w:t xml:space="preserve"> specific licence </w:t>
            </w:r>
            <w:r w:rsidR="00231991">
              <w:rPr>
                <w:rFonts w:cs="Calibri Light"/>
                <w:szCs w:val="22"/>
              </w:rPr>
              <w:t xml:space="preserve">to operate </w:t>
            </w:r>
            <w:r w:rsidR="002953DA">
              <w:rPr>
                <w:rFonts w:cs="Calibri Light"/>
                <w:szCs w:val="22"/>
              </w:rPr>
              <w:t>in all</w:t>
            </w:r>
            <w:r w:rsidR="00DA5BFF" w:rsidRPr="00DA5BFF">
              <w:rPr>
                <w:rFonts w:cs="Calibri Light"/>
                <w:szCs w:val="22"/>
              </w:rPr>
              <w:t xml:space="preserve"> jurisdictions.</w:t>
            </w:r>
          </w:p>
        </w:tc>
      </w:tr>
    </w:tbl>
    <w:p w14:paraId="29CDF5F6" w14:textId="5A55DAE5" w:rsidR="00A519D0" w:rsidRDefault="00A519D0" w:rsidP="003C4B56">
      <w:pPr>
        <w:spacing w:before="0" w:after="0"/>
        <w:rPr>
          <w:szCs w:val="22"/>
        </w:rPr>
      </w:pPr>
    </w:p>
    <w:tbl>
      <w:tblPr>
        <w:tblStyle w:val="TableGrid"/>
        <w:tblW w:w="907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72"/>
      </w:tblGrid>
      <w:tr w:rsidR="00046953" w14:paraId="06E4F1F3" w14:textId="77777777">
        <w:trPr>
          <w:cnfStyle w:val="100000000000" w:firstRow="1" w:lastRow="0" w:firstColumn="0" w:lastColumn="0" w:oddVBand="0" w:evenVBand="0" w:oddHBand="0" w:evenHBand="0" w:firstRowFirstColumn="0" w:firstRowLastColumn="0" w:lastRowFirstColumn="0" w:lastRowLastColumn="0"/>
        </w:trPr>
        <w:tc>
          <w:tcPr>
            <w:tcW w:w="0" w:type="dxa"/>
          </w:tcPr>
          <w:p w14:paraId="5D61AADE" w14:textId="0F6264E3" w:rsidR="00A519D0" w:rsidRPr="00075E6E" w:rsidRDefault="00A519D0">
            <w:pPr>
              <w:spacing w:before="96" w:after="96"/>
              <w:rPr>
                <w:iCs/>
                <w:sz w:val="22"/>
                <w:szCs w:val="22"/>
              </w:rPr>
            </w:pPr>
            <w:r w:rsidRPr="00075E6E">
              <w:rPr>
                <w:szCs w:val="22"/>
              </w:rPr>
              <w:t xml:space="preserve">Figure 1: Australia’s electrical </w:t>
            </w:r>
            <w:r w:rsidR="004E1B4C">
              <w:rPr>
                <w:szCs w:val="22"/>
              </w:rPr>
              <w:t>workforce</w:t>
            </w:r>
          </w:p>
        </w:tc>
      </w:tr>
      <w:tr w:rsidR="00A519D0" w14:paraId="059E788C" w14:textId="77777777" w:rsidTr="008D1580">
        <w:tc>
          <w:tcPr>
            <w:tcW w:w="0" w:type="dxa"/>
          </w:tcPr>
          <w:p w14:paraId="1822AEF4" w14:textId="77FF2C01" w:rsidR="00A519D0" w:rsidRDefault="00A9130C" w:rsidP="00AF43F6">
            <w:pPr>
              <w:jc w:val="center"/>
            </w:pPr>
            <w:r>
              <w:rPr>
                <w:noProof/>
              </w:rPr>
              <w:t xml:space="preserve"> </w:t>
            </w:r>
            <w:r w:rsidR="00436A23">
              <w:rPr>
                <w:noProof/>
              </w:rPr>
              <w:t xml:space="preserve"> </w:t>
            </w:r>
            <w:r w:rsidR="005C6C44">
              <w:rPr>
                <w:noProof/>
              </w:rPr>
              <w:drawing>
                <wp:inline distT="0" distB="0" distL="0" distR="0" wp14:anchorId="324E25EE" wp14:editId="52D334CA">
                  <wp:extent cx="4638675" cy="1719050"/>
                  <wp:effectExtent l="0" t="0" r="0" b="0"/>
                  <wp:docPr id="1170451977" name="Picture 1" descr="The figure contains an infographic with 3 facts about Australia's electrical workforce. These include employment (241,000 electrotechnology workers), the number of workers needed for net zero delivery (32,000 more by 2030) and the number of electricians needed in residential construction to meet the housing accord target (17,000 mo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451977" name="Picture 1" descr="The figure contains an infographic with 3 facts about Australia's electrical workforce. These include employment (241,000 electrotechnology workers), the number of workers needed for net zero delivery (32,000 more by 2030) and the number of electricians needed in residential construction to meet the housing accord target (17,000 more). "/>
                          <pic:cNvPicPr/>
                        </pic:nvPicPr>
                        <pic:blipFill>
                          <a:blip r:embed="rId20"/>
                          <a:stretch>
                            <a:fillRect/>
                          </a:stretch>
                        </pic:blipFill>
                        <pic:spPr>
                          <a:xfrm>
                            <a:off x="0" y="0"/>
                            <a:ext cx="4708417" cy="1744896"/>
                          </a:xfrm>
                          <a:prstGeom prst="rect">
                            <a:avLst/>
                          </a:prstGeom>
                        </pic:spPr>
                      </pic:pic>
                    </a:graphicData>
                  </a:graphic>
                </wp:inline>
              </w:drawing>
            </w:r>
          </w:p>
        </w:tc>
      </w:tr>
    </w:tbl>
    <w:p w14:paraId="2B83454A" w14:textId="77777777" w:rsidR="00A519D0" w:rsidRPr="00E637D6" w:rsidRDefault="00A519D0" w:rsidP="00A519D0">
      <w:pPr>
        <w:pStyle w:val="Heading3"/>
      </w:pPr>
      <w:bookmarkStart w:id="22" w:name="_Toc199402810"/>
      <w:bookmarkStart w:id="23" w:name="_Toc207008648"/>
      <w:r>
        <w:t>The opportunity for reform</w:t>
      </w:r>
      <w:bookmarkEnd w:id="22"/>
      <w:bookmarkEnd w:id="23"/>
    </w:p>
    <w:p w14:paraId="6605E4B9" w14:textId="2524452F" w:rsidR="00A519D0" w:rsidRPr="000D0ED8" w:rsidRDefault="00A519D0" w:rsidP="00A519D0">
      <w:pPr>
        <w:rPr>
          <w:szCs w:val="22"/>
        </w:rPr>
      </w:pPr>
      <w:r w:rsidRPr="000D0ED8">
        <w:rPr>
          <w:szCs w:val="22"/>
        </w:rPr>
        <w:t xml:space="preserve">Removing barriers to mobility and entry to the electrical industry </w:t>
      </w:r>
      <w:r w:rsidR="001B34BA">
        <w:rPr>
          <w:szCs w:val="22"/>
        </w:rPr>
        <w:t>c</w:t>
      </w:r>
      <w:r w:rsidRPr="000D0ED8">
        <w:rPr>
          <w:szCs w:val="22"/>
        </w:rPr>
        <w:t>ould help address workforce shortages</w:t>
      </w:r>
      <w:r w:rsidR="001E280D">
        <w:rPr>
          <w:szCs w:val="22"/>
        </w:rPr>
        <w:t xml:space="preserve">, </w:t>
      </w:r>
      <w:r w:rsidR="000851B2">
        <w:rPr>
          <w:szCs w:val="22"/>
        </w:rPr>
        <w:t xml:space="preserve">increase </w:t>
      </w:r>
      <w:r w:rsidR="001E280D">
        <w:rPr>
          <w:szCs w:val="22"/>
        </w:rPr>
        <w:t>productivity</w:t>
      </w:r>
      <w:r w:rsidRPr="000D0ED8">
        <w:rPr>
          <w:szCs w:val="22"/>
        </w:rPr>
        <w:t xml:space="preserve"> and grow the economy as whole. A harmonised national approach to electrical licensing could provide a balance that maintains</w:t>
      </w:r>
      <w:r w:rsidR="006957F2">
        <w:rPr>
          <w:szCs w:val="22"/>
        </w:rPr>
        <w:t xml:space="preserve"> or improves</w:t>
      </w:r>
      <w:r w:rsidRPr="000D0ED8">
        <w:rPr>
          <w:szCs w:val="22"/>
        </w:rPr>
        <w:t xml:space="preserve"> safety and quality standards without imposing excessive compliance costs.</w:t>
      </w:r>
    </w:p>
    <w:p w14:paraId="0B2479EE" w14:textId="77777777" w:rsidR="00A519D0" w:rsidRPr="000D0ED8" w:rsidRDefault="00A519D0" w:rsidP="00A519D0">
      <w:pPr>
        <w:rPr>
          <w:szCs w:val="22"/>
        </w:rPr>
      </w:pPr>
      <w:r w:rsidRPr="000D0ED8">
        <w:rPr>
          <w:szCs w:val="22"/>
        </w:rPr>
        <w:t>On 23 March 2025, the Government announced it would work with states, territories, businesses and unions to design a national licensing scheme for electrical tradespeople.</w:t>
      </w:r>
      <w:r w:rsidRPr="00D867B0">
        <w:rPr>
          <w:rStyle w:val="FootnoteReference"/>
          <w:sz w:val="22"/>
          <w:szCs w:val="22"/>
          <w:vertAlign w:val="superscript"/>
        </w:rPr>
        <w:footnoteReference w:id="8"/>
      </w:r>
      <w:r w:rsidRPr="000D0ED8">
        <w:rPr>
          <w:szCs w:val="22"/>
        </w:rPr>
        <w:t xml:space="preserve"> The announcement stated </w:t>
      </w:r>
      <w:r w:rsidRPr="000D0ED8">
        <w:rPr>
          <w:szCs w:val="22"/>
        </w:rPr>
        <w:lastRenderedPageBreak/>
        <w:t xml:space="preserve">that national licensing will enable people in electrical trades to work seamlessly </w:t>
      </w:r>
      <w:r w:rsidRPr="000D0ED8" w:rsidDel="004B0EFF">
        <w:rPr>
          <w:szCs w:val="22"/>
        </w:rPr>
        <w:t xml:space="preserve">across </w:t>
      </w:r>
      <w:r w:rsidRPr="000D0ED8">
        <w:rPr>
          <w:szCs w:val="22"/>
        </w:rPr>
        <w:t xml:space="preserve">borders without reapplying for a separate licence or paying additional fees, allowing workers to go where they are needed most. The Government noted this reform will be good for workers and businesses and will make our economy more productive and competitive. </w:t>
      </w:r>
    </w:p>
    <w:p w14:paraId="11666872" w14:textId="20D55D51" w:rsidR="00A519D0" w:rsidRPr="000D0ED8" w:rsidRDefault="00A519D0" w:rsidP="00A519D0">
      <w:pPr>
        <w:rPr>
          <w:szCs w:val="22"/>
        </w:rPr>
      </w:pPr>
      <w:r w:rsidRPr="000D0ED8">
        <w:rPr>
          <w:szCs w:val="22"/>
        </w:rPr>
        <w:t xml:space="preserve">The design and implementation of the national licensing scheme will be progressed </w:t>
      </w:r>
      <w:r w:rsidR="007A25FC">
        <w:rPr>
          <w:szCs w:val="22"/>
        </w:rPr>
        <w:t>using</w:t>
      </w:r>
      <w:r w:rsidR="007A25FC" w:rsidRPr="000D0ED8">
        <w:rPr>
          <w:szCs w:val="22"/>
        </w:rPr>
        <w:t xml:space="preserve"> </w:t>
      </w:r>
      <w:r w:rsidRPr="000D0ED8">
        <w:rPr>
          <w:szCs w:val="22"/>
        </w:rPr>
        <w:t xml:space="preserve">the National Competition Policy (NCP) framework. In November 2024, the </w:t>
      </w:r>
      <w:r w:rsidR="00E2332C">
        <w:rPr>
          <w:szCs w:val="22"/>
        </w:rPr>
        <w:t>Australian</w:t>
      </w:r>
      <w:r w:rsidRPr="000D0ED8">
        <w:rPr>
          <w:szCs w:val="22"/>
        </w:rPr>
        <w:t xml:space="preserve">, state and territory treasurers agreed to revitalise NCP by signing a new intergovernmental agreement and Federation Funding Agreement Schedule. NCP drives change by providing payments from the </w:t>
      </w:r>
      <w:r w:rsidR="00DF07A4">
        <w:rPr>
          <w:szCs w:val="22"/>
        </w:rPr>
        <w:t>Australian Government</w:t>
      </w:r>
      <w:r w:rsidR="00DF07A4" w:rsidRPr="000D0ED8">
        <w:rPr>
          <w:szCs w:val="22"/>
        </w:rPr>
        <w:t xml:space="preserve"> </w:t>
      </w:r>
      <w:r w:rsidRPr="000D0ED8">
        <w:rPr>
          <w:szCs w:val="22"/>
        </w:rPr>
        <w:t>to the states for pro-competitive reform, underpinned by a $900 million National Productivity Fund. This licensing reform forms part of a broader labour mobility agenda announced by the Government, including reforms to non</w:t>
      </w:r>
      <w:r w:rsidRPr="000D0ED8">
        <w:rPr>
          <w:szCs w:val="22"/>
        </w:rPr>
        <w:noBreakHyphen/>
        <w:t>compete clauses and the development of a national screening check for care and support workers</w:t>
      </w:r>
      <w:r w:rsidR="0055444D">
        <w:rPr>
          <w:szCs w:val="22"/>
        </w:rPr>
        <w:t xml:space="preserve"> (also progressing under NCP)</w:t>
      </w:r>
      <w:r w:rsidRPr="000D0ED8">
        <w:rPr>
          <w:szCs w:val="22"/>
        </w:rPr>
        <w:t>.</w:t>
      </w:r>
    </w:p>
    <w:p w14:paraId="20C18DBF" w14:textId="309CC4B8" w:rsidR="00A519D0" w:rsidRPr="004B235F" w:rsidRDefault="00A519D0" w:rsidP="00A519D0">
      <w:pPr>
        <w:rPr>
          <w:szCs w:val="22"/>
        </w:rPr>
      </w:pPr>
      <w:r w:rsidRPr="000D0ED8">
        <w:rPr>
          <w:szCs w:val="22"/>
        </w:rPr>
        <w:t>To inform the development of the scheme, the Government asked the Productivity Commission (PC) to provide advice and undertake modelling to estimate the benefits of reform.</w:t>
      </w:r>
      <w:r w:rsidRPr="00D867B0">
        <w:rPr>
          <w:rStyle w:val="FootnoteReference"/>
          <w:sz w:val="22"/>
          <w:szCs w:val="22"/>
          <w:vertAlign w:val="superscript"/>
        </w:rPr>
        <w:footnoteReference w:id="9"/>
      </w:r>
      <w:r w:rsidRPr="000D0ED8">
        <w:rPr>
          <w:szCs w:val="22"/>
        </w:rPr>
        <w:t xml:space="preserve"> </w:t>
      </w:r>
      <w:r w:rsidR="00CA2E9B">
        <w:rPr>
          <w:szCs w:val="22"/>
        </w:rPr>
        <w:t xml:space="preserve">The PC’s interim report suggests that </w:t>
      </w:r>
      <w:r w:rsidR="00FC7BC2">
        <w:rPr>
          <w:szCs w:val="22"/>
        </w:rPr>
        <w:t>introducing national licensing for electrical trades</w:t>
      </w:r>
      <w:r w:rsidR="00EC6CB6">
        <w:rPr>
          <w:szCs w:val="22"/>
        </w:rPr>
        <w:t xml:space="preserve"> could</w:t>
      </w:r>
      <w:r w:rsidR="00B34F0A">
        <w:rPr>
          <w:szCs w:val="22"/>
        </w:rPr>
        <w:t xml:space="preserve"> </w:t>
      </w:r>
      <w:r w:rsidR="004E01D2">
        <w:rPr>
          <w:szCs w:val="22"/>
        </w:rPr>
        <w:t xml:space="preserve">provide an ongoing </w:t>
      </w:r>
      <w:r w:rsidRPr="000D0ED8">
        <w:rPr>
          <w:szCs w:val="22"/>
        </w:rPr>
        <w:t>boost</w:t>
      </w:r>
      <w:r w:rsidR="004E01D2">
        <w:rPr>
          <w:szCs w:val="22"/>
        </w:rPr>
        <w:t xml:space="preserve"> to</w:t>
      </w:r>
      <w:r w:rsidRPr="000D0ED8">
        <w:rPr>
          <w:szCs w:val="22"/>
        </w:rPr>
        <w:t xml:space="preserve"> economic output </w:t>
      </w:r>
      <w:r w:rsidR="007305BC">
        <w:rPr>
          <w:szCs w:val="22"/>
        </w:rPr>
        <w:t>of</w:t>
      </w:r>
      <w:r w:rsidR="003D569F">
        <w:rPr>
          <w:szCs w:val="22"/>
        </w:rPr>
        <w:t xml:space="preserve"> </w:t>
      </w:r>
      <w:r w:rsidRPr="000D0ED8">
        <w:rPr>
          <w:szCs w:val="22"/>
        </w:rPr>
        <w:t>up to $</w:t>
      </w:r>
      <w:r w:rsidR="00E42E06">
        <w:rPr>
          <w:szCs w:val="22"/>
        </w:rPr>
        <w:t xml:space="preserve">62 million </w:t>
      </w:r>
      <w:r w:rsidR="004E01D2">
        <w:rPr>
          <w:szCs w:val="22"/>
        </w:rPr>
        <w:t>per year</w:t>
      </w:r>
      <w:r w:rsidRPr="000D0ED8">
        <w:rPr>
          <w:szCs w:val="22"/>
        </w:rPr>
        <w:t>.</w:t>
      </w:r>
      <w:r w:rsidRPr="00D867B0">
        <w:rPr>
          <w:rStyle w:val="FootnoteReference"/>
          <w:sz w:val="22"/>
          <w:szCs w:val="22"/>
          <w:vertAlign w:val="superscript"/>
        </w:rPr>
        <w:footnoteReference w:id="10"/>
      </w:r>
      <w:r w:rsidRPr="000D0ED8">
        <w:rPr>
          <w:szCs w:val="22"/>
        </w:rPr>
        <w:t xml:space="preserve"> </w:t>
      </w:r>
    </w:p>
    <w:p w14:paraId="3C6791EF" w14:textId="77777777" w:rsidR="00A519D0" w:rsidRDefault="00A519D0" w:rsidP="00A519D0">
      <w:pPr>
        <w:pStyle w:val="Heading2"/>
      </w:pPr>
      <w:bookmarkStart w:id="24" w:name="_Toc199402811"/>
      <w:bookmarkStart w:id="25" w:name="_Toc207008649"/>
      <w:r>
        <w:t>Current licensing arrangements</w:t>
      </w:r>
      <w:bookmarkEnd w:id="24"/>
      <w:bookmarkEnd w:id="25"/>
    </w:p>
    <w:p w14:paraId="6C56447B" w14:textId="77777777" w:rsidR="00A519D0" w:rsidRPr="00D12479" w:rsidRDefault="00A519D0" w:rsidP="00A519D0">
      <w:pPr>
        <w:pStyle w:val="Heading3"/>
      </w:pPr>
      <w:bookmarkStart w:id="26" w:name="_Toc199402812"/>
      <w:bookmarkStart w:id="27" w:name="_Toc207008650"/>
      <w:r w:rsidRPr="00D12479">
        <w:t>Licensing is regulated by the states and territories</w:t>
      </w:r>
      <w:bookmarkEnd w:id="26"/>
      <w:bookmarkEnd w:id="27"/>
    </w:p>
    <w:p w14:paraId="448E078A" w14:textId="241B2D95" w:rsidR="00A519D0" w:rsidRDefault="00A519D0" w:rsidP="00A519D0">
      <w:r>
        <w:t>Around one in five Australian workers require a registration or licence to perform their work</w:t>
      </w:r>
      <w:r w:rsidR="00C11447">
        <w:t xml:space="preserve">, broadly consistent with comparable </w:t>
      </w:r>
      <w:r w:rsidR="005B1E64">
        <w:t>jurisdictions overseas (Box 2)</w:t>
      </w:r>
      <w:r>
        <w:t>.</w:t>
      </w:r>
      <w:r w:rsidRPr="00D867B0">
        <w:rPr>
          <w:rStyle w:val="FootnoteReference"/>
          <w:vertAlign w:val="superscript"/>
        </w:rPr>
        <w:footnoteReference w:id="11"/>
      </w:r>
      <w:r>
        <w:t xml:space="preserve"> Most licensed occupations, including electrical trades, are </w:t>
      </w:r>
      <w:r w:rsidRPr="00436008">
        <w:t xml:space="preserve">regulated by </w:t>
      </w:r>
      <w:r>
        <w:t xml:space="preserve">the </w:t>
      </w:r>
      <w:r w:rsidRPr="00436008">
        <w:t xml:space="preserve">states </w:t>
      </w:r>
      <w:r>
        <w:t>under state-specific</w:t>
      </w:r>
      <w:r w:rsidRPr="00436008">
        <w:t xml:space="preserve"> licensing regimes.</w:t>
      </w:r>
      <w:r>
        <w:t xml:space="preserve"> Other occupations are self-regulated or operate under a co-regulatory framework (such as engineers), or a national scheme (such as health practitioners).</w:t>
      </w:r>
    </w:p>
    <w:p w14:paraId="17C3FF7E" w14:textId="6728269E" w:rsidR="00A519D0" w:rsidRDefault="00A519D0" w:rsidP="00A519D0">
      <w:r>
        <w:t>Licensing r</w:t>
      </w:r>
      <w:r w:rsidRPr="00F345F2">
        <w:t xml:space="preserve">equirements vary between </w:t>
      </w:r>
      <w:r>
        <w:t>the eight jurisdictions</w:t>
      </w:r>
      <w:r w:rsidDel="00D86183">
        <w:t>.</w:t>
      </w:r>
      <w:r w:rsidRPr="00F345F2">
        <w:t xml:space="preserve"> </w:t>
      </w:r>
      <w:r>
        <w:t>E</w:t>
      </w:r>
      <w:r w:rsidRPr="00F345F2">
        <w:t>ven where requirements are broadly aligned, regulatory frameworks, legislation, terminology, and the classes or categories of work that are regulated can differ significantly.</w:t>
      </w:r>
      <w:r>
        <w:t xml:space="preserve"> These differences may exist for historical reasons, such as policy decisions made in response to state-specific incidents or inquiries, or due to unique geographical or environmental conditions across states.</w:t>
      </w:r>
      <w:r w:rsidRPr="00D867B0">
        <w:rPr>
          <w:rStyle w:val="FootnoteReference"/>
          <w:vertAlign w:val="superscript"/>
        </w:rPr>
        <w:footnoteReference w:id="12"/>
      </w:r>
      <w:r w:rsidR="008526D9">
        <w:t xml:space="preserve"> Licensing categories</w:t>
      </w:r>
      <w:r w:rsidR="00521BF9">
        <w:t xml:space="preserve"> and </w:t>
      </w:r>
      <w:r w:rsidR="00762EEF">
        <w:t xml:space="preserve">supporting regulatory </w:t>
      </w:r>
      <w:r w:rsidR="00521BF9">
        <w:t>arrangements</w:t>
      </w:r>
      <w:r w:rsidR="008526D9">
        <w:t xml:space="preserve"> may also </w:t>
      </w:r>
      <w:r w:rsidR="007507C2">
        <w:t xml:space="preserve">be influenced by the industrial bases </w:t>
      </w:r>
      <w:r w:rsidR="00C06D95">
        <w:t>of individual states</w:t>
      </w:r>
      <w:r w:rsidR="007E470A">
        <w:t xml:space="preserve"> and the relative importance of </w:t>
      </w:r>
      <w:r w:rsidR="00762EEF">
        <w:t>different activities</w:t>
      </w:r>
      <w:r w:rsidR="007E470A">
        <w:t xml:space="preserve"> </w:t>
      </w:r>
      <w:r w:rsidR="00523087">
        <w:t>when licensing arrangements were introduced.</w:t>
      </w:r>
    </w:p>
    <w:p w14:paraId="3F8E515D" w14:textId="3B365A96" w:rsidR="005B1E64" w:rsidRDefault="00A519D0" w:rsidP="000239CE">
      <w:r>
        <w:t xml:space="preserve">While differences in regulation between jurisdictions may be appropriate where there are unique circumstances requiring targeted regulatory intervention, </w:t>
      </w:r>
      <w:r w:rsidR="0021634B">
        <w:t xml:space="preserve">understanding these differences </w:t>
      </w:r>
      <w:r w:rsidRPr="000B57F3">
        <w:t xml:space="preserve">can impose </w:t>
      </w:r>
      <w:r>
        <w:t xml:space="preserve">significant </w:t>
      </w:r>
      <w:r w:rsidRPr="000B57F3">
        <w:t xml:space="preserve">costs on workers </w:t>
      </w:r>
      <w:r>
        <w:t xml:space="preserve">that seek to move between or work across jurisdictions. Where these costs are not commensurate with </w:t>
      </w:r>
      <w:r w:rsidRPr="000B57F3">
        <w:t>a</w:t>
      </w:r>
      <w:r>
        <w:t xml:space="preserve"> measurable </w:t>
      </w:r>
      <w:r w:rsidRPr="000B57F3">
        <w:t>improvement in worker or consumer safety</w:t>
      </w:r>
      <w:r>
        <w:t>, or other policy objectives, such costs are likely to act as an unnecessary barrier to worker movement</w:t>
      </w:r>
      <w:r w:rsidRPr="000B57F3">
        <w:t>.</w:t>
      </w:r>
      <w:r>
        <w:t xml:space="preserve"> These </w:t>
      </w:r>
      <w:r>
        <w:lastRenderedPageBreak/>
        <w:t>differences make it harder for workers to move across borders for work, raising the costs to employers of filling job vacancies and reducing competition and choice for consumers.</w:t>
      </w: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046953" w:rsidRPr="007C019B" w14:paraId="5615203A"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51D43C2B" w14:textId="4388580B" w:rsidR="005B1E64" w:rsidRPr="00AA5201" w:rsidRDefault="005B1E64">
            <w:pPr>
              <w:spacing w:before="96" w:after="96"/>
            </w:pPr>
            <w:r w:rsidRPr="00AA5201">
              <w:t xml:space="preserve">Box 2: International approaches to licensing and mutual recognition </w:t>
            </w:r>
          </w:p>
        </w:tc>
      </w:tr>
      <w:tr w:rsidR="005B1E64" w:rsidRPr="007C019B" w14:paraId="751FE365" w14:textId="77777777">
        <w:tc>
          <w:tcPr>
            <w:tcW w:w="9016" w:type="dxa"/>
          </w:tcPr>
          <w:p w14:paraId="03822C69" w14:textId="77777777" w:rsidR="005B1E64" w:rsidRPr="006C5A46" w:rsidRDefault="005B1E64">
            <w:pPr>
              <w:rPr>
                <w:i/>
                <w:szCs w:val="18"/>
              </w:rPr>
            </w:pPr>
            <w:r w:rsidRPr="006C5A46">
              <w:rPr>
                <w:i/>
                <w:szCs w:val="18"/>
              </w:rPr>
              <w:t>Canada</w:t>
            </w:r>
          </w:p>
          <w:p w14:paraId="33EE7BBB" w14:textId="77777777" w:rsidR="005B1E64" w:rsidRPr="006C5A46" w:rsidRDefault="005B1E64">
            <w:pPr>
              <w:rPr>
                <w:szCs w:val="18"/>
              </w:rPr>
            </w:pPr>
            <w:r w:rsidRPr="006C5A46">
              <w:rPr>
                <w:szCs w:val="18"/>
              </w:rPr>
              <w:t>Approximately 15 per cent of Canadian workers operate in licensed occupations, with licensing and certification overseen by a different regulatory body in each province or territory.</w:t>
            </w:r>
          </w:p>
          <w:p w14:paraId="5F0D88A0" w14:textId="4413AFA2" w:rsidR="005B1E64" w:rsidRPr="006C5A46" w:rsidRDefault="005B1E64">
            <w:pPr>
              <w:rPr>
                <w:szCs w:val="18"/>
              </w:rPr>
            </w:pPr>
            <w:r w:rsidRPr="006C5A46">
              <w:rPr>
                <w:szCs w:val="18"/>
              </w:rPr>
              <w:t>The Canadian Free Trade Agreement allows</w:t>
            </w:r>
            <w:r w:rsidRPr="006C5A46" w:rsidDel="00383EF6">
              <w:rPr>
                <w:szCs w:val="18"/>
              </w:rPr>
              <w:t xml:space="preserve"> </w:t>
            </w:r>
            <w:r w:rsidRPr="006C5A46">
              <w:rPr>
                <w:szCs w:val="18"/>
              </w:rPr>
              <w:t>licensed workers to be recognised as qualified to work in another Canadian jurisdiction which regulates that occupation, without undertaking significant additional training, work experience, examination or assessment. However, the Agreement does not provide for automatic or universal mutual recognition, with jurisdictions instead recognising licences through a case-by-case assessment while retaining the ability to exempt certain occupations and impose additional requirements on interstate workers.</w:t>
            </w:r>
            <w:r w:rsidRPr="006C5A46">
              <w:rPr>
                <w:rStyle w:val="FootnoteReference"/>
                <w:szCs w:val="18"/>
                <w:vertAlign w:val="superscript"/>
              </w:rPr>
              <w:footnoteReference w:id="13"/>
            </w:r>
            <w:r w:rsidRPr="006C5A46">
              <w:rPr>
                <w:szCs w:val="18"/>
              </w:rPr>
              <w:t xml:space="preserve"> The</w:t>
            </w:r>
            <w:r w:rsidR="008F1A30">
              <w:rPr>
                <w:szCs w:val="18"/>
              </w:rPr>
              <w:t xml:space="preserve"> relatively new</w:t>
            </w:r>
            <w:r w:rsidRPr="006C5A46">
              <w:rPr>
                <w:szCs w:val="18"/>
              </w:rPr>
              <w:t xml:space="preserve"> </w:t>
            </w:r>
            <w:r w:rsidRPr="006C5A46">
              <w:rPr>
                <w:i/>
                <w:szCs w:val="18"/>
              </w:rPr>
              <w:t>Free Trade and Labour Mobility in Canada Act</w:t>
            </w:r>
            <w:r w:rsidRPr="006C5A46">
              <w:rPr>
                <w:szCs w:val="18"/>
              </w:rPr>
              <w:t xml:space="preserve"> also ensures that workers licensed in one jurisdiction do not need to obtain an additional federal licence for the same occupation.</w:t>
            </w:r>
            <w:r w:rsidRPr="006C5A46">
              <w:rPr>
                <w:rStyle w:val="FootnoteReference"/>
                <w:szCs w:val="18"/>
                <w:vertAlign w:val="superscript"/>
              </w:rPr>
              <w:footnoteReference w:id="14"/>
            </w:r>
            <w:r w:rsidRPr="006C5A46">
              <w:rPr>
                <w:rStyle w:val="FootnoteReference"/>
                <w:szCs w:val="18"/>
                <w:vertAlign w:val="superscript"/>
              </w:rPr>
              <w:t xml:space="preserve">  </w:t>
            </w:r>
          </w:p>
          <w:p w14:paraId="253F5E35" w14:textId="706ACD40" w:rsidR="005B1E64" w:rsidRPr="006C5A46" w:rsidRDefault="005B1E64">
            <w:pPr>
              <w:rPr>
                <w:szCs w:val="18"/>
              </w:rPr>
            </w:pPr>
            <w:r w:rsidRPr="006C5A46">
              <w:rPr>
                <w:szCs w:val="18"/>
              </w:rPr>
              <w:t>The ‘Red Seal’ Program is an optional, nationally-recognised certification that operates alongside the Canadian system of provincial licensing.</w:t>
            </w:r>
            <w:r w:rsidRPr="006C5A46">
              <w:rPr>
                <w:rStyle w:val="FootnoteReference"/>
                <w:szCs w:val="18"/>
                <w:vertAlign w:val="superscript"/>
              </w:rPr>
              <w:footnoteReference w:id="15"/>
            </w:r>
            <w:r w:rsidRPr="006C5A46">
              <w:rPr>
                <w:szCs w:val="18"/>
              </w:rPr>
              <w:t>. The Program, run jointly by federal and provincial governments, enables workers to undertake an exam to demonstrate their knowledge is up to the national standard.</w:t>
            </w:r>
          </w:p>
          <w:p w14:paraId="0B0DE94E" w14:textId="77777777" w:rsidR="005B1E64" w:rsidRPr="006C5A46" w:rsidRDefault="005B1E64">
            <w:pPr>
              <w:pStyle w:val="Bullet"/>
              <w:numPr>
                <w:ilvl w:val="0"/>
                <w:numId w:val="0"/>
              </w:numPr>
              <w:rPr>
                <w:i/>
                <w:szCs w:val="18"/>
              </w:rPr>
            </w:pPr>
            <w:r w:rsidRPr="006C5A46">
              <w:rPr>
                <w:i/>
                <w:szCs w:val="18"/>
              </w:rPr>
              <w:t xml:space="preserve">European Union </w:t>
            </w:r>
          </w:p>
          <w:p w14:paraId="2FBC04D8" w14:textId="77777777" w:rsidR="005B1E64" w:rsidRPr="006C5A46" w:rsidRDefault="005B1E64">
            <w:pPr>
              <w:pStyle w:val="Bullet"/>
              <w:numPr>
                <w:ilvl w:val="0"/>
                <w:numId w:val="0"/>
              </w:numPr>
              <w:rPr>
                <w:szCs w:val="18"/>
              </w:rPr>
            </w:pPr>
            <w:r w:rsidRPr="006C5A46">
              <w:rPr>
                <w:szCs w:val="18"/>
              </w:rPr>
              <w:t>Approximately 22 per cent of workers across the European Union (EU) are licensed. However, the prevalence and approach to licensing varies significantly across occupations and member states.</w:t>
            </w:r>
            <w:r w:rsidRPr="006C5A46">
              <w:rPr>
                <w:rStyle w:val="FootnoteReference"/>
                <w:szCs w:val="18"/>
                <w:vertAlign w:val="superscript"/>
              </w:rPr>
              <w:footnoteReference w:id="16"/>
            </w:r>
          </w:p>
          <w:p w14:paraId="5B128C16" w14:textId="77777777" w:rsidR="005B1E64" w:rsidRPr="006C5A46" w:rsidRDefault="005B1E64">
            <w:pPr>
              <w:pStyle w:val="Bullet"/>
              <w:numPr>
                <w:ilvl w:val="0"/>
                <w:numId w:val="0"/>
              </w:numPr>
              <w:rPr>
                <w:szCs w:val="18"/>
              </w:rPr>
            </w:pPr>
            <w:r w:rsidRPr="006C5A46">
              <w:rPr>
                <w:szCs w:val="18"/>
              </w:rPr>
              <w:t>The EU recognises occupational licences through two directives – the Professional Qualifications Directive and the Services Directive. While the Directives allow qualified workers to request recognition of their licence from a second member state, conditions and exemptions vary depending on the occupation, jurisdiction and system of recognition in each state</w:t>
            </w:r>
            <w:r w:rsidRPr="006C5A46">
              <w:rPr>
                <w:rStyle w:val="FootnoteReference"/>
                <w:szCs w:val="18"/>
                <w:vertAlign w:val="superscript"/>
              </w:rPr>
              <w:footnoteReference w:id="17"/>
            </w:r>
            <w:r w:rsidRPr="006C5A46">
              <w:rPr>
                <w:szCs w:val="18"/>
              </w:rPr>
              <w:t xml:space="preserve">. </w:t>
            </w:r>
          </w:p>
          <w:p w14:paraId="71951BFA" w14:textId="77777777" w:rsidR="005B1E64" w:rsidRPr="006C5A46" w:rsidRDefault="005B1E64">
            <w:pPr>
              <w:pStyle w:val="Bullet"/>
              <w:numPr>
                <w:ilvl w:val="0"/>
                <w:numId w:val="0"/>
              </w:numPr>
              <w:rPr>
                <w:i/>
                <w:szCs w:val="18"/>
              </w:rPr>
            </w:pPr>
            <w:r w:rsidRPr="006C5A46">
              <w:rPr>
                <w:i/>
                <w:szCs w:val="18"/>
              </w:rPr>
              <w:t>United States</w:t>
            </w:r>
          </w:p>
          <w:p w14:paraId="005F4CEC" w14:textId="77777777" w:rsidR="005B1E64" w:rsidRPr="006C5A46" w:rsidRDefault="005B1E64">
            <w:pPr>
              <w:pStyle w:val="Bullet"/>
              <w:numPr>
                <w:ilvl w:val="0"/>
                <w:numId w:val="0"/>
              </w:numPr>
              <w:rPr>
                <w:szCs w:val="18"/>
              </w:rPr>
            </w:pPr>
            <w:r w:rsidRPr="006C5A46">
              <w:rPr>
                <w:szCs w:val="18"/>
              </w:rPr>
              <w:t>Approximately 25 per cent of workers in the United States (US) are licensed, with licensing and recognition of interstate electricians regulated by state-level agencies.</w:t>
            </w:r>
            <w:r w:rsidRPr="006C5A46">
              <w:rPr>
                <w:rStyle w:val="FootnoteReference"/>
                <w:szCs w:val="18"/>
                <w:vertAlign w:val="superscript"/>
              </w:rPr>
              <w:footnoteReference w:id="18"/>
            </w:r>
          </w:p>
          <w:p w14:paraId="63169A07" w14:textId="77777777" w:rsidR="005B1E64" w:rsidRPr="006C5A46" w:rsidRDefault="005B1E64">
            <w:pPr>
              <w:pStyle w:val="Bullet"/>
              <w:numPr>
                <w:ilvl w:val="0"/>
                <w:numId w:val="0"/>
              </w:numPr>
              <w:rPr>
                <w:szCs w:val="18"/>
              </w:rPr>
            </w:pPr>
            <w:r w:rsidRPr="006C5A46">
              <w:rPr>
                <w:szCs w:val="18"/>
              </w:rPr>
              <w:t>The US facilitates licensing recognition through opt-in reciprocity agreements between states. Where a state recognises an occupation, interstate workers can apply for reciprocity, however recognition is not automatic.</w:t>
            </w:r>
            <w:r w:rsidRPr="006C5A46">
              <w:rPr>
                <w:rStyle w:val="FootnoteReference"/>
                <w:szCs w:val="18"/>
                <w:vertAlign w:val="superscript"/>
              </w:rPr>
              <w:footnoteReference w:id="19"/>
            </w:r>
            <w:r w:rsidRPr="006C5A46">
              <w:rPr>
                <w:szCs w:val="18"/>
              </w:rPr>
              <w:t xml:space="preserve"> Through these agreements, state can impose varying fees, restrictions and requirements depending on the license type and work experience of the applicant.</w:t>
            </w:r>
            <w:r w:rsidRPr="006C5A46">
              <w:rPr>
                <w:rStyle w:val="FootnoteReference"/>
                <w:szCs w:val="18"/>
                <w:vertAlign w:val="superscript"/>
              </w:rPr>
              <w:footnoteReference w:id="20"/>
            </w:r>
            <w:r w:rsidRPr="006C5A46">
              <w:rPr>
                <w:szCs w:val="18"/>
              </w:rPr>
              <w:t xml:space="preserve">  </w:t>
            </w:r>
          </w:p>
        </w:tc>
      </w:tr>
    </w:tbl>
    <w:p w14:paraId="460CBBCE" w14:textId="77777777" w:rsidR="00A519D0" w:rsidRPr="00AB743C" w:rsidRDefault="00A519D0" w:rsidP="00A519D0">
      <w:pPr>
        <w:pStyle w:val="Heading3"/>
      </w:pPr>
      <w:bookmarkStart w:id="28" w:name="_Toc199402813"/>
      <w:bookmarkStart w:id="29" w:name="_Toc207008651"/>
      <w:r w:rsidRPr="003253E7">
        <w:lastRenderedPageBreak/>
        <w:t>Mutual recognition</w:t>
      </w:r>
      <w:bookmarkEnd w:id="28"/>
      <w:bookmarkEnd w:id="29"/>
    </w:p>
    <w:p w14:paraId="718DADBE" w14:textId="77777777" w:rsidR="00A519D0" w:rsidRDefault="00A519D0" w:rsidP="00A519D0">
      <w:r w:rsidRPr="00244088">
        <w:t>In 1992</w:t>
      </w:r>
      <w:r>
        <w:t>,</w:t>
      </w:r>
      <w:r w:rsidRPr="00244088">
        <w:t xml:space="preserve"> Australian </w:t>
      </w:r>
      <w:r>
        <w:t>g</w:t>
      </w:r>
      <w:r w:rsidRPr="00244088">
        <w:t>overnment</w:t>
      </w:r>
      <w:r>
        <w:t>s</w:t>
      </w:r>
      <w:r w:rsidRPr="00244088">
        <w:t xml:space="preserve"> </w:t>
      </w:r>
      <w:r>
        <w:t xml:space="preserve">established a national framework for mutual recognition </w:t>
      </w:r>
      <w:r w:rsidRPr="00244088">
        <w:t xml:space="preserve">of </w:t>
      </w:r>
      <w:r>
        <w:t>occupational licences through</w:t>
      </w:r>
      <w:r w:rsidRPr="00244088">
        <w:t xml:space="preserve"> the Intergovernmental Agreement on Mutual Recognition</w:t>
      </w:r>
      <w:r>
        <w:t>,</w:t>
      </w:r>
      <w:r w:rsidRPr="00244088">
        <w:t xml:space="preserve"> given effect by the </w:t>
      </w:r>
      <w:r w:rsidRPr="00003EAE">
        <w:rPr>
          <w:i/>
        </w:rPr>
        <w:t>Mutual Recognition Act 1992</w:t>
      </w:r>
      <w:r>
        <w:rPr>
          <w:i/>
        </w:rPr>
        <w:t xml:space="preserve"> </w:t>
      </w:r>
      <w:r w:rsidRPr="00244088">
        <w:t xml:space="preserve">and complementary </w:t>
      </w:r>
      <w:r>
        <w:t>s</w:t>
      </w:r>
      <w:r w:rsidRPr="00244088">
        <w:t xml:space="preserve">tate legislation. </w:t>
      </w:r>
      <w:r>
        <w:t>M</w:t>
      </w:r>
      <w:r w:rsidRPr="00244088">
        <w:t xml:space="preserve">utual recognition </w:t>
      </w:r>
      <w:r>
        <w:t xml:space="preserve">enables </w:t>
      </w:r>
      <w:r w:rsidRPr="008E5820">
        <w:t xml:space="preserve">a </w:t>
      </w:r>
      <w:r>
        <w:t>licensed worker</w:t>
      </w:r>
      <w:r w:rsidRPr="008E5820">
        <w:t xml:space="preserve"> </w:t>
      </w:r>
      <w:r>
        <w:t>t</w:t>
      </w:r>
      <w:r w:rsidRPr="008E5820">
        <w:t xml:space="preserve">o </w:t>
      </w:r>
      <w:r>
        <w:t>apply for another licence</w:t>
      </w:r>
      <w:r w:rsidRPr="008E5820">
        <w:t xml:space="preserve"> in </w:t>
      </w:r>
      <w:r>
        <w:t>a second</w:t>
      </w:r>
      <w:r w:rsidRPr="008E5820">
        <w:t xml:space="preserve"> jurisdiction </w:t>
      </w:r>
      <w:r>
        <w:t xml:space="preserve">for an </w:t>
      </w:r>
      <w:r w:rsidRPr="008E5820">
        <w:t>equivalent occupation, without the need for further assessment o</w:t>
      </w:r>
      <w:r>
        <w:t>f their</w:t>
      </w:r>
      <w:r w:rsidRPr="008E5820">
        <w:t xml:space="preserve"> qualifications</w:t>
      </w:r>
      <w:r>
        <w:t>, skills or experience</w:t>
      </w:r>
      <w:r w:rsidRPr="008E5820">
        <w:t>.</w:t>
      </w:r>
      <w:r>
        <w:t xml:space="preserve"> </w:t>
      </w:r>
    </w:p>
    <w:p w14:paraId="47384622" w14:textId="60F64FBF" w:rsidR="005B0AC3" w:rsidRDefault="00A519D0" w:rsidP="00A519D0">
      <w:r>
        <w:t xml:space="preserve">Since its introduction in 1992, mutual recognition has helped to reduce barriers to occupational mobility across jurisdictions for a broad range of occupations. However, the effectiveness of the mutual recognition scheme has been limited by its complexity, cost and the regulatory burden it imposes on businesses and individuals providing services across jurisdictions. For example, </w:t>
      </w:r>
      <w:bookmarkStart w:id="30" w:name="_Hlk202360452"/>
      <w:r>
        <w:t xml:space="preserve">many licensed workers wishing to work interstate under mutual recognition are required to complete </w:t>
      </w:r>
      <w:r w:rsidR="00853D76">
        <w:t xml:space="preserve">additional </w:t>
      </w:r>
      <w:r>
        <w:t>paperwork and pay additional licence fees, often including an additional mutual recognition application fee</w:t>
      </w:r>
      <w:bookmarkEnd w:id="30"/>
      <w:r>
        <w:t>.</w:t>
      </w:r>
      <w:r w:rsidRPr="00D867B0">
        <w:rPr>
          <w:rStyle w:val="FootnoteReference"/>
          <w:sz w:val="22"/>
          <w:szCs w:val="22"/>
          <w:vertAlign w:val="superscript"/>
        </w:rPr>
        <w:footnoteReference w:id="21"/>
      </w:r>
      <w:r w:rsidRPr="004E5BC8">
        <w:t xml:space="preserve"> </w:t>
      </w:r>
    </w:p>
    <w:p w14:paraId="634F3F0B" w14:textId="23672662" w:rsidR="00A519D0" w:rsidRPr="00906343" w:rsidRDefault="00A519D0" w:rsidP="00A519D0">
      <w:r>
        <w:t>A range of other factors have impeded the success of the scheme, including difficulties in identifying licence equivalence across jurisdictions, extensive conditions imposed on interstate licensees to achieve equivalence, duplicate testing of applicants, difficulties in access to information and a lack of understanding of mutual recognition requirements by regulators.</w:t>
      </w:r>
      <w:r w:rsidRPr="00D867B0">
        <w:rPr>
          <w:rStyle w:val="FootnoteReference"/>
          <w:sz w:val="22"/>
          <w:szCs w:val="22"/>
          <w:vertAlign w:val="superscript"/>
        </w:rPr>
        <w:footnoteReference w:id="22"/>
      </w:r>
    </w:p>
    <w:p w14:paraId="72326DEC" w14:textId="77777777" w:rsidR="00A519D0" w:rsidRPr="003253E7" w:rsidRDefault="00A519D0" w:rsidP="00A519D0">
      <w:pPr>
        <w:pStyle w:val="Heading3"/>
      </w:pPr>
      <w:bookmarkStart w:id="31" w:name="_Toc199402814"/>
      <w:bookmarkStart w:id="32" w:name="_Toc207008652"/>
      <w:r w:rsidRPr="003253E7">
        <w:t>Previous attempts at national licensing</w:t>
      </w:r>
      <w:bookmarkEnd w:id="31"/>
      <w:bookmarkEnd w:id="32"/>
    </w:p>
    <w:p w14:paraId="13AFEA47" w14:textId="77777777" w:rsidR="00A519D0" w:rsidRDefault="00A519D0" w:rsidP="00A519D0">
      <w:r>
        <w:t>In 2009, Australian governments signed the ‘Intergovernmental Agreement (IGA) to establish a National Licensing System (NOLS) for Specified Occupations’. The IGA identified several occupations as suitable for national licensing, including electrical, air conditioning and refrigeration mechanics, building-related occupations, land transport, maritime, plumbing and gas-fitting, and property agents.</w:t>
      </w:r>
      <w:r w:rsidRPr="00D867B0">
        <w:rPr>
          <w:rStyle w:val="FootnoteReference"/>
          <w:sz w:val="22"/>
          <w:szCs w:val="22"/>
          <w:vertAlign w:val="superscript"/>
        </w:rPr>
        <w:footnoteReference w:id="23"/>
      </w:r>
    </w:p>
    <w:p w14:paraId="5EBB5CDD" w14:textId="77777777" w:rsidR="00A519D0" w:rsidRDefault="00A519D0" w:rsidP="00A519D0">
      <w:r>
        <w:t>T</w:t>
      </w:r>
      <w:r w:rsidRPr="00E4435E">
        <w:t>he</w:t>
      </w:r>
      <w:r>
        <w:t xml:space="preserve"> </w:t>
      </w:r>
      <w:r w:rsidRPr="00E4435E">
        <w:t>NOLS</w:t>
      </w:r>
      <w:r>
        <w:t xml:space="preserve"> established </w:t>
      </w:r>
      <w:r w:rsidRPr="00E4435E">
        <w:t xml:space="preserve">the National Occupational Licensing Authority </w:t>
      </w:r>
      <w:r>
        <w:t>(</w:t>
      </w:r>
      <w:r w:rsidRPr="00E4435E">
        <w:t>NOLA),</w:t>
      </w:r>
      <w:r>
        <w:t xml:space="preserve"> a national licensing body designed to develop policy and administer the system. NOLA was responsible for establishing standard procedures, a standard set of licence types and eligibility requirements, and, for each occupation, a single national licence that could be used in any Australian jurisdiction. It was also intended to develop and operate a national register of licensed occupations, which would include publicly accessible information on licence holders. The NOLA was supported by </w:t>
      </w:r>
      <w:r w:rsidRPr="00E4435E">
        <w:t>the National Occupation Licensing Board</w:t>
      </w:r>
      <w:r>
        <w:t xml:space="preserve"> </w:t>
      </w:r>
      <w:r w:rsidRPr="00E4435E">
        <w:t>and Occupational Licensing Advisory Committees</w:t>
      </w:r>
      <w:r>
        <w:t>, both designed to provide advice on licensing policy.</w:t>
      </w:r>
    </w:p>
    <w:p w14:paraId="54E67788" w14:textId="77777777" w:rsidR="00A519D0" w:rsidRDefault="00A519D0" w:rsidP="00A519D0">
      <w:r>
        <w:t>The system was underpinned by a</w:t>
      </w:r>
      <w:r w:rsidRPr="00E4435E">
        <w:t xml:space="preserve"> national licensing legislative framework. </w:t>
      </w:r>
      <w:r>
        <w:t>Under the IGA, governments agreed Victoria would host the substantive legislation to give effect to the national system, with other states to enact legislation to apply this system as law in their jurisdiction. In</w:t>
      </w:r>
      <w:r w:rsidRPr="001E174D">
        <w:t xml:space="preserve"> 2010, the Victorian Government gained royal assent to the </w:t>
      </w:r>
      <w:r w:rsidRPr="00F86EAA">
        <w:rPr>
          <w:i/>
        </w:rPr>
        <w:t>Occupational Licensing National Law Act</w:t>
      </w:r>
      <w:r w:rsidRPr="001E174D">
        <w:t xml:space="preserve">, </w:t>
      </w:r>
      <w:r>
        <w:t>with a</w:t>
      </w:r>
      <w:r w:rsidRPr="001E174D">
        <w:t xml:space="preserve">ll but two </w:t>
      </w:r>
      <w:r>
        <w:t>jurisdictions enacting enabling legislation</w:t>
      </w:r>
      <w:r w:rsidRPr="001E174D">
        <w:t xml:space="preserve"> by June 2011.</w:t>
      </w:r>
      <w:r w:rsidRPr="00D867B0">
        <w:rPr>
          <w:rStyle w:val="FootnoteReference"/>
          <w:sz w:val="22"/>
          <w:szCs w:val="22"/>
          <w:vertAlign w:val="superscript"/>
        </w:rPr>
        <w:footnoteReference w:id="24"/>
      </w:r>
    </w:p>
    <w:p w14:paraId="28846FCE" w14:textId="62F2693A" w:rsidR="00A519D0" w:rsidRDefault="00A519D0" w:rsidP="00A519D0">
      <w:r>
        <w:lastRenderedPageBreak/>
        <w:t>However, in</w:t>
      </w:r>
      <w:r w:rsidRPr="005434E8">
        <w:t xml:space="preserve"> December 2013, COAG decided not to proceed with </w:t>
      </w:r>
      <w:r>
        <w:t>the NOLS</w:t>
      </w:r>
      <w:r w:rsidRPr="005434E8">
        <w:t>.</w:t>
      </w:r>
      <w:r>
        <w:t xml:space="preserve"> Despite significant progress and investment, the majority of states announced they were withdrawing from the NOLS, citing concerns with the proposed model and its potential costs, as well as lost licence fee revenue.</w:t>
      </w:r>
      <w:r w:rsidRPr="00D867B0">
        <w:rPr>
          <w:rStyle w:val="FootnoteReference"/>
          <w:sz w:val="22"/>
          <w:szCs w:val="22"/>
          <w:vertAlign w:val="superscript"/>
        </w:rPr>
        <w:footnoteReference w:id="25"/>
      </w:r>
      <w:r w:rsidRPr="00D867B0">
        <w:rPr>
          <w:vertAlign w:val="superscript"/>
        </w:rPr>
        <w:t>,</w:t>
      </w:r>
      <w:r w:rsidRPr="00D867B0">
        <w:rPr>
          <w:rStyle w:val="FootnoteReference"/>
          <w:sz w:val="22"/>
          <w:szCs w:val="22"/>
          <w:vertAlign w:val="superscript"/>
        </w:rPr>
        <w:footnoteReference w:id="26"/>
      </w:r>
      <w:r>
        <w:t xml:space="preserve"> Instead, s</w:t>
      </w:r>
      <w:r w:rsidRPr="00CD40AE">
        <w:t>tates</w:t>
      </w:r>
      <w:r>
        <w:t xml:space="preserve"> </w:t>
      </w:r>
      <w:r w:rsidRPr="00CD40AE">
        <w:t>agreed to develop alternative options for minimising licensing impediments to improving labour mobility, and to manage the orderly disestablishment of the NOLA</w:t>
      </w:r>
      <w:r>
        <w:t>.</w:t>
      </w:r>
      <w:r w:rsidRPr="00D867B0">
        <w:rPr>
          <w:rStyle w:val="FootnoteReference"/>
          <w:sz w:val="22"/>
          <w:szCs w:val="22"/>
          <w:vertAlign w:val="superscript"/>
        </w:rPr>
        <w:footnoteReference w:id="27"/>
      </w:r>
      <w:r>
        <w:t xml:space="preserve"> </w:t>
      </w:r>
      <w:r w:rsidRPr="001A029B">
        <w:t>NOLA ended</w:t>
      </w:r>
      <w:r w:rsidR="00CE431E">
        <w:t xml:space="preserve"> on 1 August 2014</w:t>
      </w:r>
      <w:r w:rsidRPr="001A029B">
        <w:t>.</w:t>
      </w:r>
      <w:r w:rsidRPr="00D867B0">
        <w:rPr>
          <w:rStyle w:val="FootnoteReference"/>
          <w:sz w:val="22"/>
          <w:szCs w:val="22"/>
          <w:vertAlign w:val="superscript"/>
        </w:rPr>
        <w:footnoteReference w:id="28"/>
      </w:r>
    </w:p>
    <w:p w14:paraId="7BC1EBAD" w14:textId="77777777" w:rsidR="00A519D0" w:rsidRDefault="00A519D0" w:rsidP="00A519D0">
      <w:pPr>
        <w:pStyle w:val="Heading3"/>
      </w:pPr>
      <w:bookmarkStart w:id="33" w:name="_Toc199402815"/>
      <w:bookmarkStart w:id="34" w:name="_Toc207008653"/>
      <w:r>
        <w:t>East Coast Electrician’s Scheme</w:t>
      </w:r>
      <w:bookmarkEnd w:id="33"/>
      <w:bookmarkEnd w:id="34"/>
    </w:p>
    <w:p w14:paraId="597B54BE" w14:textId="77777777" w:rsidR="00A519D0" w:rsidRPr="00197963" w:rsidRDefault="00A519D0" w:rsidP="00A519D0">
      <w:r>
        <w:t>In 2014, NSW established</w:t>
      </w:r>
      <w:r w:rsidRPr="00AF3F26">
        <w:t xml:space="preserve"> </w:t>
      </w:r>
      <w:r>
        <w:t>t</w:t>
      </w:r>
      <w:r w:rsidRPr="00AF3F26">
        <w:t>he East Coast Electrician’s Scheme</w:t>
      </w:r>
      <w:r>
        <w:t xml:space="preserve">, </w:t>
      </w:r>
      <w:r w:rsidRPr="00AF3F26">
        <w:t>enabl</w:t>
      </w:r>
      <w:r>
        <w:t>ing</w:t>
      </w:r>
      <w:r w:rsidRPr="00AF3F26">
        <w:t xml:space="preserve"> </w:t>
      </w:r>
      <w:r>
        <w:t>a</w:t>
      </w:r>
      <w:r w:rsidRPr="00AF3F26">
        <w:t xml:space="preserve">utomatic </w:t>
      </w:r>
      <w:r>
        <w:t>m</w:t>
      </w:r>
      <w:r w:rsidRPr="00AF3F26">
        <w:t xml:space="preserve">utual </w:t>
      </w:r>
      <w:r>
        <w:t>r</w:t>
      </w:r>
      <w:r w:rsidRPr="00AF3F26">
        <w:t xml:space="preserve">ecognition (AMR) for certain electrical licences between NSW, Victoria, Queensland and the ACT. </w:t>
      </w:r>
      <w:r w:rsidRPr="00CC6D06">
        <w:t>The scheme enable</w:t>
      </w:r>
      <w:r>
        <w:t>s</w:t>
      </w:r>
      <w:r w:rsidRPr="00CC6D06">
        <w:t xml:space="preserve"> some licence holders to work temporarily across borders without requiring separate licences. For example, a Victorian resident holding a current Victorian </w:t>
      </w:r>
      <w:r>
        <w:t>electrician’s</w:t>
      </w:r>
      <w:r w:rsidRPr="00CC6D06">
        <w:t xml:space="preserve"> licence c</w:t>
      </w:r>
      <w:r>
        <w:t>an</w:t>
      </w:r>
      <w:r w:rsidRPr="00CC6D06">
        <w:t xml:space="preserve"> carry out work within the scope of the NSW equivalent licence without applying </w:t>
      </w:r>
      <w:r>
        <w:t>in</w:t>
      </w:r>
      <w:r w:rsidRPr="00CC6D06">
        <w:t xml:space="preserve"> NSW.</w:t>
      </w:r>
      <w:r w:rsidRPr="00D867B0">
        <w:rPr>
          <w:rStyle w:val="FootnoteReference"/>
          <w:sz w:val="22"/>
          <w:szCs w:val="22"/>
          <w:vertAlign w:val="superscript"/>
        </w:rPr>
        <w:footnoteReference w:id="29"/>
      </w:r>
    </w:p>
    <w:p w14:paraId="6B6ED177" w14:textId="3C2DD97B" w:rsidR="00A519D0" w:rsidRDefault="00A519D0" w:rsidP="00A519D0">
      <w:r>
        <w:t xml:space="preserve">However, implementation of the scheme differs across jurisdictions. For instance, electricians wishing to work in the ACT are not eligible for AMR under the scheme. </w:t>
      </w:r>
      <w:r w:rsidRPr="000773E2">
        <w:t xml:space="preserve">NSW </w:t>
      </w:r>
      <w:r>
        <w:t>is</w:t>
      </w:r>
      <w:r w:rsidRPr="000773E2">
        <w:t xml:space="preserve"> the only jurisdiction that automatically recognise</w:t>
      </w:r>
      <w:r>
        <w:t>s</w:t>
      </w:r>
      <w:r w:rsidRPr="000773E2">
        <w:t xml:space="preserve"> some contractor licences under the scheme as well as worker licences</w:t>
      </w:r>
      <w:r>
        <w:t>.</w:t>
      </w:r>
      <w:r w:rsidRPr="00D867B0">
        <w:rPr>
          <w:rStyle w:val="FootnoteReference"/>
          <w:sz w:val="22"/>
          <w:szCs w:val="22"/>
          <w:vertAlign w:val="superscript"/>
        </w:rPr>
        <w:footnoteReference w:id="30"/>
      </w:r>
      <w:r>
        <w:t xml:space="preserve"> And, unlike other states</w:t>
      </w:r>
      <w:r w:rsidR="00EC5597">
        <w:t xml:space="preserve"> within the scheme</w:t>
      </w:r>
      <w:r>
        <w:t xml:space="preserve">, Victoria requires </w:t>
      </w:r>
      <w:r w:rsidRPr="00A5537D">
        <w:t xml:space="preserve">interstate workers to notify the local regulator </w:t>
      </w:r>
      <w:r w:rsidR="004E5C3E">
        <w:t>—</w:t>
      </w:r>
      <w:r w:rsidRPr="00A5537D">
        <w:t xml:space="preserve"> Energy Safe Victoria </w:t>
      </w:r>
      <w:r w:rsidR="004E5C3E">
        <w:t>—</w:t>
      </w:r>
      <w:r w:rsidRPr="00A5537D">
        <w:t xml:space="preserve"> before undertaking work in Victoria</w:t>
      </w:r>
      <w:r>
        <w:t>.</w:t>
      </w:r>
      <w:r w:rsidRPr="00D867B0">
        <w:rPr>
          <w:rStyle w:val="FootnoteReference"/>
          <w:sz w:val="22"/>
          <w:szCs w:val="22"/>
          <w:vertAlign w:val="superscript"/>
        </w:rPr>
        <w:footnoteReference w:id="31"/>
      </w:r>
    </w:p>
    <w:p w14:paraId="1566B745" w14:textId="624367BE" w:rsidR="00A519D0" w:rsidRPr="00197963" w:rsidRDefault="00A519D0" w:rsidP="00A519D0">
      <w:r>
        <w:t>In a 2015 study, the PC</w:t>
      </w:r>
      <w:r w:rsidRPr="00C44987">
        <w:t xml:space="preserve"> suggested a ‘gold standard’ AMR system for electricians would feature elements of the approaches used by NSW, Victoria and Queensland</w:t>
      </w:r>
      <w:r w:rsidR="00F40700">
        <w:t>, including automatic recognition of both worker and contractor</w:t>
      </w:r>
      <w:r w:rsidR="006D4DCD">
        <w:t xml:space="preserve"> </w:t>
      </w:r>
      <w:r w:rsidR="00F40700">
        <w:t>licences from all Australian jurisdictions and New Zealand</w:t>
      </w:r>
      <w:r w:rsidR="006D4DCD">
        <w:t xml:space="preserve">, </w:t>
      </w:r>
      <w:r w:rsidR="00F25534">
        <w:t>supported by</w:t>
      </w:r>
      <w:r w:rsidR="00F40700">
        <w:t xml:space="preserve"> </w:t>
      </w:r>
      <w:r w:rsidR="006D4DCD">
        <w:t>a</w:t>
      </w:r>
      <w:r w:rsidR="00F40700">
        <w:t xml:space="preserve"> notification requirement</w:t>
      </w:r>
      <w:r w:rsidR="006D4DCD">
        <w:t xml:space="preserve"> </w:t>
      </w:r>
      <w:r w:rsidR="00F40700">
        <w:t xml:space="preserve">where </w:t>
      </w:r>
      <w:r w:rsidR="00A8187E">
        <w:t>necessary to</w:t>
      </w:r>
      <w:r w:rsidR="00F40700">
        <w:t xml:space="preserve"> regulat</w:t>
      </w:r>
      <w:r w:rsidR="00167447">
        <w:t>e</w:t>
      </w:r>
      <w:r w:rsidR="0002447E">
        <w:t xml:space="preserve"> </w:t>
      </w:r>
      <w:r w:rsidR="000614D9">
        <w:t>interstate worker</w:t>
      </w:r>
      <w:r w:rsidR="00A8187E">
        <w:t>s</w:t>
      </w:r>
      <w:r>
        <w:t>.</w:t>
      </w:r>
      <w:r w:rsidRPr="00D867B0">
        <w:rPr>
          <w:rStyle w:val="FootnoteReference"/>
          <w:sz w:val="22"/>
          <w:szCs w:val="22"/>
          <w:vertAlign w:val="superscript"/>
        </w:rPr>
        <w:footnoteReference w:id="32"/>
      </w:r>
    </w:p>
    <w:p w14:paraId="2091A16B" w14:textId="77777777" w:rsidR="00A519D0" w:rsidRPr="00901899" w:rsidRDefault="00A519D0" w:rsidP="00A519D0">
      <w:pPr>
        <w:pStyle w:val="Heading3"/>
      </w:pPr>
      <w:bookmarkStart w:id="35" w:name="_Toc199402816"/>
      <w:bookmarkStart w:id="36" w:name="_Toc207008654"/>
      <w:r>
        <w:t>National a</w:t>
      </w:r>
      <w:r w:rsidRPr="003253E7">
        <w:t>utomatic mutual recognition (AMR)</w:t>
      </w:r>
      <w:r>
        <w:t xml:space="preserve"> scheme</w:t>
      </w:r>
      <w:bookmarkEnd w:id="35"/>
      <w:bookmarkEnd w:id="36"/>
    </w:p>
    <w:p w14:paraId="0DEA4710" w14:textId="77777777" w:rsidR="00A519D0" w:rsidRDefault="00A519D0" w:rsidP="00A519D0">
      <w:r>
        <w:t>In its 2015 study, t</w:t>
      </w:r>
      <w:r w:rsidRPr="0091157D">
        <w:t>he P</w:t>
      </w:r>
      <w:r>
        <w:t xml:space="preserve">C </w:t>
      </w:r>
      <w:r w:rsidRPr="0091157D">
        <w:t>found that</w:t>
      </w:r>
      <w:r>
        <w:t>, while</w:t>
      </w:r>
      <w:r w:rsidRPr="0091157D">
        <w:t xml:space="preserve"> mutual recognition arrangements </w:t>
      </w:r>
      <w:r>
        <w:t xml:space="preserve">were </w:t>
      </w:r>
      <w:r w:rsidRPr="0091157D">
        <w:t>generally work</w:t>
      </w:r>
      <w:r>
        <w:t>ing</w:t>
      </w:r>
      <w:r w:rsidRPr="0091157D">
        <w:t xml:space="preserve"> well, there would be</w:t>
      </w:r>
      <w:r>
        <w:t xml:space="preserve"> significant</w:t>
      </w:r>
      <w:r w:rsidRPr="0091157D">
        <w:t xml:space="preserve"> </w:t>
      </w:r>
      <w:r>
        <w:t xml:space="preserve">benefits </w:t>
      </w:r>
      <w:r w:rsidRPr="0091157D">
        <w:t>for individuals and businesses from automating these processes</w:t>
      </w:r>
      <w:r>
        <w:t xml:space="preserve"> across all occupations</w:t>
      </w:r>
      <w:r w:rsidRPr="0091157D">
        <w:t>.</w:t>
      </w:r>
      <w:r>
        <w:t xml:space="preserve"> In 2020, National Cabinet signed the IGA on Automatic Mutual Recognition (AMR) of Occupational Registration, with the</w:t>
      </w:r>
      <w:r w:rsidRPr="00C90E1C">
        <w:t xml:space="preserve"> Mutual Recognition Act</w:t>
      </w:r>
      <w:r>
        <w:t xml:space="preserve"> amended to enable AMR in 2021.</w:t>
      </w:r>
    </w:p>
    <w:p w14:paraId="6FB4E556" w14:textId="3753F297" w:rsidR="00A519D0" w:rsidRDefault="000F16DB" w:rsidP="00A519D0">
      <w:r>
        <w:lastRenderedPageBreak/>
        <w:t xml:space="preserve">Unlike (manual) mutual recognition, </w:t>
      </w:r>
      <w:r w:rsidR="00A519D0">
        <w:t>AMR enables a licen</w:t>
      </w:r>
      <w:r w:rsidR="00B549D8">
        <w:t>s</w:t>
      </w:r>
      <w:r w:rsidR="00A519D0">
        <w:t xml:space="preserve">ed person in one jurisdiction to perform the same activities in another jurisdiction, without the need for further application processes or additional registration fees. The scheme </w:t>
      </w:r>
      <w:r w:rsidR="00437784">
        <w:t xml:space="preserve">intends to </w:t>
      </w:r>
      <w:r w:rsidR="00A519D0">
        <w:t>make it simpler, quicker and less expensive for people to work across jurisdictions, while maintaining high standards of consumer protection and worker and public health and safety.</w:t>
      </w:r>
    </w:p>
    <w:p w14:paraId="562F6636" w14:textId="77777777" w:rsidR="00893D66" w:rsidRDefault="00A519D0" w:rsidP="00A519D0">
      <w:r>
        <w:t>At the time of commencement, a study estimated the reform would lead to an additional $2.4 billion in economic activity over ten years due to savings to workers and businesses, productivity improvements and extra surge capacity to respond to natural disasters.</w:t>
      </w:r>
      <w:r w:rsidRPr="00D867B0">
        <w:rPr>
          <w:rStyle w:val="FootnoteReference"/>
          <w:sz w:val="22"/>
          <w:szCs w:val="22"/>
          <w:vertAlign w:val="superscript"/>
        </w:rPr>
        <w:footnoteReference w:id="33"/>
      </w:r>
      <w:r>
        <w:t xml:space="preserve"> The reform was also estimated to benefit over 160,000 workers, including an additional 44,000 people who would be motivated to work interstate.</w:t>
      </w:r>
      <w:r w:rsidRPr="00D867B0">
        <w:rPr>
          <w:rStyle w:val="FootnoteReference"/>
          <w:sz w:val="22"/>
          <w:szCs w:val="22"/>
          <w:vertAlign w:val="superscript"/>
        </w:rPr>
        <w:footnoteReference w:id="34"/>
      </w:r>
    </w:p>
    <w:p w14:paraId="09CEFABF" w14:textId="5A2948A2" w:rsidR="00A519D0" w:rsidRPr="00906343" w:rsidRDefault="00893D66" w:rsidP="00A519D0">
      <w:r>
        <w:t>AMR appears to be working well for electrical tradespeople in some jurisdictions. For example, Victoria r</w:t>
      </w:r>
      <w:r w:rsidRPr="00893D66">
        <w:t xml:space="preserve">ecognises all </w:t>
      </w:r>
      <w:r w:rsidR="00125AF8">
        <w:t xml:space="preserve">equivalent </w:t>
      </w:r>
      <w:r w:rsidRPr="00893D66">
        <w:t xml:space="preserve">electrical licences from all </w:t>
      </w:r>
      <w:r w:rsidR="00125AF8">
        <w:t xml:space="preserve">participating </w:t>
      </w:r>
      <w:r w:rsidRPr="00893D66">
        <w:t>jurisdictions through AMR.</w:t>
      </w:r>
      <w:r w:rsidR="00A519D0" w:rsidRPr="00D867B0">
        <w:rPr>
          <w:vertAlign w:val="superscript"/>
        </w:rPr>
        <w:t xml:space="preserve"> </w:t>
      </w:r>
      <w:r w:rsidR="00C70AC6">
        <w:t>Though in many cases, barriers remain</w:t>
      </w:r>
      <w:r w:rsidR="00822273">
        <w:t>.</w:t>
      </w:r>
    </w:p>
    <w:p w14:paraId="64763771" w14:textId="77777777" w:rsidR="00A519D0" w:rsidRPr="009047D8" w:rsidRDefault="00A519D0" w:rsidP="00A519D0">
      <w:pPr>
        <w:pStyle w:val="Heading3"/>
      </w:pPr>
      <w:bookmarkStart w:id="37" w:name="_Toc199402817"/>
      <w:bookmarkStart w:id="38" w:name="_Toc207008655"/>
      <w:r>
        <w:t>Barriers to mutual recognition remain</w:t>
      </w:r>
      <w:bookmarkEnd w:id="37"/>
      <w:bookmarkEnd w:id="38"/>
    </w:p>
    <w:p w14:paraId="2639E3E3" w14:textId="09742D85" w:rsidR="00A519D0" w:rsidRDefault="00A519D0" w:rsidP="00A519D0">
      <w:r>
        <w:t>While the AMR scheme theoretically applies to all occupations covered by existing mutual recognition arrangements, this is not the case in practice. For</w:t>
      </w:r>
      <w:r w:rsidRPr="002C21A4">
        <w:t xml:space="preserve"> </w:t>
      </w:r>
      <w:r>
        <w:t xml:space="preserve">example, </w:t>
      </w:r>
      <w:r w:rsidRPr="002C21A4">
        <w:t xml:space="preserve">Queensland </w:t>
      </w:r>
      <w:r>
        <w:t xml:space="preserve">has not passed enabling </w:t>
      </w:r>
      <w:r w:rsidR="00E95D82">
        <w:t>legislation and</w:t>
      </w:r>
      <w:r>
        <w:t xml:space="preserve"> therefore </w:t>
      </w:r>
      <w:r w:rsidRPr="002C21A4">
        <w:t>does not participate</w:t>
      </w:r>
      <w:r>
        <w:t xml:space="preserve"> in the scheme. </w:t>
      </w:r>
      <w:bookmarkStart w:id="39" w:name="_Hlk202360359"/>
      <w:r>
        <w:t xml:space="preserve">States are also able to exempt certain licences from AMR </w:t>
      </w:r>
      <w:r w:rsidRPr="00431974">
        <w:t>where they determine there is a significant risk arising from particular circumstances or conditions in their jurisdiction</w:t>
      </w:r>
      <w:r>
        <w:t xml:space="preserve"> — for example,</w:t>
      </w:r>
      <w:r w:rsidRPr="00431974">
        <w:t xml:space="preserve"> to consumers, the environment, animal welfare or the health or safety of workers or the public</w:t>
      </w:r>
      <w:bookmarkEnd w:id="39"/>
      <w:r w:rsidRPr="00431974">
        <w:t>.</w:t>
      </w:r>
      <w:r>
        <w:t xml:space="preserve"> </w:t>
      </w:r>
      <w:r w:rsidRPr="002C21A4">
        <w:t xml:space="preserve">This means that </w:t>
      </w:r>
      <w:r>
        <w:t>some</w:t>
      </w:r>
      <w:r w:rsidRPr="002C21A4">
        <w:t xml:space="preserve"> licen</w:t>
      </w:r>
      <w:r>
        <w:t>c</w:t>
      </w:r>
      <w:r w:rsidRPr="002C21A4">
        <w:t>e</w:t>
      </w:r>
      <w:r>
        <w:t>s</w:t>
      </w:r>
      <w:r w:rsidRPr="002C21A4">
        <w:t xml:space="preserve"> issued in some jurisdictions</w:t>
      </w:r>
      <w:r>
        <w:t>, including several electrical licences,</w:t>
      </w:r>
      <w:r w:rsidRPr="002C21A4">
        <w:t xml:space="preserve"> </w:t>
      </w:r>
      <w:r>
        <w:t>are</w:t>
      </w:r>
      <w:r w:rsidRPr="002C21A4">
        <w:t xml:space="preserve"> not</w:t>
      </w:r>
      <w:r w:rsidR="00CC51FC">
        <w:t xml:space="preserve"> automatically</w:t>
      </w:r>
      <w:r w:rsidRPr="002C21A4">
        <w:t xml:space="preserve"> recognised in other</w:t>
      </w:r>
      <w:r>
        <w:t xml:space="preserve"> jurisdictions</w:t>
      </w:r>
      <w:r w:rsidRPr="002C21A4">
        <w:t>.</w:t>
      </w:r>
    </w:p>
    <w:p w14:paraId="1CB0E7DB" w14:textId="76AF9DEC" w:rsidR="004618D1" w:rsidRDefault="004618D1" w:rsidP="004618D1">
      <w:r>
        <w:t xml:space="preserve">Under current AMR arrangements, the reasons for jurisdictional differences in regulation are not clearly identified, and there is no systemic way of addressing them. </w:t>
      </w:r>
      <w:r w:rsidR="008D6E7C">
        <w:t>Differen</w:t>
      </w:r>
      <w:r w:rsidR="00EA1996">
        <w:t>t</w:t>
      </w:r>
      <w:r w:rsidR="008D6E7C">
        <w:t xml:space="preserve"> state</w:t>
      </w:r>
      <w:r w:rsidR="008D6E7C">
        <w:noBreakHyphen/>
        <w:t>based licensing schemes</w:t>
      </w:r>
      <w:r w:rsidR="00ED743D">
        <w:t xml:space="preserve"> and methods for data collection</w:t>
      </w:r>
      <w:r w:rsidR="00EA1996">
        <w:t xml:space="preserve"> </w:t>
      </w:r>
      <w:r w:rsidR="00703458">
        <w:t xml:space="preserve">and management </w:t>
      </w:r>
      <w:r>
        <w:t xml:space="preserve">also </w:t>
      </w:r>
      <w:r w:rsidR="00EA1996">
        <w:t>present challenges</w:t>
      </w:r>
      <w:r w:rsidR="008D6E7C">
        <w:t xml:space="preserve"> for regulators</w:t>
      </w:r>
      <w:r>
        <w:t xml:space="preserve"> shar</w:t>
      </w:r>
      <w:r w:rsidR="00EA1996">
        <w:t>ing</w:t>
      </w:r>
      <w:r>
        <w:t xml:space="preserve"> information </w:t>
      </w:r>
      <w:r w:rsidR="0066105B">
        <w:t xml:space="preserve">about workers who </w:t>
      </w:r>
      <w:r>
        <w:t xml:space="preserve">cross borders, including regarding cases of misconduct.  </w:t>
      </w:r>
    </w:p>
    <w:p w14:paraId="15E83C48" w14:textId="553ADF75" w:rsidR="00A519D0" w:rsidRDefault="00FD5417" w:rsidP="00A519D0">
      <w:r>
        <w:t>There is an opportunity to improve these outcomes through NCP</w:t>
      </w:r>
      <w:r w:rsidR="00F04942">
        <w:t>, supported by PC modelling and analysis (Box 3)</w:t>
      </w:r>
      <w:r>
        <w:t xml:space="preserve">. </w:t>
      </w:r>
      <w:r w:rsidR="00E84719">
        <w:t xml:space="preserve">As part of the NCP IGA agreed in November 2024, </w:t>
      </w:r>
      <w:r w:rsidR="008E1E95">
        <w:t>all g</w:t>
      </w:r>
      <w:r w:rsidR="00A018F4">
        <w:t xml:space="preserve">overnments agreed to </w:t>
      </w:r>
      <w:r w:rsidR="00E84719">
        <w:t>national competition principles, including to promote a single national market.</w:t>
      </w:r>
      <w:r w:rsidR="00E84719" w:rsidRPr="00E84719">
        <w:t xml:space="preserve"> </w:t>
      </w:r>
      <w:r w:rsidR="00E84719">
        <w:t xml:space="preserve">By agreeing this principle, </w:t>
      </w:r>
      <w:r w:rsidR="00CE5E87">
        <w:t>g</w:t>
      </w:r>
      <w:r w:rsidR="00E84719">
        <w:t xml:space="preserve">overnments have committed to </w:t>
      </w:r>
      <w:r w:rsidR="00A018F4">
        <w:t>not create or entrench barriers to buying and selling goods and services, operating businesses, and working across state and territory and international borders, where appropriate.</w:t>
      </w:r>
    </w:p>
    <w:tbl>
      <w:tblPr>
        <w:tblStyle w:val="TableGrid"/>
        <w:tblW w:w="9214" w:type="dxa"/>
        <w:tblLook w:val="0480" w:firstRow="0" w:lastRow="0" w:firstColumn="1" w:lastColumn="0" w:noHBand="0" w:noVBand="1"/>
      </w:tblPr>
      <w:tblGrid>
        <w:gridCol w:w="9214"/>
      </w:tblGrid>
      <w:tr w:rsidR="00A519D0" w14:paraId="783B5821" w14:textId="77777777" w:rsidTr="008D1580">
        <w:tc>
          <w:tcPr>
            <w:tcW w:w="0" w:type="dxa"/>
            <w:tcBorders>
              <w:top w:val="nil"/>
              <w:left w:val="nil"/>
              <w:bottom w:val="nil"/>
              <w:right w:val="nil"/>
            </w:tcBorders>
            <w:shd w:val="clear" w:color="auto" w:fill="D8E6DF" w:themeFill="accent2" w:themeFillTint="33"/>
          </w:tcPr>
          <w:p w14:paraId="095D4E35" w14:textId="77777777" w:rsidR="00A519D0" w:rsidRPr="0050083C" w:rsidRDefault="00A519D0">
            <w:pPr>
              <w:spacing w:before="96" w:after="96"/>
              <w:rPr>
                <w:rFonts w:cs="Calibri Light"/>
                <w:b/>
              </w:rPr>
            </w:pPr>
            <w:r w:rsidRPr="0050083C">
              <w:rPr>
                <w:rFonts w:cs="Calibri Light"/>
                <w:b/>
                <w:szCs w:val="22"/>
              </w:rPr>
              <w:t>Questions</w:t>
            </w:r>
          </w:p>
          <w:p w14:paraId="4E0A287C" w14:textId="262540E4" w:rsidR="002146A7" w:rsidRPr="00AA5201" w:rsidRDefault="002146A7" w:rsidP="002146A7">
            <w:pPr>
              <w:pStyle w:val="ListParagraph"/>
              <w:numPr>
                <w:ilvl w:val="0"/>
                <w:numId w:val="35"/>
              </w:numPr>
              <w:rPr>
                <w:rFonts w:cstheme="minorHAnsi"/>
                <w:sz w:val="20"/>
              </w:rPr>
            </w:pPr>
            <w:r w:rsidRPr="00AA5201">
              <w:rPr>
                <w:rFonts w:cstheme="minorHAnsi"/>
                <w:sz w:val="20"/>
              </w:rPr>
              <w:t xml:space="preserve">Is AMR working well? For example, has AMR made it easier to move between states, helped with worker shortages, improved service quality and/or made things safer? </w:t>
            </w:r>
            <w:r w:rsidR="00046570">
              <w:rPr>
                <w:rFonts w:cstheme="minorHAnsi"/>
                <w:sz w:val="20"/>
              </w:rPr>
              <w:t>What would help it work better?</w:t>
            </w:r>
          </w:p>
          <w:p w14:paraId="70153266" w14:textId="7003F75C" w:rsidR="00A519D0" w:rsidRPr="002A7A3C" w:rsidRDefault="00A519D0" w:rsidP="00AA5201">
            <w:pPr>
              <w:pStyle w:val="ListParagraph"/>
              <w:numPr>
                <w:ilvl w:val="0"/>
                <w:numId w:val="35"/>
              </w:numPr>
            </w:pPr>
            <w:r w:rsidRPr="00AA5201" w:rsidDel="00AF592F">
              <w:rPr>
                <w:rFonts w:cs="Calibri Light"/>
                <w:sz w:val="20"/>
              </w:rPr>
              <w:t>W</w:t>
            </w:r>
            <w:r w:rsidR="00445B62" w:rsidRPr="00AA5201">
              <w:rPr>
                <w:sz w:val="20"/>
              </w:rPr>
              <w:t xml:space="preserve">hat </w:t>
            </w:r>
            <w:r w:rsidRPr="00AA5201">
              <w:rPr>
                <w:sz w:val="20"/>
              </w:rPr>
              <w:t xml:space="preserve">can </w:t>
            </w:r>
            <w:r w:rsidR="00445B62" w:rsidRPr="00AA5201">
              <w:rPr>
                <w:sz w:val="20"/>
              </w:rPr>
              <w:t>we learn</w:t>
            </w:r>
            <w:r w:rsidRPr="00AA5201">
              <w:rPr>
                <w:sz w:val="20"/>
              </w:rPr>
              <w:t xml:space="preserve"> from </w:t>
            </w:r>
            <w:r w:rsidR="00AF592F" w:rsidRPr="00AA5201">
              <w:rPr>
                <w:sz w:val="20"/>
              </w:rPr>
              <w:t>previous attempts at national electrical licensing</w:t>
            </w:r>
            <w:r w:rsidR="00304343" w:rsidRPr="00AA5201">
              <w:rPr>
                <w:sz w:val="20"/>
              </w:rPr>
              <w:t xml:space="preserve"> </w:t>
            </w:r>
            <w:r w:rsidR="00445B62" w:rsidRPr="00AA5201">
              <w:rPr>
                <w:sz w:val="20"/>
              </w:rPr>
              <w:t>or</w:t>
            </w:r>
            <w:r w:rsidR="00304343" w:rsidRPr="00AA5201">
              <w:rPr>
                <w:sz w:val="20"/>
              </w:rPr>
              <w:t xml:space="preserve"> national licensing</w:t>
            </w:r>
            <w:r w:rsidR="008861E6" w:rsidRPr="00AA5201">
              <w:rPr>
                <w:sz w:val="20"/>
              </w:rPr>
              <w:t xml:space="preserve"> </w:t>
            </w:r>
            <w:r w:rsidR="00445B62" w:rsidRPr="00AA5201">
              <w:rPr>
                <w:sz w:val="20"/>
              </w:rPr>
              <w:t>for</w:t>
            </w:r>
            <w:r w:rsidR="008861E6" w:rsidRPr="00AA5201">
              <w:rPr>
                <w:sz w:val="20"/>
              </w:rPr>
              <w:t xml:space="preserve"> other occupations</w:t>
            </w:r>
            <w:r w:rsidR="00445B62" w:rsidRPr="00AA5201">
              <w:rPr>
                <w:sz w:val="20"/>
              </w:rPr>
              <w:t>?</w:t>
            </w:r>
          </w:p>
        </w:tc>
      </w:tr>
    </w:tbl>
    <w:p w14:paraId="2DE81902" w14:textId="699C6C00" w:rsidR="00F71A86" w:rsidRDefault="00F71A86" w:rsidP="00BF042A">
      <w:bookmarkStart w:id="40" w:name="_Toc199402818"/>
    </w:p>
    <w:tbl>
      <w:tblPr>
        <w:tblStyle w:val="TableGrid"/>
        <w:tblW w:w="87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84"/>
      </w:tblGrid>
      <w:tr w:rsidR="00046953" w:rsidRPr="007C019B" w14:paraId="70EFA8C2" w14:textId="77777777" w:rsidTr="00594378">
        <w:trPr>
          <w:cnfStyle w:val="100000000000" w:firstRow="1" w:lastRow="0" w:firstColumn="0" w:lastColumn="0" w:oddVBand="0" w:evenVBand="0" w:oddHBand="0" w:evenHBand="0" w:firstRowFirstColumn="0" w:firstRowLastColumn="0" w:lastRowFirstColumn="0" w:lastRowLastColumn="0"/>
        </w:trPr>
        <w:tc>
          <w:tcPr>
            <w:tcW w:w="8784" w:type="dxa"/>
          </w:tcPr>
          <w:p w14:paraId="49B2F1B6" w14:textId="536D887C" w:rsidR="00194F29" w:rsidRPr="00D521EF" w:rsidRDefault="00194F29" w:rsidP="00194F29">
            <w:pPr>
              <w:spacing w:before="96" w:after="96"/>
              <w:rPr>
                <w:sz w:val="26"/>
                <w:szCs w:val="26"/>
              </w:rPr>
            </w:pPr>
            <w:r w:rsidRPr="00194F29">
              <w:rPr>
                <w:szCs w:val="22"/>
              </w:rPr>
              <w:lastRenderedPageBreak/>
              <w:t>Box 3: Productivity Commission</w:t>
            </w:r>
            <w:r w:rsidR="00FB7C7D">
              <w:rPr>
                <w:szCs w:val="22"/>
              </w:rPr>
              <w:t xml:space="preserve"> Interim Report</w:t>
            </w:r>
            <w:r w:rsidRPr="00194F29">
              <w:rPr>
                <w:szCs w:val="22"/>
              </w:rPr>
              <w:t xml:space="preserve"> – </w:t>
            </w:r>
            <w:r w:rsidRPr="00D521EF">
              <w:rPr>
                <w:szCs w:val="22"/>
              </w:rPr>
              <w:t>NCP analysis 2025</w:t>
            </w:r>
          </w:p>
        </w:tc>
      </w:tr>
      <w:tr w:rsidR="00194F29" w14:paraId="3D14CCD6" w14:textId="77777777" w:rsidTr="00594378">
        <w:tc>
          <w:tcPr>
            <w:tcW w:w="8784" w:type="dxa"/>
          </w:tcPr>
          <w:p w14:paraId="0EBB4D4B" w14:textId="2BF6DB7E" w:rsidR="00AE2305" w:rsidRPr="00E43164" w:rsidRDefault="00AD3E0B" w:rsidP="00E15E74">
            <w:pPr>
              <w:rPr>
                <w:rFonts w:cs="Calibri Light"/>
              </w:rPr>
            </w:pPr>
            <w:r>
              <w:rPr>
                <w:rFonts w:cs="Calibri Light"/>
              </w:rPr>
              <w:t>T</w:t>
            </w:r>
            <w:r w:rsidR="00194F29" w:rsidRPr="00E43164">
              <w:rPr>
                <w:rFonts w:cs="Calibri Light"/>
              </w:rPr>
              <w:t xml:space="preserve">he </w:t>
            </w:r>
            <w:r w:rsidR="005A0BB1" w:rsidRPr="00E43164">
              <w:rPr>
                <w:rFonts w:cs="Calibri Light"/>
              </w:rPr>
              <w:t>Productivity Commission (</w:t>
            </w:r>
            <w:r w:rsidR="00194F29" w:rsidRPr="00E43164">
              <w:rPr>
                <w:rFonts w:cs="Calibri Light"/>
              </w:rPr>
              <w:t>PC</w:t>
            </w:r>
            <w:r w:rsidR="005A0BB1" w:rsidRPr="00E43164">
              <w:rPr>
                <w:rFonts w:cs="Calibri Light"/>
              </w:rPr>
              <w:t>)</w:t>
            </w:r>
            <w:r w:rsidR="00194F29" w:rsidRPr="00E43164">
              <w:rPr>
                <w:rFonts w:cs="Calibri Light"/>
              </w:rPr>
              <w:t xml:space="preserve"> </w:t>
            </w:r>
            <w:r w:rsidR="0025004E">
              <w:rPr>
                <w:rFonts w:cs="Calibri Light"/>
              </w:rPr>
              <w:t xml:space="preserve">recently </w:t>
            </w:r>
            <w:r w:rsidR="00194F29" w:rsidRPr="00E43164">
              <w:rPr>
                <w:rFonts w:cs="Calibri Light"/>
              </w:rPr>
              <w:t>released its interim</w:t>
            </w:r>
            <w:r w:rsidR="00EB7F5B" w:rsidRPr="00E43164">
              <w:rPr>
                <w:rFonts w:cs="Calibri Light"/>
              </w:rPr>
              <w:t xml:space="preserve"> </w:t>
            </w:r>
            <w:r w:rsidR="00EB7F5B" w:rsidRPr="00D521EF">
              <w:rPr>
                <w:rFonts w:cs="Calibri Light"/>
                <w:i/>
                <w:iCs/>
              </w:rPr>
              <w:t>NCP analysis 2025</w:t>
            </w:r>
            <w:r w:rsidR="00194F29" w:rsidRPr="00E43164">
              <w:rPr>
                <w:rFonts w:cs="Calibri Light"/>
              </w:rPr>
              <w:t xml:space="preserve"> report</w:t>
            </w:r>
            <w:r w:rsidR="00CB3561" w:rsidRPr="00E43164">
              <w:rPr>
                <w:rFonts w:cs="Calibri Light"/>
              </w:rPr>
              <w:t xml:space="preserve"> </w:t>
            </w:r>
            <w:r w:rsidR="00194F29" w:rsidRPr="00E43164">
              <w:rPr>
                <w:rFonts w:cs="Calibri Light"/>
              </w:rPr>
              <w:t xml:space="preserve">to support continued pro-competitive reform under </w:t>
            </w:r>
            <w:r w:rsidR="00B20FEC" w:rsidRPr="00E43164">
              <w:rPr>
                <w:rFonts w:cs="Calibri Light"/>
              </w:rPr>
              <w:t>N</w:t>
            </w:r>
            <w:r w:rsidR="005A0BB1" w:rsidRPr="00E43164">
              <w:rPr>
                <w:rFonts w:cs="Calibri Light"/>
              </w:rPr>
              <w:t xml:space="preserve">ational </w:t>
            </w:r>
            <w:r w:rsidR="00B20FEC" w:rsidRPr="00E43164">
              <w:rPr>
                <w:rFonts w:cs="Calibri Light"/>
              </w:rPr>
              <w:t>C</w:t>
            </w:r>
            <w:r w:rsidR="005A0BB1" w:rsidRPr="00E43164">
              <w:rPr>
                <w:rFonts w:cs="Calibri Light"/>
              </w:rPr>
              <w:t xml:space="preserve">ompetition </w:t>
            </w:r>
            <w:r w:rsidR="00B20FEC" w:rsidRPr="00E43164">
              <w:rPr>
                <w:rFonts w:cs="Calibri Light"/>
              </w:rPr>
              <w:t>P</w:t>
            </w:r>
            <w:r w:rsidR="005A0BB1" w:rsidRPr="00E43164">
              <w:rPr>
                <w:rFonts w:cs="Calibri Light"/>
              </w:rPr>
              <w:t>olicy (NCP)</w:t>
            </w:r>
            <w:r w:rsidR="00194F29" w:rsidRPr="00E43164">
              <w:rPr>
                <w:rFonts w:cs="Calibri Light"/>
              </w:rPr>
              <w:t>.</w:t>
            </w:r>
            <w:r w:rsidR="00F13425" w:rsidRPr="00E43164">
              <w:rPr>
                <w:rStyle w:val="FootnoteReference"/>
                <w:rFonts w:cs="Calibri Light"/>
                <w:vertAlign w:val="superscript"/>
              </w:rPr>
              <w:footnoteReference w:id="35"/>
            </w:r>
          </w:p>
          <w:p w14:paraId="793D648E" w14:textId="7562602E" w:rsidR="00C44E19" w:rsidRPr="00637DEC" w:rsidRDefault="00135B87" w:rsidP="00637DEC">
            <w:pPr>
              <w:rPr>
                <w:rFonts w:cs="Calibri Light"/>
              </w:rPr>
            </w:pPr>
            <w:r w:rsidRPr="00E43164">
              <w:rPr>
                <w:rFonts w:cs="Calibri Light"/>
              </w:rPr>
              <w:t xml:space="preserve">The report </w:t>
            </w:r>
            <w:r w:rsidR="00194F29" w:rsidRPr="00E43164">
              <w:rPr>
                <w:rFonts w:cs="Calibri Light"/>
              </w:rPr>
              <w:t xml:space="preserve">responds to the Treasurer’s request for advice and modelling on an occupational licensing scheme for electrical trades and other </w:t>
            </w:r>
            <w:r w:rsidR="00A77885">
              <w:rPr>
                <w:rFonts w:cs="Calibri Light"/>
              </w:rPr>
              <w:t xml:space="preserve">high-risk </w:t>
            </w:r>
            <w:r w:rsidR="00194F29" w:rsidRPr="00E43164">
              <w:rPr>
                <w:rFonts w:cs="Calibri Light"/>
              </w:rPr>
              <w:t>occupations that provide</w:t>
            </w:r>
            <w:r w:rsidR="0057698F" w:rsidRPr="00E43164">
              <w:rPr>
                <w:rFonts w:cs="Calibri Light"/>
              </w:rPr>
              <w:t>s</w:t>
            </w:r>
            <w:r w:rsidR="00194F29" w:rsidRPr="00E43164">
              <w:rPr>
                <w:rFonts w:cs="Calibri Light"/>
              </w:rPr>
              <w:t xml:space="preserve"> for labour mobility</w:t>
            </w:r>
            <w:r w:rsidR="00C04198">
              <w:rPr>
                <w:rFonts w:cs="Calibri Light"/>
              </w:rPr>
              <w:t xml:space="preserve"> nationally</w:t>
            </w:r>
            <w:r w:rsidR="00194F29" w:rsidRPr="00E43164">
              <w:rPr>
                <w:rFonts w:cs="Calibri Light"/>
              </w:rPr>
              <w:t xml:space="preserve">. </w:t>
            </w:r>
            <w:r w:rsidR="00A17BE3" w:rsidRPr="00E43164">
              <w:rPr>
                <w:rFonts w:cs="Calibri Light"/>
              </w:rPr>
              <w:t>T</w:t>
            </w:r>
            <w:r w:rsidR="00194F29" w:rsidRPr="00E43164">
              <w:rPr>
                <w:rFonts w:cs="Calibri Light"/>
              </w:rPr>
              <w:t>h</w:t>
            </w:r>
            <w:r w:rsidR="00661292" w:rsidRPr="00E43164">
              <w:rPr>
                <w:rFonts w:cs="Calibri Light"/>
              </w:rPr>
              <w:t>e</w:t>
            </w:r>
            <w:r w:rsidR="00194F29" w:rsidRPr="00E43164">
              <w:rPr>
                <w:rFonts w:cs="Calibri Light"/>
              </w:rPr>
              <w:t xml:space="preserve"> request sought advice on</w:t>
            </w:r>
            <w:r w:rsidR="00AE2305" w:rsidRPr="00E43164">
              <w:rPr>
                <w:rFonts w:cs="Calibri Light"/>
              </w:rPr>
              <w:t xml:space="preserve"> </w:t>
            </w:r>
            <w:r w:rsidR="00194F29" w:rsidRPr="00E43164">
              <w:rPr>
                <w:rFonts w:cs="Calibri Light"/>
              </w:rPr>
              <w:t xml:space="preserve">economic impacts </w:t>
            </w:r>
            <w:r w:rsidR="00FE2765" w:rsidRPr="00E43164">
              <w:rPr>
                <w:rFonts w:cs="Calibri Light"/>
              </w:rPr>
              <w:t xml:space="preserve">as well as </w:t>
            </w:r>
            <w:r w:rsidR="00194F29" w:rsidRPr="00E43164">
              <w:rPr>
                <w:rFonts w:cs="Calibri Light"/>
              </w:rPr>
              <w:t>implementation options</w:t>
            </w:r>
            <w:r w:rsidR="00254B0F" w:rsidRPr="00E43164">
              <w:rPr>
                <w:rFonts w:cs="Calibri Light"/>
              </w:rPr>
              <w:t xml:space="preserve"> and a preferred pathway to implement reform.</w:t>
            </w:r>
          </w:p>
          <w:p w14:paraId="404BD8EE" w14:textId="47CBE509" w:rsidR="00194F29" w:rsidRPr="00D22B9D" w:rsidRDefault="00135ED9" w:rsidP="00D521EF">
            <w:pPr>
              <w:pStyle w:val="Heading4"/>
              <w:spacing w:before="120" w:after="120"/>
              <w:rPr>
                <w:b/>
                <w:sz w:val="20"/>
                <w:szCs w:val="22"/>
              </w:rPr>
            </w:pPr>
            <w:r>
              <w:rPr>
                <w:b/>
                <w:color w:val="auto"/>
                <w:sz w:val="20"/>
                <w:szCs w:val="22"/>
              </w:rPr>
              <w:t>E</w:t>
            </w:r>
            <w:r w:rsidR="00194F29" w:rsidRPr="00D22B9D">
              <w:rPr>
                <w:b/>
                <w:color w:val="auto"/>
                <w:sz w:val="20"/>
                <w:szCs w:val="22"/>
              </w:rPr>
              <w:t>conomic impact</w:t>
            </w:r>
            <w:r>
              <w:rPr>
                <w:b/>
                <w:color w:val="auto"/>
                <w:sz w:val="20"/>
                <w:szCs w:val="22"/>
              </w:rPr>
              <w:t>s</w:t>
            </w:r>
          </w:p>
          <w:p w14:paraId="266A2A5F" w14:textId="77777777" w:rsidR="00E65D81" w:rsidRDefault="008F2A3E" w:rsidP="0033733F">
            <w:pPr>
              <w:rPr>
                <w:rFonts w:cs="Calibri Light"/>
              </w:rPr>
            </w:pPr>
            <w:r>
              <w:rPr>
                <w:rFonts w:cs="Calibri Light"/>
              </w:rPr>
              <w:t>The PC estimate</w:t>
            </w:r>
            <w:r w:rsidR="00E65D81">
              <w:rPr>
                <w:rFonts w:cs="Calibri Light"/>
              </w:rPr>
              <w:t>d</w:t>
            </w:r>
            <w:r>
              <w:rPr>
                <w:rFonts w:cs="Calibri Light"/>
              </w:rPr>
              <w:t xml:space="preserve"> that p</w:t>
            </w:r>
            <w:r w:rsidRPr="008F2A3E">
              <w:rPr>
                <w:rFonts w:cs="Calibri Light"/>
              </w:rPr>
              <w:t xml:space="preserve">roviding labour mobility for high-risk licensed occupations across Australia could </w:t>
            </w:r>
            <w:r w:rsidR="00527529">
              <w:rPr>
                <w:rFonts w:cs="Calibri Light"/>
              </w:rPr>
              <w:t>provide an ongoing boost to GDP of</w:t>
            </w:r>
            <w:r w:rsidRPr="008F2A3E">
              <w:rPr>
                <w:rFonts w:cs="Calibri Light"/>
              </w:rPr>
              <w:t xml:space="preserve"> up to $846 million per year</w:t>
            </w:r>
            <w:r>
              <w:rPr>
                <w:rFonts w:cs="Calibri Light"/>
              </w:rPr>
              <w:t xml:space="preserve">. </w:t>
            </w:r>
            <w:r w:rsidR="004F010A">
              <w:rPr>
                <w:rFonts w:cs="Calibri Light"/>
              </w:rPr>
              <w:t>For a national electrical licensing scheme</w:t>
            </w:r>
            <w:r w:rsidR="00E65D81">
              <w:rPr>
                <w:rFonts w:cs="Calibri Light"/>
              </w:rPr>
              <w:t xml:space="preserve"> specifically</w:t>
            </w:r>
            <w:r w:rsidR="004F010A">
              <w:rPr>
                <w:rFonts w:cs="Calibri Light"/>
              </w:rPr>
              <w:t>, t</w:t>
            </w:r>
            <w:r w:rsidR="00194F29" w:rsidRPr="00E43164">
              <w:rPr>
                <w:rFonts w:cs="Calibri Light"/>
              </w:rPr>
              <w:t xml:space="preserve">he PC </w:t>
            </w:r>
            <w:r w:rsidR="002E59FC" w:rsidRPr="00E43164">
              <w:rPr>
                <w:rFonts w:cs="Calibri Light"/>
              </w:rPr>
              <w:t>estimated</w:t>
            </w:r>
            <w:r w:rsidR="00194F29" w:rsidRPr="00E43164">
              <w:rPr>
                <w:rFonts w:cs="Calibri Light"/>
              </w:rPr>
              <w:t xml:space="preserve"> </w:t>
            </w:r>
            <w:r w:rsidR="004F010A">
              <w:rPr>
                <w:rFonts w:cs="Calibri Light"/>
              </w:rPr>
              <w:t>the</w:t>
            </w:r>
            <w:r w:rsidR="00194F29" w:rsidRPr="00E43164">
              <w:rPr>
                <w:rFonts w:cs="Calibri Light"/>
              </w:rPr>
              <w:t xml:space="preserve"> upper bound of the benefits to be between</w:t>
            </w:r>
            <w:r w:rsidR="00194F29" w:rsidRPr="00E43164">
              <w:rPr>
                <w:rFonts w:cs="Calibri Light"/>
                <w:b/>
                <w:bCs/>
              </w:rPr>
              <w:t xml:space="preserve"> $51 million and $62 million per annum</w:t>
            </w:r>
            <w:r w:rsidR="00194F29" w:rsidRPr="00E43164">
              <w:rPr>
                <w:rFonts w:cs="Calibri Light"/>
              </w:rPr>
              <w:t>.</w:t>
            </w:r>
          </w:p>
          <w:p w14:paraId="31C40D8F" w14:textId="06B15805" w:rsidR="00194F29" w:rsidRPr="00D521EF" w:rsidRDefault="00B770E2" w:rsidP="0033733F">
            <w:pPr>
              <w:rPr>
                <w:rFonts w:cs="Calibri Light"/>
              </w:rPr>
            </w:pPr>
            <w:r>
              <w:rPr>
                <w:rFonts w:cs="Calibri Light"/>
              </w:rPr>
              <w:t>T</w:t>
            </w:r>
            <w:r w:rsidR="00194F29" w:rsidRPr="00E43164">
              <w:rPr>
                <w:rFonts w:cs="Calibri Light"/>
              </w:rPr>
              <w:t>h</w:t>
            </w:r>
            <w:r w:rsidR="00E65D81">
              <w:rPr>
                <w:rFonts w:cs="Calibri Light"/>
              </w:rPr>
              <w:t>ese</w:t>
            </w:r>
            <w:r w:rsidR="00194F29" w:rsidRPr="00E43164">
              <w:rPr>
                <w:rFonts w:cs="Calibri Light"/>
              </w:rPr>
              <w:t xml:space="preserve"> estimate</w:t>
            </w:r>
            <w:r>
              <w:rPr>
                <w:rFonts w:cs="Calibri Light"/>
              </w:rPr>
              <w:t>s</w:t>
            </w:r>
            <w:r w:rsidR="00194F29" w:rsidRPr="00E43164">
              <w:rPr>
                <w:rFonts w:cs="Calibri Light"/>
              </w:rPr>
              <w:t xml:space="preserve"> rel</w:t>
            </w:r>
            <w:r>
              <w:rPr>
                <w:rFonts w:cs="Calibri Light"/>
              </w:rPr>
              <w:t>y</w:t>
            </w:r>
            <w:r w:rsidR="00194F29" w:rsidRPr="00E43164">
              <w:rPr>
                <w:rFonts w:cs="Calibri Light"/>
              </w:rPr>
              <w:t xml:space="preserve"> on</w:t>
            </w:r>
            <w:r w:rsidR="009F4447">
              <w:rPr>
                <w:rFonts w:cs="Calibri Light"/>
              </w:rPr>
              <w:t xml:space="preserve"> </w:t>
            </w:r>
            <w:r w:rsidR="00194F29" w:rsidRPr="009F4447">
              <w:rPr>
                <w:rFonts w:cs="Calibri Light"/>
              </w:rPr>
              <w:t>the assumption that all costs created by regulatory and legislative barriers to interstate labour mobility for electrical tradespeople, not just occupational licensing requirements, are removed.</w:t>
            </w:r>
            <w:r w:rsidR="0033733F">
              <w:rPr>
                <w:rFonts w:cs="Calibri Light"/>
              </w:rPr>
              <w:t xml:space="preserve"> T</w:t>
            </w:r>
            <w:r w:rsidR="00194F29" w:rsidRPr="0033733F">
              <w:rPr>
                <w:rFonts w:cs="Calibri Light"/>
              </w:rPr>
              <w:t>he PC</w:t>
            </w:r>
            <w:r w:rsidR="0033733F">
              <w:rPr>
                <w:rFonts w:cs="Calibri Light"/>
              </w:rPr>
              <w:t xml:space="preserve"> also</w:t>
            </w:r>
            <w:r w:rsidR="00194F29" w:rsidRPr="0033733F">
              <w:rPr>
                <w:rFonts w:cs="Calibri Light"/>
              </w:rPr>
              <w:t xml:space="preserve"> </w:t>
            </w:r>
            <w:r w:rsidR="0033733F">
              <w:rPr>
                <w:rFonts w:cs="Calibri Light"/>
              </w:rPr>
              <w:t>suggest</w:t>
            </w:r>
            <w:r>
              <w:rPr>
                <w:rFonts w:cs="Calibri Light"/>
              </w:rPr>
              <w:t>ed</w:t>
            </w:r>
            <w:r w:rsidR="005B60A4">
              <w:rPr>
                <w:rFonts w:cs="Calibri Light"/>
              </w:rPr>
              <w:t xml:space="preserve"> that</w:t>
            </w:r>
            <w:r w:rsidR="00194F29" w:rsidRPr="0033733F">
              <w:rPr>
                <w:rFonts w:cs="Calibri Light"/>
              </w:rPr>
              <w:t xml:space="preserve"> benefits </w:t>
            </w:r>
            <w:r w:rsidR="0033733F">
              <w:rPr>
                <w:rFonts w:cs="Calibri Light"/>
              </w:rPr>
              <w:t>will be</w:t>
            </w:r>
            <w:r w:rsidR="00194F29" w:rsidRPr="0033733F">
              <w:rPr>
                <w:rFonts w:cs="Calibri Light"/>
              </w:rPr>
              <w:t xml:space="preserve"> proportional to state and territory participation in AMR. </w:t>
            </w:r>
            <w:r w:rsidR="009202D7">
              <w:rPr>
                <w:rFonts w:cs="Calibri Light"/>
              </w:rPr>
              <w:t>For example</w:t>
            </w:r>
            <w:r w:rsidR="00194F29" w:rsidRPr="0033733F">
              <w:rPr>
                <w:rFonts w:cs="Calibri Light"/>
              </w:rPr>
              <w:t>, the rationale for national licens</w:t>
            </w:r>
            <w:r w:rsidR="009202D7">
              <w:rPr>
                <w:rFonts w:cs="Calibri Light"/>
              </w:rPr>
              <w:t>ing</w:t>
            </w:r>
            <w:r w:rsidR="00194F29" w:rsidRPr="0033733F">
              <w:rPr>
                <w:rFonts w:cs="Calibri Light"/>
              </w:rPr>
              <w:t xml:space="preserve"> becomes increasingly clear where there is inconsistent application of AMR through exemption of</w:t>
            </w:r>
            <w:r w:rsidR="00DE759B">
              <w:rPr>
                <w:rFonts w:cs="Calibri Light"/>
              </w:rPr>
              <w:t xml:space="preserve"> specific occupations </w:t>
            </w:r>
            <w:r w:rsidR="00194F29" w:rsidRPr="0033733F">
              <w:rPr>
                <w:rFonts w:cs="Calibri Light"/>
              </w:rPr>
              <w:t>or non-participation by jurisdictions.</w:t>
            </w:r>
            <w:r w:rsidR="00194F29" w:rsidRPr="00D521EF">
              <w:rPr>
                <w:rFonts w:cs="Calibri Light"/>
              </w:rPr>
              <w:t xml:space="preserve"> </w:t>
            </w:r>
          </w:p>
          <w:p w14:paraId="788556E5" w14:textId="6D111ED9" w:rsidR="00DE07F0" w:rsidRPr="00D521EF" w:rsidRDefault="00DE07F0" w:rsidP="00E15E74">
            <w:pPr>
              <w:rPr>
                <w:rFonts w:cs="Calibri Light"/>
              </w:rPr>
            </w:pPr>
            <w:r w:rsidRPr="00D521EF">
              <w:rPr>
                <w:rFonts w:cs="Calibri Light"/>
              </w:rPr>
              <w:t>In the final report, the PC intends to model the distributional impacts of the reforms using a Computable General Equilibrium (CGE) model.</w:t>
            </w:r>
          </w:p>
          <w:p w14:paraId="4948E8F6" w14:textId="27DB6E53" w:rsidR="00194F29" w:rsidRPr="00D22B9D" w:rsidRDefault="00194F29" w:rsidP="00D521EF">
            <w:pPr>
              <w:pStyle w:val="Heading4"/>
              <w:spacing w:before="120" w:after="120"/>
              <w:rPr>
                <w:b/>
                <w:sz w:val="20"/>
                <w:szCs w:val="22"/>
              </w:rPr>
            </w:pPr>
            <w:r w:rsidRPr="00D22B9D">
              <w:rPr>
                <w:b/>
                <w:color w:val="auto"/>
                <w:sz w:val="20"/>
                <w:szCs w:val="22"/>
              </w:rPr>
              <w:t>Implementation</w:t>
            </w:r>
            <w:r w:rsidR="00135ED9">
              <w:rPr>
                <w:b/>
                <w:color w:val="auto"/>
                <w:sz w:val="20"/>
                <w:szCs w:val="22"/>
              </w:rPr>
              <w:t xml:space="preserve"> options</w:t>
            </w:r>
          </w:p>
          <w:p w14:paraId="0D1E002F" w14:textId="42A78E63" w:rsidR="00194F29" w:rsidRPr="00E43164" w:rsidRDefault="000504FE" w:rsidP="00E15E74">
            <w:pPr>
              <w:rPr>
                <w:rFonts w:cs="Calibri Light"/>
                <w:b/>
                <w:bCs/>
              </w:rPr>
            </w:pPr>
            <w:r>
              <w:rPr>
                <w:rFonts w:cs="Calibri Light"/>
              </w:rPr>
              <w:t>The PC found that o</w:t>
            </w:r>
            <w:r w:rsidR="00AB61C8" w:rsidRPr="00E43164">
              <w:rPr>
                <w:rFonts w:cs="Calibri Light"/>
              </w:rPr>
              <w:t xml:space="preserve">ccupational licensing reform could promote labour mobility and improve productivity, as workers move to places where their skills are most needed and valued. </w:t>
            </w:r>
            <w:r w:rsidR="00194F29" w:rsidRPr="00E43164">
              <w:rPr>
                <w:rFonts w:cs="Calibri Light"/>
              </w:rPr>
              <w:t>According to the PC, national licensing presents an opportunity to reap the benefits of a unified labour market, particularly for electrical trades which form one of the high</w:t>
            </w:r>
            <w:r w:rsidR="276A9326" w:rsidRPr="00E43164">
              <w:rPr>
                <w:rFonts w:cs="Calibri Light"/>
              </w:rPr>
              <w:t>-</w:t>
            </w:r>
            <w:r w:rsidR="00194F29" w:rsidRPr="00E43164">
              <w:rPr>
                <w:rFonts w:cs="Calibri Light"/>
              </w:rPr>
              <w:t>risk</w:t>
            </w:r>
            <w:r w:rsidR="0097448A">
              <w:rPr>
                <w:rFonts w:cs="Calibri Light"/>
              </w:rPr>
              <w:noBreakHyphen/>
            </w:r>
            <w:r w:rsidR="00194F29" w:rsidRPr="00E43164">
              <w:rPr>
                <w:rFonts w:cs="Calibri Light"/>
              </w:rPr>
              <w:t xml:space="preserve"> occupations commonly excluded by jurisdictions from AMR. </w:t>
            </w:r>
          </w:p>
          <w:p w14:paraId="52EA6F11" w14:textId="42A8C559" w:rsidR="00194F29" w:rsidRPr="00D521EF" w:rsidRDefault="00E422CB" w:rsidP="00D521EF">
            <w:pPr>
              <w:rPr>
                <w:rFonts w:cs="Calibri Light"/>
                <w:b/>
                <w:bCs/>
              </w:rPr>
            </w:pPr>
            <w:r>
              <w:rPr>
                <w:rFonts w:cs="Calibri Light"/>
              </w:rPr>
              <w:t>However</w:t>
            </w:r>
            <w:r w:rsidR="00194F29" w:rsidRPr="00E43164">
              <w:rPr>
                <w:rFonts w:cs="Calibri Light"/>
              </w:rPr>
              <w:t>, the PC</w:t>
            </w:r>
            <w:r>
              <w:rPr>
                <w:rFonts w:cs="Calibri Light"/>
              </w:rPr>
              <w:t xml:space="preserve"> also</w:t>
            </w:r>
            <w:r w:rsidR="00194F29" w:rsidRPr="00E43164">
              <w:rPr>
                <w:rFonts w:cs="Calibri Light"/>
              </w:rPr>
              <w:t xml:space="preserve"> recognise</w:t>
            </w:r>
            <w:r w:rsidR="00F2093E">
              <w:rPr>
                <w:rFonts w:cs="Calibri Light"/>
              </w:rPr>
              <w:t>d</w:t>
            </w:r>
            <w:r w:rsidR="00194F29" w:rsidRPr="00E43164">
              <w:rPr>
                <w:rFonts w:cs="Calibri Light"/>
              </w:rPr>
              <w:t xml:space="preserve"> that there may be opportunity to leverage and improve the existing AMR and East Coast Electricians schemes to generate what could effectively be a </w:t>
            </w:r>
            <w:r w:rsidR="00194F29" w:rsidRPr="00AD7BD3">
              <w:rPr>
                <w:rFonts w:cs="Calibri Light"/>
              </w:rPr>
              <w:t>national licen</w:t>
            </w:r>
            <w:r w:rsidR="00CC3A46" w:rsidRPr="00AD7BD3">
              <w:rPr>
                <w:rFonts w:cs="Calibri Light"/>
              </w:rPr>
              <w:t>c</w:t>
            </w:r>
            <w:r w:rsidR="00194F29" w:rsidRPr="00AD7BD3">
              <w:rPr>
                <w:rFonts w:cs="Calibri Light"/>
              </w:rPr>
              <w:t>e</w:t>
            </w:r>
            <w:r w:rsidR="00CC3A46" w:rsidRPr="00AD7BD3">
              <w:rPr>
                <w:rFonts w:cs="Calibri Light"/>
              </w:rPr>
              <w:t>,</w:t>
            </w:r>
            <w:r w:rsidR="00194F29" w:rsidRPr="00AD7BD3">
              <w:rPr>
                <w:rFonts w:cs="Calibri Light"/>
              </w:rPr>
              <w:t xml:space="preserve"> while avoiding the administrative cost of creating a national licensing scheme with unified requirements. </w:t>
            </w:r>
            <w:r w:rsidR="00194F29" w:rsidRPr="00D521EF">
              <w:rPr>
                <w:rFonts w:cs="Calibri Light"/>
              </w:rPr>
              <w:t>Recognising that a national licence would require agreement on a national set of standards, the PC</w:t>
            </w:r>
            <w:r w:rsidR="000C3DA8" w:rsidRPr="00D521EF">
              <w:rPr>
                <w:rFonts w:cs="Calibri Light"/>
              </w:rPr>
              <w:t xml:space="preserve"> also</w:t>
            </w:r>
            <w:r w:rsidR="00194F29" w:rsidRPr="00D521EF">
              <w:rPr>
                <w:rFonts w:cs="Calibri Light"/>
              </w:rPr>
              <w:t xml:space="preserve"> </w:t>
            </w:r>
            <w:r w:rsidR="00C059EC" w:rsidRPr="00D521EF">
              <w:rPr>
                <w:rFonts w:cs="Calibri Light"/>
              </w:rPr>
              <w:t>cautioned</w:t>
            </w:r>
            <w:r w:rsidR="00194F29" w:rsidRPr="00D521EF">
              <w:rPr>
                <w:rFonts w:cs="Calibri Light"/>
              </w:rPr>
              <w:t xml:space="preserve"> that</w:t>
            </w:r>
            <w:r w:rsidR="00943198" w:rsidRPr="00D521EF">
              <w:rPr>
                <w:rFonts w:cs="Calibri Light"/>
              </w:rPr>
              <w:t>,</w:t>
            </w:r>
            <w:r w:rsidR="00194F29" w:rsidRPr="00D521EF">
              <w:rPr>
                <w:rFonts w:cs="Calibri Light"/>
              </w:rPr>
              <w:t xml:space="preserve"> if standards under a national licen</w:t>
            </w:r>
            <w:r w:rsidR="00B72416">
              <w:rPr>
                <w:rFonts w:cs="Calibri Light"/>
              </w:rPr>
              <w:t>c</w:t>
            </w:r>
            <w:r w:rsidR="00194F29" w:rsidRPr="00D521EF">
              <w:rPr>
                <w:rFonts w:cs="Calibri Light"/>
              </w:rPr>
              <w:t>e are raised beyond what is necessary, a</w:t>
            </w:r>
            <w:r w:rsidR="00AD7BD3" w:rsidRPr="00D521EF">
              <w:rPr>
                <w:rFonts w:cs="Calibri Light"/>
              </w:rPr>
              <w:t xml:space="preserve"> </w:t>
            </w:r>
            <w:r w:rsidR="00194F29" w:rsidRPr="00D521EF">
              <w:rPr>
                <w:rFonts w:cs="Calibri Light"/>
              </w:rPr>
              <w:t>licensing scheme may create more costs than benefits.</w:t>
            </w:r>
            <w:r w:rsidR="00194F29" w:rsidRPr="00D521EF">
              <w:rPr>
                <w:rFonts w:cs="Calibri Light"/>
                <w:vertAlign w:val="superscript"/>
              </w:rPr>
              <w:t xml:space="preserve"> </w:t>
            </w:r>
          </w:p>
          <w:p w14:paraId="06B3B246" w14:textId="77777777" w:rsidR="00194F29" w:rsidRPr="00D22B9D" w:rsidRDefault="00194F29" w:rsidP="00D521EF">
            <w:pPr>
              <w:pStyle w:val="Heading4"/>
              <w:spacing w:before="120" w:after="120"/>
              <w:rPr>
                <w:b/>
                <w:sz w:val="20"/>
                <w:szCs w:val="22"/>
              </w:rPr>
            </w:pPr>
            <w:r w:rsidRPr="00D22B9D">
              <w:rPr>
                <w:b/>
                <w:color w:val="auto"/>
                <w:sz w:val="20"/>
                <w:szCs w:val="22"/>
              </w:rPr>
              <w:t>The case for national licensing</w:t>
            </w:r>
          </w:p>
          <w:p w14:paraId="36CAEBC4" w14:textId="7613B8B3" w:rsidR="00194F29" w:rsidRDefault="00194F29" w:rsidP="00E15E74">
            <w:pPr>
              <w:rPr>
                <w:rFonts w:cs="Calibri Light"/>
              </w:rPr>
            </w:pPr>
            <w:r w:rsidRPr="00E43164">
              <w:rPr>
                <w:rFonts w:cs="Calibri Light"/>
              </w:rPr>
              <w:t>The PC f</w:t>
            </w:r>
            <w:r w:rsidR="001D310A">
              <w:rPr>
                <w:rFonts w:cs="Calibri Light"/>
              </w:rPr>
              <w:t>ound</w:t>
            </w:r>
            <w:r w:rsidRPr="00E43164">
              <w:rPr>
                <w:rFonts w:cs="Calibri Light"/>
              </w:rPr>
              <w:t xml:space="preserve"> that the fractured nature of occupational licensing across state</w:t>
            </w:r>
            <w:r w:rsidR="001D310A">
              <w:rPr>
                <w:rFonts w:cs="Calibri Light"/>
              </w:rPr>
              <w:t>s</w:t>
            </w:r>
            <w:r w:rsidRPr="00E43164">
              <w:rPr>
                <w:rFonts w:cs="Calibri Light"/>
              </w:rPr>
              <w:t xml:space="preserve"> and territories creates anti-competitive barriers to interstate labour mobility, which reduces productivity. In Australia, the PC </w:t>
            </w:r>
            <w:r w:rsidR="00B15DB7">
              <w:rPr>
                <w:rFonts w:cs="Calibri Light"/>
              </w:rPr>
              <w:t xml:space="preserve">previously </w:t>
            </w:r>
            <w:r w:rsidRPr="00E43164">
              <w:rPr>
                <w:rFonts w:cs="Calibri Light"/>
              </w:rPr>
              <w:t>estimate</w:t>
            </w:r>
            <w:r w:rsidR="006F0D32">
              <w:rPr>
                <w:rFonts w:cs="Calibri Light"/>
              </w:rPr>
              <w:t>d</w:t>
            </w:r>
            <w:r w:rsidRPr="00E43164">
              <w:rPr>
                <w:rFonts w:cs="Calibri Light"/>
              </w:rPr>
              <w:t xml:space="preserve"> that the existence of interstate border</w:t>
            </w:r>
            <w:r w:rsidR="00B15DB7">
              <w:rPr>
                <w:rFonts w:cs="Calibri Light"/>
              </w:rPr>
              <w:t>s</w:t>
            </w:r>
            <w:r w:rsidRPr="00E43164">
              <w:rPr>
                <w:rFonts w:cs="Calibri Light"/>
              </w:rPr>
              <w:t xml:space="preserve"> reduces labour mobility by 77%. </w:t>
            </w:r>
          </w:p>
          <w:p w14:paraId="3CA9E803" w14:textId="78F1003C" w:rsidR="00637DEC" w:rsidRPr="00D521EF" w:rsidRDefault="004A0E8A" w:rsidP="00E15E74">
            <w:pPr>
              <w:rPr>
                <w:rFonts w:cs="Calibri Light"/>
              </w:rPr>
            </w:pPr>
            <w:r>
              <w:rPr>
                <w:rFonts w:cs="Calibri Light"/>
              </w:rPr>
              <w:t>The PC suggested that, since AMR</w:t>
            </w:r>
            <w:r w:rsidR="00637DEC" w:rsidRPr="00FE4DB4">
              <w:rPr>
                <w:rFonts w:cs="Calibri Light"/>
              </w:rPr>
              <w:t xml:space="preserve"> retains existing state-based licensing requirements</w:t>
            </w:r>
            <w:r>
              <w:rPr>
                <w:rFonts w:cs="Calibri Light"/>
              </w:rPr>
              <w:t>,</w:t>
            </w:r>
            <w:r w:rsidR="00637DEC" w:rsidRPr="00FE4DB4">
              <w:rPr>
                <w:rFonts w:cs="Calibri Light"/>
              </w:rPr>
              <w:t xml:space="preserve"> </w:t>
            </w:r>
            <w:r>
              <w:rPr>
                <w:rFonts w:cs="Calibri Light"/>
              </w:rPr>
              <w:t>it</w:t>
            </w:r>
            <w:r w:rsidR="00637DEC" w:rsidRPr="00FE4DB4">
              <w:rPr>
                <w:rFonts w:cs="Calibri Light"/>
              </w:rPr>
              <w:t xml:space="preserve"> can be quickly implemented for many occupations, although inconsistent application has hindered improvements to interstate labour mobility. </w:t>
            </w:r>
          </w:p>
          <w:p w14:paraId="1B3E38C6" w14:textId="473CA83A" w:rsidR="00194F29" w:rsidRDefault="00194F29" w:rsidP="00A562CB">
            <w:r w:rsidRPr="00D521EF">
              <w:rPr>
                <w:rFonts w:cs="Calibri Light"/>
              </w:rPr>
              <w:t xml:space="preserve">The PC </w:t>
            </w:r>
            <w:r w:rsidR="004C0BB3">
              <w:rPr>
                <w:rFonts w:cs="Calibri Light"/>
              </w:rPr>
              <w:t>suggested that</w:t>
            </w:r>
            <w:r w:rsidRPr="00D521EF">
              <w:rPr>
                <w:rFonts w:cs="Calibri Light"/>
              </w:rPr>
              <w:t xml:space="preserve"> national licensing </w:t>
            </w:r>
            <w:r w:rsidR="00681322">
              <w:rPr>
                <w:rFonts w:cs="Calibri Light"/>
              </w:rPr>
              <w:t>may be</w:t>
            </w:r>
            <w:r w:rsidRPr="00D521EF">
              <w:rPr>
                <w:rFonts w:cs="Calibri Light"/>
              </w:rPr>
              <w:t xml:space="preserve"> best suited to occupations, like electrical trades, </w:t>
            </w:r>
            <w:r w:rsidR="0003682C">
              <w:rPr>
                <w:rFonts w:cs="Calibri Light"/>
              </w:rPr>
              <w:t>that</w:t>
            </w:r>
            <w:r w:rsidRPr="00D521EF">
              <w:rPr>
                <w:rFonts w:cs="Calibri Light"/>
              </w:rPr>
              <w:t xml:space="preserve"> are high risk and provide credence services: that is, services that are difficult for consumers to ascertain the quality of without expertise. </w:t>
            </w:r>
            <w:r w:rsidR="004C0BB3">
              <w:rPr>
                <w:rFonts w:cs="Calibri Light"/>
              </w:rPr>
              <w:t>L</w:t>
            </w:r>
            <w:r w:rsidRPr="00D521EF">
              <w:rPr>
                <w:rFonts w:cs="Calibri Light"/>
              </w:rPr>
              <w:t>icensing i</w:t>
            </w:r>
            <w:r w:rsidR="008D69EA">
              <w:rPr>
                <w:rFonts w:cs="Calibri Light"/>
              </w:rPr>
              <w:t>s therefore</w:t>
            </w:r>
            <w:r w:rsidRPr="00D521EF">
              <w:rPr>
                <w:rFonts w:cs="Calibri Light"/>
              </w:rPr>
              <w:t xml:space="preserve"> important not just</w:t>
            </w:r>
            <w:r w:rsidR="004C0BB3">
              <w:rPr>
                <w:rFonts w:cs="Calibri Light"/>
              </w:rPr>
              <w:t xml:space="preserve"> for</w:t>
            </w:r>
            <w:r w:rsidRPr="00D521EF">
              <w:rPr>
                <w:rFonts w:cs="Calibri Light"/>
              </w:rPr>
              <w:t xml:space="preserve"> safety reasons, but also as a signal of quality for consumers.</w:t>
            </w:r>
          </w:p>
        </w:tc>
      </w:tr>
    </w:tbl>
    <w:p w14:paraId="17B0EB8B" w14:textId="366DD098" w:rsidR="00A519D0" w:rsidRDefault="00A519D0" w:rsidP="00A519D0">
      <w:pPr>
        <w:pStyle w:val="Heading2"/>
      </w:pPr>
      <w:bookmarkStart w:id="41" w:name="_Toc207008656"/>
      <w:r>
        <w:t>Comparison of jurisdictions</w:t>
      </w:r>
      <w:bookmarkEnd w:id="40"/>
      <w:bookmarkEnd w:id="41"/>
    </w:p>
    <w:p w14:paraId="7948E937" w14:textId="77777777" w:rsidR="00A519D0" w:rsidRDefault="00A519D0" w:rsidP="00A519D0">
      <w:pPr>
        <w:pStyle w:val="Heading3"/>
      </w:pPr>
      <w:bookmarkStart w:id="42" w:name="_Toc199402819"/>
      <w:bookmarkStart w:id="43" w:name="_Toc207008657"/>
      <w:r w:rsidRPr="7B12D0B9">
        <w:t>Extent of AMR and MR adopted by jurisdictions</w:t>
      </w:r>
      <w:bookmarkEnd w:id="42"/>
      <w:bookmarkEnd w:id="43"/>
    </w:p>
    <w:p w14:paraId="7D27EC3F" w14:textId="4C019984" w:rsidR="00A519D0" w:rsidRDefault="005E7DF5" w:rsidP="00A519D0">
      <w:r>
        <w:t xml:space="preserve">Electrical tradespeople, including electricians, are employed in large numbers across all jurisdictions. </w:t>
      </w:r>
      <w:r w:rsidR="00A519D0" w:rsidRPr="00AD3913">
        <w:t>A</w:t>
      </w:r>
      <w:r w:rsidR="00A519D0">
        <w:t xml:space="preserve">ccording to </w:t>
      </w:r>
      <w:r w:rsidR="00DD49A3">
        <w:t>JSA</w:t>
      </w:r>
      <w:r w:rsidR="00A519D0">
        <w:t xml:space="preserve">, the largest </w:t>
      </w:r>
      <w:r w:rsidR="00DA7B48">
        <w:t xml:space="preserve">number </w:t>
      </w:r>
      <w:r w:rsidR="00A519D0">
        <w:t xml:space="preserve">of electricians </w:t>
      </w:r>
      <w:r w:rsidR="001B34BA">
        <w:t xml:space="preserve">are employed </w:t>
      </w:r>
      <w:r w:rsidR="00A519D0">
        <w:t xml:space="preserve">in New South Wales, Victoria and </w:t>
      </w:r>
      <w:r w:rsidR="00A519D0">
        <w:lastRenderedPageBreak/>
        <w:t xml:space="preserve">Queensland, with Western Australia and the Northern Territory possessing the largest </w:t>
      </w:r>
      <w:r w:rsidR="00FF4733">
        <w:t xml:space="preserve">number </w:t>
      </w:r>
      <w:r w:rsidR="00A519D0">
        <w:t>of electricians per capita (</w:t>
      </w:r>
      <w:r w:rsidR="002E0F95">
        <w:t>T</w:t>
      </w:r>
      <w:r w:rsidR="00A519D0">
        <w:t>able 1).</w:t>
      </w:r>
      <w:r w:rsidR="00A519D0" w:rsidRPr="00D867B0">
        <w:rPr>
          <w:rStyle w:val="FootnoteReference"/>
          <w:sz w:val="22"/>
          <w:szCs w:val="22"/>
          <w:vertAlign w:val="superscript"/>
        </w:rPr>
        <w:footnoteReference w:id="36"/>
      </w:r>
      <w:r w:rsidR="00A519D0">
        <w:t xml:space="preserve"> </w:t>
      </w:r>
    </w:p>
    <w:p w14:paraId="7F9F2418" w14:textId="77777777" w:rsidR="00A519D0" w:rsidRPr="00F36BE5" w:rsidRDefault="00A519D0" w:rsidP="0066321E">
      <w:pPr>
        <w:pStyle w:val="TableMainHeading"/>
      </w:pPr>
      <w:bookmarkStart w:id="44" w:name="_Toc207008658"/>
      <w:r w:rsidRPr="00F36BE5">
        <w:rPr>
          <w:b/>
          <w:bCs/>
        </w:rPr>
        <w:t>Table 1</w:t>
      </w:r>
      <w:r w:rsidRPr="00F36BE5">
        <w:t>: Electricians by jurisdiction</w:t>
      </w:r>
      <w:bookmarkEnd w:id="44"/>
    </w:p>
    <w:tbl>
      <w:tblPr>
        <w:tblStyle w:val="TableGrid"/>
        <w:tblW w:w="5000" w:type="pct"/>
        <w:tblLayout w:type="fixed"/>
        <w:tblLook w:val="04A0" w:firstRow="1" w:lastRow="0" w:firstColumn="1" w:lastColumn="0" w:noHBand="0" w:noVBand="1"/>
      </w:tblPr>
      <w:tblGrid>
        <w:gridCol w:w="1564"/>
        <w:gridCol w:w="938"/>
        <w:gridCol w:w="939"/>
        <w:gridCol w:w="938"/>
        <w:gridCol w:w="939"/>
        <w:gridCol w:w="938"/>
        <w:gridCol w:w="939"/>
        <w:gridCol w:w="938"/>
        <w:gridCol w:w="939"/>
      </w:tblGrid>
      <w:tr w:rsidR="00C645E2" w14:paraId="58FE6851" w14:textId="77777777" w:rsidTr="002704A1">
        <w:trPr>
          <w:cnfStyle w:val="100000000000" w:firstRow="1" w:lastRow="0" w:firstColumn="0" w:lastColumn="0" w:oddVBand="0" w:evenVBand="0" w:oddHBand="0" w:evenHBand="0" w:firstRowFirstColumn="0" w:firstRowLastColumn="0" w:lastRowFirstColumn="0" w:lastRowLastColumn="0"/>
        </w:trPr>
        <w:tc>
          <w:tcPr>
            <w:tcW w:w="1564" w:type="dxa"/>
          </w:tcPr>
          <w:p w14:paraId="1738ACA0" w14:textId="6A29B4EB" w:rsidR="00A519D0" w:rsidRPr="00DC3C46" w:rsidRDefault="00A519D0" w:rsidP="009A1565">
            <w:pPr>
              <w:keepNext/>
              <w:keepLines/>
              <w:spacing w:before="96" w:after="96"/>
            </w:pPr>
            <w:r w:rsidRPr="00DC3C46">
              <w:t>Jurisdiction</w:t>
            </w:r>
          </w:p>
        </w:tc>
        <w:tc>
          <w:tcPr>
            <w:tcW w:w="938" w:type="dxa"/>
          </w:tcPr>
          <w:p w14:paraId="74432BFF" w14:textId="77777777" w:rsidR="00A519D0" w:rsidRPr="00DC3C46" w:rsidRDefault="00A519D0" w:rsidP="009A1565">
            <w:pPr>
              <w:keepNext/>
              <w:keepLines/>
              <w:spacing w:before="96" w:after="96"/>
            </w:pPr>
            <w:r w:rsidRPr="00DC3C46">
              <w:t>NSW</w:t>
            </w:r>
          </w:p>
        </w:tc>
        <w:tc>
          <w:tcPr>
            <w:tcW w:w="939" w:type="dxa"/>
          </w:tcPr>
          <w:p w14:paraId="4FFBC67A" w14:textId="77777777" w:rsidR="00A519D0" w:rsidRPr="00DC3C46" w:rsidRDefault="00A519D0" w:rsidP="009A1565">
            <w:pPr>
              <w:keepNext/>
              <w:keepLines/>
              <w:spacing w:before="96" w:after="96"/>
            </w:pPr>
            <w:r w:rsidRPr="00DC3C46">
              <w:t>VIC</w:t>
            </w:r>
          </w:p>
        </w:tc>
        <w:tc>
          <w:tcPr>
            <w:tcW w:w="938" w:type="dxa"/>
          </w:tcPr>
          <w:p w14:paraId="08FA2571" w14:textId="77777777" w:rsidR="00A519D0" w:rsidRPr="00DC3C46" w:rsidRDefault="00A519D0" w:rsidP="009A1565">
            <w:pPr>
              <w:keepNext/>
              <w:keepLines/>
              <w:spacing w:before="96" w:after="96"/>
            </w:pPr>
            <w:r w:rsidRPr="00DC3C46">
              <w:t>QLD</w:t>
            </w:r>
          </w:p>
        </w:tc>
        <w:tc>
          <w:tcPr>
            <w:tcW w:w="939" w:type="dxa"/>
          </w:tcPr>
          <w:p w14:paraId="7F7B21D6" w14:textId="05E6883C" w:rsidR="00A519D0" w:rsidRPr="00DC3C46" w:rsidRDefault="00A519D0" w:rsidP="009A1565">
            <w:pPr>
              <w:keepNext/>
              <w:keepLines/>
              <w:spacing w:before="96" w:after="96"/>
            </w:pPr>
            <w:r w:rsidRPr="00DC3C46">
              <w:t>SA</w:t>
            </w:r>
          </w:p>
        </w:tc>
        <w:tc>
          <w:tcPr>
            <w:tcW w:w="938" w:type="dxa"/>
          </w:tcPr>
          <w:p w14:paraId="31CDFB04" w14:textId="77777777" w:rsidR="00A519D0" w:rsidRPr="00DC3C46" w:rsidRDefault="00A519D0" w:rsidP="009A1565">
            <w:pPr>
              <w:keepNext/>
              <w:keepLines/>
              <w:spacing w:before="96" w:after="96"/>
            </w:pPr>
            <w:r w:rsidRPr="00DC3C46">
              <w:t>WA</w:t>
            </w:r>
          </w:p>
        </w:tc>
        <w:tc>
          <w:tcPr>
            <w:tcW w:w="939" w:type="dxa"/>
          </w:tcPr>
          <w:p w14:paraId="46238E10" w14:textId="77777777" w:rsidR="00A519D0" w:rsidRPr="00DC3C46" w:rsidRDefault="00A519D0" w:rsidP="009A1565">
            <w:pPr>
              <w:keepNext/>
              <w:keepLines/>
              <w:spacing w:before="96" w:after="96"/>
            </w:pPr>
            <w:r w:rsidRPr="00DC3C46">
              <w:t>TAS</w:t>
            </w:r>
          </w:p>
        </w:tc>
        <w:tc>
          <w:tcPr>
            <w:tcW w:w="938" w:type="dxa"/>
          </w:tcPr>
          <w:p w14:paraId="5D0DCBD6" w14:textId="77777777" w:rsidR="00A519D0" w:rsidRPr="00DC3C46" w:rsidRDefault="00A519D0" w:rsidP="009A1565">
            <w:pPr>
              <w:keepNext/>
              <w:keepLines/>
              <w:spacing w:before="96" w:after="96"/>
            </w:pPr>
            <w:r w:rsidRPr="00DC3C46">
              <w:t>NT</w:t>
            </w:r>
          </w:p>
        </w:tc>
        <w:tc>
          <w:tcPr>
            <w:tcW w:w="939" w:type="dxa"/>
          </w:tcPr>
          <w:p w14:paraId="7551AA47" w14:textId="77777777" w:rsidR="00A519D0" w:rsidRPr="00DC3C46" w:rsidRDefault="00A519D0" w:rsidP="009A1565">
            <w:pPr>
              <w:keepNext/>
              <w:keepLines/>
              <w:spacing w:before="96" w:after="96"/>
            </w:pPr>
            <w:r w:rsidRPr="00DC3C46">
              <w:t>ACT</w:t>
            </w:r>
          </w:p>
        </w:tc>
      </w:tr>
      <w:tr w:rsidR="008E5F57" w14:paraId="35849E00" w14:textId="77777777" w:rsidTr="002704A1">
        <w:tc>
          <w:tcPr>
            <w:tcW w:w="1564" w:type="dxa"/>
          </w:tcPr>
          <w:p w14:paraId="32F4D573" w14:textId="2D539295" w:rsidR="008E5F57" w:rsidRPr="0084004C" w:rsidRDefault="008E5F57" w:rsidP="008E5F57">
            <w:pPr>
              <w:keepNext/>
              <w:keepLines/>
              <w:rPr>
                <w:b/>
                <w:bCs/>
              </w:rPr>
            </w:pPr>
            <w:r w:rsidRPr="0084004C">
              <w:rPr>
                <w:b/>
                <w:bCs/>
              </w:rPr>
              <w:t>Electricians</w:t>
            </w:r>
            <w:r w:rsidR="005316FB" w:rsidRPr="003459FA">
              <w:rPr>
                <w:rStyle w:val="FootnoteReference"/>
                <w:b/>
                <w:vertAlign w:val="superscript"/>
              </w:rPr>
              <w:footnoteReference w:id="37"/>
            </w:r>
          </w:p>
        </w:tc>
        <w:tc>
          <w:tcPr>
            <w:tcW w:w="938" w:type="dxa"/>
          </w:tcPr>
          <w:p w14:paraId="75AD7770" w14:textId="5AA4F715" w:rsidR="008E5F57" w:rsidRPr="00410C87" w:rsidRDefault="008E5F57" w:rsidP="008E5F57">
            <w:pPr>
              <w:keepNext/>
              <w:keepLines/>
              <w:rPr>
                <w:rFonts w:ascii="Aptos Narrow" w:hAnsi="Aptos Narrow"/>
                <w:color w:val="000000"/>
              </w:rPr>
            </w:pPr>
            <w:r w:rsidRPr="00774490">
              <w:rPr>
                <w:rFonts w:ascii="Aptos Narrow" w:hAnsi="Aptos Narrow"/>
                <w:color w:val="000000"/>
              </w:rPr>
              <w:t xml:space="preserve"> </w:t>
            </w:r>
            <w:r w:rsidR="00347CDA">
              <w:rPr>
                <w:rFonts w:ascii="Aptos Narrow" w:hAnsi="Aptos Narrow"/>
                <w:color w:val="000000"/>
              </w:rPr>
              <w:t>57</w:t>
            </w:r>
            <w:r w:rsidR="003C36B6">
              <w:rPr>
                <w:rFonts w:ascii="Aptos Narrow" w:hAnsi="Aptos Narrow"/>
                <w:color w:val="000000"/>
              </w:rPr>
              <w:t>,</w:t>
            </w:r>
            <w:r w:rsidR="00347CDA">
              <w:rPr>
                <w:rFonts w:ascii="Aptos Narrow" w:hAnsi="Aptos Narrow"/>
                <w:color w:val="000000"/>
              </w:rPr>
              <w:t>120</w:t>
            </w:r>
            <w:r w:rsidRPr="00774490">
              <w:rPr>
                <w:rFonts w:ascii="Aptos Narrow" w:hAnsi="Aptos Narrow"/>
                <w:color w:val="000000"/>
              </w:rPr>
              <w:t xml:space="preserve"> </w:t>
            </w:r>
          </w:p>
        </w:tc>
        <w:tc>
          <w:tcPr>
            <w:tcW w:w="939" w:type="dxa"/>
          </w:tcPr>
          <w:p w14:paraId="1ACBFBA6" w14:textId="7DF38083" w:rsidR="008E5F57" w:rsidRPr="00410C87" w:rsidRDefault="00034872" w:rsidP="008E5F57">
            <w:pPr>
              <w:keepNext/>
              <w:keepLines/>
              <w:rPr>
                <w:rFonts w:ascii="Aptos Narrow" w:hAnsi="Aptos Narrow"/>
                <w:color w:val="000000"/>
              </w:rPr>
            </w:pPr>
            <w:r>
              <w:rPr>
                <w:rFonts w:ascii="Aptos Narrow" w:hAnsi="Aptos Narrow"/>
                <w:color w:val="000000"/>
              </w:rPr>
              <w:t>41</w:t>
            </w:r>
            <w:r w:rsidR="003C36B6">
              <w:rPr>
                <w:rFonts w:ascii="Aptos Narrow" w:hAnsi="Aptos Narrow"/>
                <w:color w:val="000000"/>
              </w:rPr>
              <w:t>,</w:t>
            </w:r>
            <w:r>
              <w:rPr>
                <w:rFonts w:ascii="Aptos Narrow" w:hAnsi="Aptos Narrow"/>
                <w:color w:val="000000"/>
              </w:rPr>
              <w:t>452</w:t>
            </w:r>
            <w:r w:rsidR="008E5F57" w:rsidRPr="00774490">
              <w:rPr>
                <w:rFonts w:ascii="Aptos Narrow" w:hAnsi="Aptos Narrow"/>
                <w:color w:val="000000"/>
              </w:rPr>
              <w:t xml:space="preserve"> </w:t>
            </w:r>
          </w:p>
        </w:tc>
        <w:tc>
          <w:tcPr>
            <w:tcW w:w="938" w:type="dxa"/>
          </w:tcPr>
          <w:p w14:paraId="1E81E1CE" w14:textId="754FD59C" w:rsidR="008E5F57" w:rsidRPr="00410C87" w:rsidRDefault="00034872" w:rsidP="008E5F57">
            <w:pPr>
              <w:keepNext/>
              <w:keepLines/>
              <w:rPr>
                <w:rFonts w:ascii="Aptos Narrow" w:hAnsi="Aptos Narrow"/>
                <w:color w:val="000000"/>
              </w:rPr>
            </w:pPr>
            <w:r>
              <w:rPr>
                <w:rFonts w:ascii="Aptos Narrow" w:hAnsi="Aptos Narrow"/>
                <w:color w:val="000000"/>
              </w:rPr>
              <w:t>46</w:t>
            </w:r>
            <w:r w:rsidR="003C36B6">
              <w:rPr>
                <w:rFonts w:ascii="Aptos Narrow" w:hAnsi="Aptos Narrow"/>
                <w:color w:val="000000"/>
              </w:rPr>
              <w:t>,</w:t>
            </w:r>
            <w:r>
              <w:rPr>
                <w:rFonts w:ascii="Aptos Narrow" w:hAnsi="Aptos Narrow"/>
                <w:color w:val="000000"/>
              </w:rPr>
              <w:t>712</w:t>
            </w:r>
            <w:r w:rsidR="008E5F57" w:rsidRPr="00774490">
              <w:rPr>
                <w:rFonts w:ascii="Aptos Narrow" w:hAnsi="Aptos Narrow"/>
                <w:color w:val="000000"/>
              </w:rPr>
              <w:t xml:space="preserve"> </w:t>
            </w:r>
          </w:p>
        </w:tc>
        <w:tc>
          <w:tcPr>
            <w:tcW w:w="939" w:type="dxa"/>
          </w:tcPr>
          <w:p w14:paraId="77C04EC9" w14:textId="7F96B826" w:rsidR="008E5F57" w:rsidRPr="00410C87" w:rsidRDefault="008E5F57" w:rsidP="008E5F57">
            <w:pPr>
              <w:keepNext/>
              <w:keepLines/>
              <w:rPr>
                <w:rFonts w:ascii="Aptos Narrow" w:hAnsi="Aptos Narrow"/>
                <w:color w:val="000000"/>
              </w:rPr>
            </w:pPr>
            <w:r w:rsidRPr="00774490">
              <w:rPr>
                <w:rFonts w:ascii="Aptos Narrow" w:hAnsi="Aptos Narrow"/>
                <w:color w:val="000000"/>
              </w:rPr>
              <w:t xml:space="preserve"> </w:t>
            </w:r>
            <w:r w:rsidR="00253E51">
              <w:rPr>
                <w:rFonts w:ascii="Aptos Narrow" w:hAnsi="Aptos Narrow"/>
                <w:color w:val="000000"/>
              </w:rPr>
              <w:t>14,376</w:t>
            </w:r>
            <w:r w:rsidRPr="00774490">
              <w:rPr>
                <w:rFonts w:ascii="Aptos Narrow" w:hAnsi="Aptos Narrow"/>
                <w:color w:val="000000"/>
              </w:rPr>
              <w:t xml:space="preserve"> </w:t>
            </w:r>
          </w:p>
        </w:tc>
        <w:tc>
          <w:tcPr>
            <w:tcW w:w="938" w:type="dxa"/>
          </w:tcPr>
          <w:p w14:paraId="279B62A4" w14:textId="0C0CF3AB" w:rsidR="008E5F57" w:rsidRPr="00410C87" w:rsidRDefault="008E5F57" w:rsidP="008E5F57">
            <w:pPr>
              <w:keepNext/>
              <w:keepLines/>
              <w:rPr>
                <w:rFonts w:ascii="Aptos Narrow" w:hAnsi="Aptos Narrow"/>
                <w:color w:val="000000"/>
              </w:rPr>
            </w:pPr>
            <w:r w:rsidRPr="00774490">
              <w:rPr>
                <w:rFonts w:ascii="Aptos Narrow" w:hAnsi="Aptos Narrow"/>
                <w:color w:val="000000"/>
              </w:rPr>
              <w:t xml:space="preserve"> </w:t>
            </w:r>
            <w:r w:rsidR="00070435">
              <w:rPr>
                <w:rFonts w:ascii="Aptos Narrow" w:hAnsi="Aptos Narrow"/>
                <w:color w:val="000000"/>
              </w:rPr>
              <w:t>30,</w:t>
            </w:r>
            <w:r w:rsidR="00846732">
              <w:rPr>
                <w:rFonts w:ascii="Aptos Narrow" w:hAnsi="Aptos Narrow"/>
                <w:color w:val="000000"/>
              </w:rPr>
              <w:t>496</w:t>
            </w:r>
            <w:r w:rsidRPr="00774490">
              <w:rPr>
                <w:rFonts w:ascii="Aptos Narrow" w:hAnsi="Aptos Narrow"/>
                <w:color w:val="000000"/>
              </w:rPr>
              <w:t xml:space="preserve"> </w:t>
            </w:r>
          </w:p>
        </w:tc>
        <w:tc>
          <w:tcPr>
            <w:tcW w:w="939" w:type="dxa"/>
          </w:tcPr>
          <w:p w14:paraId="0F23FD88" w14:textId="44CD881B" w:rsidR="008E5F57" w:rsidRPr="00410C87" w:rsidRDefault="008E5F57" w:rsidP="008E5F57">
            <w:pPr>
              <w:keepNext/>
              <w:keepLines/>
              <w:rPr>
                <w:rFonts w:ascii="Aptos Narrow" w:hAnsi="Aptos Narrow"/>
                <w:color w:val="000000"/>
              </w:rPr>
            </w:pPr>
            <w:r w:rsidRPr="00774490">
              <w:rPr>
                <w:rFonts w:ascii="Aptos Narrow" w:hAnsi="Aptos Narrow"/>
                <w:color w:val="000000"/>
              </w:rPr>
              <w:t xml:space="preserve"> </w:t>
            </w:r>
            <w:r w:rsidR="00846732">
              <w:rPr>
                <w:rFonts w:ascii="Aptos Narrow" w:hAnsi="Aptos Narrow"/>
                <w:color w:val="000000"/>
              </w:rPr>
              <w:t>2,</w:t>
            </w:r>
            <w:r w:rsidR="00953184">
              <w:rPr>
                <w:rFonts w:ascii="Aptos Narrow" w:hAnsi="Aptos Narrow"/>
                <w:color w:val="000000"/>
              </w:rPr>
              <w:t>570</w:t>
            </w:r>
            <w:r w:rsidRPr="00774490">
              <w:rPr>
                <w:rFonts w:ascii="Aptos Narrow" w:hAnsi="Aptos Narrow"/>
                <w:color w:val="000000"/>
              </w:rPr>
              <w:t xml:space="preserve"> </w:t>
            </w:r>
          </w:p>
        </w:tc>
        <w:tc>
          <w:tcPr>
            <w:tcW w:w="938" w:type="dxa"/>
          </w:tcPr>
          <w:p w14:paraId="72C1F69C" w14:textId="42FD19DD" w:rsidR="008E5F57" w:rsidRPr="00410C87" w:rsidRDefault="00D31085" w:rsidP="008E5F57">
            <w:pPr>
              <w:keepNext/>
              <w:keepLines/>
              <w:rPr>
                <w:rFonts w:ascii="Aptos Narrow" w:hAnsi="Aptos Narrow"/>
                <w:color w:val="000000"/>
              </w:rPr>
            </w:pPr>
            <w:r>
              <w:rPr>
                <w:rFonts w:ascii="Aptos Narrow" w:hAnsi="Aptos Narrow"/>
                <w:color w:val="000000"/>
              </w:rPr>
              <w:t>2,23</w:t>
            </w:r>
            <w:r w:rsidR="00315BF3">
              <w:rPr>
                <w:rFonts w:ascii="Aptos Narrow" w:hAnsi="Aptos Narrow"/>
                <w:color w:val="000000"/>
              </w:rPr>
              <w:t>8</w:t>
            </w:r>
            <w:r w:rsidR="008E5F57" w:rsidRPr="00774490">
              <w:rPr>
                <w:rFonts w:ascii="Aptos Narrow" w:hAnsi="Aptos Narrow"/>
                <w:color w:val="000000"/>
              </w:rPr>
              <w:t xml:space="preserve"> </w:t>
            </w:r>
          </w:p>
        </w:tc>
        <w:tc>
          <w:tcPr>
            <w:tcW w:w="939" w:type="dxa"/>
          </w:tcPr>
          <w:p w14:paraId="161EC552" w14:textId="3661845D" w:rsidR="008E5F57" w:rsidRPr="00410C87" w:rsidRDefault="008E5F57" w:rsidP="008E5F57">
            <w:pPr>
              <w:keepNext/>
              <w:keepLines/>
              <w:rPr>
                <w:rFonts w:ascii="Aptos Narrow" w:hAnsi="Aptos Narrow"/>
                <w:color w:val="000000"/>
              </w:rPr>
            </w:pPr>
            <w:r w:rsidRPr="00774490">
              <w:rPr>
                <w:rFonts w:ascii="Aptos Narrow" w:hAnsi="Aptos Narrow"/>
                <w:color w:val="000000"/>
              </w:rPr>
              <w:t xml:space="preserve"> </w:t>
            </w:r>
            <w:r w:rsidR="006F6FF4">
              <w:rPr>
                <w:rFonts w:ascii="Aptos Narrow" w:hAnsi="Aptos Narrow"/>
                <w:color w:val="000000"/>
              </w:rPr>
              <w:t>2,</w:t>
            </w:r>
            <w:r w:rsidR="00F05A01">
              <w:rPr>
                <w:rFonts w:ascii="Aptos Narrow" w:hAnsi="Aptos Narrow"/>
                <w:color w:val="000000"/>
              </w:rPr>
              <w:t>636</w:t>
            </w:r>
            <w:r w:rsidRPr="00774490">
              <w:rPr>
                <w:rFonts w:ascii="Aptos Narrow" w:hAnsi="Aptos Narrow"/>
                <w:color w:val="000000"/>
              </w:rPr>
              <w:t xml:space="preserve"> </w:t>
            </w:r>
          </w:p>
        </w:tc>
      </w:tr>
      <w:tr w:rsidR="003447F2" w14:paraId="5F8B3404" w14:textId="77777777" w:rsidTr="002704A1">
        <w:tc>
          <w:tcPr>
            <w:tcW w:w="1564" w:type="dxa"/>
            <w:tcBorders>
              <w:bottom w:val="single" w:sz="4" w:space="0" w:color="auto"/>
            </w:tcBorders>
          </w:tcPr>
          <w:p w14:paraId="3BAE3D38" w14:textId="6C4F2357" w:rsidR="003447F2" w:rsidRPr="0084004C" w:rsidRDefault="003447F2" w:rsidP="003447F2">
            <w:pPr>
              <w:keepNext/>
              <w:keepLines/>
              <w:rPr>
                <w:b/>
                <w:bCs/>
              </w:rPr>
            </w:pPr>
            <w:r>
              <w:rPr>
                <w:b/>
                <w:bCs/>
              </w:rPr>
              <w:t>Electricians per million people</w:t>
            </w:r>
            <w:r w:rsidRPr="003459FA">
              <w:rPr>
                <w:rStyle w:val="FootnoteReference"/>
                <w:b/>
                <w:bCs/>
                <w:vertAlign w:val="superscript"/>
              </w:rPr>
              <w:footnoteReference w:id="38"/>
            </w:r>
          </w:p>
        </w:tc>
        <w:tc>
          <w:tcPr>
            <w:tcW w:w="938" w:type="dxa"/>
            <w:tcBorders>
              <w:bottom w:val="single" w:sz="4" w:space="0" w:color="auto"/>
            </w:tcBorders>
          </w:tcPr>
          <w:p w14:paraId="266F514E" w14:textId="727CCFA2" w:rsidR="003447F2" w:rsidRDefault="003447F2" w:rsidP="003447F2">
            <w:pPr>
              <w:keepNext/>
              <w:keepLines/>
              <w:rPr>
                <w:rFonts w:ascii="Aptos Narrow" w:hAnsi="Aptos Narrow"/>
                <w:color w:val="000000"/>
              </w:rPr>
            </w:pPr>
            <w:r w:rsidRPr="003459FA">
              <w:rPr>
                <w:rFonts w:ascii="Aptos Narrow" w:hAnsi="Aptos Narrow"/>
                <w:color w:val="000000"/>
              </w:rPr>
              <w:t xml:space="preserve"> 6,685 </w:t>
            </w:r>
          </w:p>
        </w:tc>
        <w:tc>
          <w:tcPr>
            <w:tcW w:w="939" w:type="dxa"/>
            <w:tcBorders>
              <w:bottom w:val="single" w:sz="4" w:space="0" w:color="auto"/>
            </w:tcBorders>
          </w:tcPr>
          <w:p w14:paraId="178EED83" w14:textId="6C59E7F4" w:rsidR="003447F2" w:rsidRDefault="003447F2" w:rsidP="003447F2">
            <w:pPr>
              <w:keepNext/>
              <w:keepLines/>
              <w:rPr>
                <w:rFonts w:ascii="Aptos Narrow" w:hAnsi="Aptos Narrow"/>
                <w:color w:val="000000"/>
              </w:rPr>
            </w:pPr>
            <w:r w:rsidRPr="003459FA">
              <w:rPr>
                <w:rFonts w:ascii="Aptos Narrow" w:hAnsi="Aptos Narrow"/>
                <w:color w:val="000000"/>
              </w:rPr>
              <w:t xml:space="preserve"> 5,912 </w:t>
            </w:r>
          </w:p>
        </w:tc>
        <w:tc>
          <w:tcPr>
            <w:tcW w:w="938" w:type="dxa"/>
            <w:tcBorders>
              <w:bottom w:val="single" w:sz="4" w:space="0" w:color="auto"/>
            </w:tcBorders>
          </w:tcPr>
          <w:p w14:paraId="613A7BB3" w14:textId="7FF6C7D4" w:rsidR="003447F2" w:rsidRDefault="003447F2" w:rsidP="003447F2">
            <w:pPr>
              <w:keepNext/>
              <w:keepLines/>
              <w:rPr>
                <w:rFonts w:ascii="Aptos Narrow" w:hAnsi="Aptos Narrow"/>
                <w:color w:val="000000"/>
              </w:rPr>
            </w:pPr>
            <w:r w:rsidRPr="003459FA">
              <w:rPr>
                <w:rFonts w:ascii="Aptos Narrow" w:hAnsi="Aptos Narrow"/>
                <w:color w:val="000000"/>
              </w:rPr>
              <w:t xml:space="preserve"> 8,314 </w:t>
            </w:r>
          </w:p>
        </w:tc>
        <w:tc>
          <w:tcPr>
            <w:tcW w:w="939" w:type="dxa"/>
            <w:tcBorders>
              <w:bottom w:val="single" w:sz="4" w:space="0" w:color="auto"/>
            </w:tcBorders>
          </w:tcPr>
          <w:p w14:paraId="1BA87C50" w14:textId="79FD94C2" w:rsidR="003447F2" w:rsidRDefault="003447F2" w:rsidP="003447F2">
            <w:pPr>
              <w:keepNext/>
              <w:keepLines/>
              <w:rPr>
                <w:rFonts w:ascii="Aptos Narrow" w:hAnsi="Aptos Narrow"/>
                <w:color w:val="000000"/>
              </w:rPr>
            </w:pPr>
            <w:r w:rsidRPr="003459FA">
              <w:rPr>
                <w:rFonts w:ascii="Aptos Narrow" w:hAnsi="Aptos Narrow"/>
                <w:color w:val="000000"/>
              </w:rPr>
              <w:t xml:space="preserve"> 7,600 </w:t>
            </w:r>
          </w:p>
        </w:tc>
        <w:tc>
          <w:tcPr>
            <w:tcW w:w="938" w:type="dxa"/>
            <w:tcBorders>
              <w:bottom w:val="single" w:sz="4" w:space="0" w:color="auto"/>
            </w:tcBorders>
          </w:tcPr>
          <w:p w14:paraId="29B5CD53" w14:textId="12624A8A" w:rsidR="003447F2" w:rsidRDefault="003447F2" w:rsidP="003447F2">
            <w:pPr>
              <w:keepNext/>
              <w:keepLines/>
              <w:rPr>
                <w:rFonts w:ascii="Aptos Narrow" w:hAnsi="Aptos Narrow"/>
                <w:color w:val="000000"/>
              </w:rPr>
            </w:pPr>
            <w:r w:rsidRPr="003459FA">
              <w:rPr>
                <w:rFonts w:ascii="Aptos Narrow" w:hAnsi="Aptos Narrow"/>
                <w:color w:val="000000"/>
              </w:rPr>
              <w:t xml:space="preserve"> 10,136 </w:t>
            </w:r>
          </w:p>
        </w:tc>
        <w:tc>
          <w:tcPr>
            <w:tcW w:w="939" w:type="dxa"/>
            <w:tcBorders>
              <w:bottom w:val="single" w:sz="4" w:space="0" w:color="auto"/>
            </w:tcBorders>
          </w:tcPr>
          <w:p w14:paraId="3E92AED6" w14:textId="3A68BB2E" w:rsidR="003447F2" w:rsidRDefault="003447F2" w:rsidP="003447F2">
            <w:pPr>
              <w:keepNext/>
              <w:keepLines/>
              <w:rPr>
                <w:rFonts w:ascii="Aptos Narrow" w:hAnsi="Aptos Narrow"/>
                <w:color w:val="000000"/>
              </w:rPr>
            </w:pPr>
            <w:r w:rsidRPr="003459FA">
              <w:rPr>
                <w:rFonts w:ascii="Aptos Narrow" w:hAnsi="Aptos Narrow"/>
                <w:color w:val="000000"/>
              </w:rPr>
              <w:t xml:space="preserve"> 4,463 </w:t>
            </w:r>
          </w:p>
        </w:tc>
        <w:tc>
          <w:tcPr>
            <w:tcW w:w="938" w:type="dxa"/>
            <w:tcBorders>
              <w:bottom w:val="single" w:sz="4" w:space="0" w:color="auto"/>
            </w:tcBorders>
          </w:tcPr>
          <w:p w14:paraId="1C4A1EBD" w14:textId="77712CD0" w:rsidR="003447F2" w:rsidRDefault="003447F2" w:rsidP="003447F2">
            <w:pPr>
              <w:keepNext/>
              <w:keepLines/>
              <w:rPr>
                <w:rFonts w:ascii="Aptos Narrow" w:hAnsi="Aptos Narrow"/>
                <w:color w:val="000000"/>
              </w:rPr>
            </w:pPr>
            <w:r w:rsidRPr="003459FA">
              <w:rPr>
                <w:rFonts w:ascii="Aptos Narrow" w:hAnsi="Aptos Narrow"/>
                <w:color w:val="000000"/>
              </w:rPr>
              <w:t xml:space="preserve"> 8,534 </w:t>
            </w:r>
          </w:p>
        </w:tc>
        <w:tc>
          <w:tcPr>
            <w:tcW w:w="939" w:type="dxa"/>
            <w:tcBorders>
              <w:bottom w:val="single" w:sz="4" w:space="0" w:color="auto"/>
            </w:tcBorders>
          </w:tcPr>
          <w:p w14:paraId="6289E7B7" w14:textId="46935780" w:rsidR="003447F2" w:rsidRDefault="003447F2" w:rsidP="003447F2">
            <w:pPr>
              <w:keepNext/>
              <w:keepLines/>
              <w:rPr>
                <w:rFonts w:ascii="Aptos Narrow" w:hAnsi="Aptos Narrow"/>
                <w:color w:val="000000"/>
              </w:rPr>
            </w:pPr>
            <w:r w:rsidRPr="003459FA">
              <w:rPr>
                <w:rFonts w:ascii="Aptos Narrow" w:hAnsi="Aptos Narrow"/>
                <w:color w:val="000000"/>
              </w:rPr>
              <w:t xml:space="preserve"> 5,473 </w:t>
            </w:r>
          </w:p>
        </w:tc>
      </w:tr>
    </w:tbl>
    <w:p w14:paraId="7A5763CD" w14:textId="6D35D14E" w:rsidR="00A519D0" w:rsidRPr="006F23F2" w:rsidRDefault="00A519D0" w:rsidP="00A519D0">
      <w:r>
        <w:t>Around 12 per cent of new occupational registrations were made under mutual recognition in 2019, compared to 5 per cent in 2014. This implies at least 18,285 individuals applied for mutual recognition in 2019.</w:t>
      </w:r>
      <w:r w:rsidRPr="00D867B0">
        <w:rPr>
          <w:rStyle w:val="FootnoteReference"/>
          <w:sz w:val="22"/>
          <w:szCs w:val="22"/>
          <w:vertAlign w:val="superscript"/>
        </w:rPr>
        <w:footnoteReference w:id="39"/>
      </w:r>
      <w:r>
        <w:t xml:space="preserve"> When AMR was established in 2021, </w:t>
      </w:r>
      <w:r w:rsidR="00A418C1">
        <w:t xml:space="preserve">it was </w:t>
      </w:r>
      <w:r>
        <w:t>estimated the scheme would benefit over 168,000 workers each year across all occupations.</w:t>
      </w:r>
      <w:r w:rsidRPr="00D867B0">
        <w:rPr>
          <w:rStyle w:val="FootnoteReference"/>
          <w:sz w:val="22"/>
          <w:szCs w:val="22"/>
          <w:vertAlign w:val="superscript"/>
        </w:rPr>
        <w:footnoteReference w:id="40"/>
      </w:r>
    </w:p>
    <w:p w14:paraId="059CB453" w14:textId="7B9703E8" w:rsidR="00A519D0" w:rsidRPr="00546ECA" w:rsidRDefault="00A519D0" w:rsidP="00A519D0">
      <w:r>
        <w:t>All jurisdictions have fully adopted and participate in the (manual) mutual recognition scheme with respect to electrical licences. However, the extent of adoption of AMR and the East Coast Electrician’s Scheme (ECE) varies across states and territories. Details regarding the recognition of interstate electrical licences and exemptions to AMR are summarised below (</w:t>
      </w:r>
      <w:r w:rsidR="002E0F95">
        <w:t>T</w:t>
      </w:r>
      <w:r>
        <w:t>able 2).</w:t>
      </w:r>
    </w:p>
    <w:p w14:paraId="5BFA8E0C" w14:textId="77777777" w:rsidR="00EB6279" w:rsidRDefault="00EB6279" w:rsidP="00EB6279">
      <w:pPr>
        <w:spacing w:before="0" w:after="160" w:line="259" w:lineRule="auto"/>
      </w:pPr>
      <w:r>
        <w:t>The AMR scheme also includes safeguards that exclude certain individuals from AMR regardless of their jurisdiction or occupation (consistent with manual mutual recognition).</w:t>
      </w:r>
      <w:r w:rsidRPr="00D867B0">
        <w:rPr>
          <w:rStyle w:val="FootnoteReference"/>
          <w:sz w:val="22"/>
          <w:szCs w:val="22"/>
          <w:vertAlign w:val="superscript"/>
        </w:rPr>
        <w:footnoteReference w:id="41"/>
      </w:r>
      <w:r>
        <w:t xml:space="preserve"> This includes workers:</w:t>
      </w:r>
    </w:p>
    <w:p w14:paraId="36283934" w14:textId="77777777" w:rsidR="00EB6279" w:rsidRPr="00AC2B08" w:rsidRDefault="00EB6279" w:rsidP="00EB6279">
      <w:pPr>
        <w:pStyle w:val="ListParagraph"/>
        <w:numPr>
          <w:ilvl w:val="0"/>
          <w:numId w:val="30"/>
        </w:numPr>
        <w:spacing w:before="0" w:after="160" w:line="259" w:lineRule="auto"/>
        <w:rPr>
          <w:rFonts w:cs="Calibri Light"/>
        </w:rPr>
      </w:pPr>
      <w:r w:rsidRPr="00AC2B08">
        <w:rPr>
          <w:rFonts w:cs="Calibri Light"/>
        </w:rPr>
        <w:t>subject to disciplinary, civil or criminal action in relation to the activity or occupation</w:t>
      </w:r>
    </w:p>
    <w:p w14:paraId="4027475F" w14:textId="77777777" w:rsidR="00EB6279" w:rsidRPr="00AC2B08" w:rsidRDefault="00EB6279" w:rsidP="00EB6279">
      <w:pPr>
        <w:pStyle w:val="ListParagraph"/>
        <w:numPr>
          <w:ilvl w:val="0"/>
          <w:numId w:val="30"/>
        </w:numPr>
        <w:spacing w:before="0" w:after="160" w:line="259" w:lineRule="auto"/>
        <w:rPr>
          <w:rFonts w:cs="Calibri Light"/>
        </w:rPr>
      </w:pPr>
      <w:r w:rsidRPr="00AC2B08">
        <w:rPr>
          <w:rFonts w:cs="Calibri Light"/>
        </w:rPr>
        <w:t xml:space="preserve">with conditions on their licence as a result of disciplinary, civil or criminal action </w:t>
      </w:r>
    </w:p>
    <w:p w14:paraId="3DE9EC4A" w14:textId="77777777" w:rsidR="00EB6279" w:rsidRPr="00AC2B08" w:rsidRDefault="00EB6279" w:rsidP="00EB6279">
      <w:pPr>
        <w:pStyle w:val="ListParagraph"/>
        <w:numPr>
          <w:ilvl w:val="0"/>
          <w:numId w:val="30"/>
        </w:numPr>
        <w:spacing w:before="0" w:after="160" w:line="259" w:lineRule="auto"/>
        <w:rPr>
          <w:rFonts w:cs="Calibri Light"/>
        </w:rPr>
      </w:pPr>
      <w:r w:rsidRPr="00AC2B08">
        <w:rPr>
          <w:rFonts w:cs="Calibri Light"/>
        </w:rPr>
        <w:t>with a suspended or cancelled licence for the activity or the occupation.</w:t>
      </w:r>
    </w:p>
    <w:p w14:paraId="30AA8F01" w14:textId="77777777" w:rsidR="00EB6279" w:rsidRDefault="00EB6279">
      <w:pPr>
        <w:spacing w:before="0" w:after="160" w:line="259" w:lineRule="auto"/>
        <w:rPr>
          <w:b/>
          <w:i/>
          <w:iCs/>
        </w:rPr>
      </w:pPr>
      <w:r>
        <w:rPr>
          <w:b/>
          <w:i/>
          <w:iCs/>
        </w:rPr>
        <w:br w:type="page"/>
      </w:r>
    </w:p>
    <w:p w14:paraId="67BE8993" w14:textId="6137B1BD" w:rsidR="00A519D0" w:rsidRPr="00546ECA" w:rsidRDefault="00A519D0" w:rsidP="00E74B62">
      <w:pPr>
        <w:pStyle w:val="TableMainHeading"/>
      </w:pPr>
      <w:bookmarkStart w:id="45" w:name="_Toc207008659"/>
      <w:r w:rsidRPr="00546ECA">
        <w:rPr>
          <w:b/>
        </w:rPr>
        <w:lastRenderedPageBreak/>
        <w:t xml:space="preserve">Table </w:t>
      </w:r>
      <w:r w:rsidRPr="00546ECA">
        <w:rPr>
          <w:b/>
          <w:bCs/>
        </w:rPr>
        <w:t>2</w:t>
      </w:r>
      <w:r w:rsidRPr="00546ECA">
        <w:t>: Extent of AMR operating in each jurisdiction</w:t>
      </w:r>
      <w:bookmarkEnd w:id="45"/>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03"/>
        <w:gridCol w:w="3856"/>
        <w:gridCol w:w="2399"/>
        <w:gridCol w:w="1604"/>
      </w:tblGrid>
      <w:tr w:rsidR="00E31BA8" w14:paraId="3F304C5D" w14:textId="77777777" w:rsidTr="002704A1">
        <w:trPr>
          <w:cnfStyle w:val="100000000000" w:firstRow="1" w:lastRow="0" w:firstColumn="0" w:lastColumn="0" w:oddVBand="0" w:evenVBand="0" w:oddHBand="0" w:evenHBand="0" w:firstRowFirstColumn="0" w:firstRowLastColumn="0" w:lastRowFirstColumn="0" w:lastRowLastColumn="0"/>
          <w:trHeight w:val="296"/>
        </w:trPr>
        <w:tc>
          <w:tcPr>
            <w:tcW w:w="1271" w:type="dxa"/>
            <w:vAlign w:val="center"/>
          </w:tcPr>
          <w:p w14:paraId="13B0B9CD" w14:textId="77777777" w:rsidR="00A519D0" w:rsidRPr="00C31AE3" w:rsidRDefault="00A519D0">
            <w:pPr>
              <w:spacing w:before="96" w:after="96"/>
              <w:jc w:val="center"/>
              <w:rPr>
                <w:sz w:val="19"/>
                <w:szCs w:val="19"/>
              </w:rPr>
            </w:pPr>
            <w:r w:rsidRPr="00C31AE3">
              <w:rPr>
                <w:sz w:val="19"/>
                <w:szCs w:val="19"/>
              </w:rPr>
              <w:t>Jurisdiction</w:t>
            </w:r>
          </w:p>
        </w:tc>
        <w:tc>
          <w:tcPr>
            <w:tcW w:w="4111" w:type="dxa"/>
            <w:vAlign w:val="center"/>
          </w:tcPr>
          <w:p w14:paraId="7DD4A870" w14:textId="3CB8DCE8" w:rsidR="00A519D0" w:rsidRPr="00C31AE3" w:rsidRDefault="00A519D0">
            <w:pPr>
              <w:spacing w:before="96" w:after="96"/>
              <w:jc w:val="center"/>
              <w:rPr>
                <w:sz w:val="19"/>
                <w:szCs w:val="19"/>
              </w:rPr>
            </w:pPr>
            <w:r w:rsidRPr="00C31AE3">
              <w:rPr>
                <w:sz w:val="19"/>
                <w:szCs w:val="19"/>
              </w:rPr>
              <w:t>Licen</w:t>
            </w:r>
            <w:r w:rsidR="00A81FF6">
              <w:rPr>
                <w:sz w:val="19"/>
                <w:szCs w:val="19"/>
              </w:rPr>
              <w:t>c</w:t>
            </w:r>
            <w:r w:rsidRPr="00C31AE3">
              <w:rPr>
                <w:sz w:val="19"/>
                <w:szCs w:val="19"/>
              </w:rPr>
              <w:t>es recognised</w:t>
            </w:r>
          </w:p>
        </w:tc>
        <w:tc>
          <w:tcPr>
            <w:tcW w:w="2126" w:type="dxa"/>
            <w:vAlign w:val="center"/>
          </w:tcPr>
          <w:p w14:paraId="624ECF04" w14:textId="77777777" w:rsidR="00A519D0" w:rsidRPr="00C31AE3" w:rsidRDefault="00A519D0">
            <w:pPr>
              <w:spacing w:before="96" w:after="96"/>
              <w:jc w:val="center"/>
              <w:rPr>
                <w:sz w:val="19"/>
                <w:szCs w:val="19"/>
              </w:rPr>
            </w:pPr>
            <w:r w:rsidRPr="00C31AE3">
              <w:rPr>
                <w:sz w:val="19"/>
                <w:szCs w:val="19"/>
              </w:rPr>
              <w:t>Exemptions</w:t>
            </w:r>
          </w:p>
        </w:tc>
        <w:tc>
          <w:tcPr>
            <w:tcW w:w="1418" w:type="dxa"/>
            <w:vAlign w:val="center"/>
          </w:tcPr>
          <w:p w14:paraId="0468AFE3" w14:textId="001069A7" w:rsidR="00A519D0" w:rsidRPr="00C31AE3" w:rsidRDefault="00A519D0">
            <w:pPr>
              <w:spacing w:before="96" w:after="96"/>
              <w:jc w:val="center"/>
              <w:rPr>
                <w:sz w:val="19"/>
                <w:szCs w:val="19"/>
              </w:rPr>
            </w:pPr>
            <w:r w:rsidRPr="00C31AE3">
              <w:rPr>
                <w:sz w:val="19"/>
                <w:szCs w:val="19"/>
              </w:rPr>
              <w:t xml:space="preserve">Other </w:t>
            </w:r>
            <w:r w:rsidR="00F94682" w:rsidRPr="00C31AE3">
              <w:rPr>
                <w:sz w:val="19"/>
                <w:szCs w:val="19"/>
              </w:rPr>
              <w:t>jurisdictions recognised</w:t>
            </w:r>
          </w:p>
        </w:tc>
      </w:tr>
      <w:tr w:rsidR="008A6A1E" w14:paraId="4D7C65E0" w14:textId="77777777" w:rsidTr="002704A1">
        <w:trPr>
          <w:trHeight w:val="296"/>
        </w:trPr>
        <w:tc>
          <w:tcPr>
            <w:tcW w:w="1271" w:type="dxa"/>
            <w:vAlign w:val="center"/>
          </w:tcPr>
          <w:p w14:paraId="322D6CB7" w14:textId="77777777" w:rsidR="00A519D0" w:rsidRPr="00C31AE3" w:rsidRDefault="00A519D0">
            <w:pPr>
              <w:jc w:val="center"/>
              <w:rPr>
                <w:b/>
                <w:bCs/>
                <w:sz w:val="19"/>
                <w:szCs w:val="19"/>
              </w:rPr>
            </w:pPr>
            <w:r w:rsidRPr="00C31AE3">
              <w:rPr>
                <w:b/>
                <w:bCs/>
                <w:sz w:val="19"/>
                <w:szCs w:val="19"/>
              </w:rPr>
              <w:t>Victoria</w:t>
            </w:r>
          </w:p>
        </w:tc>
        <w:tc>
          <w:tcPr>
            <w:tcW w:w="3402" w:type="dxa"/>
          </w:tcPr>
          <w:p w14:paraId="13B087B8" w14:textId="21CDBEDA" w:rsidR="00A519D0" w:rsidRPr="00C31AE3" w:rsidRDefault="00A519D0">
            <w:pPr>
              <w:rPr>
                <w:sz w:val="19"/>
                <w:szCs w:val="19"/>
              </w:rPr>
            </w:pPr>
            <w:r w:rsidRPr="00C31AE3">
              <w:rPr>
                <w:sz w:val="19"/>
                <w:szCs w:val="19"/>
              </w:rPr>
              <w:t xml:space="preserve">Recognises all </w:t>
            </w:r>
            <w:r w:rsidR="00BF0C9D">
              <w:rPr>
                <w:sz w:val="19"/>
                <w:szCs w:val="19"/>
              </w:rPr>
              <w:t xml:space="preserve">equivalent </w:t>
            </w:r>
            <w:r w:rsidRPr="00C31AE3">
              <w:rPr>
                <w:sz w:val="19"/>
                <w:szCs w:val="19"/>
              </w:rPr>
              <w:t xml:space="preserve">electrical licences from </w:t>
            </w:r>
            <w:r w:rsidR="00074EBF">
              <w:rPr>
                <w:sz w:val="19"/>
                <w:szCs w:val="19"/>
              </w:rPr>
              <w:t>participating</w:t>
            </w:r>
            <w:r w:rsidR="00074EBF" w:rsidRPr="00C31AE3">
              <w:rPr>
                <w:sz w:val="19"/>
                <w:szCs w:val="19"/>
              </w:rPr>
              <w:t xml:space="preserve"> </w:t>
            </w:r>
            <w:r w:rsidR="0012682B">
              <w:rPr>
                <w:sz w:val="19"/>
                <w:szCs w:val="19"/>
              </w:rPr>
              <w:t>states</w:t>
            </w:r>
            <w:r w:rsidR="0012682B" w:rsidRPr="00C31AE3">
              <w:rPr>
                <w:sz w:val="19"/>
                <w:szCs w:val="19"/>
              </w:rPr>
              <w:t xml:space="preserve"> </w:t>
            </w:r>
            <w:r w:rsidRPr="00C31AE3">
              <w:rPr>
                <w:sz w:val="19"/>
                <w:szCs w:val="19"/>
              </w:rPr>
              <w:t>through AMR.</w:t>
            </w:r>
            <w:r w:rsidR="005A5C64">
              <w:rPr>
                <w:sz w:val="19"/>
                <w:szCs w:val="19"/>
              </w:rPr>
              <w:t xml:space="preserve"> </w:t>
            </w:r>
            <w:r w:rsidR="0093324A">
              <w:rPr>
                <w:sz w:val="19"/>
                <w:szCs w:val="19"/>
              </w:rPr>
              <w:t>Automatically r</w:t>
            </w:r>
            <w:r w:rsidR="005A5C64">
              <w:rPr>
                <w:sz w:val="19"/>
                <w:szCs w:val="19"/>
              </w:rPr>
              <w:t xml:space="preserve">ecognises specific QLD licences under East Coast Electricians </w:t>
            </w:r>
            <w:r w:rsidR="00CB54AB">
              <w:rPr>
                <w:sz w:val="19"/>
                <w:szCs w:val="19"/>
              </w:rPr>
              <w:t>(ECE) s</w:t>
            </w:r>
            <w:r w:rsidR="005A5C64">
              <w:rPr>
                <w:sz w:val="19"/>
                <w:szCs w:val="19"/>
              </w:rPr>
              <w:t>cheme.</w:t>
            </w:r>
          </w:p>
        </w:tc>
        <w:tc>
          <w:tcPr>
            <w:tcW w:w="2552" w:type="dxa"/>
          </w:tcPr>
          <w:p w14:paraId="76534C25" w14:textId="77777777" w:rsidR="00A519D0" w:rsidRPr="00C31AE3" w:rsidRDefault="00A519D0">
            <w:pPr>
              <w:rPr>
                <w:sz w:val="19"/>
                <w:szCs w:val="19"/>
              </w:rPr>
            </w:pPr>
            <w:r w:rsidRPr="00C31AE3">
              <w:rPr>
                <w:sz w:val="19"/>
                <w:szCs w:val="19"/>
              </w:rPr>
              <w:t>No exemptions beyond those uniformly enforced across the AMR scheme.</w:t>
            </w:r>
          </w:p>
        </w:tc>
        <w:tc>
          <w:tcPr>
            <w:tcW w:w="1701" w:type="dxa"/>
          </w:tcPr>
          <w:p w14:paraId="749D3162" w14:textId="56A4FFC1" w:rsidR="00A519D0" w:rsidRPr="00C31AE3" w:rsidRDefault="00DF7F18">
            <w:pPr>
              <w:rPr>
                <w:sz w:val="19"/>
                <w:szCs w:val="19"/>
              </w:rPr>
            </w:pPr>
            <w:r>
              <w:rPr>
                <w:sz w:val="19"/>
                <w:szCs w:val="19"/>
              </w:rPr>
              <w:t xml:space="preserve">AMR with all </w:t>
            </w:r>
            <w:r w:rsidR="003E2C3C">
              <w:rPr>
                <w:sz w:val="19"/>
                <w:szCs w:val="19"/>
              </w:rPr>
              <w:t>state</w:t>
            </w:r>
            <w:r>
              <w:rPr>
                <w:sz w:val="19"/>
                <w:szCs w:val="19"/>
              </w:rPr>
              <w:t>s except QLD</w:t>
            </w:r>
            <w:r w:rsidR="00F03610">
              <w:rPr>
                <w:sz w:val="19"/>
                <w:szCs w:val="19"/>
              </w:rPr>
              <w:t xml:space="preserve">. QLD </w:t>
            </w:r>
            <w:r>
              <w:rPr>
                <w:sz w:val="19"/>
                <w:szCs w:val="19"/>
              </w:rPr>
              <w:t xml:space="preserve">recognised </w:t>
            </w:r>
            <w:r w:rsidR="002A2CF4">
              <w:rPr>
                <w:sz w:val="19"/>
                <w:szCs w:val="19"/>
              </w:rPr>
              <w:t xml:space="preserve">under </w:t>
            </w:r>
            <w:r w:rsidR="005A5C64">
              <w:rPr>
                <w:sz w:val="19"/>
                <w:szCs w:val="19"/>
              </w:rPr>
              <w:t>ECE scheme</w:t>
            </w:r>
            <w:r w:rsidR="002A2CF4">
              <w:rPr>
                <w:sz w:val="19"/>
                <w:szCs w:val="19"/>
              </w:rPr>
              <w:t>.</w:t>
            </w:r>
          </w:p>
        </w:tc>
      </w:tr>
      <w:tr w:rsidR="008A6A1E" w14:paraId="3908583F" w14:textId="77777777" w:rsidTr="002704A1">
        <w:trPr>
          <w:trHeight w:val="296"/>
        </w:trPr>
        <w:tc>
          <w:tcPr>
            <w:tcW w:w="1271" w:type="dxa"/>
            <w:vAlign w:val="center"/>
          </w:tcPr>
          <w:p w14:paraId="1049B2D1" w14:textId="77777777" w:rsidR="00A802FD" w:rsidRPr="00C31AE3" w:rsidRDefault="00A802FD">
            <w:pPr>
              <w:jc w:val="center"/>
              <w:rPr>
                <w:b/>
                <w:bCs/>
                <w:sz w:val="19"/>
                <w:szCs w:val="19"/>
              </w:rPr>
            </w:pPr>
            <w:r w:rsidRPr="00C31AE3">
              <w:rPr>
                <w:b/>
                <w:bCs/>
                <w:sz w:val="19"/>
                <w:szCs w:val="19"/>
              </w:rPr>
              <w:t>Northern Territory</w:t>
            </w:r>
          </w:p>
        </w:tc>
        <w:tc>
          <w:tcPr>
            <w:tcW w:w="3402" w:type="dxa"/>
          </w:tcPr>
          <w:p w14:paraId="765DAC67" w14:textId="43BB35A1" w:rsidR="00A802FD" w:rsidRPr="00C31AE3" w:rsidRDefault="00A802FD">
            <w:pPr>
              <w:rPr>
                <w:sz w:val="19"/>
                <w:szCs w:val="19"/>
              </w:rPr>
            </w:pPr>
            <w:r w:rsidRPr="00C31AE3">
              <w:rPr>
                <w:sz w:val="19"/>
                <w:szCs w:val="19"/>
              </w:rPr>
              <w:t xml:space="preserve">Recognises licences from all </w:t>
            </w:r>
            <w:r w:rsidR="00E030F2">
              <w:rPr>
                <w:sz w:val="19"/>
                <w:szCs w:val="19"/>
              </w:rPr>
              <w:t xml:space="preserve">participating </w:t>
            </w:r>
            <w:r w:rsidR="0012682B">
              <w:rPr>
                <w:sz w:val="19"/>
                <w:szCs w:val="19"/>
              </w:rPr>
              <w:t>states</w:t>
            </w:r>
            <w:r w:rsidRPr="00C31AE3">
              <w:rPr>
                <w:sz w:val="19"/>
                <w:szCs w:val="19"/>
              </w:rPr>
              <w:t xml:space="preserve"> through AMR, where </w:t>
            </w:r>
            <w:r>
              <w:rPr>
                <w:sz w:val="19"/>
                <w:szCs w:val="19"/>
              </w:rPr>
              <w:t>licensed activities align with</w:t>
            </w:r>
            <w:r w:rsidRPr="00C31AE3">
              <w:rPr>
                <w:sz w:val="19"/>
                <w:szCs w:val="19"/>
              </w:rPr>
              <w:t xml:space="preserve"> the </w:t>
            </w:r>
            <w:r w:rsidRPr="00C31AE3">
              <w:rPr>
                <w:i/>
                <w:iCs/>
                <w:sz w:val="19"/>
                <w:szCs w:val="19"/>
              </w:rPr>
              <w:t>Electrical Work Licence</w:t>
            </w:r>
            <w:r w:rsidRPr="00C31AE3">
              <w:rPr>
                <w:sz w:val="19"/>
                <w:szCs w:val="19"/>
              </w:rPr>
              <w:t xml:space="preserve"> and </w:t>
            </w:r>
            <w:r w:rsidRPr="00C31AE3">
              <w:rPr>
                <w:i/>
                <w:iCs/>
                <w:sz w:val="19"/>
                <w:szCs w:val="19"/>
              </w:rPr>
              <w:t>Sole Trader Electrical Contractor Licence</w:t>
            </w:r>
            <w:r w:rsidRPr="00C31AE3">
              <w:rPr>
                <w:sz w:val="19"/>
                <w:szCs w:val="19"/>
              </w:rPr>
              <w:t>.</w:t>
            </w:r>
          </w:p>
        </w:tc>
        <w:tc>
          <w:tcPr>
            <w:tcW w:w="2552" w:type="dxa"/>
          </w:tcPr>
          <w:p w14:paraId="02ABD944" w14:textId="4EFB694B" w:rsidR="00A802FD" w:rsidRPr="00C31AE3" w:rsidRDefault="00F833BA">
            <w:pPr>
              <w:rPr>
                <w:sz w:val="19"/>
                <w:szCs w:val="19"/>
              </w:rPr>
            </w:pPr>
            <w:r w:rsidRPr="00C31AE3">
              <w:rPr>
                <w:sz w:val="19"/>
                <w:szCs w:val="19"/>
              </w:rPr>
              <w:t>No exemptions beyond those uniformly enforced across the AMR scheme.</w:t>
            </w:r>
          </w:p>
        </w:tc>
        <w:tc>
          <w:tcPr>
            <w:tcW w:w="1701" w:type="dxa"/>
          </w:tcPr>
          <w:p w14:paraId="15BAC445" w14:textId="4221D065" w:rsidR="00A802FD" w:rsidRPr="00C31AE3" w:rsidRDefault="00A802FD">
            <w:pPr>
              <w:rPr>
                <w:sz w:val="19"/>
                <w:szCs w:val="19"/>
              </w:rPr>
            </w:pPr>
            <w:r>
              <w:rPr>
                <w:sz w:val="19"/>
                <w:szCs w:val="19"/>
              </w:rPr>
              <w:t>AMR with all states</w:t>
            </w:r>
            <w:r w:rsidR="002D09C7">
              <w:rPr>
                <w:sz w:val="19"/>
                <w:szCs w:val="19"/>
              </w:rPr>
              <w:t xml:space="preserve"> except QLD</w:t>
            </w:r>
            <w:r>
              <w:rPr>
                <w:sz w:val="19"/>
                <w:szCs w:val="19"/>
              </w:rPr>
              <w:t>.</w:t>
            </w:r>
          </w:p>
        </w:tc>
      </w:tr>
      <w:tr w:rsidR="008A6A1E" w14:paraId="23ABA5B7" w14:textId="77777777" w:rsidTr="002704A1">
        <w:trPr>
          <w:trHeight w:val="296"/>
        </w:trPr>
        <w:tc>
          <w:tcPr>
            <w:tcW w:w="1271" w:type="dxa"/>
            <w:vAlign w:val="center"/>
          </w:tcPr>
          <w:p w14:paraId="385D2428" w14:textId="77777777" w:rsidR="00AA5E1F" w:rsidRPr="00C31AE3" w:rsidRDefault="00AA5E1F" w:rsidP="00AA5E1F">
            <w:pPr>
              <w:jc w:val="center"/>
              <w:rPr>
                <w:b/>
                <w:bCs/>
                <w:sz w:val="19"/>
                <w:szCs w:val="19"/>
              </w:rPr>
            </w:pPr>
            <w:r w:rsidRPr="00C31AE3">
              <w:rPr>
                <w:b/>
                <w:bCs/>
                <w:sz w:val="19"/>
                <w:szCs w:val="19"/>
              </w:rPr>
              <w:t>South Australia</w:t>
            </w:r>
          </w:p>
        </w:tc>
        <w:tc>
          <w:tcPr>
            <w:tcW w:w="3402" w:type="dxa"/>
          </w:tcPr>
          <w:p w14:paraId="6840EDF1" w14:textId="0954DF54" w:rsidR="00AA5E1F" w:rsidRPr="00C31AE3" w:rsidRDefault="00AA5E1F" w:rsidP="00AA5E1F">
            <w:pPr>
              <w:rPr>
                <w:sz w:val="19"/>
                <w:szCs w:val="19"/>
              </w:rPr>
            </w:pPr>
            <w:r w:rsidRPr="00C31AE3">
              <w:rPr>
                <w:sz w:val="19"/>
                <w:szCs w:val="19"/>
              </w:rPr>
              <w:t>Recognises licences from all</w:t>
            </w:r>
            <w:r w:rsidR="0012682B">
              <w:rPr>
                <w:sz w:val="19"/>
                <w:szCs w:val="19"/>
              </w:rPr>
              <w:t xml:space="preserve"> participating</w:t>
            </w:r>
            <w:r w:rsidRPr="00C31AE3">
              <w:rPr>
                <w:sz w:val="19"/>
                <w:szCs w:val="19"/>
              </w:rPr>
              <w:t xml:space="preserve"> </w:t>
            </w:r>
            <w:r w:rsidR="0012682B">
              <w:rPr>
                <w:sz w:val="19"/>
                <w:szCs w:val="19"/>
              </w:rPr>
              <w:t>states</w:t>
            </w:r>
            <w:r w:rsidR="0012682B" w:rsidRPr="00C31AE3">
              <w:rPr>
                <w:sz w:val="19"/>
                <w:szCs w:val="19"/>
              </w:rPr>
              <w:t xml:space="preserve"> </w:t>
            </w:r>
            <w:r w:rsidRPr="00C31AE3">
              <w:rPr>
                <w:sz w:val="19"/>
                <w:szCs w:val="19"/>
              </w:rPr>
              <w:t xml:space="preserve">through AMR, where </w:t>
            </w:r>
            <w:r>
              <w:rPr>
                <w:sz w:val="19"/>
                <w:szCs w:val="19"/>
              </w:rPr>
              <w:t>licensed activities align with</w:t>
            </w:r>
            <w:r w:rsidRPr="00C31AE3">
              <w:rPr>
                <w:sz w:val="19"/>
                <w:szCs w:val="19"/>
              </w:rPr>
              <w:t xml:space="preserve"> the </w:t>
            </w:r>
            <w:r w:rsidRPr="00C31AE3">
              <w:rPr>
                <w:i/>
                <w:iCs/>
                <w:sz w:val="19"/>
                <w:szCs w:val="19"/>
              </w:rPr>
              <w:t>Plumbers, Gas Fitters and Electricians Contractor's Licence</w:t>
            </w:r>
            <w:r w:rsidRPr="00C31AE3">
              <w:rPr>
                <w:sz w:val="19"/>
                <w:szCs w:val="19"/>
              </w:rPr>
              <w:t xml:space="preserve"> and Workers’ Registration.</w:t>
            </w:r>
          </w:p>
        </w:tc>
        <w:tc>
          <w:tcPr>
            <w:tcW w:w="2552" w:type="dxa"/>
          </w:tcPr>
          <w:p w14:paraId="1DF52778" w14:textId="77777777" w:rsidR="00AA5E1F" w:rsidRPr="00C31AE3" w:rsidRDefault="00AA5E1F" w:rsidP="00AA5E1F">
            <w:pPr>
              <w:rPr>
                <w:sz w:val="19"/>
                <w:szCs w:val="19"/>
              </w:rPr>
            </w:pPr>
            <w:r w:rsidRPr="00C31AE3">
              <w:rPr>
                <w:sz w:val="19"/>
                <w:szCs w:val="19"/>
              </w:rPr>
              <w:t>No exemptions beyond those uniformly enforced across the AMR scheme.</w:t>
            </w:r>
          </w:p>
        </w:tc>
        <w:tc>
          <w:tcPr>
            <w:tcW w:w="1701" w:type="dxa"/>
          </w:tcPr>
          <w:p w14:paraId="60F7F62A" w14:textId="55A4D8C1" w:rsidR="00AA5E1F" w:rsidRPr="00C31AE3" w:rsidRDefault="00DF7F18" w:rsidP="00AA5E1F">
            <w:pPr>
              <w:rPr>
                <w:sz w:val="19"/>
                <w:szCs w:val="19"/>
              </w:rPr>
            </w:pPr>
            <w:r>
              <w:rPr>
                <w:sz w:val="19"/>
                <w:szCs w:val="19"/>
              </w:rPr>
              <w:t xml:space="preserve">AMR with all </w:t>
            </w:r>
            <w:r w:rsidR="003E2C3C">
              <w:rPr>
                <w:sz w:val="19"/>
                <w:szCs w:val="19"/>
              </w:rPr>
              <w:t>states</w:t>
            </w:r>
            <w:r>
              <w:rPr>
                <w:sz w:val="19"/>
                <w:szCs w:val="19"/>
              </w:rPr>
              <w:t xml:space="preserve"> </w:t>
            </w:r>
            <w:r w:rsidR="002A2CF4">
              <w:rPr>
                <w:sz w:val="19"/>
                <w:szCs w:val="19"/>
              </w:rPr>
              <w:t>except QLD</w:t>
            </w:r>
            <w:r>
              <w:rPr>
                <w:sz w:val="19"/>
                <w:szCs w:val="19"/>
              </w:rPr>
              <w:t>.</w:t>
            </w:r>
          </w:p>
        </w:tc>
      </w:tr>
      <w:tr w:rsidR="008A6A1E" w14:paraId="433BBC21" w14:textId="77777777" w:rsidTr="002704A1">
        <w:trPr>
          <w:trHeight w:val="296"/>
        </w:trPr>
        <w:tc>
          <w:tcPr>
            <w:tcW w:w="1271" w:type="dxa"/>
            <w:vAlign w:val="center"/>
          </w:tcPr>
          <w:p w14:paraId="2986ED0C" w14:textId="77777777" w:rsidR="00AA5E1F" w:rsidRPr="00C31AE3" w:rsidRDefault="00AA5E1F" w:rsidP="00AA5E1F">
            <w:pPr>
              <w:jc w:val="center"/>
              <w:rPr>
                <w:b/>
                <w:bCs/>
                <w:sz w:val="19"/>
                <w:szCs w:val="19"/>
              </w:rPr>
            </w:pPr>
            <w:r w:rsidRPr="00C31AE3">
              <w:rPr>
                <w:b/>
                <w:bCs/>
                <w:sz w:val="19"/>
                <w:szCs w:val="19"/>
              </w:rPr>
              <w:t>Tasmania</w:t>
            </w:r>
          </w:p>
        </w:tc>
        <w:tc>
          <w:tcPr>
            <w:tcW w:w="3402" w:type="dxa"/>
          </w:tcPr>
          <w:p w14:paraId="3840B802" w14:textId="445AD588" w:rsidR="00AA5E1F" w:rsidRPr="00C31AE3" w:rsidRDefault="00AA5E1F" w:rsidP="00AA5E1F">
            <w:pPr>
              <w:rPr>
                <w:sz w:val="19"/>
                <w:szCs w:val="19"/>
              </w:rPr>
            </w:pPr>
            <w:r w:rsidRPr="00C31AE3">
              <w:rPr>
                <w:sz w:val="19"/>
                <w:szCs w:val="19"/>
              </w:rPr>
              <w:t xml:space="preserve">Recognises licences where </w:t>
            </w:r>
            <w:r>
              <w:rPr>
                <w:sz w:val="19"/>
                <w:szCs w:val="19"/>
              </w:rPr>
              <w:t>licensed activities align with</w:t>
            </w:r>
            <w:r w:rsidRPr="00C31AE3" w:rsidDel="00D63A65">
              <w:rPr>
                <w:sz w:val="19"/>
                <w:szCs w:val="19"/>
              </w:rPr>
              <w:t xml:space="preserve"> </w:t>
            </w:r>
            <w:r w:rsidRPr="00C31AE3">
              <w:rPr>
                <w:sz w:val="19"/>
                <w:szCs w:val="19"/>
              </w:rPr>
              <w:t xml:space="preserve">the </w:t>
            </w:r>
            <w:r w:rsidRPr="00C31AE3">
              <w:rPr>
                <w:i/>
                <w:iCs/>
                <w:sz w:val="19"/>
                <w:szCs w:val="19"/>
              </w:rPr>
              <w:t>Electrical Practitioner Licence</w:t>
            </w:r>
            <w:r w:rsidRPr="00C31AE3">
              <w:rPr>
                <w:sz w:val="19"/>
                <w:szCs w:val="19"/>
              </w:rPr>
              <w:t xml:space="preserve"> and </w:t>
            </w:r>
            <w:r w:rsidRPr="00C31AE3">
              <w:rPr>
                <w:i/>
                <w:iCs/>
                <w:sz w:val="19"/>
                <w:szCs w:val="19"/>
              </w:rPr>
              <w:t>Electrical Contractor Licence</w:t>
            </w:r>
            <w:r w:rsidRPr="00C31AE3">
              <w:rPr>
                <w:sz w:val="19"/>
                <w:szCs w:val="19"/>
              </w:rPr>
              <w:t xml:space="preserve"> from all participating </w:t>
            </w:r>
            <w:r w:rsidR="0012682B">
              <w:rPr>
                <w:sz w:val="19"/>
                <w:szCs w:val="19"/>
              </w:rPr>
              <w:t>states</w:t>
            </w:r>
            <w:r w:rsidR="0012682B" w:rsidRPr="00C31AE3">
              <w:rPr>
                <w:sz w:val="19"/>
                <w:szCs w:val="19"/>
              </w:rPr>
              <w:t xml:space="preserve"> </w:t>
            </w:r>
            <w:r w:rsidRPr="00C31AE3">
              <w:rPr>
                <w:sz w:val="19"/>
                <w:szCs w:val="19"/>
              </w:rPr>
              <w:t>through AMR.</w:t>
            </w:r>
          </w:p>
        </w:tc>
        <w:tc>
          <w:tcPr>
            <w:tcW w:w="2552" w:type="dxa"/>
          </w:tcPr>
          <w:p w14:paraId="25DFE59E" w14:textId="22260254" w:rsidR="00AA5E1F" w:rsidRPr="00C31AE3" w:rsidRDefault="00F833BA" w:rsidP="00AA5E1F">
            <w:pPr>
              <w:rPr>
                <w:sz w:val="19"/>
                <w:szCs w:val="19"/>
              </w:rPr>
            </w:pPr>
            <w:r w:rsidRPr="00C31AE3">
              <w:rPr>
                <w:sz w:val="19"/>
                <w:szCs w:val="19"/>
              </w:rPr>
              <w:t>No exemptions beyond those uniformly enforced across the AMR scheme.</w:t>
            </w:r>
          </w:p>
        </w:tc>
        <w:tc>
          <w:tcPr>
            <w:tcW w:w="1701" w:type="dxa"/>
          </w:tcPr>
          <w:p w14:paraId="19789D6A" w14:textId="79FA1566" w:rsidR="00AA5E1F" w:rsidRPr="00C31AE3" w:rsidRDefault="003E2C3C" w:rsidP="00AA5E1F">
            <w:pPr>
              <w:rPr>
                <w:sz w:val="19"/>
                <w:szCs w:val="19"/>
              </w:rPr>
            </w:pPr>
            <w:r>
              <w:rPr>
                <w:sz w:val="19"/>
                <w:szCs w:val="19"/>
              </w:rPr>
              <w:t>AMR with all states except QLD.</w:t>
            </w:r>
          </w:p>
        </w:tc>
      </w:tr>
      <w:tr w:rsidR="008A6A1E" w14:paraId="08EDB4D8" w14:textId="77777777" w:rsidTr="002704A1">
        <w:trPr>
          <w:trHeight w:val="296"/>
        </w:trPr>
        <w:tc>
          <w:tcPr>
            <w:tcW w:w="1271" w:type="dxa"/>
            <w:vAlign w:val="center"/>
          </w:tcPr>
          <w:p w14:paraId="53ED828E" w14:textId="77777777" w:rsidR="007000BB" w:rsidRPr="00C31AE3" w:rsidRDefault="007000BB">
            <w:pPr>
              <w:jc w:val="center"/>
              <w:rPr>
                <w:b/>
                <w:bCs/>
                <w:sz w:val="19"/>
                <w:szCs w:val="19"/>
              </w:rPr>
            </w:pPr>
            <w:r w:rsidRPr="00C31AE3">
              <w:rPr>
                <w:b/>
                <w:bCs/>
                <w:sz w:val="19"/>
                <w:szCs w:val="19"/>
              </w:rPr>
              <w:t>New South Wales</w:t>
            </w:r>
          </w:p>
        </w:tc>
        <w:tc>
          <w:tcPr>
            <w:tcW w:w="3402" w:type="dxa"/>
          </w:tcPr>
          <w:p w14:paraId="59B65E6C" w14:textId="471C4C68" w:rsidR="007000BB" w:rsidRPr="00C31AE3" w:rsidRDefault="007000BB">
            <w:pPr>
              <w:rPr>
                <w:sz w:val="19"/>
                <w:szCs w:val="19"/>
              </w:rPr>
            </w:pPr>
            <w:r w:rsidRPr="00C31AE3">
              <w:rPr>
                <w:sz w:val="19"/>
                <w:szCs w:val="19"/>
              </w:rPr>
              <w:t xml:space="preserve">Recognises licences from all </w:t>
            </w:r>
            <w:r w:rsidR="00C10262">
              <w:rPr>
                <w:sz w:val="19"/>
                <w:szCs w:val="19"/>
              </w:rPr>
              <w:t xml:space="preserve">participating </w:t>
            </w:r>
            <w:r w:rsidR="0012682B">
              <w:rPr>
                <w:sz w:val="19"/>
                <w:szCs w:val="19"/>
              </w:rPr>
              <w:t>states</w:t>
            </w:r>
            <w:r w:rsidRPr="00C31AE3">
              <w:rPr>
                <w:sz w:val="19"/>
                <w:szCs w:val="19"/>
              </w:rPr>
              <w:t xml:space="preserve"> through AMR, where </w:t>
            </w:r>
            <w:r>
              <w:rPr>
                <w:sz w:val="19"/>
                <w:szCs w:val="19"/>
              </w:rPr>
              <w:t>licensed activities align with</w:t>
            </w:r>
            <w:r w:rsidRPr="00C31AE3">
              <w:rPr>
                <w:sz w:val="19"/>
                <w:szCs w:val="19"/>
              </w:rPr>
              <w:t xml:space="preserve"> the </w:t>
            </w:r>
            <w:r w:rsidRPr="00C31AE3">
              <w:rPr>
                <w:i/>
                <w:iCs/>
                <w:sz w:val="19"/>
                <w:szCs w:val="19"/>
              </w:rPr>
              <w:t>Endorsed Contractor Licence</w:t>
            </w:r>
            <w:r w:rsidRPr="00C31AE3">
              <w:rPr>
                <w:sz w:val="19"/>
                <w:szCs w:val="19"/>
              </w:rPr>
              <w:t xml:space="preserve"> and </w:t>
            </w:r>
            <w:r w:rsidRPr="00C31AE3">
              <w:rPr>
                <w:i/>
                <w:iCs/>
                <w:sz w:val="19"/>
                <w:szCs w:val="19"/>
              </w:rPr>
              <w:t>Qualified Supervisor Certificate for disconnection and reconnection of fixed electrical equipment</w:t>
            </w:r>
            <w:r w:rsidRPr="00C31AE3">
              <w:rPr>
                <w:sz w:val="19"/>
                <w:szCs w:val="19"/>
              </w:rPr>
              <w:t xml:space="preserve">. </w:t>
            </w:r>
            <w:r w:rsidR="00CB54AB">
              <w:rPr>
                <w:sz w:val="19"/>
                <w:szCs w:val="19"/>
              </w:rPr>
              <w:t>Automatically recognises specific ACT, QLD and VIC licences under ECE scheme.</w:t>
            </w:r>
          </w:p>
        </w:tc>
        <w:tc>
          <w:tcPr>
            <w:tcW w:w="2552" w:type="dxa"/>
          </w:tcPr>
          <w:p w14:paraId="44513119" w14:textId="0852E2B7" w:rsidR="007000BB" w:rsidRPr="00C31AE3" w:rsidRDefault="007000BB">
            <w:pPr>
              <w:rPr>
                <w:sz w:val="19"/>
                <w:szCs w:val="19"/>
              </w:rPr>
            </w:pPr>
            <w:r w:rsidRPr="00C13807">
              <w:rPr>
                <w:i/>
                <w:iCs/>
                <w:sz w:val="19"/>
                <w:szCs w:val="19"/>
              </w:rPr>
              <w:t>Electrical Wiring Work</w:t>
            </w:r>
            <w:r w:rsidRPr="00A75B7D">
              <w:rPr>
                <w:sz w:val="19"/>
                <w:szCs w:val="19"/>
              </w:rPr>
              <w:t xml:space="preserve"> is exempted</w:t>
            </w:r>
            <w:r w:rsidR="002774AC">
              <w:rPr>
                <w:sz w:val="19"/>
                <w:szCs w:val="19"/>
              </w:rPr>
              <w:t xml:space="preserve"> from AMR</w:t>
            </w:r>
            <w:r w:rsidRPr="00C31AE3">
              <w:rPr>
                <w:sz w:val="19"/>
                <w:szCs w:val="19"/>
              </w:rPr>
              <w:t>. Home building compensation insurance is required for projects over $20,000.</w:t>
            </w:r>
          </w:p>
        </w:tc>
        <w:tc>
          <w:tcPr>
            <w:tcW w:w="1701" w:type="dxa"/>
          </w:tcPr>
          <w:p w14:paraId="79D55A14" w14:textId="5B9D751E" w:rsidR="007000BB" w:rsidRPr="00C31AE3" w:rsidRDefault="00F03610">
            <w:pPr>
              <w:rPr>
                <w:sz w:val="19"/>
                <w:szCs w:val="19"/>
              </w:rPr>
            </w:pPr>
            <w:r>
              <w:rPr>
                <w:sz w:val="19"/>
                <w:szCs w:val="19"/>
              </w:rPr>
              <w:t>AMR with all states except QLD for some licences.</w:t>
            </w:r>
            <w:r w:rsidR="00564450">
              <w:rPr>
                <w:sz w:val="19"/>
                <w:szCs w:val="19"/>
              </w:rPr>
              <w:t xml:space="preserve"> </w:t>
            </w:r>
            <w:r w:rsidR="007000BB" w:rsidRPr="00C31AE3">
              <w:rPr>
                <w:sz w:val="19"/>
                <w:szCs w:val="19"/>
              </w:rPr>
              <w:t>ACT</w:t>
            </w:r>
            <w:r w:rsidR="00564450">
              <w:rPr>
                <w:sz w:val="19"/>
                <w:szCs w:val="19"/>
              </w:rPr>
              <w:t xml:space="preserve">, </w:t>
            </w:r>
            <w:r w:rsidR="007000BB" w:rsidRPr="00C31AE3">
              <w:rPr>
                <w:sz w:val="19"/>
                <w:szCs w:val="19"/>
              </w:rPr>
              <w:t xml:space="preserve">QLD </w:t>
            </w:r>
            <w:r w:rsidR="00564450">
              <w:rPr>
                <w:sz w:val="19"/>
                <w:szCs w:val="19"/>
              </w:rPr>
              <w:t>and</w:t>
            </w:r>
            <w:r w:rsidR="007000BB" w:rsidRPr="00C31AE3">
              <w:rPr>
                <w:sz w:val="19"/>
                <w:szCs w:val="19"/>
              </w:rPr>
              <w:t xml:space="preserve"> VIC</w:t>
            </w:r>
            <w:r w:rsidR="00564450">
              <w:rPr>
                <w:sz w:val="19"/>
                <w:szCs w:val="19"/>
              </w:rPr>
              <w:t xml:space="preserve"> </w:t>
            </w:r>
            <w:r>
              <w:rPr>
                <w:sz w:val="19"/>
                <w:szCs w:val="19"/>
              </w:rPr>
              <w:t>recognised under</w:t>
            </w:r>
            <w:r w:rsidR="00564450">
              <w:rPr>
                <w:sz w:val="19"/>
                <w:szCs w:val="19"/>
              </w:rPr>
              <w:t xml:space="preserve"> </w:t>
            </w:r>
            <w:r w:rsidR="005A5C64">
              <w:rPr>
                <w:sz w:val="19"/>
                <w:szCs w:val="19"/>
              </w:rPr>
              <w:t>ECE scheme</w:t>
            </w:r>
            <w:r w:rsidR="00564450">
              <w:rPr>
                <w:sz w:val="19"/>
                <w:szCs w:val="19"/>
              </w:rPr>
              <w:t>.</w:t>
            </w:r>
          </w:p>
        </w:tc>
      </w:tr>
      <w:tr w:rsidR="008A6A1E" w14:paraId="6BB9D726" w14:textId="77777777" w:rsidTr="002704A1">
        <w:trPr>
          <w:trHeight w:val="296"/>
        </w:trPr>
        <w:tc>
          <w:tcPr>
            <w:tcW w:w="1271" w:type="dxa"/>
            <w:vAlign w:val="center"/>
          </w:tcPr>
          <w:p w14:paraId="767AD142" w14:textId="77777777" w:rsidR="007000BB" w:rsidRPr="00C31AE3" w:rsidRDefault="007000BB">
            <w:pPr>
              <w:jc w:val="center"/>
              <w:rPr>
                <w:b/>
                <w:bCs/>
                <w:sz w:val="19"/>
                <w:szCs w:val="19"/>
              </w:rPr>
            </w:pPr>
            <w:r w:rsidRPr="00C31AE3">
              <w:rPr>
                <w:b/>
                <w:bCs/>
                <w:sz w:val="19"/>
                <w:szCs w:val="19"/>
              </w:rPr>
              <w:t>Queensland</w:t>
            </w:r>
          </w:p>
        </w:tc>
        <w:tc>
          <w:tcPr>
            <w:tcW w:w="3402" w:type="dxa"/>
          </w:tcPr>
          <w:p w14:paraId="60BAD586" w14:textId="18A927ED" w:rsidR="007000BB" w:rsidRPr="00C31AE3" w:rsidRDefault="007000BB">
            <w:pPr>
              <w:rPr>
                <w:sz w:val="19"/>
                <w:szCs w:val="19"/>
              </w:rPr>
            </w:pPr>
            <w:r w:rsidRPr="00C31AE3">
              <w:rPr>
                <w:sz w:val="19"/>
                <w:szCs w:val="19"/>
              </w:rPr>
              <w:t xml:space="preserve">Does not recognise any licences from any </w:t>
            </w:r>
            <w:r>
              <w:rPr>
                <w:sz w:val="19"/>
                <w:szCs w:val="19"/>
              </w:rPr>
              <w:t xml:space="preserve">other </w:t>
            </w:r>
            <w:r w:rsidR="0012682B">
              <w:rPr>
                <w:sz w:val="19"/>
                <w:szCs w:val="19"/>
              </w:rPr>
              <w:t>state</w:t>
            </w:r>
            <w:r>
              <w:rPr>
                <w:sz w:val="19"/>
                <w:szCs w:val="19"/>
              </w:rPr>
              <w:t xml:space="preserve"> under the AMR scheme</w:t>
            </w:r>
            <w:r w:rsidRPr="00C31AE3">
              <w:rPr>
                <w:sz w:val="19"/>
                <w:szCs w:val="19"/>
              </w:rPr>
              <w:t>.</w:t>
            </w:r>
            <w:r>
              <w:rPr>
                <w:sz w:val="19"/>
                <w:szCs w:val="19"/>
              </w:rPr>
              <w:t xml:space="preserve"> However, does automatically recognise certain electrical licences through external equivalence under the Electrical Safety Regulation 2013 (Qld)</w:t>
            </w:r>
            <w:r w:rsidR="00614E14">
              <w:rPr>
                <w:sz w:val="19"/>
                <w:szCs w:val="19"/>
              </w:rPr>
              <w:t>.</w:t>
            </w:r>
            <w:r w:rsidRPr="007D69F7">
              <w:rPr>
                <w:rStyle w:val="FootnoteReference"/>
                <w:szCs w:val="19"/>
                <w:vertAlign w:val="superscript"/>
              </w:rPr>
              <w:footnoteReference w:id="42"/>
            </w:r>
          </w:p>
        </w:tc>
        <w:tc>
          <w:tcPr>
            <w:tcW w:w="2552" w:type="dxa"/>
          </w:tcPr>
          <w:p w14:paraId="7A9E5BF4" w14:textId="4E087890" w:rsidR="007000BB" w:rsidRPr="00C31AE3" w:rsidRDefault="007C0AE0">
            <w:pPr>
              <w:rPr>
                <w:sz w:val="19"/>
                <w:szCs w:val="19"/>
              </w:rPr>
            </w:pPr>
            <w:r>
              <w:rPr>
                <w:sz w:val="19"/>
                <w:szCs w:val="19"/>
              </w:rPr>
              <w:t>N/A for AMR</w:t>
            </w:r>
            <w:r w:rsidR="006C0C1B">
              <w:rPr>
                <w:sz w:val="19"/>
                <w:szCs w:val="19"/>
              </w:rPr>
              <w:t>.</w:t>
            </w:r>
          </w:p>
        </w:tc>
        <w:tc>
          <w:tcPr>
            <w:tcW w:w="1701" w:type="dxa"/>
          </w:tcPr>
          <w:p w14:paraId="283A9D86" w14:textId="4FEE2CDF" w:rsidR="007000BB" w:rsidRPr="00C31AE3" w:rsidRDefault="00B837AE">
            <w:pPr>
              <w:rPr>
                <w:sz w:val="19"/>
                <w:szCs w:val="19"/>
              </w:rPr>
            </w:pPr>
            <w:r>
              <w:rPr>
                <w:sz w:val="19"/>
                <w:szCs w:val="19"/>
              </w:rPr>
              <w:t xml:space="preserve">N/A for AMR. </w:t>
            </w:r>
            <w:r w:rsidR="002541C0" w:rsidRPr="002541C0">
              <w:rPr>
                <w:sz w:val="19"/>
                <w:szCs w:val="19"/>
              </w:rPr>
              <w:t>Certain licence classes from states recognised under external equivalence</w:t>
            </w:r>
            <w:r w:rsidR="002541C0">
              <w:rPr>
                <w:sz w:val="19"/>
                <w:szCs w:val="19"/>
              </w:rPr>
              <w:t>.</w:t>
            </w:r>
          </w:p>
        </w:tc>
      </w:tr>
      <w:tr w:rsidR="008A6A1E" w14:paraId="72FADEE7" w14:textId="77777777" w:rsidTr="000F500D">
        <w:trPr>
          <w:trHeight w:val="815"/>
        </w:trPr>
        <w:tc>
          <w:tcPr>
            <w:tcW w:w="1271" w:type="dxa"/>
            <w:vAlign w:val="center"/>
          </w:tcPr>
          <w:p w14:paraId="65AD28E9" w14:textId="77777777" w:rsidR="00AA5E1F" w:rsidRPr="00C31AE3" w:rsidRDefault="00AA5E1F" w:rsidP="00AA5E1F">
            <w:pPr>
              <w:jc w:val="center"/>
              <w:rPr>
                <w:b/>
                <w:bCs/>
                <w:sz w:val="19"/>
                <w:szCs w:val="19"/>
              </w:rPr>
            </w:pPr>
            <w:r w:rsidRPr="00C31AE3">
              <w:rPr>
                <w:b/>
                <w:bCs/>
                <w:sz w:val="19"/>
                <w:szCs w:val="19"/>
              </w:rPr>
              <w:t>Western Australia</w:t>
            </w:r>
          </w:p>
        </w:tc>
        <w:tc>
          <w:tcPr>
            <w:tcW w:w="3402" w:type="dxa"/>
          </w:tcPr>
          <w:p w14:paraId="3F075434" w14:textId="607C507C" w:rsidR="00AA5E1F" w:rsidRPr="00C31AE3" w:rsidRDefault="00AA5E1F" w:rsidP="00AA5E1F">
            <w:pPr>
              <w:rPr>
                <w:sz w:val="19"/>
                <w:szCs w:val="19"/>
              </w:rPr>
            </w:pPr>
            <w:r w:rsidRPr="00C31AE3">
              <w:rPr>
                <w:sz w:val="19"/>
                <w:szCs w:val="19"/>
              </w:rPr>
              <w:t xml:space="preserve">Does not </w:t>
            </w:r>
            <w:r w:rsidR="00B36924">
              <w:rPr>
                <w:sz w:val="19"/>
                <w:szCs w:val="19"/>
              </w:rPr>
              <w:t xml:space="preserve">automatically </w:t>
            </w:r>
            <w:r w:rsidRPr="00C31AE3">
              <w:rPr>
                <w:sz w:val="19"/>
                <w:szCs w:val="19"/>
              </w:rPr>
              <w:t xml:space="preserve">recognise electrical licences from any </w:t>
            </w:r>
            <w:r>
              <w:rPr>
                <w:sz w:val="19"/>
                <w:szCs w:val="19"/>
              </w:rPr>
              <w:t>other</w:t>
            </w:r>
            <w:r w:rsidRPr="00C31AE3">
              <w:rPr>
                <w:sz w:val="19"/>
                <w:szCs w:val="19"/>
              </w:rPr>
              <w:t xml:space="preserve"> </w:t>
            </w:r>
            <w:r w:rsidR="0012682B">
              <w:rPr>
                <w:sz w:val="19"/>
                <w:szCs w:val="19"/>
              </w:rPr>
              <w:t>state</w:t>
            </w:r>
            <w:r w:rsidRPr="00C31AE3">
              <w:rPr>
                <w:sz w:val="19"/>
                <w:szCs w:val="19"/>
              </w:rPr>
              <w:t>.</w:t>
            </w:r>
          </w:p>
        </w:tc>
        <w:tc>
          <w:tcPr>
            <w:tcW w:w="2552" w:type="dxa"/>
          </w:tcPr>
          <w:p w14:paraId="17361567" w14:textId="77777777" w:rsidR="00AA5E1F" w:rsidRPr="00C31AE3" w:rsidRDefault="00AA5E1F" w:rsidP="00AA5E1F">
            <w:pPr>
              <w:rPr>
                <w:sz w:val="19"/>
                <w:szCs w:val="19"/>
              </w:rPr>
            </w:pPr>
            <w:r w:rsidRPr="00C31AE3">
              <w:rPr>
                <w:sz w:val="19"/>
                <w:szCs w:val="19"/>
              </w:rPr>
              <w:t>N/A</w:t>
            </w:r>
          </w:p>
        </w:tc>
        <w:tc>
          <w:tcPr>
            <w:tcW w:w="1701" w:type="dxa"/>
          </w:tcPr>
          <w:p w14:paraId="10DFC0FA" w14:textId="7B31A220" w:rsidR="00AA5E1F" w:rsidRPr="00C31AE3" w:rsidRDefault="00AA5E1F" w:rsidP="00AA5E1F">
            <w:pPr>
              <w:rPr>
                <w:sz w:val="19"/>
                <w:szCs w:val="19"/>
              </w:rPr>
            </w:pPr>
            <w:r w:rsidRPr="00C31AE3">
              <w:rPr>
                <w:sz w:val="19"/>
                <w:szCs w:val="19"/>
              </w:rPr>
              <w:t>N/A</w:t>
            </w:r>
          </w:p>
        </w:tc>
      </w:tr>
      <w:tr w:rsidR="008A6A1E" w14:paraId="0D507AAD" w14:textId="77777777" w:rsidTr="000F500D">
        <w:trPr>
          <w:trHeight w:val="1094"/>
        </w:trPr>
        <w:tc>
          <w:tcPr>
            <w:tcW w:w="1271" w:type="dxa"/>
            <w:vAlign w:val="center"/>
          </w:tcPr>
          <w:p w14:paraId="071D40EF" w14:textId="77777777" w:rsidR="00AA5E1F" w:rsidRPr="00C31AE3" w:rsidRDefault="00AA5E1F" w:rsidP="00AA5E1F">
            <w:pPr>
              <w:jc w:val="center"/>
              <w:rPr>
                <w:b/>
                <w:bCs/>
                <w:sz w:val="19"/>
                <w:szCs w:val="19"/>
              </w:rPr>
            </w:pPr>
            <w:r w:rsidRPr="00C31AE3">
              <w:rPr>
                <w:b/>
                <w:bCs/>
                <w:sz w:val="19"/>
                <w:szCs w:val="19"/>
              </w:rPr>
              <w:t>A</w:t>
            </w:r>
            <w:r>
              <w:rPr>
                <w:b/>
                <w:bCs/>
                <w:sz w:val="19"/>
                <w:szCs w:val="19"/>
              </w:rPr>
              <w:t>ustralian Capital Territory</w:t>
            </w:r>
          </w:p>
        </w:tc>
        <w:tc>
          <w:tcPr>
            <w:tcW w:w="3402" w:type="dxa"/>
          </w:tcPr>
          <w:p w14:paraId="0850B325" w14:textId="0C087942" w:rsidR="00AA5E1F" w:rsidRPr="00C31AE3" w:rsidRDefault="00AA5E1F" w:rsidP="00AA5E1F">
            <w:pPr>
              <w:rPr>
                <w:sz w:val="19"/>
                <w:szCs w:val="19"/>
              </w:rPr>
            </w:pPr>
            <w:r w:rsidRPr="00C31AE3">
              <w:rPr>
                <w:sz w:val="19"/>
                <w:szCs w:val="19"/>
              </w:rPr>
              <w:t>Does not</w:t>
            </w:r>
            <w:r w:rsidR="004B38F5">
              <w:rPr>
                <w:sz w:val="19"/>
                <w:szCs w:val="19"/>
              </w:rPr>
              <w:t xml:space="preserve"> automatically</w:t>
            </w:r>
            <w:r w:rsidRPr="00C31AE3">
              <w:rPr>
                <w:sz w:val="19"/>
                <w:szCs w:val="19"/>
              </w:rPr>
              <w:t xml:space="preserve"> recognise electrical licences from any </w:t>
            </w:r>
            <w:r>
              <w:rPr>
                <w:sz w:val="19"/>
                <w:szCs w:val="19"/>
              </w:rPr>
              <w:t xml:space="preserve">other </w:t>
            </w:r>
            <w:r w:rsidR="0012682B">
              <w:rPr>
                <w:sz w:val="19"/>
                <w:szCs w:val="19"/>
              </w:rPr>
              <w:t>state</w:t>
            </w:r>
            <w:r w:rsidRPr="00C31AE3">
              <w:rPr>
                <w:sz w:val="19"/>
                <w:szCs w:val="19"/>
              </w:rPr>
              <w:t>.</w:t>
            </w:r>
          </w:p>
        </w:tc>
        <w:tc>
          <w:tcPr>
            <w:tcW w:w="2552" w:type="dxa"/>
          </w:tcPr>
          <w:p w14:paraId="1AF54D43" w14:textId="77777777" w:rsidR="00AA5E1F" w:rsidRPr="00C31AE3" w:rsidRDefault="00AA5E1F" w:rsidP="00AA5E1F">
            <w:pPr>
              <w:rPr>
                <w:sz w:val="19"/>
                <w:szCs w:val="19"/>
              </w:rPr>
            </w:pPr>
            <w:r w:rsidRPr="00C31AE3">
              <w:rPr>
                <w:sz w:val="19"/>
                <w:szCs w:val="19"/>
              </w:rPr>
              <w:t>N/A</w:t>
            </w:r>
          </w:p>
        </w:tc>
        <w:tc>
          <w:tcPr>
            <w:tcW w:w="1701" w:type="dxa"/>
          </w:tcPr>
          <w:p w14:paraId="4FA1CD5E" w14:textId="77777777" w:rsidR="00AA5E1F" w:rsidRPr="00C31AE3" w:rsidRDefault="00AA5E1F" w:rsidP="00AA5E1F">
            <w:pPr>
              <w:rPr>
                <w:sz w:val="19"/>
                <w:szCs w:val="19"/>
              </w:rPr>
            </w:pPr>
            <w:r w:rsidRPr="00C31AE3">
              <w:rPr>
                <w:sz w:val="19"/>
                <w:szCs w:val="19"/>
              </w:rPr>
              <w:t>N/A</w:t>
            </w:r>
          </w:p>
        </w:tc>
      </w:tr>
    </w:tbl>
    <w:p w14:paraId="0C7885DD" w14:textId="51CD8C5C" w:rsidR="00935E6E" w:rsidRDefault="00935E6E" w:rsidP="00935E6E">
      <w:r>
        <w:lastRenderedPageBreak/>
        <w:t xml:space="preserve">Further, </w:t>
      </w:r>
      <w:r w:rsidR="00E143AA">
        <w:t xml:space="preserve">even in </w:t>
      </w:r>
      <w:r>
        <w:t>jurisdictions that have enacted the AMR scheme in full</w:t>
      </w:r>
      <w:r w:rsidR="001B1A64">
        <w:t>, licensees</w:t>
      </w:r>
      <w:r>
        <w:t xml:space="preserve"> may still </w:t>
      </w:r>
      <w:r w:rsidR="001B1A64">
        <w:t>face</w:t>
      </w:r>
      <w:r>
        <w:t xml:space="preserve"> additional requirements which can impede labour mobility. Examples include requiring licensees to:</w:t>
      </w:r>
    </w:p>
    <w:p w14:paraId="06B41F65" w14:textId="77777777" w:rsidR="00935E6E" w:rsidRPr="00AC2B08" w:rsidRDefault="00935E6E" w:rsidP="00935E6E">
      <w:pPr>
        <w:pStyle w:val="ListParagraph"/>
        <w:numPr>
          <w:ilvl w:val="0"/>
          <w:numId w:val="30"/>
        </w:numPr>
        <w:spacing w:before="0" w:after="160" w:line="259" w:lineRule="auto"/>
        <w:rPr>
          <w:rFonts w:cs="Calibri Light"/>
        </w:rPr>
      </w:pPr>
      <w:r w:rsidRPr="00AC2B08">
        <w:rPr>
          <w:rFonts w:cs="Calibri Light"/>
        </w:rPr>
        <w:t>work within the scope of their home licence only</w:t>
      </w:r>
    </w:p>
    <w:p w14:paraId="730A31E6" w14:textId="4F9C6FEC" w:rsidR="00935E6E" w:rsidRPr="00D650E6" w:rsidRDefault="00935E6E" w:rsidP="00D650E6">
      <w:pPr>
        <w:pStyle w:val="ListParagraph"/>
        <w:numPr>
          <w:ilvl w:val="0"/>
          <w:numId w:val="30"/>
        </w:numPr>
        <w:spacing w:before="0" w:after="160" w:line="259" w:lineRule="auto"/>
        <w:rPr>
          <w:rFonts w:cs="Calibri Light"/>
        </w:rPr>
      </w:pPr>
      <w:r w:rsidRPr="00AC2B08">
        <w:rPr>
          <w:rFonts w:cs="Calibri Light"/>
        </w:rPr>
        <w:t xml:space="preserve">notify the regulator in the jurisdiction they intend to work in, including separate processes for practitioner and contractor licences in some </w:t>
      </w:r>
      <w:r w:rsidRPr="000D0ED8">
        <w:rPr>
          <w:rFonts w:cs="Calibri Light"/>
        </w:rPr>
        <w:t>jurisdictions</w:t>
      </w:r>
    </w:p>
    <w:p w14:paraId="69292848" w14:textId="7DFE61B2" w:rsidR="00935E6E" w:rsidRPr="00EB0267" w:rsidRDefault="00935E6E" w:rsidP="00935E6E">
      <w:pPr>
        <w:pStyle w:val="ListParagraph"/>
        <w:numPr>
          <w:ilvl w:val="0"/>
          <w:numId w:val="30"/>
        </w:numPr>
        <w:spacing w:before="0" w:after="160" w:line="259" w:lineRule="auto"/>
        <w:rPr>
          <w:rFonts w:cs="Calibri Light"/>
        </w:rPr>
      </w:pPr>
      <w:r w:rsidRPr="00AC2B08">
        <w:rPr>
          <w:rFonts w:cs="Calibri Light"/>
        </w:rPr>
        <w:t>undertake complex and expensive processes when seeking recognition of international electrical licences, including additional training and testing.</w:t>
      </w:r>
    </w:p>
    <w:p w14:paraId="35C757AF" w14:textId="77777777" w:rsidR="00A519D0" w:rsidRDefault="00A519D0" w:rsidP="00A519D0">
      <w:pPr>
        <w:pStyle w:val="Heading4"/>
      </w:pPr>
      <w:r w:rsidRPr="00E93F0A">
        <w:t xml:space="preserve">Collective impact of </w:t>
      </w:r>
      <w:r>
        <w:t>these arrangements on labour mobility across jurisdictions</w:t>
      </w:r>
    </w:p>
    <w:p w14:paraId="3B7BA978" w14:textId="77777777" w:rsidR="00A519D0" w:rsidRDefault="00A519D0" w:rsidP="00A519D0">
      <w:r>
        <w:t xml:space="preserve">Under the current framework, electrical workers based in any state (excluding Queensland) have the option to work in Victoria, the Northern Territory, South Australia and Tasmania using their interstate licence under AMR after notifying the relevant state regulator. </w:t>
      </w:r>
    </w:p>
    <w:p w14:paraId="79FB23CE" w14:textId="017D42AA" w:rsidR="005700B1" w:rsidRDefault="00A519D0" w:rsidP="005700B1">
      <w:r>
        <w:t>While licensed electrical workers from WA and the ACT can</w:t>
      </w:r>
      <w:r w:rsidR="00935EAE">
        <w:t xml:space="preserve"> automatically</w:t>
      </w:r>
      <w:r>
        <w:t xml:space="preserve"> work in each of these states under their home state licence, the reverse </w:t>
      </w:r>
      <w:r w:rsidR="00C13807">
        <w:t>is not true</w:t>
      </w:r>
      <w:r>
        <w:t xml:space="preserve">. Specifically, the ACT and WA </w:t>
      </w:r>
      <w:r w:rsidR="00704BE5">
        <w:t>exe</w:t>
      </w:r>
      <w:r w:rsidR="00391010">
        <w:t>mpt</w:t>
      </w:r>
      <w:r w:rsidR="00704BE5">
        <w:t xml:space="preserve"> </w:t>
      </w:r>
      <w:r>
        <w:t xml:space="preserve">electricians as an eligible occupation under the </w:t>
      </w:r>
      <w:r w:rsidR="00733C84">
        <w:t xml:space="preserve">AMR </w:t>
      </w:r>
      <w:r>
        <w:t xml:space="preserve">scheme. </w:t>
      </w:r>
      <w:r w:rsidR="005700B1">
        <w:t>Electricians who wish to work in WA or the ACT</w:t>
      </w:r>
      <w:r w:rsidR="00424622">
        <w:t xml:space="preserve"> </w:t>
      </w:r>
      <w:r w:rsidR="00B7074E">
        <w:t>rely on the</w:t>
      </w:r>
      <w:r w:rsidR="005700B1">
        <w:t xml:space="preserve"> (manual) mutual recognition scheme, which requires applicants to </w:t>
      </w:r>
      <w:r w:rsidR="0043205E">
        <w:t xml:space="preserve">make an application and </w:t>
      </w:r>
      <w:r w:rsidR="005700B1">
        <w:t xml:space="preserve">pay an additional licensing fee to obtain the right to work in these states. </w:t>
      </w:r>
    </w:p>
    <w:p w14:paraId="122132B8" w14:textId="32997F56" w:rsidR="00A519D0" w:rsidRDefault="00A519D0" w:rsidP="00A519D0">
      <w:r>
        <w:t xml:space="preserve">Similarly, the option to work in NSW defaults to mutual recognition for workers without a home licence recognised under the East Coast Electricians Scheme.  </w:t>
      </w:r>
    </w:p>
    <w:p w14:paraId="1EA37352" w14:textId="2792DE63" w:rsidR="00A519D0" w:rsidRDefault="00A519D0" w:rsidP="00A519D0">
      <w:r>
        <w:t>Recognising that Queensland does not participate in AMR, and that electrical workers are excluded as an eligible occupation under the AMR scheme in WA and the ACT, the current scheme</w:t>
      </w:r>
      <w:r w:rsidRPr="00956E28">
        <w:t xml:space="preserve"> </w:t>
      </w:r>
      <w:r>
        <w:t xml:space="preserve">does not allow for the seamless transition of electrical workers across </w:t>
      </w:r>
      <w:r w:rsidR="00AF3DC7">
        <w:t>Australia as a whole</w:t>
      </w:r>
      <w:r>
        <w:t xml:space="preserve">. </w:t>
      </w:r>
    </w:p>
    <w:p w14:paraId="3042D2E2" w14:textId="77777777" w:rsidR="00A519D0" w:rsidRDefault="00A519D0" w:rsidP="00A519D0">
      <w:r w:rsidRPr="00074B8F">
        <w:rPr>
          <w:rFonts w:cs="Calibri Light"/>
        </w:rPr>
        <w:t xml:space="preserve">Given that there are significant inconsistencies in the application of automatic and mutual recognition schemes on </w:t>
      </w:r>
      <w:r w:rsidRPr="00243118">
        <w:rPr>
          <w:rFonts w:cs="Calibri Light"/>
        </w:rPr>
        <w:t>electrical</w:t>
      </w:r>
      <w:r w:rsidRPr="00074B8F">
        <w:rPr>
          <w:rFonts w:cs="Calibri Light"/>
        </w:rPr>
        <w:t xml:space="preserve"> workers, we are interested in</w:t>
      </w:r>
      <w:r>
        <w:rPr>
          <w:rFonts w:cs="Calibri Light"/>
        </w:rPr>
        <w:t xml:space="preserve"> hearing from industry and electricians about their experience working across jurisdictions, or where there may be barriers</w:t>
      </w:r>
      <w:r w:rsidRPr="00243118">
        <w:t xml:space="preserve"> </w:t>
      </w:r>
      <w:r>
        <w:t>that limit the effectiveness of existing AMR and mutual recognition arrangements.</w:t>
      </w:r>
    </w:p>
    <w:tbl>
      <w:tblPr>
        <w:tblStyle w:val="TableGrid"/>
        <w:tblW w:w="9201" w:type="dxa"/>
        <w:tblLook w:val="0480" w:firstRow="0" w:lastRow="0" w:firstColumn="1" w:lastColumn="0" w:noHBand="0" w:noVBand="1"/>
      </w:tblPr>
      <w:tblGrid>
        <w:gridCol w:w="9201"/>
      </w:tblGrid>
      <w:tr w:rsidR="00A519D0" w14:paraId="59158E6D" w14:textId="77777777" w:rsidTr="00AF3DC7">
        <w:trPr>
          <w:trHeight w:val="567"/>
        </w:trPr>
        <w:tc>
          <w:tcPr>
            <w:tcW w:w="0" w:type="dxa"/>
            <w:tcBorders>
              <w:top w:val="nil"/>
              <w:left w:val="nil"/>
              <w:bottom w:val="nil"/>
              <w:right w:val="nil"/>
            </w:tcBorders>
            <w:shd w:val="clear" w:color="auto" w:fill="D8E6DF" w:themeFill="accent2" w:themeFillTint="33"/>
          </w:tcPr>
          <w:p w14:paraId="0EA10564" w14:textId="77777777" w:rsidR="00A519D0" w:rsidRPr="0050083C" w:rsidRDefault="00A519D0">
            <w:pPr>
              <w:spacing w:before="96" w:after="96"/>
              <w:rPr>
                <w:rFonts w:cs="Calibri Light"/>
                <w:b/>
              </w:rPr>
            </w:pPr>
            <w:r w:rsidRPr="0050083C">
              <w:rPr>
                <w:rFonts w:cs="Calibri Light"/>
                <w:b/>
              </w:rPr>
              <w:t>Questions</w:t>
            </w:r>
          </w:p>
          <w:p w14:paraId="1E73A865" w14:textId="27278735" w:rsidR="00F44D83" w:rsidRPr="00AA5201" w:rsidRDefault="00F44D83" w:rsidP="00AA5201">
            <w:pPr>
              <w:pStyle w:val="Bullet"/>
              <w:numPr>
                <w:ilvl w:val="0"/>
                <w:numId w:val="35"/>
              </w:numPr>
              <w:spacing w:before="96" w:after="96"/>
              <w:rPr>
                <w:sz w:val="20"/>
              </w:rPr>
            </w:pPr>
            <w:r w:rsidRPr="00AA5201">
              <w:rPr>
                <w:sz w:val="20"/>
              </w:rPr>
              <w:t xml:space="preserve">Have you or someone you </w:t>
            </w:r>
            <w:r w:rsidR="0035233C">
              <w:rPr>
                <w:sz w:val="20"/>
              </w:rPr>
              <w:t>employed</w:t>
            </w:r>
            <w:r w:rsidR="0035233C" w:rsidRPr="00AA5201">
              <w:rPr>
                <w:sz w:val="20"/>
              </w:rPr>
              <w:t xml:space="preserve"> </w:t>
            </w:r>
            <w:r w:rsidRPr="00AA5201">
              <w:rPr>
                <w:sz w:val="20"/>
              </w:rPr>
              <w:t xml:space="preserve">worked outside of your home state? What barriers or challenges did you face? </w:t>
            </w:r>
          </w:p>
          <w:p w14:paraId="560FF312" w14:textId="49331F15" w:rsidR="00F44D83" w:rsidRPr="00AA5201" w:rsidRDefault="00F44D83" w:rsidP="00AA5201">
            <w:pPr>
              <w:pStyle w:val="Bullet"/>
              <w:numPr>
                <w:ilvl w:val="0"/>
                <w:numId w:val="35"/>
              </w:numPr>
              <w:spacing w:before="96" w:after="96"/>
              <w:rPr>
                <w:sz w:val="20"/>
              </w:rPr>
            </w:pPr>
            <w:r w:rsidRPr="00AA5201">
              <w:rPr>
                <w:sz w:val="20"/>
              </w:rPr>
              <w:t xml:space="preserve">Do electrical licence types align well across jurisdictions? If not, </w:t>
            </w:r>
            <w:r w:rsidR="008434DA">
              <w:rPr>
                <w:sz w:val="20"/>
              </w:rPr>
              <w:t>how has that</w:t>
            </w:r>
            <w:r w:rsidR="008B25A8">
              <w:rPr>
                <w:sz w:val="20"/>
              </w:rPr>
              <w:t xml:space="preserve"> impact</w:t>
            </w:r>
            <w:r w:rsidR="008434DA">
              <w:rPr>
                <w:sz w:val="20"/>
              </w:rPr>
              <w:t>ed</w:t>
            </w:r>
            <w:r w:rsidR="00E11FCB">
              <w:rPr>
                <w:sz w:val="20"/>
              </w:rPr>
              <w:t xml:space="preserve"> </w:t>
            </w:r>
            <w:r w:rsidR="008434DA">
              <w:rPr>
                <w:sz w:val="20"/>
              </w:rPr>
              <w:t xml:space="preserve">the </w:t>
            </w:r>
            <w:r w:rsidR="008B25A8">
              <w:rPr>
                <w:sz w:val="20"/>
              </w:rPr>
              <w:t>ability</w:t>
            </w:r>
            <w:r w:rsidR="008434DA">
              <w:rPr>
                <w:sz w:val="20"/>
              </w:rPr>
              <w:t xml:space="preserve"> for you or someone you employ</w:t>
            </w:r>
            <w:r w:rsidR="00F23E89">
              <w:rPr>
                <w:sz w:val="20"/>
              </w:rPr>
              <w:t xml:space="preserve"> </w:t>
            </w:r>
            <w:r w:rsidRPr="00AA5201">
              <w:rPr>
                <w:sz w:val="20"/>
              </w:rPr>
              <w:t xml:space="preserve">to work across states? </w:t>
            </w:r>
          </w:p>
          <w:p w14:paraId="662FF6A2" w14:textId="755DDA73" w:rsidR="00A519D0" w:rsidRPr="00AA5201" w:rsidRDefault="00F44D83" w:rsidP="00AA5201">
            <w:pPr>
              <w:pStyle w:val="Bullet"/>
              <w:numPr>
                <w:ilvl w:val="0"/>
                <w:numId w:val="35"/>
              </w:numPr>
              <w:spacing w:before="96" w:after="96"/>
              <w:rPr>
                <w:sz w:val="20"/>
              </w:rPr>
            </w:pPr>
            <w:r w:rsidRPr="00AA5201">
              <w:rPr>
                <w:sz w:val="20"/>
              </w:rPr>
              <w:t>Does</w:t>
            </w:r>
            <w:r w:rsidR="00A519D0" w:rsidRPr="00AA5201">
              <w:rPr>
                <w:sz w:val="20"/>
              </w:rPr>
              <w:t xml:space="preserve"> electrical training differ significantly across jurisdictions</w:t>
            </w:r>
            <w:r w:rsidR="0037028C" w:rsidRPr="00AA5201">
              <w:rPr>
                <w:sz w:val="20"/>
              </w:rPr>
              <w:t xml:space="preserve"> or </w:t>
            </w:r>
            <w:r w:rsidR="00074290" w:rsidRPr="00AA5201">
              <w:rPr>
                <w:sz w:val="20"/>
              </w:rPr>
              <w:t>training providers</w:t>
            </w:r>
            <w:r w:rsidR="00982A6C" w:rsidRPr="00AA5201">
              <w:rPr>
                <w:sz w:val="20"/>
              </w:rPr>
              <w:t>?</w:t>
            </w:r>
            <w:r w:rsidR="00A519D0" w:rsidRPr="00AA5201">
              <w:rPr>
                <w:sz w:val="20"/>
              </w:rPr>
              <w:t xml:space="preserve"> </w:t>
            </w:r>
            <w:r w:rsidRPr="00AA5201">
              <w:rPr>
                <w:sz w:val="20"/>
              </w:rPr>
              <w:t xml:space="preserve">If so, </w:t>
            </w:r>
            <w:r w:rsidR="002162B6">
              <w:rPr>
                <w:sz w:val="20"/>
              </w:rPr>
              <w:t>how has that impacted the</w:t>
            </w:r>
            <w:r w:rsidR="008B25A8">
              <w:rPr>
                <w:sz w:val="20"/>
              </w:rPr>
              <w:t xml:space="preserve"> ability</w:t>
            </w:r>
            <w:r w:rsidR="002162B6">
              <w:rPr>
                <w:sz w:val="20"/>
              </w:rPr>
              <w:t xml:space="preserve"> for you or someone you employ</w:t>
            </w:r>
            <w:r w:rsidR="0035233C">
              <w:rPr>
                <w:sz w:val="20"/>
              </w:rPr>
              <w:t xml:space="preserve"> </w:t>
            </w:r>
            <w:r w:rsidRPr="00AA5201">
              <w:rPr>
                <w:sz w:val="20"/>
              </w:rPr>
              <w:t>to work across states?</w:t>
            </w:r>
          </w:p>
        </w:tc>
      </w:tr>
    </w:tbl>
    <w:p w14:paraId="2B05C2D1" w14:textId="77777777" w:rsidR="00A519D0" w:rsidRPr="00EE38F5" w:rsidRDefault="00A519D0" w:rsidP="00A519D0">
      <w:pPr>
        <w:pStyle w:val="Heading3"/>
      </w:pPr>
      <w:bookmarkStart w:id="46" w:name="_Toc199402820"/>
      <w:bookmarkStart w:id="47" w:name="_Toc207008660"/>
      <w:r w:rsidRPr="00EE38F5">
        <w:t>Safety outcomes</w:t>
      </w:r>
      <w:bookmarkEnd w:id="46"/>
      <w:bookmarkEnd w:id="47"/>
    </w:p>
    <w:p w14:paraId="170F8FE3" w14:textId="77777777" w:rsidR="00A519D0" w:rsidRDefault="00A519D0" w:rsidP="00A519D0">
      <w:r>
        <w:t>E</w:t>
      </w:r>
      <w:r w:rsidRPr="006E743B">
        <w:t xml:space="preserve">lectricity </w:t>
      </w:r>
      <w:r>
        <w:t>is</w:t>
      </w:r>
      <w:r w:rsidRPr="006E743B">
        <w:t xml:space="preserve"> an essential part of modern life</w:t>
      </w:r>
      <w:r>
        <w:t xml:space="preserve"> but</w:t>
      </w:r>
      <w:r w:rsidRPr="006E743B">
        <w:t xml:space="preserve"> is inherently hazardous and brings risk</w:t>
      </w:r>
      <w:r>
        <w:t xml:space="preserve">s </w:t>
      </w:r>
      <w:r w:rsidRPr="006E743B">
        <w:t>associated with electric shock</w:t>
      </w:r>
      <w:r>
        <w:t>, working at height and potentially, fire</w:t>
      </w:r>
      <w:r w:rsidRPr="006E743B">
        <w:t>.</w:t>
      </w:r>
      <w:r>
        <w:t xml:space="preserve"> F</w:t>
      </w:r>
      <w:r w:rsidRPr="00D812A7">
        <w:t>aulty</w:t>
      </w:r>
      <w:r>
        <w:t xml:space="preserve"> electrical</w:t>
      </w:r>
      <w:r w:rsidRPr="00D812A7">
        <w:t xml:space="preserve"> installation or maintenance </w:t>
      </w:r>
      <w:r>
        <w:t>can</w:t>
      </w:r>
      <w:r w:rsidRPr="00D812A7">
        <w:t xml:space="preserve"> cause injury or death to workers, consumers and the public</w:t>
      </w:r>
      <w:r>
        <w:t xml:space="preserve"> and damage to property</w:t>
      </w:r>
      <w:r w:rsidRPr="00D812A7">
        <w:t>.</w:t>
      </w:r>
      <w:r w:rsidRPr="00D867B0">
        <w:rPr>
          <w:rStyle w:val="FootnoteReference"/>
          <w:sz w:val="22"/>
          <w:szCs w:val="22"/>
          <w:vertAlign w:val="superscript"/>
        </w:rPr>
        <w:footnoteReference w:id="43"/>
      </w:r>
    </w:p>
    <w:p w14:paraId="4B0FC7A3" w14:textId="1B5A2CA7" w:rsidR="00A519D0" w:rsidRDefault="00A519D0" w:rsidP="00A519D0">
      <w:r>
        <w:lastRenderedPageBreak/>
        <w:t>From 2000-01 to 2023-24, Australian electrical deaths per million people declined from 1.79 to 0.37.</w:t>
      </w:r>
      <w:r w:rsidRPr="00D867B0">
        <w:rPr>
          <w:rStyle w:val="FootnoteReference"/>
          <w:sz w:val="22"/>
          <w:szCs w:val="22"/>
          <w:vertAlign w:val="superscript"/>
        </w:rPr>
        <w:footnoteReference w:id="44"/>
      </w:r>
      <w:r>
        <w:t xml:space="preserve"> Consumer appliances or equipment were involved in about twice the fatalities than electricity supplier assets, and more than 90 per cent of deaths associated with electricity networks were as a result of working on or near energised overhead conductors.</w:t>
      </w:r>
      <w:r w:rsidRPr="00D867B0">
        <w:rPr>
          <w:rStyle w:val="FootnoteReference"/>
          <w:sz w:val="22"/>
          <w:szCs w:val="22"/>
          <w:vertAlign w:val="superscript"/>
        </w:rPr>
        <w:footnoteReference w:id="45"/>
      </w:r>
      <w:r>
        <w:t xml:space="preserve"> A comparison of electrical safety outcomes by jurisdiction is provided below (</w:t>
      </w:r>
      <w:r w:rsidR="004F0E20">
        <w:t>T</w:t>
      </w:r>
      <w:r>
        <w:t>able 3).</w:t>
      </w:r>
    </w:p>
    <w:p w14:paraId="1E5605C7" w14:textId="77777777" w:rsidR="00516DAD" w:rsidRDefault="00516DAD" w:rsidP="00516DAD">
      <w:r>
        <w:t>Governments have attempted to address t</w:t>
      </w:r>
      <w:r w:rsidRPr="00080A20">
        <w:t xml:space="preserve">he risks associated with electrical work </w:t>
      </w:r>
      <w:r>
        <w:t>through various mechanisms</w:t>
      </w:r>
      <w:r w:rsidRPr="00080A20">
        <w:t xml:space="preserve"> including occupational licensing, </w:t>
      </w:r>
      <w:r>
        <w:t>workplace</w:t>
      </w:r>
      <w:r w:rsidRPr="00080A20">
        <w:t xml:space="preserve"> health and safety</w:t>
      </w:r>
      <w:r>
        <w:t xml:space="preserve"> (WHS)</w:t>
      </w:r>
      <w:r w:rsidRPr="00080A20">
        <w:t xml:space="preserve"> regulation, and standards and codes for undertaking work.</w:t>
      </w:r>
      <w:r>
        <w:t xml:space="preserve"> A 2013 Decision Regulatory Impact Statement (DRIS) on the previous national</w:t>
      </w:r>
      <w:r w:rsidRPr="004D0356">
        <w:t xml:space="preserve"> licensing </w:t>
      </w:r>
      <w:r>
        <w:t>scheme argued</w:t>
      </w:r>
      <w:r w:rsidRPr="004D0356">
        <w:t xml:space="preserve"> that </w:t>
      </w:r>
      <w:r>
        <w:t xml:space="preserve">these measures </w:t>
      </w:r>
      <w:r w:rsidRPr="004D0356">
        <w:t xml:space="preserve">have </w:t>
      </w:r>
      <w:r>
        <w:t>been largely successful, pointing</w:t>
      </w:r>
      <w:r w:rsidRPr="004D0356">
        <w:t xml:space="preserve"> to </w:t>
      </w:r>
      <w:r>
        <w:t xml:space="preserve">the </w:t>
      </w:r>
      <w:r w:rsidRPr="00B16AC8">
        <w:t xml:space="preserve">relatively small number of serious </w:t>
      </w:r>
      <w:r>
        <w:t>injuries</w:t>
      </w:r>
      <w:r w:rsidRPr="00B16AC8">
        <w:t xml:space="preserve"> due to </w:t>
      </w:r>
      <w:r>
        <w:t xml:space="preserve">electrical </w:t>
      </w:r>
      <w:r w:rsidRPr="00B16AC8">
        <w:t xml:space="preserve">contact, despite </w:t>
      </w:r>
      <w:r>
        <w:t>the</w:t>
      </w:r>
      <w:r w:rsidRPr="00B16AC8">
        <w:t xml:space="preserve"> ubiquitous provision of mains supply to Australian homes and workplaces</w:t>
      </w:r>
      <w:r>
        <w:t>.</w:t>
      </w:r>
      <w:r w:rsidRPr="00D867B0">
        <w:rPr>
          <w:rStyle w:val="FootnoteReference"/>
          <w:sz w:val="22"/>
          <w:szCs w:val="22"/>
          <w:vertAlign w:val="superscript"/>
        </w:rPr>
        <w:footnoteReference w:id="46"/>
      </w:r>
      <w:r>
        <w:t xml:space="preserve"> </w:t>
      </w:r>
      <w:r w:rsidRPr="00B16AC8">
        <w:t> </w:t>
      </w:r>
    </w:p>
    <w:p w14:paraId="6528781D" w14:textId="2DE07A3C" w:rsidR="00516DAD" w:rsidRDefault="00516DAD" w:rsidP="00516DAD">
      <w:r>
        <w:t>T</w:t>
      </w:r>
      <w:r w:rsidRPr="009E5B5F">
        <w:t xml:space="preserve">he DRIS </w:t>
      </w:r>
      <w:r>
        <w:t>concluded</w:t>
      </w:r>
      <w:r w:rsidRPr="009E5B5F">
        <w:t xml:space="preserve"> that </w:t>
      </w:r>
      <w:r>
        <w:t>only a subset of electrical safety incidents w</w:t>
      </w:r>
      <w:r w:rsidR="00C64BDF">
        <w:t>as</w:t>
      </w:r>
      <w:r>
        <w:t xml:space="preserve"> attributable to the actions of licensed workers in the electrical occupations, and that there was a weak correlation between risks to consumers and different licensing models within Australia.</w:t>
      </w:r>
    </w:p>
    <w:tbl>
      <w:tblPr>
        <w:tblStyle w:val="TableGrid"/>
        <w:tblW w:w="0" w:type="auto"/>
        <w:tblLook w:val="04A0" w:firstRow="1" w:lastRow="0" w:firstColumn="1" w:lastColumn="0" w:noHBand="0" w:noVBand="1"/>
      </w:tblPr>
      <w:tblGrid>
        <w:gridCol w:w="9016"/>
      </w:tblGrid>
      <w:tr w:rsidR="00516DAD" w14:paraId="1E66F5FC" w14:textId="77777777">
        <w:trPr>
          <w:cnfStyle w:val="100000000000" w:firstRow="1" w:lastRow="0" w:firstColumn="0" w:lastColumn="0" w:oddVBand="0" w:evenVBand="0" w:oddHBand="0" w:evenHBand="0" w:firstRowFirstColumn="0" w:firstRowLastColumn="0" w:lastRowFirstColumn="0" w:lastRowLastColumn="0"/>
        </w:trPr>
        <w:tc>
          <w:tcPr>
            <w:tcW w:w="9016" w:type="dxa"/>
            <w:tcBorders>
              <w:top w:val="nil"/>
              <w:left w:val="nil"/>
              <w:bottom w:val="nil"/>
              <w:right w:val="nil"/>
            </w:tcBorders>
            <w:shd w:val="clear" w:color="auto" w:fill="D8E6DF" w:themeFill="accent2" w:themeFillTint="33"/>
          </w:tcPr>
          <w:p w14:paraId="5C94D2B1" w14:textId="77777777" w:rsidR="00516DAD" w:rsidRPr="00BF3F99" w:rsidRDefault="00516DAD">
            <w:pPr>
              <w:spacing w:before="96" w:after="96"/>
              <w:rPr>
                <w:rFonts w:cs="Calibri Light"/>
              </w:rPr>
            </w:pPr>
            <w:r w:rsidRPr="00BF3F99">
              <w:rPr>
                <w:rFonts w:cs="Calibri Light"/>
              </w:rPr>
              <w:t>Questions</w:t>
            </w:r>
          </w:p>
          <w:p w14:paraId="5463A831" w14:textId="77777777" w:rsidR="00516DAD" w:rsidRPr="00647A34" w:rsidRDefault="00516DAD" w:rsidP="008409BC">
            <w:pPr>
              <w:pStyle w:val="Bullet"/>
              <w:numPr>
                <w:ilvl w:val="0"/>
                <w:numId w:val="35"/>
              </w:numPr>
              <w:spacing w:beforeLines="40" w:before="96" w:afterLines="40" w:after="96"/>
              <w:rPr>
                <w:rFonts w:cstheme="minorHAnsi"/>
                <w:b w:val="0"/>
              </w:rPr>
            </w:pPr>
            <w:r w:rsidRPr="00647A34">
              <w:rPr>
                <w:rFonts w:cstheme="minorHAnsi"/>
                <w:b w:val="0"/>
              </w:rPr>
              <w:t>What are the main causes of electrical safety incidents?</w:t>
            </w:r>
          </w:p>
          <w:p w14:paraId="0E383C1E" w14:textId="2F05F70D" w:rsidR="00516DAD" w:rsidRPr="00AA5201" w:rsidRDefault="00516DAD" w:rsidP="008409BC">
            <w:pPr>
              <w:pStyle w:val="Bullet"/>
              <w:numPr>
                <w:ilvl w:val="0"/>
                <w:numId w:val="35"/>
              </w:numPr>
              <w:spacing w:beforeLines="40" w:before="96" w:afterLines="40" w:after="96"/>
              <w:rPr>
                <w:rFonts w:cstheme="minorHAnsi"/>
                <w:b w:val="0"/>
              </w:rPr>
            </w:pPr>
            <w:r w:rsidRPr="00647A34">
              <w:rPr>
                <w:rFonts w:cstheme="minorHAnsi"/>
                <w:b w:val="0"/>
              </w:rPr>
              <w:t>Have changes in licence rules across states and/or changes to qualifications affected electrical safety</w:t>
            </w:r>
            <w:r w:rsidR="00324DFF">
              <w:rPr>
                <w:rFonts w:cstheme="minorHAnsi"/>
                <w:b w:val="0"/>
              </w:rPr>
              <w:t xml:space="preserve"> outcomes</w:t>
            </w:r>
            <w:r w:rsidRPr="00647A34">
              <w:rPr>
                <w:rFonts w:cstheme="minorHAnsi"/>
                <w:b w:val="0"/>
              </w:rPr>
              <w:t xml:space="preserve"> over time?</w:t>
            </w:r>
          </w:p>
        </w:tc>
      </w:tr>
    </w:tbl>
    <w:p w14:paraId="3F7CACA9" w14:textId="77777777" w:rsidR="00516DAD" w:rsidRDefault="00516DAD" w:rsidP="00A519D0"/>
    <w:p w14:paraId="376A9FB1" w14:textId="77777777" w:rsidR="00A519D0" w:rsidRPr="008D30E6" w:rsidRDefault="00A519D0" w:rsidP="00E74B62">
      <w:pPr>
        <w:pStyle w:val="TableMainHeading"/>
      </w:pPr>
      <w:bookmarkStart w:id="48" w:name="_Toc207008661"/>
      <w:r w:rsidRPr="008D30E6">
        <w:rPr>
          <w:b/>
          <w:bCs/>
        </w:rPr>
        <w:lastRenderedPageBreak/>
        <w:t>Table 3</w:t>
      </w:r>
      <w:r w:rsidRPr="008D30E6">
        <w:t>: Electrical safety outcomes by jurisdiction</w:t>
      </w:r>
      <w:bookmarkEnd w:id="48"/>
    </w:p>
    <w:tbl>
      <w:tblPr>
        <w:tblStyle w:val="TableGrid"/>
        <w:tblW w:w="5000" w:type="pct"/>
        <w:tblLayout w:type="fixed"/>
        <w:tblLook w:val="04A0" w:firstRow="1" w:lastRow="0" w:firstColumn="1" w:lastColumn="0" w:noHBand="0" w:noVBand="1"/>
      </w:tblPr>
      <w:tblGrid>
        <w:gridCol w:w="2410"/>
        <w:gridCol w:w="832"/>
        <w:gridCol w:w="833"/>
        <w:gridCol w:w="833"/>
        <w:gridCol w:w="833"/>
        <w:gridCol w:w="832"/>
        <w:gridCol w:w="833"/>
        <w:gridCol w:w="833"/>
        <w:gridCol w:w="833"/>
      </w:tblGrid>
      <w:tr w:rsidR="00C645E2" w14:paraId="58D0A3A4" w14:textId="77777777" w:rsidTr="00EB381D">
        <w:trPr>
          <w:cnfStyle w:val="100000000000" w:firstRow="1" w:lastRow="0" w:firstColumn="0" w:lastColumn="0" w:oddVBand="0" w:evenVBand="0" w:oddHBand="0" w:evenHBand="0" w:firstRowFirstColumn="0" w:firstRowLastColumn="0" w:lastRowFirstColumn="0" w:lastRowLastColumn="0"/>
        </w:trPr>
        <w:tc>
          <w:tcPr>
            <w:tcW w:w="2410" w:type="dxa"/>
          </w:tcPr>
          <w:p w14:paraId="107D1D39" w14:textId="77777777" w:rsidR="00A519D0" w:rsidRDefault="00A519D0" w:rsidP="009A1565">
            <w:pPr>
              <w:keepNext/>
              <w:keepLines/>
              <w:spacing w:before="96" w:after="96"/>
            </w:pPr>
          </w:p>
        </w:tc>
        <w:tc>
          <w:tcPr>
            <w:tcW w:w="832" w:type="dxa"/>
          </w:tcPr>
          <w:p w14:paraId="2AD6D7F8" w14:textId="77777777" w:rsidR="00A519D0" w:rsidRPr="00DC3C46" w:rsidRDefault="00A519D0" w:rsidP="009A1565">
            <w:pPr>
              <w:keepNext/>
              <w:keepLines/>
              <w:spacing w:before="96" w:after="96"/>
            </w:pPr>
            <w:r w:rsidRPr="00DC3C46">
              <w:t>NSW</w:t>
            </w:r>
          </w:p>
        </w:tc>
        <w:tc>
          <w:tcPr>
            <w:tcW w:w="833" w:type="dxa"/>
          </w:tcPr>
          <w:p w14:paraId="0F280AC8" w14:textId="77777777" w:rsidR="00A519D0" w:rsidRPr="00DC3C46" w:rsidRDefault="00A519D0" w:rsidP="009A1565">
            <w:pPr>
              <w:keepNext/>
              <w:keepLines/>
              <w:spacing w:before="96" w:after="96"/>
            </w:pPr>
            <w:r w:rsidRPr="00DC3C46">
              <w:t>VIC</w:t>
            </w:r>
          </w:p>
        </w:tc>
        <w:tc>
          <w:tcPr>
            <w:tcW w:w="833" w:type="dxa"/>
          </w:tcPr>
          <w:p w14:paraId="0E324B4A" w14:textId="77777777" w:rsidR="00A519D0" w:rsidRPr="00DC3C46" w:rsidRDefault="00A519D0" w:rsidP="009A1565">
            <w:pPr>
              <w:keepNext/>
              <w:keepLines/>
              <w:spacing w:before="96" w:after="96"/>
            </w:pPr>
            <w:r w:rsidRPr="00DC3C46">
              <w:t>QLD</w:t>
            </w:r>
          </w:p>
        </w:tc>
        <w:tc>
          <w:tcPr>
            <w:tcW w:w="833" w:type="dxa"/>
          </w:tcPr>
          <w:p w14:paraId="3A7F04F0" w14:textId="77777777" w:rsidR="00A519D0" w:rsidRPr="00DC3C46" w:rsidRDefault="00A519D0" w:rsidP="009A1565">
            <w:pPr>
              <w:keepNext/>
              <w:keepLines/>
              <w:spacing w:before="96" w:after="96"/>
            </w:pPr>
            <w:r w:rsidRPr="00DC3C46">
              <w:t>SA</w:t>
            </w:r>
          </w:p>
        </w:tc>
        <w:tc>
          <w:tcPr>
            <w:tcW w:w="832" w:type="dxa"/>
          </w:tcPr>
          <w:p w14:paraId="35ED47BA" w14:textId="77777777" w:rsidR="00A519D0" w:rsidRPr="00DC3C46" w:rsidRDefault="00A519D0" w:rsidP="009A1565">
            <w:pPr>
              <w:keepNext/>
              <w:keepLines/>
              <w:spacing w:before="96" w:after="96"/>
            </w:pPr>
            <w:r w:rsidRPr="00DC3C46">
              <w:t>WA</w:t>
            </w:r>
          </w:p>
        </w:tc>
        <w:tc>
          <w:tcPr>
            <w:tcW w:w="833" w:type="dxa"/>
          </w:tcPr>
          <w:p w14:paraId="6AE56A8F" w14:textId="77777777" w:rsidR="00A519D0" w:rsidRPr="00DC3C46" w:rsidRDefault="00A519D0" w:rsidP="009A1565">
            <w:pPr>
              <w:keepNext/>
              <w:keepLines/>
              <w:spacing w:before="96" w:after="96"/>
            </w:pPr>
            <w:r w:rsidRPr="00DC3C46">
              <w:t>TAS</w:t>
            </w:r>
          </w:p>
        </w:tc>
        <w:tc>
          <w:tcPr>
            <w:tcW w:w="833" w:type="dxa"/>
          </w:tcPr>
          <w:p w14:paraId="7E35CE6E" w14:textId="77777777" w:rsidR="00A519D0" w:rsidRPr="00DC3C46" w:rsidRDefault="00A519D0" w:rsidP="009A1565">
            <w:pPr>
              <w:keepNext/>
              <w:keepLines/>
              <w:spacing w:before="96" w:after="96"/>
            </w:pPr>
            <w:r w:rsidRPr="00DC3C46">
              <w:t>NT</w:t>
            </w:r>
          </w:p>
        </w:tc>
        <w:tc>
          <w:tcPr>
            <w:tcW w:w="833" w:type="dxa"/>
          </w:tcPr>
          <w:p w14:paraId="713D541C" w14:textId="77777777" w:rsidR="00A519D0" w:rsidRPr="00DC3C46" w:rsidRDefault="00A519D0" w:rsidP="009A1565">
            <w:pPr>
              <w:keepNext/>
              <w:keepLines/>
              <w:spacing w:before="96" w:after="96"/>
            </w:pPr>
            <w:r w:rsidRPr="00DC3C46">
              <w:t>ACT</w:t>
            </w:r>
          </w:p>
        </w:tc>
      </w:tr>
      <w:tr w:rsidR="00A519D0" w14:paraId="2C12193A" w14:textId="77777777" w:rsidTr="00EB381D">
        <w:tc>
          <w:tcPr>
            <w:tcW w:w="2410" w:type="dxa"/>
            <w:tcBorders>
              <w:bottom w:val="single" w:sz="4" w:space="0" w:color="000000" w:themeColor="text1"/>
            </w:tcBorders>
          </w:tcPr>
          <w:p w14:paraId="5722B2F4" w14:textId="77777777" w:rsidR="00A519D0" w:rsidRPr="00FB583A" w:rsidRDefault="00A519D0" w:rsidP="009A1565">
            <w:pPr>
              <w:keepNext/>
              <w:keepLines/>
              <w:rPr>
                <w:szCs w:val="18"/>
              </w:rPr>
            </w:pPr>
            <w:r w:rsidRPr="00FB583A">
              <w:rPr>
                <w:szCs w:val="18"/>
              </w:rPr>
              <w:t>Total fatal electrical accidents from 2000</w:t>
            </w:r>
            <w:r w:rsidRPr="00FB583A">
              <w:rPr>
                <w:szCs w:val="18"/>
              </w:rPr>
              <w:noBreakHyphen/>
              <w:t>01 to 2023-24</w:t>
            </w:r>
            <w:r w:rsidRPr="00FB583A">
              <w:rPr>
                <w:rStyle w:val="FootnoteReference"/>
                <w:szCs w:val="18"/>
                <w:vertAlign w:val="superscript"/>
              </w:rPr>
              <w:footnoteReference w:id="47"/>
            </w:r>
          </w:p>
        </w:tc>
        <w:tc>
          <w:tcPr>
            <w:tcW w:w="832" w:type="dxa"/>
            <w:tcBorders>
              <w:bottom w:val="single" w:sz="4" w:space="0" w:color="000000" w:themeColor="text1"/>
            </w:tcBorders>
          </w:tcPr>
          <w:p w14:paraId="69381574" w14:textId="77777777" w:rsidR="00A519D0" w:rsidRPr="00FB583A" w:rsidRDefault="00A519D0" w:rsidP="009A1565">
            <w:pPr>
              <w:keepNext/>
              <w:keepLines/>
              <w:rPr>
                <w:szCs w:val="18"/>
              </w:rPr>
            </w:pPr>
            <w:r w:rsidRPr="00FB583A">
              <w:rPr>
                <w:szCs w:val="18"/>
              </w:rPr>
              <w:t>117</w:t>
            </w:r>
          </w:p>
        </w:tc>
        <w:tc>
          <w:tcPr>
            <w:tcW w:w="833" w:type="dxa"/>
            <w:tcBorders>
              <w:bottom w:val="single" w:sz="4" w:space="0" w:color="000000" w:themeColor="text1"/>
            </w:tcBorders>
          </w:tcPr>
          <w:p w14:paraId="279BE2AD" w14:textId="77777777" w:rsidR="00A519D0" w:rsidRPr="00FB583A" w:rsidRDefault="00A519D0" w:rsidP="009A1565">
            <w:pPr>
              <w:keepNext/>
              <w:keepLines/>
              <w:rPr>
                <w:szCs w:val="18"/>
              </w:rPr>
            </w:pPr>
            <w:r w:rsidRPr="00FB583A">
              <w:rPr>
                <w:szCs w:val="18"/>
              </w:rPr>
              <w:t>59</w:t>
            </w:r>
          </w:p>
        </w:tc>
        <w:tc>
          <w:tcPr>
            <w:tcW w:w="833" w:type="dxa"/>
            <w:tcBorders>
              <w:bottom w:val="single" w:sz="4" w:space="0" w:color="000000" w:themeColor="text1"/>
            </w:tcBorders>
          </w:tcPr>
          <w:p w14:paraId="2253D107" w14:textId="77777777" w:rsidR="00A519D0" w:rsidRPr="00FB583A" w:rsidRDefault="00A519D0" w:rsidP="009A1565">
            <w:pPr>
              <w:keepNext/>
              <w:keepLines/>
              <w:rPr>
                <w:szCs w:val="18"/>
              </w:rPr>
            </w:pPr>
            <w:r w:rsidRPr="00FB583A">
              <w:rPr>
                <w:szCs w:val="18"/>
              </w:rPr>
              <w:t>92</w:t>
            </w:r>
          </w:p>
        </w:tc>
        <w:tc>
          <w:tcPr>
            <w:tcW w:w="833" w:type="dxa"/>
            <w:tcBorders>
              <w:bottom w:val="single" w:sz="4" w:space="0" w:color="000000" w:themeColor="text1"/>
            </w:tcBorders>
          </w:tcPr>
          <w:p w14:paraId="0486CCA4" w14:textId="77777777" w:rsidR="00A519D0" w:rsidRPr="00FB583A" w:rsidRDefault="00A519D0" w:rsidP="009A1565">
            <w:pPr>
              <w:keepNext/>
              <w:keepLines/>
              <w:rPr>
                <w:szCs w:val="18"/>
              </w:rPr>
            </w:pPr>
            <w:r w:rsidRPr="00FB583A">
              <w:rPr>
                <w:szCs w:val="18"/>
              </w:rPr>
              <w:t>28</w:t>
            </w:r>
          </w:p>
        </w:tc>
        <w:tc>
          <w:tcPr>
            <w:tcW w:w="832" w:type="dxa"/>
            <w:tcBorders>
              <w:bottom w:val="single" w:sz="4" w:space="0" w:color="000000" w:themeColor="text1"/>
            </w:tcBorders>
          </w:tcPr>
          <w:p w14:paraId="426573EA" w14:textId="77777777" w:rsidR="00A519D0" w:rsidRPr="00FB583A" w:rsidRDefault="00A519D0" w:rsidP="009A1565">
            <w:pPr>
              <w:keepNext/>
              <w:keepLines/>
              <w:rPr>
                <w:szCs w:val="18"/>
              </w:rPr>
            </w:pPr>
            <w:r w:rsidRPr="00FB583A">
              <w:rPr>
                <w:szCs w:val="18"/>
              </w:rPr>
              <w:t>53</w:t>
            </w:r>
          </w:p>
        </w:tc>
        <w:tc>
          <w:tcPr>
            <w:tcW w:w="833" w:type="dxa"/>
            <w:tcBorders>
              <w:bottom w:val="single" w:sz="4" w:space="0" w:color="000000" w:themeColor="text1"/>
            </w:tcBorders>
          </w:tcPr>
          <w:p w14:paraId="491CA4A9" w14:textId="77777777" w:rsidR="00A519D0" w:rsidRPr="00FB583A" w:rsidRDefault="00A519D0" w:rsidP="009A1565">
            <w:pPr>
              <w:keepNext/>
              <w:keepLines/>
              <w:rPr>
                <w:szCs w:val="18"/>
              </w:rPr>
            </w:pPr>
            <w:r w:rsidRPr="00FB583A">
              <w:rPr>
                <w:szCs w:val="18"/>
              </w:rPr>
              <w:t>12</w:t>
            </w:r>
          </w:p>
        </w:tc>
        <w:tc>
          <w:tcPr>
            <w:tcW w:w="833" w:type="dxa"/>
            <w:tcBorders>
              <w:bottom w:val="single" w:sz="4" w:space="0" w:color="000000" w:themeColor="text1"/>
            </w:tcBorders>
          </w:tcPr>
          <w:p w14:paraId="6AE5BA43" w14:textId="77777777" w:rsidR="00A519D0" w:rsidRPr="00FB583A" w:rsidRDefault="00A519D0" w:rsidP="009A1565">
            <w:pPr>
              <w:keepNext/>
              <w:keepLines/>
              <w:rPr>
                <w:szCs w:val="18"/>
              </w:rPr>
            </w:pPr>
            <w:r w:rsidRPr="00FB583A">
              <w:rPr>
                <w:szCs w:val="18"/>
              </w:rPr>
              <w:t>18</w:t>
            </w:r>
          </w:p>
        </w:tc>
        <w:tc>
          <w:tcPr>
            <w:tcW w:w="833" w:type="dxa"/>
            <w:tcBorders>
              <w:bottom w:val="single" w:sz="4" w:space="0" w:color="000000" w:themeColor="text1"/>
            </w:tcBorders>
          </w:tcPr>
          <w:p w14:paraId="0A279880" w14:textId="77777777" w:rsidR="00A519D0" w:rsidRPr="00FB583A" w:rsidRDefault="00A519D0" w:rsidP="009A1565">
            <w:pPr>
              <w:keepNext/>
              <w:keepLines/>
              <w:rPr>
                <w:szCs w:val="18"/>
              </w:rPr>
            </w:pPr>
            <w:r w:rsidRPr="00FB583A">
              <w:rPr>
                <w:szCs w:val="18"/>
              </w:rPr>
              <w:t>3</w:t>
            </w:r>
          </w:p>
        </w:tc>
      </w:tr>
      <w:tr w:rsidR="00C917D9" w14:paraId="3926C651" w14:textId="77777777" w:rsidTr="00EB381D">
        <w:tc>
          <w:tcPr>
            <w:tcW w:w="2410" w:type="dxa"/>
            <w:tcBorders>
              <w:bottom w:val="single" w:sz="4" w:space="0" w:color="000000" w:themeColor="text1"/>
            </w:tcBorders>
            <w:shd w:val="clear" w:color="auto" w:fill="F2F2F2" w:themeFill="background1" w:themeFillShade="F2"/>
          </w:tcPr>
          <w:p w14:paraId="4D5E9EC9" w14:textId="77777777" w:rsidR="00C917D9" w:rsidRPr="00FB583A" w:rsidRDefault="00C917D9" w:rsidP="00C917D9">
            <w:pPr>
              <w:keepNext/>
              <w:keepLines/>
              <w:rPr>
                <w:szCs w:val="18"/>
              </w:rPr>
            </w:pPr>
            <w:r w:rsidRPr="00FB583A">
              <w:rPr>
                <w:szCs w:val="18"/>
              </w:rPr>
              <w:t>Fatal electrical accidents from 2000</w:t>
            </w:r>
            <w:r w:rsidRPr="00FB583A">
              <w:rPr>
                <w:szCs w:val="18"/>
              </w:rPr>
              <w:noBreakHyphen/>
              <w:t>01 to 2023</w:t>
            </w:r>
            <w:r w:rsidRPr="00FB583A">
              <w:rPr>
                <w:szCs w:val="18"/>
              </w:rPr>
              <w:noBreakHyphen/>
              <w:t>24 (per million people in 2024)</w:t>
            </w:r>
            <w:r w:rsidRPr="00FB583A">
              <w:rPr>
                <w:rStyle w:val="FootnoteReference"/>
                <w:szCs w:val="18"/>
                <w:vertAlign w:val="superscript"/>
              </w:rPr>
              <w:footnoteReference w:id="48"/>
            </w:r>
          </w:p>
        </w:tc>
        <w:tc>
          <w:tcPr>
            <w:tcW w:w="832" w:type="dxa"/>
            <w:tcBorders>
              <w:bottom w:val="single" w:sz="4" w:space="0" w:color="000000" w:themeColor="text1"/>
            </w:tcBorders>
            <w:shd w:val="clear" w:color="auto" w:fill="F2F2F2" w:themeFill="background1" w:themeFillShade="F2"/>
          </w:tcPr>
          <w:p w14:paraId="41FE6142" w14:textId="0D874D0D" w:rsidR="00C917D9" w:rsidRPr="00FB583A" w:rsidRDefault="00C917D9" w:rsidP="00C917D9">
            <w:pPr>
              <w:keepNext/>
              <w:keepLines/>
              <w:rPr>
                <w:rFonts w:cs="Calibri Light"/>
                <w:szCs w:val="18"/>
              </w:rPr>
            </w:pPr>
            <w:r w:rsidRPr="00F16F6F">
              <w:t>13.7</w:t>
            </w:r>
          </w:p>
        </w:tc>
        <w:tc>
          <w:tcPr>
            <w:tcW w:w="833" w:type="dxa"/>
            <w:tcBorders>
              <w:bottom w:val="single" w:sz="4" w:space="0" w:color="000000" w:themeColor="text1"/>
            </w:tcBorders>
            <w:shd w:val="clear" w:color="auto" w:fill="F2F2F2" w:themeFill="background1" w:themeFillShade="F2"/>
          </w:tcPr>
          <w:p w14:paraId="56E5EB74" w14:textId="1757CD2A" w:rsidR="00C917D9" w:rsidRPr="00FB583A" w:rsidRDefault="00C917D9" w:rsidP="00C917D9">
            <w:pPr>
              <w:keepNext/>
              <w:keepLines/>
              <w:rPr>
                <w:rFonts w:cs="Calibri Light"/>
                <w:szCs w:val="18"/>
              </w:rPr>
            </w:pPr>
            <w:r w:rsidRPr="00F16F6F">
              <w:t>8.4</w:t>
            </w:r>
          </w:p>
        </w:tc>
        <w:tc>
          <w:tcPr>
            <w:tcW w:w="833" w:type="dxa"/>
            <w:tcBorders>
              <w:bottom w:val="single" w:sz="4" w:space="0" w:color="000000" w:themeColor="text1"/>
            </w:tcBorders>
            <w:shd w:val="clear" w:color="auto" w:fill="F2F2F2" w:themeFill="background1" w:themeFillShade="F2"/>
          </w:tcPr>
          <w:p w14:paraId="4D86B01C" w14:textId="5CA0A6AA" w:rsidR="00C917D9" w:rsidRPr="00FB583A" w:rsidRDefault="00C917D9" w:rsidP="00C917D9">
            <w:pPr>
              <w:keepNext/>
              <w:keepLines/>
              <w:rPr>
                <w:rFonts w:cs="Calibri Light"/>
                <w:szCs w:val="18"/>
              </w:rPr>
            </w:pPr>
            <w:r w:rsidRPr="00F16F6F">
              <w:t>16.4</w:t>
            </w:r>
          </w:p>
        </w:tc>
        <w:tc>
          <w:tcPr>
            <w:tcW w:w="833" w:type="dxa"/>
            <w:tcBorders>
              <w:bottom w:val="single" w:sz="4" w:space="0" w:color="000000" w:themeColor="text1"/>
            </w:tcBorders>
            <w:shd w:val="clear" w:color="auto" w:fill="F2F2F2" w:themeFill="background1" w:themeFillShade="F2"/>
          </w:tcPr>
          <w:p w14:paraId="431EFC63" w14:textId="60F92C2B" w:rsidR="00C917D9" w:rsidRPr="00FB583A" w:rsidRDefault="00C917D9" w:rsidP="00C917D9">
            <w:pPr>
              <w:keepNext/>
              <w:keepLines/>
              <w:rPr>
                <w:rFonts w:cs="Calibri Light"/>
                <w:szCs w:val="18"/>
              </w:rPr>
            </w:pPr>
            <w:r w:rsidRPr="00F16F6F">
              <w:t>14.8</w:t>
            </w:r>
          </w:p>
        </w:tc>
        <w:tc>
          <w:tcPr>
            <w:tcW w:w="832" w:type="dxa"/>
            <w:tcBorders>
              <w:bottom w:val="single" w:sz="4" w:space="0" w:color="000000" w:themeColor="text1"/>
            </w:tcBorders>
            <w:shd w:val="clear" w:color="auto" w:fill="F2F2F2" w:themeFill="background1" w:themeFillShade="F2"/>
          </w:tcPr>
          <w:p w14:paraId="16C5301E" w14:textId="72558D3F" w:rsidR="00C917D9" w:rsidRPr="00FB583A" w:rsidRDefault="00C917D9" w:rsidP="00C917D9">
            <w:pPr>
              <w:keepNext/>
              <w:keepLines/>
              <w:rPr>
                <w:rFonts w:cs="Calibri Light"/>
                <w:szCs w:val="18"/>
              </w:rPr>
            </w:pPr>
            <w:r w:rsidRPr="00F16F6F">
              <w:t>17.6</w:t>
            </w:r>
          </w:p>
        </w:tc>
        <w:tc>
          <w:tcPr>
            <w:tcW w:w="833" w:type="dxa"/>
            <w:tcBorders>
              <w:bottom w:val="single" w:sz="4" w:space="0" w:color="000000" w:themeColor="text1"/>
            </w:tcBorders>
            <w:shd w:val="clear" w:color="auto" w:fill="F2F2F2" w:themeFill="background1" w:themeFillShade="F2"/>
          </w:tcPr>
          <w:p w14:paraId="25D3B3AF" w14:textId="534DA7A4" w:rsidR="00C917D9" w:rsidRPr="00FB583A" w:rsidRDefault="00C917D9" w:rsidP="00C917D9">
            <w:pPr>
              <w:keepNext/>
              <w:keepLines/>
              <w:rPr>
                <w:rFonts w:cs="Calibri Light"/>
                <w:szCs w:val="18"/>
              </w:rPr>
            </w:pPr>
            <w:r w:rsidRPr="00F16F6F">
              <w:t>20.8</w:t>
            </w:r>
          </w:p>
        </w:tc>
        <w:tc>
          <w:tcPr>
            <w:tcW w:w="833" w:type="dxa"/>
            <w:tcBorders>
              <w:bottom w:val="single" w:sz="4" w:space="0" w:color="000000" w:themeColor="text1"/>
            </w:tcBorders>
            <w:shd w:val="clear" w:color="auto" w:fill="F2F2F2" w:themeFill="background1" w:themeFillShade="F2"/>
          </w:tcPr>
          <w:p w14:paraId="45A110AC" w14:textId="0BB51D97" w:rsidR="00C917D9" w:rsidRPr="00FB583A" w:rsidRDefault="00C917D9" w:rsidP="00C917D9">
            <w:pPr>
              <w:keepNext/>
              <w:keepLines/>
              <w:rPr>
                <w:rFonts w:cs="Calibri Light"/>
                <w:szCs w:val="18"/>
              </w:rPr>
            </w:pPr>
            <w:r w:rsidRPr="00F16F6F">
              <w:t>68.6</w:t>
            </w:r>
          </w:p>
        </w:tc>
        <w:tc>
          <w:tcPr>
            <w:tcW w:w="833" w:type="dxa"/>
            <w:tcBorders>
              <w:bottom w:val="single" w:sz="4" w:space="0" w:color="000000" w:themeColor="text1"/>
            </w:tcBorders>
            <w:shd w:val="clear" w:color="auto" w:fill="F2F2F2" w:themeFill="background1" w:themeFillShade="F2"/>
          </w:tcPr>
          <w:p w14:paraId="4F0976FE" w14:textId="157A478E" w:rsidR="00C917D9" w:rsidRPr="00FB583A" w:rsidRDefault="00C917D9" w:rsidP="00C917D9">
            <w:pPr>
              <w:keepNext/>
              <w:keepLines/>
              <w:rPr>
                <w:rFonts w:cs="Calibri Light"/>
                <w:szCs w:val="18"/>
              </w:rPr>
            </w:pPr>
            <w:r w:rsidRPr="00F16F6F">
              <w:t>6.2</w:t>
            </w:r>
          </w:p>
        </w:tc>
      </w:tr>
      <w:tr w:rsidR="00FA7ED2" w14:paraId="6F0083CD" w14:textId="77777777" w:rsidTr="00EB381D">
        <w:tc>
          <w:tcPr>
            <w:tcW w:w="2410" w:type="dxa"/>
            <w:tcBorders>
              <w:bottom w:val="single" w:sz="4" w:space="0" w:color="000000" w:themeColor="text1"/>
            </w:tcBorders>
          </w:tcPr>
          <w:p w14:paraId="7F4757B9" w14:textId="0CD829DB" w:rsidR="00FA7ED2" w:rsidRPr="00FB583A" w:rsidRDefault="00311B09" w:rsidP="00FA7ED2">
            <w:pPr>
              <w:keepNext/>
              <w:keepLines/>
              <w:rPr>
                <w:szCs w:val="18"/>
              </w:rPr>
            </w:pPr>
            <w:r>
              <w:rPr>
                <w:szCs w:val="18"/>
              </w:rPr>
              <w:t>Total w</w:t>
            </w:r>
            <w:r w:rsidR="00FA7ED2">
              <w:rPr>
                <w:szCs w:val="18"/>
              </w:rPr>
              <w:t xml:space="preserve">ork-related fatalities for electrotechnology and telecommunications workers </w:t>
            </w:r>
            <w:r>
              <w:rPr>
                <w:szCs w:val="18"/>
              </w:rPr>
              <w:t>(</w:t>
            </w:r>
            <w:r w:rsidR="00FA7ED2">
              <w:rPr>
                <w:szCs w:val="18"/>
              </w:rPr>
              <w:t>2003 to 2023</w:t>
            </w:r>
            <w:r>
              <w:rPr>
                <w:szCs w:val="18"/>
              </w:rPr>
              <w:t>)</w:t>
            </w:r>
            <w:r w:rsidR="002C4EFD" w:rsidRPr="008F4C9F">
              <w:rPr>
                <w:rStyle w:val="FootnoteReference"/>
                <w:szCs w:val="18"/>
                <w:vertAlign w:val="superscript"/>
              </w:rPr>
              <w:footnoteReference w:id="49"/>
            </w:r>
          </w:p>
        </w:tc>
        <w:tc>
          <w:tcPr>
            <w:tcW w:w="832" w:type="dxa"/>
            <w:tcBorders>
              <w:bottom w:val="single" w:sz="4" w:space="0" w:color="000000" w:themeColor="text1"/>
            </w:tcBorders>
          </w:tcPr>
          <w:p w14:paraId="6EFD4F89" w14:textId="5387F781" w:rsidR="00FA7ED2" w:rsidRPr="00DA131E" w:rsidRDefault="00FA7ED2" w:rsidP="00FA7ED2">
            <w:pPr>
              <w:keepNext/>
              <w:keepLines/>
              <w:rPr>
                <w:rFonts w:cs="Calibri Light"/>
                <w:szCs w:val="18"/>
              </w:rPr>
            </w:pPr>
            <w:r w:rsidRPr="00687D4D">
              <w:t>63</w:t>
            </w:r>
          </w:p>
        </w:tc>
        <w:tc>
          <w:tcPr>
            <w:tcW w:w="833" w:type="dxa"/>
            <w:tcBorders>
              <w:bottom w:val="single" w:sz="4" w:space="0" w:color="000000" w:themeColor="text1"/>
            </w:tcBorders>
          </w:tcPr>
          <w:p w14:paraId="06E13A60" w14:textId="222EECED" w:rsidR="00FA7ED2" w:rsidRPr="00DA131E" w:rsidRDefault="00FA7ED2" w:rsidP="00FA7ED2">
            <w:pPr>
              <w:keepNext/>
              <w:keepLines/>
              <w:rPr>
                <w:rFonts w:cs="Calibri Light"/>
                <w:szCs w:val="18"/>
              </w:rPr>
            </w:pPr>
            <w:r w:rsidRPr="00687D4D">
              <w:t>28</w:t>
            </w:r>
          </w:p>
        </w:tc>
        <w:tc>
          <w:tcPr>
            <w:tcW w:w="833" w:type="dxa"/>
            <w:tcBorders>
              <w:bottom w:val="single" w:sz="4" w:space="0" w:color="000000" w:themeColor="text1"/>
            </w:tcBorders>
          </w:tcPr>
          <w:p w14:paraId="0989353E" w14:textId="7D440A7F" w:rsidR="00FA7ED2" w:rsidRPr="00DA131E" w:rsidRDefault="00FA7ED2" w:rsidP="00FA7ED2">
            <w:pPr>
              <w:keepNext/>
              <w:keepLines/>
              <w:rPr>
                <w:rFonts w:cs="Calibri Light"/>
                <w:szCs w:val="18"/>
              </w:rPr>
            </w:pPr>
            <w:r w:rsidRPr="00687D4D">
              <w:t>31</w:t>
            </w:r>
          </w:p>
        </w:tc>
        <w:tc>
          <w:tcPr>
            <w:tcW w:w="833" w:type="dxa"/>
            <w:tcBorders>
              <w:bottom w:val="single" w:sz="4" w:space="0" w:color="000000" w:themeColor="text1"/>
            </w:tcBorders>
          </w:tcPr>
          <w:p w14:paraId="6FCC401F" w14:textId="3653B880" w:rsidR="00FA7ED2" w:rsidRPr="00DA131E" w:rsidRDefault="00FA7ED2" w:rsidP="00FA7ED2">
            <w:pPr>
              <w:keepNext/>
              <w:keepLines/>
              <w:rPr>
                <w:rFonts w:cs="Calibri Light"/>
                <w:szCs w:val="18"/>
              </w:rPr>
            </w:pPr>
            <w:r w:rsidRPr="00687D4D">
              <w:t>14</w:t>
            </w:r>
          </w:p>
        </w:tc>
        <w:tc>
          <w:tcPr>
            <w:tcW w:w="832" w:type="dxa"/>
            <w:tcBorders>
              <w:bottom w:val="single" w:sz="4" w:space="0" w:color="000000" w:themeColor="text1"/>
            </w:tcBorders>
          </w:tcPr>
          <w:p w14:paraId="09C4D2BC" w14:textId="44D9E4D6" w:rsidR="00FA7ED2" w:rsidRPr="00DA131E" w:rsidRDefault="00FA7ED2" w:rsidP="00FA7ED2">
            <w:pPr>
              <w:keepNext/>
              <w:keepLines/>
              <w:rPr>
                <w:rFonts w:cs="Calibri Light"/>
                <w:szCs w:val="18"/>
              </w:rPr>
            </w:pPr>
            <w:r w:rsidRPr="00687D4D">
              <w:t>26</w:t>
            </w:r>
          </w:p>
        </w:tc>
        <w:tc>
          <w:tcPr>
            <w:tcW w:w="833" w:type="dxa"/>
            <w:tcBorders>
              <w:bottom w:val="single" w:sz="4" w:space="0" w:color="000000" w:themeColor="text1"/>
            </w:tcBorders>
          </w:tcPr>
          <w:p w14:paraId="5ED5384F" w14:textId="762CB384" w:rsidR="00FA7ED2" w:rsidRPr="00DA131E" w:rsidRDefault="00FA7ED2" w:rsidP="00FA7ED2">
            <w:pPr>
              <w:keepNext/>
              <w:keepLines/>
              <w:rPr>
                <w:rFonts w:cs="Calibri Light"/>
                <w:szCs w:val="18"/>
              </w:rPr>
            </w:pPr>
            <w:r w:rsidRPr="00687D4D">
              <w:t>2</w:t>
            </w:r>
          </w:p>
        </w:tc>
        <w:tc>
          <w:tcPr>
            <w:tcW w:w="833" w:type="dxa"/>
            <w:tcBorders>
              <w:bottom w:val="single" w:sz="4" w:space="0" w:color="000000" w:themeColor="text1"/>
            </w:tcBorders>
          </w:tcPr>
          <w:p w14:paraId="34DE0983" w14:textId="2BEFBDA0" w:rsidR="00FA7ED2" w:rsidRPr="00DA131E" w:rsidRDefault="00FA7ED2" w:rsidP="00FA7ED2">
            <w:pPr>
              <w:keepNext/>
              <w:keepLines/>
              <w:rPr>
                <w:rFonts w:cs="Calibri Light"/>
                <w:szCs w:val="18"/>
              </w:rPr>
            </w:pPr>
            <w:r w:rsidRPr="00687D4D">
              <w:t>11</w:t>
            </w:r>
          </w:p>
        </w:tc>
        <w:tc>
          <w:tcPr>
            <w:tcW w:w="833" w:type="dxa"/>
            <w:tcBorders>
              <w:bottom w:val="single" w:sz="4" w:space="0" w:color="000000" w:themeColor="text1"/>
            </w:tcBorders>
          </w:tcPr>
          <w:p w14:paraId="451FC620" w14:textId="274A618B" w:rsidR="00FA7ED2" w:rsidRPr="00DA131E" w:rsidRDefault="00FA7ED2" w:rsidP="00FA7ED2">
            <w:pPr>
              <w:keepNext/>
              <w:keepLines/>
              <w:rPr>
                <w:rFonts w:cs="Calibri Light"/>
                <w:szCs w:val="18"/>
              </w:rPr>
            </w:pPr>
            <w:r w:rsidRPr="00687D4D">
              <w:t>2</w:t>
            </w:r>
          </w:p>
        </w:tc>
      </w:tr>
      <w:tr w:rsidR="00E2482E" w14:paraId="37CC4A36" w14:textId="77777777" w:rsidTr="00EB381D">
        <w:tc>
          <w:tcPr>
            <w:tcW w:w="2410" w:type="dxa"/>
            <w:tcBorders>
              <w:bottom w:val="single" w:sz="4" w:space="0" w:color="000000" w:themeColor="text1"/>
            </w:tcBorders>
            <w:shd w:val="clear" w:color="auto" w:fill="F2F2F2" w:themeFill="background1" w:themeFillShade="F2"/>
          </w:tcPr>
          <w:p w14:paraId="55E663C1" w14:textId="0947CC8D" w:rsidR="00A55659" w:rsidRDefault="00A55659" w:rsidP="00A55659">
            <w:pPr>
              <w:keepNext/>
              <w:keepLines/>
              <w:rPr>
                <w:szCs w:val="18"/>
              </w:rPr>
            </w:pPr>
            <w:r>
              <w:rPr>
                <w:szCs w:val="18"/>
              </w:rPr>
              <w:t xml:space="preserve">Work-related fatalities for electrotechnology and telecommunications workers </w:t>
            </w:r>
            <w:r w:rsidR="00EB6083">
              <w:rPr>
                <w:szCs w:val="18"/>
              </w:rPr>
              <w:t>(</w:t>
            </w:r>
            <w:r>
              <w:rPr>
                <w:szCs w:val="18"/>
              </w:rPr>
              <w:t>2003 to 2023</w:t>
            </w:r>
            <w:r w:rsidR="00EB6083">
              <w:rPr>
                <w:szCs w:val="18"/>
              </w:rPr>
              <w:t>)</w:t>
            </w:r>
            <w:r>
              <w:rPr>
                <w:szCs w:val="18"/>
              </w:rPr>
              <w:t xml:space="preserve"> per 100,000 workers</w:t>
            </w:r>
            <w:r w:rsidR="00D6078D" w:rsidRPr="008F4C9F">
              <w:rPr>
                <w:rStyle w:val="FootnoteReference"/>
                <w:szCs w:val="18"/>
                <w:vertAlign w:val="superscript"/>
              </w:rPr>
              <w:footnoteReference w:id="50"/>
            </w:r>
          </w:p>
        </w:tc>
        <w:tc>
          <w:tcPr>
            <w:tcW w:w="832" w:type="dxa"/>
            <w:tcBorders>
              <w:bottom w:val="single" w:sz="4" w:space="0" w:color="000000" w:themeColor="text1"/>
            </w:tcBorders>
            <w:shd w:val="clear" w:color="auto" w:fill="F2F2F2" w:themeFill="background1" w:themeFillShade="F2"/>
          </w:tcPr>
          <w:p w14:paraId="028DD289" w14:textId="53C0C516" w:rsidR="00AB3F4B" w:rsidRPr="00687D4D" w:rsidRDefault="00AB3F4B" w:rsidP="006340A7">
            <w:pPr>
              <w:keepNext/>
              <w:keepLines/>
            </w:pPr>
            <w:r>
              <w:t>4.3</w:t>
            </w:r>
          </w:p>
        </w:tc>
        <w:tc>
          <w:tcPr>
            <w:tcW w:w="833" w:type="dxa"/>
            <w:tcBorders>
              <w:bottom w:val="single" w:sz="4" w:space="0" w:color="000000" w:themeColor="text1"/>
            </w:tcBorders>
            <w:shd w:val="clear" w:color="auto" w:fill="F2F2F2" w:themeFill="background1" w:themeFillShade="F2"/>
          </w:tcPr>
          <w:p w14:paraId="15D28912" w14:textId="37DC63D9" w:rsidR="008154CC" w:rsidRPr="00687D4D" w:rsidRDefault="008154CC" w:rsidP="006340A7">
            <w:pPr>
              <w:keepNext/>
              <w:keepLines/>
            </w:pPr>
            <w:r>
              <w:t>2.6</w:t>
            </w:r>
          </w:p>
        </w:tc>
        <w:tc>
          <w:tcPr>
            <w:tcW w:w="833" w:type="dxa"/>
            <w:tcBorders>
              <w:bottom w:val="single" w:sz="4" w:space="0" w:color="000000" w:themeColor="text1"/>
            </w:tcBorders>
            <w:shd w:val="clear" w:color="auto" w:fill="F2F2F2" w:themeFill="background1" w:themeFillShade="F2"/>
          </w:tcPr>
          <w:p w14:paraId="48E12CF7" w14:textId="04FBEC7F" w:rsidR="00272551" w:rsidRPr="00687D4D" w:rsidRDefault="00272551" w:rsidP="006340A7">
            <w:pPr>
              <w:keepNext/>
              <w:keepLines/>
            </w:pPr>
            <w:r>
              <w:t>2.9</w:t>
            </w:r>
          </w:p>
        </w:tc>
        <w:tc>
          <w:tcPr>
            <w:tcW w:w="833" w:type="dxa"/>
            <w:tcBorders>
              <w:bottom w:val="single" w:sz="4" w:space="0" w:color="000000" w:themeColor="text1"/>
            </w:tcBorders>
            <w:shd w:val="clear" w:color="auto" w:fill="F2F2F2" w:themeFill="background1" w:themeFillShade="F2"/>
          </w:tcPr>
          <w:p w14:paraId="0186DDC5" w14:textId="662647E2" w:rsidR="003632D6" w:rsidRPr="00687D4D" w:rsidRDefault="003632D6" w:rsidP="006340A7">
            <w:pPr>
              <w:keepNext/>
              <w:keepLines/>
            </w:pPr>
            <w:r>
              <w:t>4.2</w:t>
            </w:r>
          </w:p>
        </w:tc>
        <w:tc>
          <w:tcPr>
            <w:tcW w:w="832" w:type="dxa"/>
            <w:tcBorders>
              <w:bottom w:val="single" w:sz="4" w:space="0" w:color="000000" w:themeColor="text1"/>
            </w:tcBorders>
            <w:shd w:val="clear" w:color="auto" w:fill="F2F2F2" w:themeFill="background1" w:themeFillShade="F2"/>
          </w:tcPr>
          <w:p w14:paraId="2DF68078" w14:textId="00043893" w:rsidR="00C1729C" w:rsidRPr="00687D4D" w:rsidRDefault="00C1729C" w:rsidP="006340A7">
            <w:pPr>
              <w:keepNext/>
              <w:keepLines/>
            </w:pPr>
            <w:r>
              <w:t>4.4</w:t>
            </w:r>
          </w:p>
        </w:tc>
        <w:tc>
          <w:tcPr>
            <w:tcW w:w="833" w:type="dxa"/>
            <w:tcBorders>
              <w:bottom w:val="single" w:sz="4" w:space="0" w:color="000000" w:themeColor="text1"/>
            </w:tcBorders>
            <w:shd w:val="clear" w:color="auto" w:fill="F2F2F2" w:themeFill="background1" w:themeFillShade="F2"/>
          </w:tcPr>
          <w:p w14:paraId="64AB5462" w14:textId="150A0E8B" w:rsidR="0003333B" w:rsidRPr="00687D4D" w:rsidRDefault="0003333B" w:rsidP="006340A7">
            <w:pPr>
              <w:keepNext/>
              <w:keepLines/>
            </w:pPr>
            <w:r>
              <w:t>2.0</w:t>
            </w:r>
          </w:p>
        </w:tc>
        <w:tc>
          <w:tcPr>
            <w:tcW w:w="833" w:type="dxa"/>
            <w:tcBorders>
              <w:bottom w:val="single" w:sz="4" w:space="0" w:color="000000" w:themeColor="text1"/>
            </w:tcBorders>
            <w:shd w:val="clear" w:color="auto" w:fill="F2F2F2" w:themeFill="background1" w:themeFillShade="F2"/>
          </w:tcPr>
          <w:p w14:paraId="1BD12250" w14:textId="354A0AEB" w:rsidR="000B7A57" w:rsidRPr="00687D4D" w:rsidRDefault="000B7A57" w:rsidP="006340A7">
            <w:pPr>
              <w:keepNext/>
              <w:keepLines/>
            </w:pPr>
            <w:r>
              <w:t>15.7</w:t>
            </w:r>
          </w:p>
        </w:tc>
        <w:tc>
          <w:tcPr>
            <w:tcW w:w="833" w:type="dxa"/>
            <w:tcBorders>
              <w:bottom w:val="single" w:sz="4" w:space="0" w:color="000000" w:themeColor="text1"/>
            </w:tcBorders>
            <w:shd w:val="clear" w:color="auto" w:fill="F2F2F2" w:themeFill="background1" w:themeFillShade="F2"/>
          </w:tcPr>
          <w:p w14:paraId="411E05AB" w14:textId="0B2FF9C3" w:rsidR="00A16ECB" w:rsidRPr="00687D4D" w:rsidRDefault="00A16ECB" w:rsidP="006340A7">
            <w:pPr>
              <w:keepNext/>
              <w:keepLines/>
            </w:pPr>
            <w:r>
              <w:t>3.0</w:t>
            </w:r>
          </w:p>
        </w:tc>
      </w:tr>
      <w:tr w:rsidR="004A00DA" w14:paraId="729678AB" w14:textId="77777777" w:rsidTr="00EB381D">
        <w:tc>
          <w:tcPr>
            <w:tcW w:w="2410" w:type="dxa"/>
            <w:tcBorders>
              <w:bottom w:val="single" w:sz="4" w:space="0" w:color="000000" w:themeColor="text1"/>
            </w:tcBorders>
          </w:tcPr>
          <w:p w14:paraId="1540D56A" w14:textId="12327EAB" w:rsidR="004A00DA" w:rsidRDefault="004A00DA" w:rsidP="004A00DA">
            <w:pPr>
              <w:keepNext/>
              <w:keepLines/>
              <w:rPr>
                <w:szCs w:val="18"/>
              </w:rPr>
            </w:pPr>
            <w:r w:rsidRPr="00EB6083">
              <w:rPr>
                <w:szCs w:val="18"/>
              </w:rPr>
              <w:t xml:space="preserve">Total work-related fatalities </w:t>
            </w:r>
            <w:r>
              <w:rPr>
                <w:szCs w:val="18"/>
              </w:rPr>
              <w:t>caused by contact with electricity</w:t>
            </w:r>
            <w:r w:rsidRPr="00EB6083">
              <w:rPr>
                <w:szCs w:val="18"/>
              </w:rPr>
              <w:t xml:space="preserve"> (2003 to 2023)</w:t>
            </w:r>
            <w:r w:rsidR="00D6078D" w:rsidRPr="008F4C9F">
              <w:rPr>
                <w:rStyle w:val="FootnoteReference"/>
                <w:szCs w:val="18"/>
                <w:vertAlign w:val="superscript"/>
              </w:rPr>
              <w:footnoteReference w:id="51"/>
            </w:r>
          </w:p>
        </w:tc>
        <w:tc>
          <w:tcPr>
            <w:tcW w:w="832" w:type="dxa"/>
            <w:tcBorders>
              <w:bottom w:val="single" w:sz="4" w:space="0" w:color="000000" w:themeColor="text1"/>
            </w:tcBorders>
          </w:tcPr>
          <w:p w14:paraId="73480EF5" w14:textId="0E3DE0BD" w:rsidR="004A00DA" w:rsidRPr="00BF2320" w:rsidRDefault="004A00DA" w:rsidP="004A00DA">
            <w:pPr>
              <w:keepNext/>
              <w:keepLines/>
            </w:pPr>
            <w:r w:rsidRPr="00676C10">
              <w:t>62</w:t>
            </w:r>
          </w:p>
        </w:tc>
        <w:tc>
          <w:tcPr>
            <w:tcW w:w="833" w:type="dxa"/>
            <w:tcBorders>
              <w:bottom w:val="single" w:sz="4" w:space="0" w:color="000000" w:themeColor="text1"/>
            </w:tcBorders>
          </w:tcPr>
          <w:p w14:paraId="2E72C9D6" w14:textId="76E378DD" w:rsidR="004A00DA" w:rsidRPr="00BF2320" w:rsidRDefault="004A00DA" w:rsidP="004A00DA">
            <w:pPr>
              <w:keepNext/>
              <w:keepLines/>
            </w:pPr>
            <w:r w:rsidRPr="00676C10">
              <w:t>36</w:t>
            </w:r>
          </w:p>
        </w:tc>
        <w:tc>
          <w:tcPr>
            <w:tcW w:w="833" w:type="dxa"/>
            <w:tcBorders>
              <w:bottom w:val="single" w:sz="4" w:space="0" w:color="000000" w:themeColor="text1"/>
            </w:tcBorders>
          </w:tcPr>
          <w:p w14:paraId="04B5E1E6" w14:textId="0FA0BE0F" w:rsidR="004A00DA" w:rsidRPr="00BF2320" w:rsidRDefault="004A00DA" w:rsidP="004A00DA">
            <w:pPr>
              <w:keepNext/>
              <w:keepLines/>
            </w:pPr>
            <w:r w:rsidRPr="00676C10">
              <w:t>53</w:t>
            </w:r>
          </w:p>
        </w:tc>
        <w:tc>
          <w:tcPr>
            <w:tcW w:w="833" w:type="dxa"/>
            <w:tcBorders>
              <w:bottom w:val="single" w:sz="4" w:space="0" w:color="000000" w:themeColor="text1"/>
            </w:tcBorders>
          </w:tcPr>
          <w:p w14:paraId="50A7EF26" w14:textId="24A7FE06" w:rsidR="004A00DA" w:rsidRPr="00BF2320" w:rsidRDefault="004A00DA" w:rsidP="004A00DA">
            <w:pPr>
              <w:keepNext/>
              <w:keepLines/>
            </w:pPr>
            <w:r w:rsidRPr="00676C10">
              <w:t>9</w:t>
            </w:r>
          </w:p>
        </w:tc>
        <w:tc>
          <w:tcPr>
            <w:tcW w:w="832" w:type="dxa"/>
            <w:tcBorders>
              <w:bottom w:val="single" w:sz="4" w:space="0" w:color="000000" w:themeColor="text1"/>
            </w:tcBorders>
          </w:tcPr>
          <w:p w14:paraId="558E604B" w14:textId="5BC8E4F9" w:rsidR="004A00DA" w:rsidRPr="00BF2320" w:rsidRDefault="004A00DA" w:rsidP="004A00DA">
            <w:pPr>
              <w:keepNext/>
              <w:keepLines/>
            </w:pPr>
            <w:r w:rsidRPr="00676C10">
              <w:t>19</w:t>
            </w:r>
          </w:p>
        </w:tc>
        <w:tc>
          <w:tcPr>
            <w:tcW w:w="833" w:type="dxa"/>
            <w:tcBorders>
              <w:bottom w:val="single" w:sz="4" w:space="0" w:color="000000" w:themeColor="text1"/>
            </w:tcBorders>
          </w:tcPr>
          <w:p w14:paraId="5210EEC4" w14:textId="45051885" w:rsidR="004A00DA" w:rsidRPr="00BF2320" w:rsidRDefault="004A00DA" w:rsidP="004A00DA">
            <w:pPr>
              <w:keepNext/>
              <w:keepLines/>
            </w:pPr>
            <w:r w:rsidRPr="00676C10">
              <w:t>5</w:t>
            </w:r>
          </w:p>
        </w:tc>
        <w:tc>
          <w:tcPr>
            <w:tcW w:w="833" w:type="dxa"/>
            <w:tcBorders>
              <w:bottom w:val="single" w:sz="4" w:space="0" w:color="000000" w:themeColor="text1"/>
            </w:tcBorders>
          </w:tcPr>
          <w:p w14:paraId="6EA4C704" w14:textId="6F8A8E04" w:rsidR="004A00DA" w:rsidRPr="00BF2320" w:rsidRDefault="004A00DA" w:rsidP="004A00DA">
            <w:pPr>
              <w:keepNext/>
              <w:keepLines/>
            </w:pPr>
            <w:r w:rsidRPr="00676C10">
              <w:t>10</w:t>
            </w:r>
          </w:p>
        </w:tc>
        <w:tc>
          <w:tcPr>
            <w:tcW w:w="833" w:type="dxa"/>
            <w:tcBorders>
              <w:bottom w:val="single" w:sz="4" w:space="0" w:color="000000" w:themeColor="text1"/>
            </w:tcBorders>
          </w:tcPr>
          <w:p w14:paraId="4273E149" w14:textId="31771847" w:rsidR="004A00DA" w:rsidRPr="00BF2320" w:rsidRDefault="004A00DA" w:rsidP="004A00DA">
            <w:pPr>
              <w:keepNext/>
              <w:keepLines/>
            </w:pPr>
            <w:r w:rsidRPr="00676C10">
              <w:t>2</w:t>
            </w:r>
          </w:p>
        </w:tc>
      </w:tr>
      <w:tr w:rsidR="00567231" w14:paraId="3756AEC6" w14:textId="77777777" w:rsidTr="00EB381D">
        <w:tc>
          <w:tcPr>
            <w:tcW w:w="2410" w:type="dxa"/>
            <w:tcBorders>
              <w:bottom w:val="single" w:sz="4" w:space="0" w:color="000000" w:themeColor="text1"/>
            </w:tcBorders>
            <w:shd w:val="clear" w:color="auto" w:fill="EEEEEE" w:themeFill="background2"/>
          </w:tcPr>
          <w:p w14:paraId="10D1CFDB" w14:textId="2E5AEA0F" w:rsidR="00AA2B41" w:rsidRPr="00EB6083" w:rsidRDefault="00AA2B41" w:rsidP="00AA2B41">
            <w:pPr>
              <w:keepNext/>
              <w:keepLines/>
              <w:rPr>
                <w:szCs w:val="18"/>
              </w:rPr>
            </w:pPr>
            <w:r>
              <w:rPr>
                <w:szCs w:val="18"/>
              </w:rPr>
              <w:t>Total serious workers’ compensation claims by electrotechnology and telecommunications workers (2008-09 to 2022-23)</w:t>
            </w:r>
            <w:r w:rsidR="00D6078D" w:rsidRPr="008F4C9F">
              <w:rPr>
                <w:rStyle w:val="FootnoteReference"/>
                <w:szCs w:val="18"/>
                <w:vertAlign w:val="superscript"/>
              </w:rPr>
              <w:footnoteReference w:id="52"/>
            </w:r>
          </w:p>
        </w:tc>
        <w:tc>
          <w:tcPr>
            <w:tcW w:w="832" w:type="dxa"/>
            <w:tcBorders>
              <w:bottom w:val="single" w:sz="4" w:space="0" w:color="000000" w:themeColor="text1"/>
            </w:tcBorders>
            <w:shd w:val="clear" w:color="auto" w:fill="EEEEEE" w:themeFill="background2"/>
          </w:tcPr>
          <w:p w14:paraId="5C1FC30C" w14:textId="597DFE4C" w:rsidR="00AA2B41" w:rsidRPr="00676C10" w:rsidRDefault="00AA2B41" w:rsidP="00AA2B41">
            <w:pPr>
              <w:keepNext/>
              <w:keepLines/>
            </w:pPr>
            <w:r w:rsidRPr="00B95765">
              <w:t>10</w:t>
            </w:r>
            <w:r>
              <w:t>,</w:t>
            </w:r>
            <w:r w:rsidRPr="00B95765">
              <w:t>855</w:t>
            </w:r>
          </w:p>
        </w:tc>
        <w:tc>
          <w:tcPr>
            <w:tcW w:w="833" w:type="dxa"/>
            <w:tcBorders>
              <w:bottom w:val="single" w:sz="4" w:space="0" w:color="000000" w:themeColor="text1"/>
            </w:tcBorders>
            <w:shd w:val="clear" w:color="auto" w:fill="EEEEEE" w:themeFill="background2"/>
          </w:tcPr>
          <w:p w14:paraId="498A8FEE" w14:textId="2F4EA400" w:rsidR="00AA2B41" w:rsidRPr="00676C10" w:rsidRDefault="00AA2B41" w:rsidP="00AA2B41">
            <w:pPr>
              <w:keepNext/>
              <w:keepLines/>
            </w:pPr>
            <w:r w:rsidRPr="00B95765">
              <w:t>4</w:t>
            </w:r>
            <w:r>
              <w:t>,</w:t>
            </w:r>
            <w:r w:rsidRPr="00B95765">
              <w:t>389</w:t>
            </w:r>
          </w:p>
        </w:tc>
        <w:tc>
          <w:tcPr>
            <w:tcW w:w="833" w:type="dxa"/>
            <w:tcBorders>
              <w:bottom w:val="single" w:sz="4" w:space="0" w:color="000000" w:themeColor="text1"/>
            </w:tcBorders>
            <w:shd w:val="clear" w:color="auto" w:fill="EEEEEE" w:themeFill="background2"/>
          </w:tcPr>
          <w:p w14:paraId="63C07EDE" w14:textId="2851B8B9" w:rsidR="00AA2B41" w:rsidRPr="00676C10" w:rsidRDefault="00AA2B41" w:rsidP="00AA2B41">
            <w:pPr>
              <w:keepNext/>
              <w:keepLines/>
            </w:pPr>
            <w:r w:rsidRPr="00B95765">
              <w:t>7</w:t>
            </w:r>
            <w:r>
              <w:t>,</w:t>
            </w:r>
            <w:r w:rsidRPr="00B95765">
              <w:t>858</w:t>
            </w:r>
          </w:p>
        </w:tc>
        <w:tc>
          <w:tcPr>
            <w:tcW w:w="833" w:type="dxa"/>
            <w:tcBorders>
              <w:bottom w:val="single" w:sz="4" w:space="0" w:color="000000" w:themeColor="text1"/>
            </w:tcBorders>
            <w:shd w:val="clear" w:color="auto" w:fill="EEEEEE" w:themeFill="background2"/>
          </w:tcPr>
          <w:p w14:paraId="6ACFE995" w14:textId="7F82A894" w:rsidR="00AA2B41" w:rsidRPr="00676C10" w:rsidRDefault="00AA2B41" w:rsidP="00AA2B41">
            <w:pPr>
              <w:keepNext/>
              <w:keepLines/>
            </w:pPr>
            <w:r w:rsidRPr="00B95765">
              <w:t>1</w:t>
            </w:r>
            <w:r w:rsidR="00F040B1">
              <w:t>,</w:t>
            </w:r>
            <w:r w:rsidRPr="00B95765">
              <w:t>941</w:t>
            </w:r>
          </w:p>
        </w:tc>
        <w:tc>
          <w:tcPr>
            <w:tcW w:w="832" w:type="dxa"/>
            <w:tcBorders>
              <w:bottom w:val="single" w:sz="4" w:space="0" w:color="000000" w:themeColor="text1"/>
            </w:tcBorders>
            <w:shd w:val="clear" w:color="auto" w:fill="EEEEEE" w:themeFill="background2"/>
          </w:tcPr>
          <w:p w14:paraId="4540D84A" w14:textId="56864CA5" w:rsidR="00AA2B41" w:rsidRPr="00676C10" w:rsidRDefault="00AA2B41" w:rsidP="00AA2B41">
            <w:pPr>
              <w:keepNext/>
              <w:keepLines/>
            </w:pPr>
            <w:r w:rsidRPr="00B95765">
              <w:t>4</w:t>
            </w:r>
            <w:r>
              <w:t>,</w:t>
            </w:r>
            <w:r w:rsidRPr="00B95765">
              <w:t>445</w:t>
            </w:r>
          </w:p>
        </w:tc>
        <w:tc>
          <w:tcPr>
            <w:tcW w:w="833" w:type="dxa"/>
            <w:tcBorders>
              <w:bottom w:val="single" w:sz="4" w:space="0" w:color="000000" w:themeColor="text1"/>
            </w:tcBorders>
            <w:shd w:val="clear" w:color="auto" w:fill="EEEEEE" w:themeFill="background2"/>
          </w:tcPr>
          <w:p w14:paraId="63B65CBB" w14:textId="388A99B8" w:rsidR="00AA2B41" w:rsidRPr="00676C10" w:rsidRDefault="00AA2B41" w:rsidP="00AA2B41">
            <w:pPr>
              <w:keepNext/>
              <w:keepLines/>
            </w:pPr>
            <w:r w:rsidRPr="00B95765">
              <w:t>589</w:t>
            </w:r>
          </w:p>
        </w:tc>
        <w:tc>
          <w:tcPr>
            <w:tcW w:w="833" w:type="dxa"/>
            <w:tcBorders>
              <w:bottom w:val="single" w:sz="4" w:space="0" w:color="000000" w:themeColor="text1"/>
            </w:tcBorders>
            <w:shd w:val="clear" w:color="auto" w:fill="EEEEEE" w:themeFill="background2"/>
          </w:tcPr>
          <w:p w14:paraId="66106792" w14:textId="046D0FFE" w:rsidR="00AA2B41" w:rsidRPr="00676C10" w:rsidRDefault="00AA2B41" w:rsidP="00AA2B41">
            <w:pPr>
              <w:keepNext/>
              <w:keepLines/>
            </w:pPr>
            <w:r w:rsidRPr="00B95765">
              <w:t>606</w:t>
            </w:r>
          </w:p>
        </w:tc>
        <w:tc>
          <w:tcPr>
            <w:tcW w:w="833" w:type="dxa"/>
            <w:tcBorders>
              <w:bottom w:val="single" w:sz="4" w:space="0" w:color="000000" w:themeColor="text1"/>
            </w:tcBorders>
            <w:shd w:val="clear" w:color="auto" w:fill="EEEEEE" w:themeFill="background2"/>
          </w:tcPr>
          <w:p w14:paraId="1E622CA0" w14:textId="670B2690" w:rsidR="00AA2B41" w:rsidRPr="00676C10" w:rsidRDefault="00AA2B41" w:rsidP="00AA2B41">
            <w:pPr>
              <w:keepNext/>
              <w:keepLines/>
            </w:pPr>
            <w:r w:rsidRPr="00B95765">
              <w:t>691</w:t>
            </w:r>
          </w:p>
        </w:tc>
      </w:tr>
      <w:tr w:rsidR="00A519D0" w14:paraId="7CE68D95" w14:textId="77777777" w:rsidTr="00EB381D">
        <w:tc>
          <w:tcPr>
            <w:tcW w:w="2410" w:type="dxa"/>
            <w:tcBorders>
              <w:top w:val="single" w:sz="4" w:space="0" w:color="000000" w:themeColor="text1"/>
              <w:bottom w:val="single" w:sz="4" w:space="0" w:color="auto"/>
            </w:tcBorders>
          </w:tcPr>
          <w:p w14:paraId="1F92D550" w14:textId="3751035F" w:rsidR="00A519D0" w:rsidRPr="00FB583A" w:rsidRDefault="00A519D0" w:rsidP="009A1565">
            <w:pPr>
              <w:keepNext/>
              <w:keepLines/>
              <w:rPr>
                <w:szCs w:val="18"/>
              </w:rPr>
            </w:pPr>
            <w:r w:rsidRPr="00FB583A">
              <w:rPr>
                <w:szCs w:val="18"/>
              </w:rPr>
              <w:t>Electricity/air pressure injury hospitalisation (per 100,000 people in 2022</w:t>
            </w:r>
            <w:r w:rsidRPr="00FB583A">
              <w:rPr>
                <w:szCs w:val="18"/>
              </w:rPr>
              <w:noBreakHyphen/>
              <w:t>23)</w:t>
            </w:r>
            <w:r w:rsidR="00D6078D" w:rsidRPr="00FB583A">
              <w:rPr>
                <w:rStyle w:val="FootnoteReference"/>
                <w:szCs w:val="18"/>
                <w:vertAlign w:val="superscript"/>
              </w:rPr>
              <w:footnoteReference w:id="53"/>
            </w:r>
          </w:p>
        </w:tc>
        <w:tc>
          <w:tcPr>
            <w:tcW w:w="832" w:type="dxa"/>
            <w:tcBorders>
              <w:top w:val="single" w:sz="4" w:space="0" w:color="000000" w:themeColor="text1"/>
              <w:bottom w:val="single" w:sz="4" w:space="0" w:color="auto"/>
            </w:tcBorders>
          </w:tcPr>
          <w:p w14:paraId="5F0E2744" w14:textId="77777777" w:rsidR="00A519D0" w:rsidRPr="00FB583A" w:rsidRDefault="00A519D0" w:rsidP="009A1565">
            <w:pPr>
              <w:keepNext/>
              <w:keepLines/>
              <w:rPr>
                <w:szCs w:val="18"/>
              </w:rPr>
            </w:pPr>
            <w:r w:rsidRPr="00FB583A">
              <w:rPr>
                <w:szCs w:val="18"/>
              </w:rPr>
              <w:t>1.6</w:t>
            </w:r>
          </w:p>
        </w:tc>
        <w:tc>
          <w:tcPr>
            <w:tcW w:w="833" w:type="dxa"/>
            <w:tcBorders>
              <w:top w:val="single" w:sz="4" w:space="0" w:color="000000" w:themeColor="text1"/>
              <w:bottom w:val="single" w:sz="4" w:space="0" w:color="auto"/>
            </w:tcBorders>
          </w:tcPr>
          <w:p w14:paraId="3D05474D" w14:textId="77777777" w:rsidR="00A519D0" w:rsidRPr="00FB583A" w:rsidRDefault="00A519D0" w:rsidP="009A1565">
            <w:pPr>
              <w:keepNext/>
              <w:keepLines/>
              <w:rPr>
                <w:szCs w:val="18"/>
              </w:rPr>
            </w:pPr>
            <w:r w:rsidRPr="00FB583A">
              <w:rPr>
                <w:szCs w:val="18"/>
              </w:rPr>
              <w:t>1.9</w:t>
            </w:r>
          </w:p>
        </w:tc>
        <w:tc>
          <w:tcPr>
            <w:tcW w:w="833" w:type="dxa"/>
            <w:tcBorders>
              <w:top w:val="single" w:sz="4" w:space="0" w:color="000000" w:themeColor="text1"/>
              <w:bottom w:val="single" w:sz="4" w:space="0" w:color="auto"/>
            </w:tcBorders>
          </w:tcPr>
          <w:p w14:paraId="0E8D2885" w14:textId="77777777" w:rsidR="00A519D0" w:rsidRPr="00FB583A" w:rsidRDefault="00A519D0" w:rsidP="009A1565">
            <w:pPr>
              <w:keepNext/>
              <w:keepLines/>
              <w:rPr>
                <w:szCs w:val="18"/>
              </w:rPr>
            </w:pPr>
            <w:r w:rsidRPr="00FB583A">
              <w:rPr>
                <w:szCs w:val="18"/>
              </w:rPr>
              <w:t>3.1</w:t>
            </w:r>
          </w:p>
        </w:tc>
        <w:tc>
          <w:tcPr>
            <w:tcW w:w="833" w:type="dxa"/>
            <w:tcBorders>
              <w:top w:val="single" w:sz="4" w:space="0" w:color="000000" w:themeColor="text1"/>
              <w:bottom w:val="single" w:sz="4" w:space="0" w:color="auto"/>
            </w:tcBorders>
          </w:tcPr>
          <w:p w14:paraId="58583E19" w14:textId="77777777" w:rsidR="00A519D0" w:rsidRPr="00FB583A" w:rsidRDefault="00A519D0" w:rsidP="009A1565">
            <w:pPr>
              <w:keepNext/>
              <w:keepLines/>
              <w:rPr>
                <w:szCs w:val="18"/>
              </w:rPr>
            </w:pPr>
            <w:r w:rsidRPr="00FB583A">
              <w:rPr>
                <w:szCs w:val="18"/>
              </w:rPr>
              <w:t>2.0</w:t>
            </w:r>
          </w:p>
        </w:tc>
        <w:tc>
          <w:tcPr>
            <w:tcW w:w="832" w:type="dxa"/>
            <w:tcBorders>
              <w:top w:val="single" w:sz="4" w:space="0" w:color="000000" w:themeColor="text1"/>
              <w:bottom w:val="single" w:sz="4" w:space="0" w:color="auto"/>
            </w:tcBorders>
          </w:tcPr>
          <w:p w14:paraId="4C531F5F" w14:textId="77777777" w:rsidR="00A519D0" w:rsidRPr="00FB583A" w:rsidRDefault="00A519D0" w:rsidP="009A1565">
            <w:pPr>
              <w:keepNext/>
              <w:keepLines/>
              <w:rPr>
                <w:szCs w:val="18"/>
              </w:rPr>
            </w:pPr>
            <w:r w:rsidRPr="00FB583A">
              <w:rPr>
                <w:szCs w:val="18"/>
              </w:rPr>
              <w:t>2.5</w:t>
            </w:r>
          </w:p>
        </w:tc>
        <w:tc>
          <w:tcPr>
            <w:tcW w:w="833" w:type="dxa"/>
            <w:tcBorders>
              <w:top w:val="single" w:sz="4" w:space="0" w:color="000000" w:themeColor="text1"/>
              <w:bottom w:val="single" w:sz="4" w:space="0" w:color="auto"/>
            </w:tcBorders>
          </w:tcPr>
          <w:p w14:paraId="2BE754A2" w14:textId="77777777" w:rsidR="00A519D0" w:rsidRPr="00FB583A" w:rsidRDefault="00A519D0" w:rsidP="009A1565">
            <w:pPr>
              <w:keepNext/>
              <w:keepLines/>
              <w:rPr>
                <w:szCs w:val="18"/>
              </w:rPr>
            </w:pPr>
            <w:r w:rsidRPr="00FB583A">
              <w:rPr>
                <w:szCs w:val="18"/>
              </w:rPr>
              <w:t>13.2</w:t>
            </w:r>
          </w:p>
        </w:tc>
        <w:tc>
          <w:tcPr>
            <w:tcW w:w="833" w:type="dxa"/>
            <w:tcBorders>
              <w:top w:val="single" w:sz="4" w:space="0" w:color="000000" w:themeColor="text1"/>
              <w:bottom w:val="single" w:sz="4" w:space="0" w:color="auto"/>
            </w:tcBorders>
          </w:tcPr>
          <w:p w14:paraId="64A68B83" w14:textId="77777777" w:rsidR="00A519D0" w:rsidRPr="008F4C9F" w:rsidRDefault="00A519D0" w:rsidP="009A1565">
            <w:pPr>
              <w:keepNext/>
              <w:keepLines/>
              <w:rPr>
                <w:sz w:val="16"/>
                <w:szCs w:val="16"/>
              </w:rPr>
            </w:pPr>
            <w:r w:rsidRPr="008F4C9F">
              <w:rPr>
                <w:sz w:val="16"/>
                <w:szCs w:val="16"/>
              </w:rPr>
              <w:t>Not provided</w:t>
            </w:r>
          </w:p>
        </w:tc>
        <w:tc>
          <w:tcPr>
            <w:tcW w:w="833" w:type="dxa"/>
            <w:tcBorders>
              <w:top w:val="single" w:sz="4" w:space="0" w:color="000000" w:themeColor="text1"/>
              <w:bottom w:val="single" w:sz="4" w:space="0" w:color="auto"/>
            </w:tcBorders>
          </w:tcPr>
          <w:p w14:paraId="6443176D" w14:textId="77777777" w:rsidR="00A519D0" w:rsidRPr="008F4C9F" w:rsidRDefault="00A519D0" w:rsidP="009A1565">
            <w:pPr>
              <w:keepNext/>
              <w:keepLines/>
              <w:rPr>
                <w:sz w:val="16"/>
                <w:szCs w:val="16"/>
              </w:rPr>
            </w:pPr>
            <w:r w:rsidRPr="008F4C9F">
              <w:rPr>
                <w:sz w:val="16"/>
                <w:szCs w:val="16"/>
              </w:rPr>
              <w:t>Not provided</w:t>
            </w:r>
          </w:p>
        </w:tc>
      </w:tr>
    </w:tbl>
    <w:p w14:paraId="33D276EE" w14:textId="0693C8F5" w:rsidR="00A519D0" w:rsidRDefault="003841D9" w:rsidP="00A519D0">
      <w:r>
        <w:t>While e</w:t>
      </w:r>
      <w:r w:rsidR="00A519D0" w:rsidRPr="00521C23">
        <w:t xml:space="preserve">lectricians work longer </w:t>
      </w:r>
      <w:r w:rsidR="00A519D0">
        <w:t>hours per week and</w:t>
      </w:r>
      <w:r w:rsidR="00A519D0" w:rsidRPr="00521C23">
        <w:t xml:space="preserve"> have a higher level of exposure to certain hazards than </w:t>
      </w:r>
      <w:r w:rsidR="00A519D0">
        <w:t xml:space="preserve">many </w:t>
      </w:r>
      <w:r w:rsidR="00A519D0" w:rsidRPr="00521C23">
        <w:t>other workers</w:t>
      </w:r>
      <w:r>
        <w:t>,</w:t>
      </w:r>
      <w:r w:rsidR="00A6512A">
        <w:t xml:space="preserve"> the </w:t>
      </w:r>
      <w:r w:rsidR="00077B7C">
        <w:t>frequency of workers compensation claims has been consistently lower than the average for all occupations</w:t>
      </w:r>
      <w:r w:rsidR="00A519D0" w:rsidRPr="00521C23">
        <w:t>.</w:t>
      </w:r>
      <w:r w:rsidR="00A519D0" w:rsidRPr="00D867B0">
        <w:rPr>
          <w:rStyle w:val="FootnoteReference"/>
          <w:sz w:val="22"/>
          <w:szCs w:val="22"/>
          <w:vertAlign w:val="superscript"/>
        </w:rPr>
        <w:footnoteReference w:id="54"/>
      </w:r>
      <w:r w:rsidR="00A519D0" w:rsidRPr="00521C23">
        <w:t> </w:t>
      </w:r>
      <w:r w:rsidR="00A519D0" w:rsidRPr="00070121">
        <w:t>Over the</w:t>
      </w:r>
      <w:r w:rsidR="00A519D0">
        <w:t xml:space="preserve"> </w:t>
      </w:r>
      <w:r w:rsidR="00A519D0" w:rsidRPr="00070121">
        <w:t>10 years</w:t>
      </w:r>
      <w:r w:rsidR="00A519D0">
        <w:t xml:space="preserve"> to </w:t>
      </w:r>
      <w:r w:rsidR="00EB7E48">
        <w:t>2022</w:t>
      </w:r>
      <w:r w:rsidR="00A519D0" w:rsidRPr="00070121">
        <w:t xml:space="preserve">, 44 </w:t>
      </w:r>
      <w:r w:rsidR="00A519D0">
        <w:t>e</w:t>
      </w:r>
      <w:r w:rsidR="00A519D0" w:rsidRPr="00070121">
        <w:t>lectricians died from traumatic injuries at work</w:t>
      </w:r>
      <w:r w:rsidR="00A519D0">
        <w:t xml:space="preserve">, including </w:t>
      </w:r>
      <w:r w:rsidR="00A519D0" w:rsidRPr="00070121">
        <w:t xml:space="preserve">23 </w:t>
      </w:r>
      <w:r w:rsidR="00A519D0">
        <w:t>due to</w:t>
      </w:r>
      <w:r w:rsidR="00A519D0" w:rsidRPr="00070121">
        <w:t xml:space="preserve"> electrocution and 9 result</w:t>
      </w:r>
      <w:r w:rsidR="00A519D0">
        <w:t>ing</w:t>
      </w:r>
      <w:r w:rsidR="00A519D0" w:rsidRPr="00070121">
        <w:t xml:space="preserve"> from falls from a height.</w:t>
      </w:r>
      <w:r w:rsidR="00A519D0" w:rsidRPr="00D867B0">
        <w:rPr>
          <w:rStyle w:val="FootnoteReference"/>
          <w:sz w:val="22"/>
          <w:szCs w:val="22"/>
          <w:vertAlign w:val="superscript"/>
        </w:rPr>
        <w:footnoteReference w:id="55"/>
      </w:r>
      <w:r w:rsidR="00A519D0" w:rsidRPr="00521C23">
        <w:t> </w:t>
      </w:r>
    </w:p>
    <w:p w14:paraId="5EA5FCDD" w14:textId="77777777" w:rsidR="00A519D0" w:rsidRDefault="00A519D0" w:rsidP="00E460F3">
      <w:pPr>
        <w:pStyle w:val="Heading2"/>
      </w:pPr>
      <w:bookmarkStart w:id="49" w:name="_Toc199402827"/>
      <w:bookmarkStart w:id="50" w:name="_Toc207008662"/>
      <w:r>
        <w:lastRenderedPageBreak/>
        <w:t>Key design elements of a national scheme</w:t>
      </w:r>
      <w:bookmarkEnd w:id="49"/>
      <w:bookmarkEnd w:id="50"/>
    </w:p>
    <w:p w14:paraId="20E285C6" w14:textId="43CD1CF8" w:rsidR="00A519D0" w:rsidRPr="00DD35CE" w:rsidRDefault="00A519D0" w:rsidP="00A519D0">
      <w:r>
        <w:t xml:space="preserve">A national licensing scheme for electrical occupations will need to consider various elements, including licence design, governance arrangements, legislative approach, </w:t>
      </w:r>
      <w:r w:rsidR="000F2C27">
        <w:t xml:space="preserve">digital and data </w:t>
      </w:r>
      <w:r w:rsidR="00E641DE">
        <w:t>infrastructure</w:t>
      </w:r>
      <w:r w:rsidR="000F2C27">
        <w:t xml:space="preserve">, </w:t>
      </w:r>
      <w:r>
        <w:t>and other requirements placed on licensed workers.</w:t>
      </w:r>
    </w:p>
    <w:p w14:paraId="2D32CE74" w14:textId="77777777" w:rsidR="00A519D0" w:rsidRDefault="00A519D0" w:rsidP="00A519D0">
      <w:r w:rsidRPr="00DD35CE">
        <w:t xml:space="preserve">Key elements of </w:t>
      </w:r>
      <w:r w:rsidRPr="00DD35CE">
        <w:rPr>
          <w:i/>
          <w:iCs/>
        </w:rPr>
        <w:t>licence design</w:t>
      </w:r>
      <w:r w:rsidRPr="00DD35CE">
        <w:t xml:space="preserve"> </w:t>
      </w:r>
      <w:r>
        <w:t xml:space="preserve">could </w:t>
      </w:r>
      <w:r w:rsidRPr="00DD35CE">
        <w:t>include:</w:t>
      </w:r>
    </w:p>
    <w:p w14:paraId="11270399" w14:textId="3CB19E35" w:rsidR="00A519D0" w:rsidRPr="00D23C4C" w:rsidRDefault="00A519D0" w:rsidP="00A519D0">
      <w:pPr>
        <w:pStyle w:val="ListParagraph"/>
        <w:numPr>
          <w:ilvl w:val="0"/>
          <w:numId w:val="33"/>
        </w:numPr>
        <w:spacing w:before="0" w:after="160" w:line="259" w:lineRule="auto"/>
        <w:rPr>
          <w:rFonts w:cs="Calibri Light"/>
        </w:rPr>
      </w:pPr>
      <w:r w:rsidRPr="00D23C4C">
        <w:rPr>
          <w:rFonts w:cs="Calibri Light"/>
          <w:b/>
          <w:bCs/>
        </w:rPr>
        <w:t>Licence categories</w:t>
      </w:r>
      <w:r w:rsidRPr="00D23C4C">
        <w:rPr>
          <w:rFonts w:cs="Calibri Light"/>
        </w:rPr>
        <w:t xml:space="preserve">: A licence category identifies the scope of regulated work authorised to be undertaken by the licensee. Under current arrangements, jurisdictions maintain different licence categories (such as ‘electrician’, ‘electrical fitter’, or ‘electrical line worker’), with the scope of allowed work within these categories also varying across jurisdictions. A move to a national system could involve consolidating and standardising licence categories across </w:t>
      </w:r>
      <w:r>
        <w:rPr>
          <w:rFonts w:cs="Calibri Light"/>
        </w:rPr>
        <w:t xml:space="preserve">jurisdictions </w:t>
      </w:r>
      <w:r w:rsidRPr="00D23C4C">
        <w:rPr>
          <w:rFonts w:cs="Calibri Light"/>
        </w:rPr>
        <w:t>while harmonising the scope of work allowed under each category.</w:t>
      </w:r>
      <w:r>
        <w:rPr>
          <w:rFonts w:cs="Calibri Light"/>
        </w:rPr>
        <w:t xml:space="preserve"> This could involve establishing nationally consistent </w:t>
      </w:r>
      <w:r w:rsidR="00247AC5">
        <w:rPr>
          <w:rFonts w:cs="Calibri Light"/>
        </w:rPr>
        <w:t xml:space="preserve">definitions and </w:t>
      </w:r>
      <w:r>
        <w:rPr>
          <w:rFonts w:cs="Calibri Light"/>
        </w:rPr>
        <w:t xml:space="preserve">minimum requirements for each category, with </w:t>
      </w:r>
      <w:r w:rsidR="00203052">
        <w:rPr>
          <w:rFonts w:cs="Calibri Light"/>
        </w:rPr>
        <w:t>s</w:t>
      </w:r>
      <w:r>
        <w:rPr>
          <w:rFonts w:cs="Calibri Light"/>
        </w:rPr>
        <w:t xml:space="preserve">tates able to require additional, modular training units for </w:t>
      </w:r>
      <w:r w:rsidR="00E62DC2">
        <w:rPr>
          <w:rFonts w:cs="Calibri Light"/>
        </w:rPr>
        <w:t>s</w:t>
      </w:r>
      <w:r>
        <w:rPr>
          <w:rFonts w:cs="Calibri Light"/>
        </w:rPr>
        <w:t>tate</w:t>
      </w:r>
      <w:r>
        <w:rPr>
          <w:rFonts w:cs="Calibri Light"/>
        </w:rPr>
        <w:noBreakHyphen/>
        <w:t>specific skills or activities</w:t>
      </w:r>
      <w:r w:rsidR="00E503CC">
        <w:rPr>
          <w:rFonts w:cs="Calibri Light"/>
        </w:rPr>
        <w:t xml:space="preserve"> that have clear net public benefits</w:t>
      </w:r>
      <w:r>
        <w:rPr>
          <w:rFonts w:cs="Calibri Light"/>
        </w:rPr>
        <w:t>.</w:t>
      </w:r>
    </w:p>
    <w:p w14:paraId="20C1B4B0" w14:textId="24795661" w:rsidR="00A519D0" w:rsidRPr="00D23C4C" w:rsidRDefault="00A519D0" w:rsidP="00A519D0">
      <w:pPr>
        <w:pStyle w:val="ListParagraph"/>
        <w:numPr>
          <w:ilvl w:val="0"/>
          <w:numId w:val="33"/>
        </w:numPr>
        <w:spacing w:before="0" w:after="160" w:line="259" w:lineRule="auto"/>
        <w:rPr>
          <w:rFonts w:cs="Calibri Light"/>
        </w:rPr>
      </w:pPr>
      <w:r w:rsidRPr="00D23C4C">
        <w:rPr>
          <w:rFonts w:cs="Calibri Light"/>
          <w:b/>
          <w:bCs/>
        </w:rPr>
        <w:t>Fees and licence periods</w:t>
      </w:r>
      <w:r w:rsidRPr="00D23C4C">
        <w:rPr>
          <w:rFonts w:cs="Calibri Light"/>
        </w:rPr>
        <w:t>: Under current arrangements, licence fees and renewal periods vary across jurisdictions</w:t>
      </w:r>
      <w:r>
        <w:rPr>
          <w:rFonts w:cs="Calibri Light"/>
        </w:rPr>
        <w:t>. F</w:t>
      </w:r>
      <w:r w:rsidRPr="00D23C4C">
        <w:rPr>
          <w:rFonts w:cs="Calibri Light"/>
        </w:rPr>
        <w:t>or example, licence periods can range from 1 to 5 years</w:t>
      </w:r>
      <w:r>
        <w:rPr>
          <w:rFonts w:cs="Calibri Light"/>
        </w:rPr>
        <w:t>, with fees ranging from $</w:t>
      </w:r>
      <w:r w:rsidR="00C52C91">
        <w:rPr>
          <w:rFonts w:cs="Calibri Light"/>
        </w:rPr>
        <w:t>89</w:t>
      </w:r>
      <w:r>
        <w:rPr>
          <w:rFonts w:cs="Calibri Light"/>
        </w:rPr>
        <w:t xml:space="preserve"> to $</w:t>
      </w:r>
      <w:r w:rsidR="00C52C91">
        <w:rPr>
          <w:rFonts w:cs="Calibri Light"/>
        </w:rPr>
        <w:t>209 per year</w:t>
      </w:r>
      <w:r>
        <w:rPr>
          <w:rFonts w:cs="Calibri Light"/>
        </w:rPr>
        <w:t xml:space="preserve"> for electrical workers (</w:t>
      </w:r>
      <w:r w:rsidR="00963FBD">
        <w:rPr>
          <w:rFonts w:cs="Calibri Light"/>
        </w:rPr>
        <w:t>T</w:t>
      </w:r>
      <w:r>
        <w:rPr>
          <w:rFonts w:cs="Calibri Light"/>
        </w:rPr>
        <w:t>able 4)</w:t>
      </w:r>
      <w:r w:rsidRPr="00D23C4C">
        <w:rPr>
          <w:rFonts w:cs="Calibri Light"/>
        </w:rPr>
        <w:t>. Longer licence periods benefit licensees by requiring fewer applications and renewal probity checks. However, shorter licence periods allow for regulators to capture more up-to-date information on licensees, and more regularly provide information to licensees on changed requirements or standards.</w:t>
      </w:r>
    </w:p>
    <w:p w14:paraId="423D8EF1" w14:textId="3F250F82" w:rsidR="00A519D0" w:rsidRPr="00D23C4C" w:rsidRDefault="00A519D0" w:rsidP="00A519D0">
      <w:pPr>
        <w:pStyle w:val="ListParagraph"/>
        <w:numPr>
          <w:ilvl w:val="0"/>
          <w:numId w:val="33"/>
        </w:numPr>
        <w:spacing w:before="0" w:after="160" w:line="259" w:lineRule="auto"/>
        <w:rPr>
          <w:rFonts w:cs="Calibri Light"/>
        </w:rPr>
      </w:pPr>
      <w:r w:rsidRPr="00D23C4C">
        <w:rPr>
          <w:rFonts w:cs="Calibri Light"/>
          <w:b/>
          <w:bCs/>
        </w:rPr>
        <w:t>Eligibility and training requirements</w:t>
      </w:r>
      <w:r w:rsidRPr="00D23C4C">
        <w:rPr>
          <w:rFonts w:cs="Calibri Light"/>
        </w:rPr>
        <w:t>: Jurisdictions currently assess eligibility for licences on differing sets of requirements, including qualification-based eligibility requirements (such as skill or experience requirements, state-based competency testing, or period of work under supervision) as well as non-skills-based eligibility requirements (such as personal probity and financial probity requirements).</w:t>
      </w:r>
      <w:r w:rsidR="00DA18AC">
        <w:rPr>
          <w:rFonts w:cs="Calibri Light"/>
        </w:rPr>
        <w:t xml:space="preserve"> A move to a national system could involve </w:t>
      </w:r>
      <w:r w:rsidR="00260E6B">
        <w:rPr>
          <w:rFonts w:cs="Calibri Light"/>
        </w:rPr>
        <w:t xml:space="preserve">further </w:t>
      </w:r>
      <w:r w:rsidR="00DA18AC">
        <w:rPr>
          <w:rFonts w:cs="Calibri Light"/>
        </w:rPr>
        <w:t>harmonising</w:t>
      </w:r>
      <w:r w:rsidR="00260E6B">
        <w:rPr>
          <w:rFonts w:cs="Calibri Light"/>
        </w:rPr>
        <w:t xml:space="preserve"> requirements around</w:t>
      </w:r>
      <w:r w:rsidR="00996FE1">
        <w:rPr>
          <w:rFonts w:cs="Calibri Light"/>
        </w:rPr>
        <w:t xml:space="preserve"> tertiary</w:t>
      </w:r>
      <w:r w:rsidR="00260E6B">
        <w:rPr>
          <w:rFonts w:cs="Calibri Light"/>
        </w:rPr>
        <w:t xml:space="preserve"> training, apprenticeships</w:t>
      </w:r>
      <w:r w:rsidR="00D600AE">
        <w:rPr>
          <w:rFonts w:cs="Calibri Light"/>
        </w:rPr>
        <w:t xml:space="preserve"> (including capstone exams and </w:t>
      </w:r>
      <w:r w:rsidR="00F40860">
        <w:rPr>
          <w:rFonts w:cs="Calibri Light"/>
        </w:rPr>
        <w:t>workplace evidence</w:t>
      </w:r>
      <w:r w:rsidR="00D600AE">
        <w:rPr>
          <w:rFonts w:cs="Calibri Light"/>
        </w:rPr>
        <w:t>)</w:t>
      </w:r>
      <w:r w:rsidR="00DA18AC">
        <w:rPr>
          <w:rFonts w:cs="Calibri Light"/>
        </w:rPr>
        <w:t xml:space="preserve"> </w:t>
      </w:r>
      <w:r w:rsidR="00AC4A70">
        <w:rPr>
          <w:rFonts w:cs="Calibri Light"/>
        </w:rPr>
        <w:t>and non</w:t>
      </w:r>
      <w:r w:rsidR="002A1F4B">
        <w:rPr>
          <w:rFonts w:cs="Calibri Light"/>
        </w:rPr>
        <w:t>-</w:t>
      </w:r>
      <w:r w:rsidR="00AC4A70">
        <w:rPr>
          <w:rFonts w:cs="Calibri Light"/>
        </w:rPr>
        <w:t>skills</w:t>
      </w:r>
      <w:r w:rsidR="009449C4">
        <w:rPr>
          <w:rFonts w:cs="Calibri Light"/>
        </w:rPr>
        <w:t>-</w:t>
      </w:r>
      <w:r w:rsidR="00AC4A70">
        <w:rPr>
          <w:rFonts w:cs="Calibri Light"/>
        </w:rPr>
        <w:t>based eligibility requirements.</w:t>
      </w:r>
    </w:p>
    <w:p w14:paraId="4EA18692" w14:textId="77777777" w:rsidR="00A519D0" w:rsidRPr="00814B1E" w:rsidRDefault="00A519D0" w:rsidP="00A519D0">
      <w:pPr>
        <w:rPr>
          <w:i/>
          <w:iCs/>
        </w:rPr>
      </w:pPr>
      <w:r>
        <w:t>Potential changes to</w:t>
      </w:r>
      <w:r>
        <w:rPr>
          <w:i/>
          <w:iCs/>
        </w:rPr>
        <w:t xml:space="preserve"> g</w:t>
      </w:r>
      <w:r w:rsidRPr="00814B1E">
        <w:rPr>
          <w:i/>
          <w:iCs/>
        </w:rPr>
        <w:t>overnance arrangements</w:t>
      </w:r>
      <w:r w:rsidRPr="00632A71">
        <w:t xml:space="preserve"> </w:t>
      </w:r>
      <w:r>
        <w:t xml:space="preserve">could </w:t>
      </w:r>
      <w:r w:rsidRPr="00632A71">
        <w:t>include:</w:t>
      </w:r>
    </w:p>
    <w:p w14:paraId="25B472C5" w14:textId="6121110A" w:rsidR="00A519D0" w:rsidRPr="00D23C4C" w:rsidRDefault="00A519D0" w:rsidP="00A519D0">
      <w:pPr>
        <w:pStyle w:val="ListParagraph"/>
        <w:numPr>
          <w:ilvl w:val="0"/>
          <w:numId w:val="33"/>
        </w:numPr>
        <w:spacing w:before="0" w:after="160" w:line="259" w:lineRule="auto"/>
        <w:rPr>
          <w:rFonts w:cs="Calibri Light"/>
        </w:rPr>
      </w:pPr>
      <w:r w:rsidRPr="00D23C4C">
        <w:rPr>
          <w:rFonts w:cs="Calibri Light"/>
          <w:b/>
          <w:bCs/>
        </w:rPr>
        <w:t>Establishment of a new national licensing body</w:t>
      </w:r>
      <w:r w:rsidRPr="00D23C4C">
        <w:rPr>
          <w:rFonts w:cs="Calibri Light"/>
        </w:rPr>
        <w:t xml:space="preserve">: Previous attempts to establish a national licensing regime involved the creation of a new national licensing body (NOLA), intended to administer the scheme, develop policy, and manage a national register of licensees.  </w:t>
      </w:r>
    </w:p>
    <w:p w14:paraId="16A3C058" w14:textId="297B3BD3" w:rsidR="00A519D0" w:rsidRPr="00D23C4C" w:rsidRDefault="00A519D0" w:rsidP="00A519D0">
      <w:pPr>
        <w:pStyle w:val="ListParagraph"/>
        <w:numPr>
          <w:ilvl w:val="0"/>
          <w:numId w:val="33"/>
        </w:numPr>
        <w:spacing w:before="0" w:after="160" w:line="259" w:lineRule="auto"/>
        <w:rPr>
          <w:rFonts w:cs="Calibri Light"/>
        </w:rPr>
      </w:pPr>
      <w:r w:rsidRPr="00D23C4C">
        <w:rPr>
          <w:rFonts w:cs="Calibri Light"/>
          <w:b/>
          <w:bCs/>
        </w:rPr>
        <w:t>Monitoring</w:t>
      </w:r>
      <w:r w:rsidR="00114110">
        <w:rPr>
          <w:rFonts w:cs="Calibri Light"/>
          <w:b/>
          <w:bCs/>
        </w:rPr>
        <w:t>,</w:t>
      </w:r>
      <w:r w:rsidRPr="00D23C4C">
        <w:rPr>
          <w:rFonts w:cs="Calibri Light"/>
          <w:b/>
          <w:bCs/>
        </w:rPr>
        <w:t xml:space="preserve"> compliance</w:t>
      </w:r>
      <w:r w:rsidR="00114110">
        <w:rPr>
          <w:rFonts w:cs="Calibri Light"/>
          <w:b/>
          <w:bCs/>
        </w:rPr>
        <w:t xml:space="preserve"> and enforcement</w:t>
      </w:r>
      <w:r w:rsidRPr="00D23C4C">
        <w:rPr>
          <w:rFonts w:cs="Calibri Light"/>
        </w:rPr>
        <w:t xml:space="preserve">: Under current arrangements, state regulators are responsible for conducting compliance and enforcement activities and overseeing conduct requirements of licensees. Introducing a national licensing scheme </w:t>
      </w:r>
      <w:r>
        <w:rPr>
          <w:rFonts w:cs="Calibri Light"/>
        </w:rPr>
        <w:t>could</w:t>
      </w:r>
      <w:r w:rsidRPr="00D23C4C">
        <w:rPr>
          <w:rFonts w:cs="Calibri Light"/>
        </w:rPr>
        <w:t xml:space="preserve"> facilitate</w:t>
      </w:r>
      <w:r w:rsidR="0039487A">
        <w:rPr>
          <w:rFonts w:cs="Calibri Light"/>
        </w:rPr>
        <w:t xml:space="preserve"> a harmonised approach to various </w:t>
      </w:r>
      <w:r w:rsidR="00CA35D4">
        <w:rPr>
          <w:rFonts w:cs="Calibri Light"/>
        </w:rPr>
        <w:t>elements of regulation, including inspection regimes</w:t>
      </w:r>
      <w:r w:rsidR="00E3646C">
        <w:rPr>
          <w:rFonts w:cs="Calibri Light"/>
        </w:rPr>
        <w:t xml:space="preserve"> and</w:t>
      </w:r>
      <w:r w:rsidR="00CA35D4">
        <w:rPr>
          <w:rFonts w:cs="Calibri Light"/>
        </w:rPr>
        <w:t xml:space="preserve"> disciplinary frameworks</w:t>
      </w:r>
      <w:r w:rsidR="00E3646C">
        <w:rPr>
          <w:rFonts w:cs="Calibri Light"/>
        </w:rPr>
        <w:t>, as well as</w:t>
      </w:r>
      <w:r w:rsidRPr="00D23C4C">
        <w:rPr>
          <w:rFonts w:cs="Calibri Light"/>
        </w:rPr>
        <w:t xml:space="preserve"> </w:t>
      </w:r>
      <w:r>
        <w:rPr>
          <w:rFonts w:cs="Calibri Light"/>
        </w:rPr>
        <w:t>other options for</w:t>
      </w:r>
      <w:r w:rsidR="00E3646C">
        <w:rPr>
          <w:rFonts w:cs="Calibri Light"/>
        </w:rPr>
        <w:t xml:space="preserve"> undertaking</w:t>
      </w:r>
      <w:r>
        <w:rPr>
          <w:rFonts w:cs="Calibri Light"/>
        </w:rPr>
        <w:t xml:space="preserve"> monitoring and compliance, including by a national body</w:t>
      </w:r>
      <w:r w:rsidR="00E3646C">
        <w:rPr>
          <w:rFonts w:cs="Calibri Light"/>
        </w:rPr>
        <w:t xml:space="preserve"> or</w:t>
      </w:r>
      <w:r>
        <w:rPr>
          <w:rFonts w:cs="Calibri Light"/>
        </w:rPr>
        <w:t xml:space="preserve"> </w:t>
      </w:r>
      <w:r w:rsidRPr="00D23C4C">
        <w:rPr>
          <w:rFonts w:cs="Calibri Light"/>
        </w:rPr>
        <w:t>increased cooperation between jurisdictions</w:t>
      </w:r>
      <w:r w:rsidR="009B4A5F">
        <w:rPr>
          <w:rFonts w:cs="Calibri Light"/>
        </w:rPr>
        <w:t>.</w:t>
      </w:r>
      <w:r w:rsidRPr="00D23C4C">
        <w:rPr>
          <w:rFonts w:cs="Calibri Light"/>
        </w:rPr>
        <w:t xml:space="preserve"> </w:t>
      </w:r>
    </w:p>
    <w:p w14:paraId="23169C1B" w14:textId="6D4AB6F0" w:rsidR="00A519D0" w:rsidRPr="00D23C4C" w:rsidRDefault="00A519D0" w:rsidP="00A519D0">
      <w:pPr>
        <w:pStyle w:val="ListParagraph"/>
        <w:numPr>
          <w:ilvl w:val="0"/>
          <w:numId w:val="33"/>
        </w:numPr>
        <w:spacing w:before="0" w:after="160" w:line="259" w:lineRule="auto"/>
        <w:rPr>
          <w:rFonts w:cs="Calibri Light"/>
        </w:rPr>
      </w:pPr>
      <w:r w:rsidRPr="00D23C4C">
        <w:rPr>
          <w:rFonts w:cs="Calibri Light"/>
          <w:b/>
          <w:bCs/>
        </w:rPr>
        <w:t>Revenue sharing</w:t>
      </w:r>
      <w:r w:rsidRPr="00D23C4C">
        <w:rPr>
          <w:rFonts w:cs="Calibri Light"/>
        </w:rPr>
        <w:t>: Moving to a national scheme could have implications for government revenue and may therefore require new revenue sharing arrangements. For example, removing the need for workers to hold duplicative licences in multiple jurisdictions would reduce overall state revenue</w:t>
      </w:r>
      <w:r>
        <w:rPr>
          <w:rFonts w:cs="Calibri Light"/>
        </w:rPr>
        <w:t xml:space="preserve"> but would likely come with offsetting administrative savings</w:t>
      </w:r>
      <w:r w:rsidRPr="00D23C4C">
        <w:rPr>
          <w:rFonts w:cs="Calibri Light"/>
        </w:rPr>
        <w:t>.</w:t>
      </w:r>
      <w:r>
        <w:rPr>
          <w:rFonts w:cs="Calibri Light"/>
        </w:rPr>
        <w:t xml:space="preserve"> The need for revenue sharing may depend on which bodies are tasked with setting licen</w:t>
      </w:r>
      <w:r w:rsidR="00BD3482">
        <w:rPr>
          <w:rFonts w:cs="Calibri Light"/>
        </w:rPr>
        <w:t>s</w:t>
      </w:r>
      <w:r>
        <w:rPr>
          <w:rFonts w:cs="Calibri Light"/>
        </w:rPr>
        <w:t>ing requirements, granting licences and undertaking monitoring</w:t>
      </w:r>
      <w:r w:rsidR="00B338FB">
        <w:rPr>
          <w:rFonts w:cs="Calibri Light"/>
        </w:rPr>
        <w:t>,</w:t>
      </w:r>
      <w:r w:rsidDel="00B338FB">
        <w:rPr>
          <w:rFonts w:cs="Calibri Light"/>
        </w:rPr>
        <w:t xml:space="preserve"> </w:t>
      </w:r>
      <w:r>
        <w:rPr>
          <w:rFonts w:cs="Calibri Light"/>
        </w:rPr>
        <w:t>compliance</w:t>
      </w:r>
      <w:r w:rsidR="00B338FB">
        <w:rPr>
          <w:rFonts w:cs="Calibri Light"/>
        </w:rPr>
        <w:t xml:space="preserve"> and enforcement</w:t>
      </w:r>
      <w:r>
        <w:rPr>
          <w:rFonts w:cs="Calibri Light"/>
        </w:rPr>
        <w:t xml:space="preserve"> activities.</w:t>
      </w:r>
    </w:p>
    <w:p w14:paraId="356F6AC3" w14:textId="53B5CB96" w:rsidR="00A519D0" w:rsidRPr="00D23C4C" w:rsidRDefault="00A519D0" w:rsidP="00A519D0">
      <w:pPr>
        <w:pStyle w:val="ListParagraph"/>
        <w:numPr>
          <w:ilvl w:val="0"/>
          <w:numId w:val="33"/>
        </w:numPr>
        <w:spacing w:before="0" w:after="160" w:line="259" w:lineRule="auto"/>
        <w:rPr>
          <w:rFonts w:cs="Calibri Light"/>
        </w:rPr>
      </w:pPr>
      <w:r>
        <w:rPr>
          <w:rFonts w:cs="Calibri Light"/>
          <w:b/>
          <w:bCs/>
        </w:rPr>
        <w:lastRenderedPageBreak/>
        <w:t>Governance</w:t>
      </w:r>
      <w:r w:rsidRPr="00D23C4C">
        <w:rPr>
          <w:rFonts w:cs="Calibri Light"/>
          <w:b/>
          <w:bCs/>
        </w:rPr>
        <w:t xml:space="preserve"> mechanisms</w:t>
      </w:r>
      <w:r>
        <w:rPr>
          <w:rFonts w:cs="Calibri Light"/>
          <w:b/>
          <w:bCs/>
        </w:rPr>
        <w:t xml:space="preserve"> for resolving interjurisdictional differences</w:t>
      </w:r>
      <w:r w:rsidRPr="00D23C4C">
        <w:rPr>
          <w:rFonts w:cs="Calibri Light"/>
        </w:rPr>
        <w:t xml:space="preserve">: A move to a national licensing scheme would require ongoing cooperation between </w:t>
      </w:r>
      <w:r>
        <w:rPr>
          <w:rFonts w:cs="Calibri Light"/>
        </w:rPr>
        <w:t>all jurisdictions</w:t>
      </w:r>
      <w:r w:rsidRPr="00D23C4C">
        <w:rPr>
          <w:rFonts w:cs="Calibri Light"/>
        </w:rPr>
        <w:t xml:space="preserve">. Establishing </w:t>
      </w:r>
      <w:r>
        <w:rPr>
          <w:rFonts w:cs="Calibri Light"/>
        </w:rPr>
        <w:t>governance</w:t>
      </w:r>
      <w:r w:rsidRPr="00D23C4C">
        <w:rPr>
          <w:rFonts w:cs="Calibri Light"/>
        </w:rPr>
        <w:t xml:space="preserve"> mechanisms </w:t>
      </w:r>
      <w:r>
        <w:rPr>
          <w:rFonts w:cs="Calibri Light"/>
        </w:rPr>
        <w:t>and forums to</w:t>
      </w:r>
      <w:r w:rsidR="00600599">
        <w:rPr>
          <w:rFonts w:cs="Calibri Light"/>
        </w:rPr>
        <w:t xml:space="preserve"> encourage ongoing harmonisation and</w:t>
      </w:r>
      <w:r>
        <w:rPr>
          <w:rFonts w:cs="Calibri Light"/>
        </w:rPr>
        <w:t xml:space="preserve"> enable </w:t>
      </w:r>
      <w:r w:rsidR="00B338FB">
        <w:rPr>
          <w:rFonts w:cs="Calibri Light"/>
        </w:rPr>
        <w:t xml:space="preserve">jurisdictions </w:t>
      </w:r>
      <w:r>
        <w:rPr>
          <w:rFonts w:cs="Calibri Light"/>
        </w:rPr>
        <w:t>to discuss different views on the operation of national licensing</w:t>
      </w:r>
      <w:r w:rsidRPr="00D23C4C">
        <w:rPr>
          <w:rFonts w:cs="Calibri Light"/>
        </w:rPr>
        <w:t xml:space="preserve"> may help to ensure the sustainability of the scheme.</w:t>
      </w:r>
      <w:r w:rsidR="00754C9E">
        <w:rPr>
          <w:rFonts w:cs="Calibri Light"/>
        </w:rPr>
        <w:t xml:space="preserve"> Such a mechanism could also </w:t>
      </w:r>
      <w:r w:rsidR="00565D35">
        <w:rPr>
          <w:rFonts w:cs="Calibri Light"/>
        </w:rPr>
        <w:t>bring together regulators, industry bodies, unions and skills councils</w:t>
      </w:r>
      <w:r w:rsidR="00BA0EA6">
        <w:rPr>
          <w:rFonts w:cs="Calibri Light"/>
        </w:rPr>
        <w:t xml:space="preserve"> to </w:t>
      </w:r>
      <w:r w:rsidR="00161D95">
        <w:rPr>
          <w:rFonts w:cs="Calibri Light"/>
        </w:rPr>
        <w:t>maximise the chance</w:t>
      </w:r>
      <w:r w:rsidR="00F0675A">
        <w:rPr>
          <w:rFonts w:cs="Calibri Light"/>
        </w:rPr>
        <w:t>s of the scheme’s ongoing success.</w:t>
      </w:r>
      <w:r w:rsidRPr="00D23C4C">
        <w:rPr>
          <w:rFonts w:cs="Calibri Light"/>
        </w:rPr>
        <w:t xml:space="preserve"> </w:t>
      </w:r>
    </w:p>
    <w:p w14:paraId="0E5F821A" w14:textId="77777777" w:rsidR="00A519D0" w:rsidRPr="00D23C4C" w:rsidRDefault="00A519D0" w:rsidP="00A519D0">
      <w:pPr>
        <w:pStyle w:val="ListParagraph"/>
        <w:numPr>
          <w:ilvl w:val="0"/>
          <w:numId w:val="33"/>
        </w:numPr>
        <w:spacing w:before="0" w:after="160" w:line="259" w:lineRule="auto"/>
        <w:rPr>
          <w:rFonts w:cs="Calibri Light"/>
        </w:rPr>
      </w:pPr>
      <w:r w:rsidRPr="00D23C4C">
        <w:rPr>
          <w:rFonts w:cs="Calibri Light"/>
          <w:b/>
          <w:bCs/>
        </w:rPr>
        <w:t>Transitional arrangements</w:t>
      </w:r>
      <w:r w:rsidRPr="00D23C4C">
        <w:rPr>
          <w:rFonts w:cs="Calibri Light"/>
        </w:rPr>
        <w:t>: Governments may need to implement certain arrangements to ensure the smooth transition to a new licensing scheme and minimise transition costs. For example, these arrangements could consider the treatment of existing licensees, licence applicants, and workers undertaking disciplinary or court processes.</w:t>
      </w:r>
      <w:r>
        <w:rPr>
          <w:rFonts w:cs="Calibri Light"/>
        </w:rPr>
        <w:t xml:space="preserve"> G</w:t>
      </w:r>
      <w:r w:rsidRPr="00936912">
        <w:rPr>
          <w:rFonts w:cs="Calibri Light"/>
        </w:rPr>
        <w:t>randfathering</w:t>
      </w:r>
      <w:r>
        <w:rPr>
          <w:rFonts w:cs="Calibri Light"/>
        </w:rPr>
        <w:t xml:space="preserve"> of existing arrangements and/</w:t>
      </w:r>
      <w:r w:rsidRPr="00936912">
        <w:rPr>
          <w:rFonts w:cs="Calibri Light"/>
        </w:rPr>
        <w:t>or</w:t>
      </w:r>
      <w:r>
        <w:rPr>
          <w:rFonts w:cs="Calibri Light"/>
        </w:rPr>
        <w:t xml:space="preserve"> providing</w:t>
      </w:r>
      <w:r w:rsidRPr="00936912">
        <w:rPr>
          <w:rFonts w:cs="Calibri Light"/>
        </w:rPr>
        <w:t xml:space="preserve"> the ability to opt-in to </w:t>
      </w:r>
      <w:r>
        <w:rPr>
          <w:rFonts w:cs="Calibri Light"/>
        </w:rPr>
        <w:t xml:space="preserve">a new scheme could also be considered. </w:t>
      </w:r>
    </w:p>
    <w:p w14:paraId="010EC8F6" w14:textId="77777777" w:rsidR="00A519D0" w:rsidRPr="00814B1E" w:rsidRDefault="00A519D0" w:rsidP="00A519D0">
      <w:pPr>
        <w:rPr>
          <w:i/>
          <w:iCs/>
        </w:rPr>
      </w:pPr>
      <w:r w:rsidRPr="00814B1E">
        <w:rPr>
          <w:i/>
          <w:iCs/>
        </w:rPr>
        <w:t>Other requirements</w:t>
      </w:r>
      <w:r>
        <w:rPr>
          <w:i/>
          <w:iCs/>
        </w:rPr>
        <w:t xml:space="preserve"> </w:t>
      </w:r>
      <w:r w:rsidRPr="009D579B">
        <w:t xml:space="preserve">currently </w:t>
      </w:r>
      <w:r w:rsidRPr="00632A71">
        <w:t xml:space="preserve">imposed on </w:t>
      </w:r>
      <w:r>
        <w:t xml:space="preserve">some </w:t>
      </w:r>
      <w:r w:rsidRPr="00632A71">
        <w:t>licensees include:</w:t>
      </w:r>
    </w:p>
    <w:p w14:paraId="2F402A9C" w14:textId="13494E4A" w:rsidR="00A519D0" w:rsidRPr="00D23C4C" w:rsidRDefault="00A519D0" w:rsidP="00A519D0">
      <w:pPr>
        <w:pStyle w:val="ListParagraph"/>
        <w:numPr>
          <w:ilvl w:val="0"/>
          <w:numId w:val="33"/>
        </w:numPr>
        <w:spacing w:before="0" w:after="160" w:line="259" w:lineRule="auto"/>
        <w:rPr>
          <w:rFonts w:cs="Calibri Light"/>
        </w:rPr>
      </w:pPr>
      <w:r w:rsidRPr="00D23C4C">
        <w:rPr>
          <w:rFonts w:cs="Calibri Light"/>
          <w:b/>
          <w:bCs/>
        </w:rPr>
        <w:t>Notification requirements</w:t>
      </w:r>
      <w:r w:rsidRPr="00D23C4C">
        <w:rPr>
          <w:rFonts w:cs="Calibri Light"/>
        </w:rPr>
        <w:t xml:space="preserve">: Under AMR, interstate licensees are typically required to notify the state-based regulator in the jurisdiction they wish to commence work. </w:t>
      </w:r>
      <w:r w:rsidR="004839BD">
        <w:rPr>
          <w:rFonts w:cs="Calibri Light"/>
        </w:rPr>
        <w:t xml:space="preserve">A national register may </w:t>
      </w:r>
      <w:r w:rsidR="00D22A13">
        <w:rPr>
          <w:rFonts w:cs="Calibri Light"/>
        </w:rPr>
        <w:t>make it easier to achieve</w:t>
      </w:r>
      <w:r w:rsidR="00304127">
        <w:rPr>
          <w:rFonts w:cs="Calibri Light"/>
        </w:rPr>
        <w:t xml:space="preserve"> t</w:t>
      </w:r>
      <w:r>
        <w:rPr>
          <w:rFonts w:cs="Calibri Light"/>
        </w:rPr>
        <w:t>his requirement.</w:t>
      </w:r>
    </w:p>
    <w:p w14:paraId="4BAF60B7" w14:textId="77777777" w:rsidR="00A519D0" w:rsidRPr="00D23C4C" w:rsidRDefault="00A519D0" w:rsidP="00A519D0">
      <w:pPr>
        <w:pStyle w:val="ListParagraph"/>
        <w:numPr>
          <w:ilvl w:val="0"/>
          <w:numId w:val="33"/>
        </w:numPr>
        <w:spacing w:before="0" w:after="160" w:line="259" w:lineRule="auto"/>
        <w:rPr>
          <w:rFonts w:cs="Calibri Light"/>
        </w:rPr>
      </w:pPr>
      <w:r w:rsidRPr="00D23C4C">
        <w:rPr>
          <w:rFonts w:cs="Calibri Light"/>
          <w:b/>
          <w:bCs/>
        </w:rPr>
        <w:t>Obligations when moving home state</w:t>
      </w:r>
      <w:r w:rsidRPr="00D23C4C">
        <w:rPr>
          <w:rFonts w:cs="Calibri Light"/>
        </w:rPr>
        <w:t>: Under AMR, a person must obtain their licence from their ‘home state’, which is the location of their principal place of residence and/or principal place of work. Licensees who move their primary place of residence to a new state are required to apply for a new local licence.</w:t>
      </w:r>
      <w:r>
        <w:rPr>
          <w:rFonts w:cs="Calibri Light"/>
        </w:rPr>
        <w:t xml:space="preserve"> Other arrangements for updating personal details may be more appropriate under a national licence.</w:t>
      </w:r>
    </w:p>
    <w:p w14:paraId="221E1ABF" w14:textId="2B167B8F" w:rsidR="00A519D0" w:rsidRPr="00D23C4C" w:rsidRDefault="00A519D0" w:rsidP="00A519D0">
      <w:pPr>
        <w:pStyle w:val="ListParagraph"/>
        <w:numPr>
          <w:ilvl w:val="0"/>
          <w:numId w:val="33"/>
        </w:numPr>
        <w:spacing w:before="0" w:after="160" w:line="259" w:lineRule="auto"/>
        <w:rPr>
          <w:rFonts w:cs="Calibri Light"/>
        </w:rPr>
      </w:pPr>
      <w:r w:rsidRPr="00D23C4C">
        <w:rPr>
          <w:rFonts w:cs="Calibri Light"/>
          <w:b/>
          <w:bCs/>
        </w:rPr>
        <w:t>Continuing professional development requirements</w:t>
      </w:r>
      <w:r w:rsidRPr="00D23C4C">
        <w:rPr>
          <w:rFonts w:cs="Calibri Light"/>
        </w:rPr>
        <w:t>: Some jurisdictions impose continuing professional development (CPD) requirements on licensees, to ensure workers maintain their skills and are aware of changes in legislation, codes and standards. Potential alternatives to CPD include information provision, one-off training requirements, or the development of guidelines.</w:t>
      </w:r>
    </w:p>
    <w:p w14:paraId="77F4CD7A" w14:textId="65191974" w:rsidR="00A519D0" w:rsidRPr="00D23C4C" w:rsidRDefault="00A519D0" w:rsidP="00A519D0">
      <w:pPr>
        <w:pStyle w:val="ListParagraph"/>
        <w:numPr>
          <w:ilvl w:val="0"/>
          <w:numId w:val="33"/>
        </w:numPr>
        <w:spacing w:before="0" w:after="160" w:line="259" w:lineRule="auto"/>
        <w:rPr>
          <w:rFonts w:cs="Calibri Light"/>
        </w:rPr>
      </w:pPr>
      <w:r w:rsidRPr="00D23C4C">
        <w:rPr>
          <w:rFonts w:cs="Calibri Light"/>
          <w:b/>
          <w:bCs/>
        </w:rPr>
        <w:t>Insurance requirements</w:t>
      </w:r>
      <w:r w:rsidRPr="00D23C4C">
        <w:rPr>
          <w:rFonts w:cs="Calibri Light"/>
        </w:rPr>
        <w:t>: Some jurisdictions impose insurance requirements</w:t>
      </w:r>
      <w:r w:rsidR="002B7FCA">
        <w:rPr>
          <w:rFonts w:cs="Calibri Light"/>
        </w:rPr>
        <w:t xml:space="preserve"> </w:t>
      </w:r>
      <w:r w:rsidR="002B7FCA" w:rsidRPr="00D23C4C">
        <w:rPr>
          <w:rFonts w:cs="Calibri Light"/>
        </w:rPr>
        <w:t>on licensees</w:t>
      </w:r>
      <w:r w:rsidR="009420A6">
        <w:rPr>
          <w:rFonts w:cs="Calibri Light"/>
        </w:rPr>
        <w:t>,</w:t>
      </w:r>
      <w:r w:rsidRPr="00D23C4C">
        <w:rPr>
          <w:rFonts w:cs="Calibri Light"/>
        </w:rPr>
        <w:t xml:space="preserve"> such as the requirement to hold professional indemnity insurance.</w:t>
      </w:r>
    </w:p>
    <w:p w14:paraId="75F75C82" w14:textId="2DED6666" w:rsidR="000104B4" w:rsidRDefault="000104B4" w:rsidP="00A519D0">
      <w:r>
        <w:t xml:space="preserve">Potential changes to </w:t>
      </w:r>
      <w:r w:rsidR="000F2C27" w:rsidRPr="002B7FCA">
        <w:rPr>
          <w:i/>
          <w:iCs/>
        </w:rPr>
        <w:t xml:space="preserve">digital and data </w:t>
      </w:r>
      <w:r w:rsidR="00E641DE">
        <w:rPr>
          <w:i/>
          <w:iCs/>
        </w:rPr>
        <w:t>infrastructure</w:t>
      </w:r>
      <w:r w:rsidR="000F2C27">
        <w:t xml:space="preserve"> include:</w:t>
      </w:r>
    </w:p>
    <w:p w14:paraId="4128301B" w14:textId="12AF23BD" w:rsidR="000F2C27" w:rsidRDefault="000104B4" w:rsidP="00A519D0">
      <w:pPr>
        <w:pStyle w:val="ListParagraph"/>
        <w:numPr>
          <w:ilvl w:val="0"/>
          <w:numId w:val="33"/>
        </w:numPr>
        <w:spacing w:before="0" w:after="160" w:line="259" w:lineRule="auto"/>
        <w:rPr>
          <w:rFonts w:cs="Calibri Light"/>
        </w:rPr>
      </w:pPr>
      <w:r w:rsidRPr="00A75B7D">
        <w:rPr>
          <w:rFonts w:cs="Calibri Light"/>
          <w:b/>
          <w:bCs/>
        </w:rPr>
        <w:t>Establishment of a new national licensing register</w:t>
      </w:r>
      <w:r>
        <w:rPr>
          <w:rFonts w:cs="Calibri Light"/>
        </w:rPr>
        <w:t xml:space="preserve">: A move towards national licensing could be supported by a national register or other digital system for </w:t>
      </w:r>
      <w:r w:rsidR="00D00220">
        <w:rPr>
          <w:rFonts w:cs="Calibri Light"/>
        </w:rPr>
        <w:t xml:space="preserve">accessing </w:t>
      </w:r>
      <w:r>
        <w:rPr>
          <w:rFonts w:cs="Calibri Light"/>
        </w:rPr>
        <w:t xml:space="preserve">licensing information. Such a register could </w:t>
      </w:r>
      <w:r w:rsidR="00FC190E">
        <w:rPr>
          <w:rFonts w:cs="Calibri Light"/>
        </w:rPr>
        <w:t xml:space="preserve">also </w:t>
      </w:r>
      <w:r>
        <w:rPr>
          <w:rFonts w:cs="Calibri Light"/>
        </w:rPr>
        <w:t xml:space="preserve">facilitate improved information sharing between state licensing regulators, allowing more seamless notification processes and </w:t>
      </w:r>
      <w:r w:rsidR="005F54E8">
        <w:rPr>
          <w:rFonts w:cs="Calibri Light"/>
        </w:rPr>
        <w:t xml:space="preserve">improved safety outcomes through </w:t>
      </w:r>
      <w:r>
        <w:rPr>
          <w:rFonts w:cs="Calibri Light"/>
        </w:rPr>
        <w:t xml:space="preserve">better targeted </w:t>
      </w:r>
      <w:r w:rsidR="00885592">
        <w:rPr>
          <w:rFonts w:cs="Calibri Light"/>
        </w:rPr>
        <w:t>regulatory activities</w:t>
      </w:r>
      <w:r>
        <w:rPr>
          <w:rFonts w:cs="Calibri Light"/>
        </w:rPr>
        <w:t>.</w:t>
      </w:r>
    </w:p>
    <w:p w14:paraId="2A409010" w14:textId="73671B02" w:rsidR="000104B4" w:rsidRPr="006C6A35" w:rsidRDefault="001B2D1B" w:rsidP="009A68C4">
      <w:pPr>
        <w:pStyle w:val="ListParagraph"/>
        <w:numPr>
          <w:ilvl w:val="0"/>
          <w:numId w:val="33"/>
        </w:numPr>
        <w:spacing w:before="0" w:after="160" w:line="259" w:lineRule="auto"/>
        <w:rPr>
          <w:rFonts w:cs="Calibri Light"/>
        </w:rPr>
      </w:pPr>
      <w:r w:rsidRPr="001B2D1B">
        <w:rPr>
          <w:rFonts w:cs="Calibri Light"/>
          <w:b/>
          <w:bCs/>
        </w:rPr>
        <w:t>Creation of a digital licence</w:t>
      </w:r>
      <w:r w:rsidRPr="00885592">
        <w:rPr>
          <w:rFonts w:cs="Calibri Light"/>
        </w:rPr>
        <w:t>:</w:t>
      </w:r>
      <w:r w:rsidRPr="001B2D1B">
        <w:rPr>
          <w:rFonts w:cs="Calibri Light"/>
        </w:rPr>
        <w:t xml:space="preserve"> </w:t>
      </w:r>
      <w:r w:rsidR="00E641DE">
        <w:rPr>
          <w:rFonts w:cs="Calibri Light"/>
        </w:rPr>
        <w:t xml:space="preserve">A national licensing scheme could also be supported by </w:t>
      </w:r>
      <w:r w:rsidR="008970B2">
        <w:rPr>
          <w:rFonts w:cs="Calibri Light"/>
        </w:rPr>
        <w:t xml:space="preserve">increased </w:t>
      </w:r>
      <w:r w:rsidR="00E641DE">
        <w:rPr>
          <w:rFonts w:cs="Calibri Light"/>
        </w:rPr>
        <w:t>a</w:t>
      </w:r>
      <w:r w:rsidR="008970B2">
        <w:rPr>
          <w:rFonts w:cs="Calibri Light"/>
        </w:rPr>
        <w:t>doption of</w:t>
      </w:r>
      <w:r w:rsidR="00E641DE">
        <w:rPr>
          <w:rFonts w:cs="Calibri Light"/>
        </w:rPr>
        <w:t xml:space="preserve"> digital</w:t>
      </w:r>
      <w:r w:rsidR="008970B2">
        <w:rPr>
          <w:rFonts w:cs="Calibri Light"/>
        </w:rPr>
        <w:t xml:space="preserve"> licensing, potentially linked to</w:t>
      </w:r>
      <w:r w:rsidR="00E641DE">
        <w:rPr>
          <w:rFonts w:cs="Calibri Light"/>
        </w:rPr>
        <w:t xml:space="preserve"> </w:t>
      </w:r>
      <w:r w:rsidRPr="001B2D1B">
        <w:rPr>
          <w:rFonts w:cs="Calibri Light"/>
        </w:rPr>
        <w:t>a centralised</w:t>
      </w:r>
      <w:r w:rsidR="008970B2">
        <w:rPr>
          <w:rFonts w:cs="Calibri Light"/>
        </w:rPr>
        <w:t xml:space="preserve"> licensing</w:t>
      </w:r>
      <w:r w:rsidRPr="001B2D1B">
        <w:rPr>
          <w:rFonts w:cs="Calibri Light"/>
        </w:rPr>
        <w:t xml:space="preserve"> register</w:t>
      </w:r>
      <w:r w:rsidR="00863C3B">
        <w:rPr>
          <w:rFonts w:cs="Calibri Light"/>
        </w:rPr>
        <w:t xml:space="preserve"> as described above</w:t>
      </w:r>
      <w:r w:rsidR="008970B2">
        <w:rPr>
          <w:rFonts w:cs="Calibri Light"/>
        </w:rPr>
        <w:t xml:space="preserve">. Such a digital tool could </w:t>
      </w:r>
      <w:r w:rsidR="00AB22A2">
        <w:rPr>
          <w:rFonts w:cs="Calibri Light"/>
        </w:rPr>
        <w:t xml:space="preserve">provide </w:t>
      </w:r>
      <w:r w:rsidR="00847CDE">
        <w:rPr>
          <w:rFonts w:cs="Calibri Light"/>
        </w:rPr>
        <w:t>significant</w:t>
      </w:r>
      <w:r w:rsidR="00AB22A2">
        <w:rPr>
          <w:rFonts w:cs="Calibri Light"/>
        </w:rPr>
        <w:t xml:space="preserve"> benefits</w:t>
      </w:r>
      <w:r w:rsidR="00670926">
        <w:rPr>
          <w:rFonts w:cs="Calibri Light"/>
        </w:rPr>
        <w:t xml:space="preserve"> to workers</w:t>
      </w:r>
      <w:r w:rsidR="00847CDE">
        <w:rPr>
          <w:rFonts w:cs="Calibri Light"/>
        </w:rPr>
        <w:t>, including by</w:t>
      </w:r>
      <w:r w:rsidR="001C0A47">
        <w:rPr>
          <w:rFonts w:cs="Calibri Light"/>
        </w:rPr>
        <w:t xml:space="preserve"> </w:t>
      </w:r>
      <w:r w:rsidR="00747A2A">
        <w:rPr>
          <w:rFonts w:cs="Calibri Light"/>
        </w:rPr>
        <w:t>streamlining processes</w:t>
      </w:r>
      <w:r w:rsidR="00A7556B">
        <w:rPr>
          <w:rFonts w:cs="Calibri Light"/>
        </w:rPr>
        <w:t xml:space="preserve"> associated with </w:t>
      </w:r>
      <w:r w:rsidR="006C6A35">
        <w:rPr>
          <w:rFonts w:cs="Calibri Light"/>
        </w:rPr>
        <w:t xml:space="preserve">booking inspections, </w:t>
      </w:r>
      <w:r w:rsidR="00747A2A">
        <w:rPr>
          <w:rFonts w:cs="Calibri Light"/>
        </w:rPr>
        <w:t>providing certificates</w:t>
      </w:r>
      <w:r w:rsidR="006C6A35">
        <w:rPr>
          <w:rFonts w:cs="Calibri Light"/>
        </w:rPr>
        <w:t>, or notifying regulators before</w:t>
      </w:r>
      <w:r w:rsidR="00A7556B">
        <w:rPr>
          <w:rFonts w:cs="Calibri Light"/>
        </w:rPr>
        <w:t xml:space="preserve"> </w:t>
      </w:r>
      <w:r w:rsidR="006C6A35">
        <w:rPr>
          <w:rFonts w:cs="Calibri Light"/>
        </w:rPr>
        <w:t xml:space="preserve">moving across borders or </w:t>
      </w:r>
      <w:r w:rsidR="00A7556B">
        <w:rPr>
          <w:rFonts w:cs="Calibri Light"/>
        </w:rPr>
        <w:t>undertak</w:t>
      </w:r>
      <w:r w:rsidR="006C6A35">
        <w:rPr>
          <w:rFonts w:cs="Calibri Light"/>
        </w:rPr>
        <w:t>ing</w:t>
      </w:r>
      <w:r w:rsidR="00A7556B">
        <w:rPr>
          <w:rFonts w:cs="Calibri Light"/>
        </w:rPr>
        <w:t xml:space="preserve"> high risk work</w:t>
      </w:r>
      <w:r w:rsidR="006C6A35">
        <w:rPr>
          <w:rFonts w:cs="Calibri Light"/>
        </w:rPr>
        <w:t>. A digital licence</w:t>
      </w:r>
      <w:r w:rsidR="00281215">
        <w:rPr>
          <w:rFonts w:cs="Calibri Light"/>
        </w:rPr>
        <w:t xml:space="preserve"> could also</w:t>
      </w:r>
      <w:r w:rsidR="00B62F66">
        <w:rPr>
          <w:rFonts w:cs="Calibri Light"/>
        </w:rPr>
        <w:t xml:space="preserve"> facilitate improved information provision to workers, </w:t>
      </w:r>
      <w:r w:rsidR="0055189D">
        <w:rPr>
          <w:rFonts w:cs="Calibri Light"/>
        </w:rPr>
        <w:t>by providing easi</w:t>
      </w:r>
      <w:r w:rsidR="00E537D4">
        <w:rPr>
          <w:rFonts w:cs="Calibri Light"/>
        </w:rPr>
        <w:t>er</w:t>
      </w:r>
      <w:r w:rsidR="0055189D">
        <w:rPr>
          <w:rFonts w:cs="Calibri Light"/>
        </w:rPr>
        <w:t xml:space="preserve"> access to</w:t>
      </w:r>
      <w:r w:rsidR="006C6A35">
        <w:rPr>
          <w:rFonts w:cs="Calibri Light"/>
        </w:rPr>
        <w:t xml:space="preserve"> </w:t>
      </w:r>
      <w:r w:rsidR="0055189D">
        <w:rPr>
          <w:rFonts w:cs="Calibri Light"/>
        </w:rPr>
        <w:t>s</w:t>
      </w:r>
      <w:r w:rsidRPr="006C6A35">
        <w:rPr>
          <w:rFonts w:cs="Calibri Light"/>
        </w:rPr>
        <w:t xml:space="preserve">tate-specific requirements </w:t>
      </w:r>
      <w:r w:rsidR="0055189D">
        <w:rPr>
          <w:rFonts w:cs="Calibri Light"/>
        </w:rPr>
        <w:t xml:space="preserve">and/or updates to licensing requirements </w:t>
      </w:r>
      <w:r w:rsidR="00FD679E">
        <w:rPr>
          <w:rFonts w:cs="Calibri Light"/>
        </w:rPr>
        <w:t xml:space="preserve">or standards </w:t>
      </w:r>
      <w:r w:rsidR="00E537D4">
        <w:rPr>
          <w:rFonts w:cs="Calibri Light"/>
        </w:rPr>
        <w:t>over time</w:t>
      </w:r>
      <w:r w:rsidR="00AB22A2" w:rsidRPr="006C6A35">
        <w:rPr>
          <w:rFonts w:cs="Calibri Light"/>
        </w:rPr>
        <w:t xml:space="preserve">. </w:t>
      </w:r>
    </w:p>
    <w:p w14:paraId="057BB517" w14:textId="217540B8" w:rsidR="00A519D0" w:rsidRPr="00814B1E" w:rsidRDefault="00A519D0" w:rsidP="00A519D0">
      <w:pPr>
        <w:rPr>
          <w:i/>
          <w:iCs/>
        </w:rPr>
      </w:pPr>
      <w:r w:rsidRPr="00632A71">
        <w:t>The</w:t>
      </w:r>
      <w:r>
        <w:t xml:space="preserve"> scheme also raises potential</w:t>
      </w:r>
      <w:r>
        <w:rPr>
          <w:i/>
          <w:iCs/>
        </w:rPr>
        <w:t xml:space="preserve"> l</w:t>
      </w:r>
      <w:r w:rsidRPr="00814B1E">
        <w:rPr>
          <w:i/>
          <w:iCs/>
        </w:rPr>
        <w:t xml:space="preserve">egislative </w:t>
      </w:r>
      <w:r>
        <w:rPr>
          <w:i/>
          <w:iCs/>
        </w:rPr>
        <w:t>issues</w:t>
      </w:r>
      <w:r w:rsidRPr="00A33B6D">
        <w:t xml:space="preserve"> which require careful consideration</w:t>
      </w:r>
      <w:r w:rsidRPr="00632A71">
        <w:t>.</w:t>
      </w:r>
    </w:p>
    <w:p w14:paraId="75DED8E4" w14:textId="3ADB6ECF" w:rsidR="00A519D0" w:rsidRPr="00D23C4C" w:rsidRDefault="00A519D0" w:rsidP="00A519D0">
      <w:pPr>
        <w:pStyle w:val="ListParagraph"/>
        <w:numPr>
          <w:ilvl w:val="0"/>
          <w:numId w:val="33"/>
        </w:numPr>
        <w:spacing w:before="0" w:after="160" w:line="259" w:lineRule="auto"/>
        <w:rPr>
          <w:rFonts w:cs="Calibri Light"/>
        </w:rPr>
      </w:pPr>
      <w:r w:rsidRPr="00D23C4C">
        <w:rPr>
          <w:rFonts w:cs="Calibri Light"/>
          <w:b/>
          <w:bCs/>
        </w:rPr>
        <w:t>Interaction with other licensing laws and schemes</w:t>
      </w:r>
      <w:r w:rsidRPr="00D23C4C">
        <w:rPr>
          <w:rFonts w:cs="Calibri Light"/>
        </w:rPr>
        <w:t>: The design of a new national scheme would need to consider how any new legislation interacts with other state laws</w:t>
      </w:r>
      <w:r w:rsidR="00EB7E48">
        <w:rPr>
          <w:rFonts w:cs="Calibri Light"/>
        </w:rPr>
        <w:t>, including WHS laws</w:t>
      </w:r>
      <w:r w:rsidR="009113C2">
        <w:rPr>
          <w:rFonts w:cs="Calibri Light"/>
        </w:rPr>
        <w:t xml:space="preserve"> and electrical safety laws</w:t>
      </w:r>
      <w:r w:rsidR="00EB7E48">
        <w:rPr>
          <w:rFonts w:cs="Calibri Light"/>
        </w:rPr>
        <w:t>,</w:t>
      </w:r>
      <w:r w:rsidRPr="00D23C4C">
        <w:rPr>
          <w:rFonts w:cs="Calibri Light"/>
        </w:rPr>
        <w:t xml:space="preserve"> relating to the electrical trades</w:t>
      </w:r>
      <w:r w:rsidR="009C02B8">
        <w:rPr>
          <w:rFonts w:cs="Calibri Light"/>
        </w:rPr>
        <w:t xml:space="preserve"> and other related occupations</w:t>
      </w:r>
      <w:r w:rsidRPr="00D23C4C">
        <w:rPr>
          <w:rFonts w:cs="Calibri Light"/>
        </w:rPr>
        <w:t xml:space="preserve">. </w:t>
      </w:r>
    </w:p>
    <w:p w14:paraId="0133A31C" w14:textId="75BFD6CC" w:rsidR="00A519D0" w:rsidRDefault="00A519D0" w:rsidP="00A519D0">
      <w:pPr>
        <w:pStyle w:val="ListParagraph"/>
        <w:numPr>
          <w:ilvl w:val="0"/>
          <w:numId w:val="33"/>
        </w:numPr>
        <w:spacing w:before="0" w:after="160" w:line="259" w:lineRule="auto"/>
        <w:rPr>
          <w:rFonts w:cs="Calibri Light"/>
        </w:rPr>
      </w:pPr>
      <w:r w:rsidRPr="00D23C4C">
        <w:rPr>
          <w:rFonts w:cs="Calibri Light"/>
          <w:b/>
          <w:bCs/>
        </w:rPr>
        <w:lastRenderedPageBreak/>
        <w:t>Different legislative models</w:t>
      </w:r>
      <w:r w:rsidRPr="00D23C4C">
        <w:rPr>
          <w:rFonts w:cs="Calibri Light"/>
        </w:rPr>
        <w:t xml:space="preserve">: </w:t>
      </w:r>
      <w:r>
        <w:rPr>
          <w:rFonts w:cs="Calibri Light"/>
        </w:rPr>
        <w:t>R</w:t>
      </w:r>
      <w:r w:rsidRPr="00D23C4C">
        <w:rPr>
          <w:rFonts w:cs="Calibri Light"/>
        </w:rPr>
        <w:t>esponsibility for the regulation of occupational licensing sits with the states</w:t>
      </w:r>
      <w:r>
        <w:rPr>
          <w:rFonts w:cs="Calibri Light"/>
        </w:rPr>
        <w:t>, with t</w:t>
      </w:r>
      <w:r w:rsidRPr="00D32F76">
        <w:rPr>
          <w:rFonts w:cs="Calibri Light"/>
        </w:rPr>
        <w:t xml:space="preserve">he </w:t>
      </w:r>
      <w:r w:rsidR="00DF07A4">
        <w:rPr>
          <w:rFonts w:cs="Calibri Light"/>
        </w:rPr>
        <w:t>Australian Government</w:t>
      </w:r>
      <w:r w:rsidR="00DF07A4" w:rsidRPr="00D32F76">
        <w:rPr>
          <w:rFonts w:cs="Calibri Light"/>
        </w:rPr>
        <w:t xml:space="preserve"> </w:t>
      </w:r>
      <w:r>
        <w:rPr>
          <w:rFonts w:cs="Calibri Light"/>
        </w:rPr>
        <w:t>possessing</w:t>
      </w:r>
      <w:r w:rsidRPr="00D32F76">
        <w:rPr>
          <w:rFonts w:cs="Calibri Light"/>
        </w:rPr>
        <w:t xml:space="preserve"> no legislative power to recognise licen</w:t>
      </w:r>
      <w:r w:rsidR="00A81FF6">
        <w:rPr>
          <w:rFonts w:cs="Calibri Light"/>
        </w:rPr>
        <w:t>c</w:t>
      </w:r>
      <w:r w:rsidRPr="00D32F76">
        <w:rPr>
          <w:rFonts w:cs="Calibri Light"/>
        </w:rPr>
        <w:t xml:space="preserve">es, determine occupational equivalency, </w:t>
      </w:r>
      <w:r>
        <w:rPr>
          <w:rFonts w:cs="Calibri Light"/>
        </w:rPr>
        <w:t xml:space="preserve">or </w:t>
      </w:r>
      <w:r w:rsidRPr="00D32F76">
        <w:rPr>
          <w:rFonts w:cs="Calibri Light"/>
        </w:rPr>
        <w:t xml:space="preserve">confer </w:t>
      </w:r>
      <w:r>
        <w:rPr>
          <w:rFonts w:cs="Calibri Light"/>
        </w:rPr>
        <w:t>AMR.</w:t>
      </w:r>
      <w:r w:rsidRPr="00D867B0">
        <w:rPr>
          <w:rStyle w:val="FootnoteReference"/>
          <w:rFonts w:cs="Calibri Light"/>
          <w:vertAlign w:val="superscript"/>
        </w:rPr>
        <w:footnoteReference w:id="56"/>
      </w:r>
      <w:r>
        <w:rPr>
          <w:rFonts w:cs="Calibri Light"/>
        </w:rPr>
        <w:t xml:space="preserve"> </w:t>
      </w:r>
      <w:r w:rsidRPr="00D23C4C">
        <w:rPr>
          <w:rFonts w:cs="Calibri Light"/>
        </w:rPr>
        <w:t xml:space="preserve">Introducing a national licensing scheme may therefore require </w:t>
      </w:r>
      <w:r w:rsidR="0066035E">
        <w:rPr>
          <w:rFonts w:cs="Calibri Light"/>
        </w:rPr>
        <w:t>new</w:t>
      </w:r>
      <w:r w:rsidR="0066035E" w:rsidRPr="00D23C4C">
        <w:rPr>
          <w:rFonts w:cs="Calibri Light"/>
        </w:rPr>
        <w:t xml:space="preserve"> </w:t>
      </w:r>
      <w:r w:rsidRPr="00D23C4C">
        <w:rPr>
          <w:rFonts w:cs="Calibri Light"/>
        </w:rPr>
        <w:t>legislation, including jurisdictions enacting the scheme through mirror legislation or a referral of powers.</w:t>
      </w:r>
    </w:p>
    <w:p w14:paraId="35051B73" w14:textId="22F6D470" w:rsidR="00A519D0" w:rsidRPr="0050083C" w:rsidRDefault="00A519D0" w:rsidP="00E74B62">
      <w:pPr>
        <w:pStyle w:val="TableMainHeading"/>
      </w:pPr>
      <w:bookmarkStart w:id="51" w:name="_Toc207008663"/>
      <w:r w:rsidRPr="0050083C">
        <w:rPr>
          <w:b/>
          <w:bCs/>
        </w:rPr>
        <w:t xml:space="preserve">Table </w:t>
      </w:r>
      <w:r>
        <w:rPr>
          <w:b/>
          <w:bCs/>
        </w:rPr>
        <w:t>4</w:t>
      </w:r>
      <w:r w:rsidRPr="0050083C">
        <w:t>: Electrical licence fees by jurisdiction</w:t>
      </w:r>
      <w:bookmarkEnd w:id="51"/>
    </w:p>
    <w:tbl>
      <w:tblPr>
        <w:tblStyle w:val="TableGrid"/>
        <w:tblW w:w="5000" w:type="pct"/>
        <w:tblLayout w:type="fixed"/>
        <w:tblLook w:val="04A0" w:firstRow="1" w:lastRow="0" w:firstColumn="1" w:lastColumn="0" w:noHBand="0" w:noVBand="1"/>
      </w:tblPr>
      <w:tblGrid>
        <w:gridCol w:w="1226"/>
        <w:gridCol w:w="901"/>
        <w:gridCol w:w="897"/>
        <w:gridCol w:w="1008"/>
        <w:gridCol w:w="1008"/>
        <w:gridCol w:w="1008"/>
        <w:gridCol w:w="1008"/>
        <w:gridCol w:w="1008"/>
        <w:gridCol w:w="1008"/>
      </w:tblGrid>
      <w:tr w:rsidR="00C645E2" w14:paraId="088636DF" w14:textId="77777777" w:rsidTr="007E5E21">
        <w:trPr>
          <w:cnfStyle w:val="100000000000" w:firstRow="1" w:lastRow="0" w:firstColumn="0" w:lastColumn="0" w:oddVBand="0" w:evenVBand="0" w:oddHBand="0" w:evenHBand="0" w:firstRowFirstColumn="0" w:firstRowLastColumn="0" w:lastRowFirstColumn="0" w:lastRowLastColumn="0"/>
        </w:trPr>
        <w:tc>
          <w:tcPr>
            <w:tcW w:w="1226" w:type="dxa"/>
          </w:tcPr>
          <w:p w14:paraId="1FFAE00D" w14:textId="77777777" w:rsidR="00A519D0" w:rsidRPr="00CF07AB" w:rsidRDefault="00A519D0" w:rsidP="009A1565">
            <w:pPr>
              <w:keepNext/>
              <w:keepLines/>
              <w:spacing w:before="96" w:after="96"/>
            </w:pPr>
            <w:r w:rsidRPr="00CF07AB">
              <w:t>Jurisdiction</w:t>
            </w:r>
          </w:p>
        </w:tc>
        <w:tc>
          <w:tcPr>
            <w:tcW w:w="901" w:type="dxa"/>
          </w:tcPr>
          <w:p w14:paraId="76720675" w14:textId="77777777" w:rsidR="00A519D0" w:rsidRPr="00CF07AB" w:rsidRDefault="00A519D0" w:rsidP="009A1565">
            <w:pPr>
              <w:keepNext/>
              <w:keepLines/>
              <w:spacing w:before="96" w:after="96"/>
              <w:jc w:val="center"/>
            </w:pPr>
            <w:r w:rsidRPr="00CF07AB">
              <w:t>NSW</w:t>
            </w:r>
          </w:p>
        </w:tc>
        <w:tc>
          <w:tcPr>
            <w:tcW w:w="897" w:type="dxa"/>
          </w:tcPr>
          <w:p w14:paraId="0F6EB3C0" w14:textId="77777777" w:rsidR="00A519D0" w:rsidRPr="00CF07AB" w:rsidRDefault="00A519D0" w:rsidP="009A1565">
            <w:pPr>
              <w:keepNext/>
              <w:keepLines/>
              <w:spacing w:before="96" w:after="96"/>
              <w:jc w:val="center"/>
            </w:pPr>
            <w:r w:rsidRPr="00CF07AB">
              <w:t>VIC</w:t>
            </w:r>
          </w:p>
        </w:tc>
        <w:tc>
          <w:tcPr>
            <w:tcW w:w="1008" w:type="dxa"/>
          </w:tcPr>
          <w:p w14:paraId="24F28493" w14:textId="77777777" w:rsidR="00A519D0" w:rsidRPr="00CF07AB" w:rsidRDefault="00A519D0" w:rsidP="009A1565">
            <w:pPr>
              <w:keepNext/>
              <w:keepLines/>
              <w:spacing w:before="96" w:after="96"/>
              <w:jc w:val="center"/>
            </w:pPr>
            <w:r w:rsidRPr="00CF07AB">
              <w:t>QLD</w:t>
            </w:r>
          </w:p>
        </w:tc>
        <w:tc>
          <w:tcPr>
            <w:tcW w:w="1008" w:type="dxa"/>
          </w:tcPr>
          <w:p w14:paraId="06D4BB3F" w14:textId="77777777" w:rsidR="00A519D0" w:rsidRPr="00CF07AB" w:rsidRDefault="00A519D0" w:rsidP="009A1565">
            <w:pPr>
              <w:keepNext/>
              <w:keepLines/>
              <w:spacing w:before="96" w:after="96"/>
              <w:jc w:val="center"/>
            </w:pPr>
            <w:r w:rsidRPr="00CF07AB">
              <w:t>SA</w:t>
            </w:r>
          </w:p>
        </w:tc>
        <w:tc>
          <w:tcPr>
            <w:tcW w:w="1008" w:type="dxa"/>
          </w:tcPr>
          <w:p w14:paraId="2A200A13" w14:textId="77777777" w:rsidR="00A519D0" w:rsidRPr="00CF07AB" w:rsidRDefault="00A519D0" w:rsidP="009A1565">
            <w:pPr>
              <w:keepNext/>
              <w:keepLines/>
              <w:spacing w:before="96" w:after="96"/>
              <w:jc w:val="center"/>
            </w:pPr>
            <w:r w:rsidRPr="00CF07AB">
              <w:t>WA</w:t>
            </w:r>
          </w:p>
        </w:tc>
        <w:tc>
          <w:tcPr>
            <w:tcW w:w="1008" w:type="dxa"/>
          </w:tcPr>
          <w:p w14:paraId="2A2F387F" w14:textId="77777777" w:rsidR="00A519D0" w:rsidRPr="00CF07AB" w:rsidRDefault="00A519D0" w:rsidP="009A1565">
            <w:pPr>
              <w:keepNext/>
              <w:keepLines/>
              <w:spacing w:before="96" w:after="96"/>
              <w:jc w:val="center"/>
            </w:pPr>
            <w:r w:rsidRPr="00CF07AB">
              <w:t>TAS</w:t>
            </w:r>
          </w:p>
        </w:tc>
        <w:tc>
          <w:tcPr>
            <w:tcW w:w="1008" w:type="dxa"/>
          </w:tcPr>
          <w:p w14:paraId="70971F73" w14:textId="77777777" w:rsidR="00A519D0" w:rsidRPr="00CF07AB" w:rsidRDefault="00A519D0" w:rsidP="009A1565">
            <w:pPr>
              <w:keepNext/>
              <w:keepLines/>
              <w:spacing w:before="96" w:after="96"/>
              <w:jc w:val="center"/>
            </w:pPr>
            <w:r w:rsidRPr="00CF07AB">
              <w:t>NT</w:t>
            </w:r>
          </w:p>
        </w:tc>
        <w:tc>
          <w:tcPr>
            <w:tcW w:w="1008" w:type="dxa"/>
          </w:tcPr>
          <w:p w14:paraId="709E6B45" w14:textId="77777777" w:rsidR="00A519D0" w:rsidRPr="00CF07AB" w:rsidRDefault="00A519D0" w:rsidP="009A1565">
            <w:pPr>
              <w:keepNext/>
              <w:keepLines/>
              <w:spacing w:before="96" w:after="96"/>
              <w:jc w:val="center"/>
            </w:pPr>
            <w:r w:rsidRPr="00CF07AB">
              <w:t>ACT</w:t>
            </w:r>
          </w:p>
        </w:tc>
      </w:tr>
      <w:tr w:rsidR="00A519D0" w14:paraId="69157CF7" w14:textId="77777777" w:rsidTr="007E5E21">
        <w:tc>
          <w:tcPr>
            <w:tcW w:w="1226" w:type="dxa"/>
          </w:tcPr>
          <w:p w14:paraId="1FF3C5C8" w14:textId="77777777" w:rsidR="00A519D0" w:rsidRDefault="00A519D0" w:rsidP="009A1565">
            <w:pPr>
              <w:keepNext/>
              <w:keepLines/>
            </w:pPr>
            <w:r w:rsidRPr="00D27703">
              <w:rPr>
                <w:b/>
                <w:bCs/>
              </w:rPr>
              <w:t>Licence fees</w:t>
            </w:r>
            <w:r>
              <w:t xml:space="preserve"> (unrestricted electrical workers)</w:t>
            </w:r>
          </w:p>
        </w:tc>
        <w:tc>
          <w:tcPr>
            <w:tcW w:w="901" w:type="dxa"/>
          </w:tcPr>
          <w:p w14:paraId="65F7490B" w14:textId="54372780" w:rsidR="00A519D0" w:rsidRDefault="00A519D0" w:rsidP="009A1565">
            <w:pPr>
              <w:keepNext/>
              <w:keepLines/>
            </w:pPr>
            <w:r>
              <w:t>$16</w:t>
            </w:r>
            <w:r w:rsidR="00073933">
              <w:t>6</w:t>
            </w:r>
            <w:r>
              <w:t xml:space="preserve"> (1 year), $</w:t>
            </w:r>
            <w:r w:rsidR="000D3FF9">
              <w:t xml:space="preserve">280 </w:t>
            </w:r>
            <w:r>
              <w:t>(3 years) or $</w:t>
            </w:r>
            <w:r w:rsidR="000D3FF9">
              <w:t xml:space="preserve">482 </w:t>
            </w:r>
            <w:r>
              <w:t>(5 years)</w:t>
            </w:r>
          </w:p>
        </w:tc>
        <w:tc>
          <w:tcPr>
            <w:tcW w:w="897" w:type="dxa"/>
          </w:tcPr>
          <w:p w14:paraId="5ABA1E76" w14:textId="77777777" w:rsidR="00A519D0" w:rsidRDefault="00A519D0" w:rsidP="009A1565">
            <w:pPr>
              <w:keepNext/>
              <w:keepLines/>
            </w:pPr>
            <w:r>
              <w:t>$445.80 (5 years)</w:t>
            </w:r>
          </w:p>
        </w:tc>
        <w:tc>
          <w:tcPr>
            <w:tcW w:w="1008" w:type="dxa"/>
          </w:tcPr>
          <w:p w14:paraId="312F6B30" w14:textId="671304B4" w:rsidR="00A519D0" w:rsidRDefault="00A519D0" w:rsidP="009A1565">
            <w:pPr>
              <w:keepNext/>
              <w:keepLines/>
            </w:pPr>
            <w:r>
              <w:t>$9</w:t>
            </w:r>
            <w:r w:rsidR="008266D7">
              <w:t>3</w:t>
            </w:r>
            <w:r>
              <w:t>.9</w:t>
            </w:r>
            <w:r w:rsidR="008266D7">
              <w:t>8</w:t>
            </w:r>
            <w:r>
              <w:t xml:space="preserve"> (5 years)</w:t>
            </w:r>
          </w:p>
        </w:tc>
        <w:tc>
          <w:tcPr>
            <w:tcW w:w="1008" w:type="dxa"/>
          </w:tcPr>
          <w:p w14:paraId="032FCD82" w14:textId="32500506" w:rsidR="00A519D0" w:rsidRDefault="00A519D0" w:rsidP="009A1565">
            <w:pPr>
              <w:keepNext/>
              <w:keepLines/>
            </w:pPr>
            <w:r>
              <w:t>$</w:t>
            </w:r>
            <w:r w:rsidR="001875FF">
              <w:t xml:space="preserve">331 </w:t>
            </w:r>
            <w:r>
              <w:t>(3 years)</w:t>
            </w:r>
          </w:p>
        </w:tc>
        <w:tc>
          <w:tcPr>
            <w:tcW w:w="1008" w:type="dxa"/>
          </w:tcPr>
          <w:p w14:paraId="5BEBA920" w14:textId="77777777" w:rsidR="00A519D0" w:rsidRDefault="00A519D0" w:rsidP="009A1565">
            <w:pPr>
              <w:keepNext/>
              <w:keepLines/>
            </w:pPr>
            <w:r>
              <w:t>$209 (1 year) or $685 (5 years)</w:t>
            </w:r>
          </w:p>
        </w:tc>
        <w:tc>
          <w:tcPr>
            <w:tcW w:w="1008" w:type="dxa"/>
          </w:tcPr>
          <w:p w14:paraId="7AC4139B" w14:textId="74924DE9" w:rsidR="00A519D0" w:rsidRDefault="00A519D0" w:rsidP="009A1565">
            <w:pPr>
              <w:keepNext/>
              <w:keepLines/>
            </w:pPr>
            <w:r>
              <w:t>$</w:t>
            </w:r>
            <w:r w:rsidDel="001A4081">
              <w:t>392</w:t>
            </w:r>
            <w:r w:rsidR="000A4BC5">
              <w:t>.70</w:t>
            </w:r>
            <w:r>
              <w:t xml:space="preserve"> (3 years)</w:t>
            </w:r>
          </w:p>
        </w:tc>
        <w:tc>
          <w:tcPr>
            <w:tcW w:w="1008" w:type="dxa"/>
          </w:tcPr>
          <w:p w14:paraId="4F311020" w14:textId="0264E188" w:rsidR="00A519D0" w:rsidRDefault="00A519D0" w:rsidP="009A1565">
            <w:pPr>
              <w:keepNext/>
              <w:keepLines/>
            </w:pPr>
            <w:r>
              <w:t>$</w:t>
            </w:r>
            <w:r w:rsidR="00D3705B">
              <w:t xml:space="preserve">507 </w:t>
            </w:r>
            <w:r>
              <w:t>(5 years)</w:t>
            </w:r>
          </w:p>
        </w:tc>
        <w:tc>
          <w:tcPr>
            <w:tcW w:w="1008" w:type="dxa"/>
          </w:tcPr>
          <w:p w14:paraId="28448E58" w14:textId="0BF54ED1" w:rsidR="00A519D0" w:rsidRDefault="007D08D4" w:rsidP="009A1565">
            <w:pPr>
              <w:keepNext/>
              <w:keepLines/>
            </w:pPr>
            <w:r>
              <w:t xml:space="preserve">$227.28 (1 year), </w:t>
            </w:r>
            <w:r w:rsidR="00A519D0">
              <w:t>$4</w:t>
            </w:r>
            <w:r w:rsidR="00692FF1">
              <w:t>79.83</w:t>
            </w:r>
            <w:r w:rsidR="00A519D0">
              <w:t xml:space="preserve"> (3 years)</w:t>
            </w:r>
          </w:p>
        </w:tc>
      </w:tr>
      <w:tr w:rsidR="00F20F5D" w14:paraId="1E99A089" w14:textId="77777777" w:rsidTr="007E5E21">
        <w:tc>
          <w:tcPr>
            <w:tcW w:w="1226" w:type="dxa"/>
            <w:tcBorders>
              <w:bottom w:val="single" w:sz="4" w:space="0" w:color="auto"/>
            </w:tcBorders>
          </w:tcPr>
          <w:p w14:paraId="78A07E18" w14:textId="110F2F15" w:rsidR="00F20F5D" w:rsidRPr="00D27703" w:rsidRDefault="00F20F5D" w:rsidP="009A1565">
            <w:pPr>
              <w:keepNext/>
              <w:keepLines/>
              <w:rPr>
                <w:b/>
                <w:bCs/>
              </w:rPr>
            </w:pPr>
            <w:r>
              <w:rPr>
                <w:b/>
                <w:bCs/>
              </w:rPr>
              <w:t>Renewal fee</w:t>
            </w:r>
          </w:p>
        </w:tc>
        <w:tc>
          <w:tcPr>
            <w:tcW w:w="901" w:type="dxa"/>
            <w:tcBorders>
              <w:bottom w:val="single" w:sz="4" w:space="0" w:color="auto"/>
            </w:tcBorders>
          </w:tcPr>
          <w:p w14:paraId="4012601F" w14:textId="38935F00" w:rsidR="00F20F5D" w:rsidRDefault="00724825" w:rsidP="009A1565">
            <w:pPr>
              <w:keepNext/>
              <w:keepLines/>
            </w:pPr>
            <w:r>
              <w:t>$32 (1 year), $</w:t>
            </w:r>
            <w:r w:rsidR="00073933">
              <w:t>63</w:t>
            </w:r>
            <w:r>
              <w:t xml:space="preserve"> (3 years) or $</w:t>
            </w:r>
            <w:r w:rsidR="00073933">
              <w:t>109</w:t>
            </w:r>
            <w:r>
              <w:t xml:space="preserve"> (5 years)</w:t>
            </w:r>
          </w:p>
        </w:tc>
        <w:tc>
          <w:tcPr>
            <w:tcW w:w="897" w:type="dxa"/>
            <w:tcBorders>
              <w:bottom w:val="single" w:sz="4" w:space="0" w:color="auto"/>
            </w:tcBorders>
          </w:tcPr>
          <w:p w14:paraId="1BFE536A" w14:textId="65CA860B" w:rsidR="00F20F5D" w:rsidRDefault="0040590F" w:rsidP="009A1565">
            <w:pPr>
              <w:keepNext/>
              <w:keepLines/>
            </w:pPr>
            <w:r>
              <w:t>$222.90 (5 years)</w:t>
            </w:r>
          </w:p>
        </w:tc>
        <w:tc>
          <w:tcPr>
            <w:tcW w:w="1008" w:type="dxa"/>
            <w:tcBorders>
              <w:bottom w:val="single" w:sz="4" w:space="0" w:color="auto"/>
            </w:tcBorders>
          </w:tcPr>
          <w:p w14:paraId="06D2CE4C" w14:textId="0EE2BC1F" w:rsidR="00F20F5D" w:rsidRDefault="008266D7" w:rsidP="009A1565">
            <w:pPr>
              <w:keepNext/>
              <w:keepLines/>
            </w:pPr>
            <w:r>
              <w:t>$93.98 (5 years)</w:t>
            </w:r>
          </w:p>
        </w:tc>
        <w:tc>
          <w:tcPr>
            <w:tcW w:w="1008" w:type="dxa"/>
            <w:tcBorders>
              <w:bottom w:val="single" w:sz="4" w:space="0" w:color="auto"/>
            </w:tcBorders>
          </w:tcPr>
          <w:p w14:paraId="6040E358" w14:textId="7AA827B1" w:rsidR="00F20F5D" w:rsidRDefault="00297BDE" w:rsidP="009A1565">
            <w:pPr>
              <w:keepNext/>
              <w:keepLines/>
            </w:pPr>
            <w:r>
              <w:t>$331 (3 years)</w:t>
            </w:r>
          </w:p>
        </w:tc>
        <w:tc>
          <w:tcPr>
            <w:tcW w:w="1008" w:type="dxa"/>
            <w:tcBorders>
              <w:bottom w:val="single" w:sz="4" w:space="0" w:color="auto"/>
            </w:tcBorders>
          </w:tcPr>
          <w:p w14:paraId="345E877A" w14:textId="4B7E6452" w:rsidR="00F20F5D" w:rsidRDefault="008A4349" w:rsidP="009A1565">
            <w:pPr>
              <w:keepNext/>
              <w:keepLines/>
            </w:pPr>
            <w:r>
              <w:t>$119 (1 year) or $</w:t>
            </w:r>
            <w:r w:rsidR="00C340EA">
              <w:t>595</w:t>
            </w:r>
            <w:r>
              <w:t xml:space="preserve"> (5 years)</w:t>
            </w:r>
          </w:p>
        </w:tc>
        <w:tc>
          <w:tcPr>
            <w:tcW w:w="1008" w:type="dxa"/>
            <w:tcBorders>
              <w:bottom w:val="single" w:sz="4" w:space="0" w:color="auto"/>
            </w:tcBorders>
          </w:tcPr>
          <w:p w14:paraId="29802B5D" w14:textId="7672BDC6" w:rsidR="00F20F5D" w:rsidRDefault="005C0285" w:rsidP="009A1565">
            <w:pPr>
              <w:keepNext/>
              <w:keepLines/>
            </w:pPr>
            <w:r>
              <w:t>$</w:t>
            </w:r>
            <w:r w:rsidDel="001A4081">
              <w:t>392</w:t>
            </w:r>
            <w:r>
              <w:t>.70 (3 years)</w:t>
            </w:r>
          </w:p>
        </w:tc>
        <w:tc>
          <w:tcPr>
            <w:tcW w:w="1008" w:type="dxa"/>
            <w:tcBorders>
              <w:bottom w:val="single" w:sz="4" w:space="0" w:color="auto"/>
            </w:tcBorders>
          </w:tcPr>
          <w:p w14:paraId="350C52AC" w14:textId="6BA87583" w:rsidR="00F20F5D" w:rsidRDefault="00F5267D" w:rsidP="009A1565">
            <w:pPr>
              <w:keepNext/>
              <w:keepLines/>
            </w:pPr>
            <w:r>
              <w:t>$507 (5 years)</w:t>
            </w:r>
          </w:p>
        </w:tc>
        <w:tc>
          <w:tcPr>
            <w:tcW w:w="1008" w:type="dxa"/>
            <w:tcBorders>
              <w:bottom w:val="single" w:sz="4" w:space="0" w:color="auto"/>
            </w:tcBorders>
          </w:tcPr>
          <w:p w14:paraId="34CC59B1" w14:textId="6793E640" w:rsidR="00F20F5D" w:rsidRDefault="007D08D4" w:rsidP="009A1565">
            <w:pPr>
              <w:keepNext/>
              <w:keepLines/>
            </w:pPr>
            <w:r>
              <w:t>$227.28 (1 year), $479.83 (3 years)</w:t>
            </w:r>
          </w:p>
        </w:tc>
      </w:tr>
    </w:tbl>
    <w:p w14:paraId="156E33C4" w14:textId="77777777" w:rsidR="006C5A46" w:rsidRPr="00CC667A" w:rsidRDefault="006C5A46" w:rsidP="00A519D0">
      <w:pPr>
        <w:rPr>
          <w:rFonts w:cs="Calibri Light"/>
        </w:rPr>
      </w:pPr>
    </w:p>
    <w:tbl>
      <w:tblPr>
        <w:tblStyle w:val="TableGrid"/>
        <w:tblW w:w="0" w:type="auto"/>
        <w:tblLook w:val="04A0" w:firstRow="1" w:lastRow="0" w:firstColumn="1" w:lastColumn="0" w:noHBand="0" w:noVBand="1"/>
      </w:tblPr>
      <w:tblGrid>
        <w:gridCol w:w="9016"/>
      </w:tblGrid>
      <w:tr w:rsidR="00A519D0" w14:paraId="22B4859F" w14:textId="77777777">
        <w:trPr>
          <w:cnfStyle w:val="100000000000" w:firstRow="1" w:lastRow="0" w:firstColumn="0" w:lastColumn="0" w:oddVBand="0" w:evenVBand="0" w:oddHBand="0" w:evenHBand="0" w:firstRowFirstColumn="0" w:firstRowLastColumn="0" w:lastRowFirstColumn="0" w:lastRowLastColumn="0"/>
        </w:trPr>
        <w:tc>
          <w:tcPr>
            <w:tcW w:w="9016" w:type="dxa"/>
            <w:tcBorders>
              <w:top w:val="nil"/>
              <w:left w:val="nil"/>
              <w:bottom w:val="nil"/>
              <w:right w:val="nil"/>
            </w:tcBorders>
            <w:shd w:val="clear" w:color="auto" w:fill="D8E6DF" w:themeFill="accent2" w:themeFillTint="33"/>
          </w:tcPr>
          <w:p w14:paraId="4755823E" w14:textId="77777777" w:rsidR="00A519D0" w:rsidRPr="00940E72" w:rsidRDefault="00A519D0">
            <w:pPr>
              <w:spacing w:before="96" w:after="96"/>
              <w:rPr>
                <w:rFonts w:cs="Calibri Light"/>
              </w:rPr>
            </w:pPr>
            <w:r w:rsidRPr="00940E72">
              <w:rPr>
                <w:rFonts w:cs="Calibri Light"/>
              </w:rPr>
              <w:t>Questions</w:t>
            </w:r>
          </w:p>
          <w:p w14:paraId="3239191B" w14:textId="77777777" w:rsidR="00036B1D" w:rsidRPr="00036B1D" w:rsidRDefault="00036B1D" w:rsidP="00536758">
            <w:pPr>
              <w:pStyle w:val="Bullet"/>
              <w:numPr>
                <w:ilvl w:val="0"/>
                <w:numId w:val="35"/>
              </w:numPr>
              <w:spacing w:beforeLines="40" w:before="96" w:afterLines="40" w:after="96"/>
              <w:rPr>
                <w:rFonts w:cstheme="minorHAnsi"/>
                <w:b w:val="0"/>
                <w:bCs/>
              </w:rPr>
            </w:pPr>
            <w:r w:rsidRPr="00036B1D">
              <w:rPr>
                <w:rFonts w:cstheme="minorHAnsi"/>
                <w:b w:val="0"/>
                <w:bCs/>
              </w:rPr>
              <w:t>What kinds of electrical work should be included in a national licensing scheme?</w:t>
            </w:r>
          </w:p>
          <w:p w14:paraId="5384E24C" w14:textId="77777777" w:rsidR="00A519D0" w:rsidRPr="004234B0" w:rsidRDefault="00A519D0" w:rsidP="00536758">
            <w:pPr>
              <w:pStyle w:val="Bullet"/>
              <w:numPr>
                <w:ilvl w:val="0"/>
                <w:numId w:val="35"/>
              </w:numPr>
              <w:spacing w:beforeLines="40" w:before="96" w:afterLines="40" w:after="96"/>
              <w:rPr>
                <w:rFonts w:cstheme="minorHAnsi"/>
                <w:b w:val="0"/>
                <w:bCs/>
              </w:rPr>
            </w:pPr>
            <w:r w:rsidRPr="004234B0">
              <w:rPr>
                <w:rFonts w:cstheme="minorHAnsi"/>
                <w:b w:val="0"/>
                <w:bCs/>
              </w:rPr>
              <w:t xml:space="preserve">Are the key elements </w:t>
            </w:r>
            <w:r w:rsidR="00036B1D" w:rsidRPr="00036B1D">
              <w:rPr>
                <w:rFonts w:cstheme="minorHAnsi"/>
                <w:b w:val="0"/>
                <w:bCs/>
              </w:rPr>
              <w:t>above comprehensive?</w:t>
            </w:r>
            <w:r w:rsidRPr="004234B0">
              <w:rPr>
                <w:rFonts w:cstheme="minorHAnsi"/>
                <w:b w:val="0"/>
                <w:bCs/>
              </w:rPr>
              <w:t xml:space="preserve"> What has been missed and why is it important?</w:t>
            </w:r>
          </w:p>
          <w:p w14:paraId="2BEA4E02" w14:textId="49887F1C" w:rsidR="00A519D0" w:rsidRPr="004234B0" w:rsidRDefault="00A519D0" w:rsidP="00536758">
            <w:pPr>
              <w:pStyle w:val="Bullet"/>
              <w:numPr>
                <w:ilvl w:val="0"/>
                <w:numId w:val="35"/>
              </w:numPr>
              <w:spacing w:beforeLines="40" w:before="96" w:afterLines="40" w:after="96"/>
              <w:rPr>
                <w:rFonts w:cstheme="minorHAnsi"/>
                <w:b w:val="0"/>
                <w:bCs/>
              </w:rPr>
            </w:pPr>
            <w:r w:rsidRPr="00036B1D">
              <w:rPr>
                <w:rFonts w:cstheme="minorHAnsi"/>
                <w:b w:val="0"/>
              </w:rPr>
              <w:t>How should the above key design elements be incorporated into a national scheme?</w:t>
            </w:r>
            <w:r w:rsidRPr="004234B0">
              <w:rPr>
                <w:rFonts w:cstheme="minorHAnsi"/>
                <w:b w:val="0"/>
                <w:bCs/>
              </w:rPr>
              <w:t xml:space="preserve"> Which elements will be most important to ensure proper operation and sustainability of the scheme?</w:t>
            </w:r>
          </w:p>
          <w:p w14:paraId="56BF78BE" w14:textId="77777777" w:rsidR="00036B1D" w:rsidRPr="00036B1D" w:rsidRDefault="00036B1D" w:rsidP="00536758">
            <w:pPr>
              <w:pStyle w:val="Bullet"/>
              <w:numPr>
                <w:ilvl w:val="0"/>
                <w:numId w:val="35"/>
              </w:numPr>
              <w:spacing w:beforeLines="40" w:before="96" w:afterLines="40" w:after="96"/>
              <w:rPr>
                <w:rFonts w:cstheme="minorHAnsi"/>
                <w:b w:val="0"/>
                <w:bCs/>
              </w:rPr>
            </w:pPr>
            <w:r w:rsidRPr="00036B1D">
              <w:rPr>
                <w:rFonts w:cstheme="minorHAnsi"/>
                <w:b w:val="0"/>
                <w:bCs/>
              </w:rPr>
              <w:t>What parts of existing licence systems work well and should be kept in a national scheme?</w:t>
            </w:r>
          </w:p>
          <w:p w14:paraId="5C0E1124" w14:textId="61BD4437" w:rsidR="00A519D0" w:rsidRPr="00AA5201" w:rsidRDefault="00A519D0" w:rsidP="00536758">
            <w:pPr>
              <w:pStyle w:val="Bullet"/>
              <w:numPr>
                <w:ilvl w:val="0"/>
                <w:numId w:val="35"/>
              </w:numPr>
              <w:spacing w:beforeLines="40" w:before="96" w:afterLines="40" w:after="96"/>
              <w:rPr>
                <w:rFonts w:cstheme="minorHAnsi"/>
                <w:b w:val="0"/>
              </w:rPr>
            </w:pPr>
            <w:r w:rsidRPr="00036B1D">
              <w:rPr>
                <w:rFonts w:cstheme="minorHAnsi"/>
                <w:b w:val="0"/>
              </w:rPr>
              <w:t>What transitional arrangements are required?</w:t>
            </w:r>
          </w:p>
        </w:tc>
      </w:tr>
    </w:tbl>
    <w:p w14:paraId="0276DBB0" w14:textId="77777777" w:rsidR="00A519D0" w:rsidRDefault="00A519D0" w:rsidP="00A519D0"/>
    <w:p w14:paraId="24D6A7E3" w14:textId="77777777" w:rsidR="00A519D0" w:rsidRDefault="00A519D0" w:rsidP="00A519D0">
      <w:pPr>
        <w:spacing w:before="0" w:after="160" w:line="259" w:lineRule="auto"/>
        <w:rPr>
          <w:rFonts w:ascii="Calibri" w:hAnsi="Calibri" w:cs="Arial"/>
          <w:iCs/>
          <w:color w:val="2C384A"/>
          <w:kern w:val="32"/>
          <w:sz w:val="36"/>
          <w:szCs w:val="28"/>
        </w:rPr>
      </w:pPr>
      <w:r>
        <w:br w:type="page"/>
      </w:r>
    </w:p>
    <w:p w14:paraId="59F364BD" w14:textId="77777777" w:rsidR="00A519D0" w:rsidRDefault="00A519D0" w:rsidP="00A519D0">
      <w:pPr>
        <w:pStyle w:val="Heading2"/>
      </w:pPr>
      <w:bookmarkStart w:id="52" w:name="_Toc199402828"/>
      <w:bookmarkStart w:id="53" w:name="_Toc207008664"/>
      <w:r>
        <w:lastRenderedPageBreak/>
        <w:t>Potential models for national licensing</w:t>
      </w:r>
      <w:bookmarkEnd w:id="52"/>
      <w:bookmarkEnd w:id="53"/>
    </w:p>
    <w:p w14:paraId="154601F2" w14:textId="0E9DBEAD" w:rsidR="00084FE7" w:rsidRDefault="003B7236" w:rsidP="00A519D0">
      <w:r>
        <w:t>We are</w:t>
      </w:r>
      <w:r w:rsidR="00A519D0">
        <w:t xml:space="preserve"> interested in stakeholder views on potential options for implementing </w:t>
      </w:r>
      <w:r w:rsidR="00A519D0" w:rsidRPr="005229DD">
        <w:t>a</w:t>
      </w:r>
      <w:r w:rsidR="00A519D0">
        <w:t xml:space="preserve"> </w:t>
      </w:r>
      <w:r w:rsidR="00A519D0" w:rsidRPr="005229DD">
        <w:t xml:space="preserve">licensing scheme for electrical trades that </w:t>
      </w:r>
      <w:r w:rsidR="00CD300D">
        <w:t xml:space="preserve">drives productivity growth and </w:t>
      </w:r>
      <w:r w:rsidR="00A519D0" w:rsidRPr="005229DD">
        <w:t>provides for labour mobility nationally</w:t>
      </w:r>
      <w:r w:rsidR="00680F08">
        <w:t>, without compromising safety</w:t>
      </w:r>
      <w:r w:rsidR="00047AD2">
        <w:t xml:space="preserve"> or quality</w:t>
      </w:r>
      <w:r w:rsidR="00A519D0">
        <w:t xml:space="preserve">. </w:t>
      </w:r>
      <w:r w:rsidR="002400E1">
        <w:t xml:space="preserve">The scheme should ensure that </w:t>
      </w:r>
      <w:r w:rsidR="008E1E95">
        <w:t>competent</w:t>
      </w:r>
      <w:r w:rsidR="002400E1">
        <w:t xml:space="preserve"> workers can be employed anywhere in Australia</w:t>
      </w:r>
      <w:r w:rsidR="00CD300D">
        <w:t>, while</w:t>
      </w:r>
      <w:r w:rsidR="002400E1">
        <w:t xml:space="preserve"> provid</w:t>
      </w:r>
      <w:r w:rsidR="00CD300D">
        <w:t>ing</w:t>
      </w:r>
      <w:r w:rsidR="002400E1">
        <w:t xml:space="preserve"> flexibility</w:t>
      </w:r>
      <w:r w:rsidR="00CD300D">
        <w:t xml:space="preserve"> for workers</w:t>
      </w:r>
      <w:r w:rsidR="002400E1">
        <w:t xml:space="preserve"> to respond to changes in technology and demand over time. </w:t>
      </w:r>
      <w:r w:rsidR="00A519D0">
        <w:t>Under any new scheme, workers and businesses should be able to easily navigate working between jurisdictions and seamlessly mov</w:t>
      </w:r>
      <w:r w:rsidR="008B4DDB">
        <w:t>ing</w:t>
      </w:r>
      <w:r w:rsidR="00A519D0">
        <w:t xml:space="preserve"> to where their skills can be most effectively utilised. </w:t>
      </w:r>
    </w:p>
    <w:p w14:paraId="696C9D1F" w14:textId="3D93E3D3" w:rsidR="00A519D0" w:rsidRDefault="002B7BCD" w:rsidP="00A519D0">
      <w:r>
        <w:t xml:space="preserve">The following </w:t>
      </w:r>
      <w:r w:rsidR="00651C53">
        <w:t xml:space="preserve">options </w:t>
      </w:r>
      <w:r w:rsidR="00084FE7">
        <w:t>describe</w:t>
      </w:r>
      <w:r w:rsidR="00046038">
        <w:t xml:space="preserve"> </w:t>
      </w:r>
      <w:r w:rsidR="00591466">
        <w:t xml:space="preserve">potential </w:t>
      </w:r>
      <w:r w:rsidR="00F40F7E">
        <w:t>scheme designs</w:t>
      </w:r>
      <w:r w:rsidR="00046038">
        <w:t xml:space="preserve"> </w:t>
      </w:r>
      <w:r w:rsidR="008B4DDB">
        <w:t xml:space="preserve">ranging </w:t>
      </w:r>
      <w:r w:rsidR="00046038">
        <w:t xml:space="preserve">from </w:t>
      </w:r>
      <w:r w:rsidR="00E81482">
        <w:t>a</w:t>
      </w:r>
      <w:r w:rsidR="005748C8">
        <w:t xml:space="preserve"> </w:t>
      </w:r>
      <w:r w:rsidR="009F26B0">
        <w:t xml:space="preserve">national licensing </w:t>
      </w:r>
      <w:r w:rsidR="00F75F2D">
        <w:t xml:space="preserve">scheme with full harmonisation </w:t>
      </w:r>
      <w:r w:rsidR="009F26B0">
        <w:t>(Option 1)</w:t>
      </w:r>
      <w:r w:rsidR="00F40F7E">
        <w:t>,</w:t>
      </w:r>
      <w:r w:rsidR="009F26B0">
        <w:t xml:space="preserve"> to </w:t>
      </w:r>
      <w:r w:rsidR="00BA04E8">
        <w:t xml:space="preserve">an alternative which </w:t>
      </w:r>
      <w:r w:rsidR="003F55D5">
        <w:t xml:space="preserve">proposes </w:t>
      </w:r>
      <w:r w:rsidR="0047426E">
        <w:t xml:space="preserve">improvements to current licensing arrangements </w:t>
      </w:r>
      <w:r w:rsidR="008F3B78">
        <w:t>to</w:t>
      </w:r>
      <w:r w:rsidR="009723A4">
        <w:t xml:space="preserve"> support the above aims (Option 2)</w:t>
      </w:r>
      <w:r w:rsidR="00DE61FC">
        <w:t>, an</w:t>
      </w:r>
      <w:r w:rsidR="002C4E91">
        <w:t>d a hybrid</w:t>
      </w:r>
      <w:r w:rsidR="00CF4DA3">
        <w:t xml:space="preserve"> approach that </w:t>
      </w:r>
      <w:r w:rsidR="00CA64A9">
        <w:t>combines</w:t>
      </w:r>
      <w:r w:rsidR="00CF4DA3">
        <w:t xml:space="preserve"> elements of </w:t>
      </w:r>
      <w:r w:rsidR="001A1E75">
        <w:t>each of these</w:t>
      </w:r>
      <w:r w:rsidR="006B523C">
        <w:t xml:space="preserve"> (Option 3)</w:t>
      </w:r>
      <w:r w:rsidR="00827B95">
        <w:t>. They</w:t>
      </w:r>
      <w:r w:rsidR="005958A4">
        <w:t xml:space="preserve"> </w:t>
      </w:r>
      <w:r w:rsidR="007C7DA8">
        <w:t>are</w:t>
      </w:r>
      <w:r w:rsidR="00651C53">
        <w:t xml:space="preserve"> </w:t>
      </w:r>
      <w:r w:rsidR="00D35DB3">
        <w:t>presented</w:t>
      </w:r>
      <w:r w:rsidR="00651C53">
        <w:t xml:space="preserve"> to </w:t>
      </w:r>
      <w:r w:rsidR="00C609B0">
        <w:t>stimulate</w:t>
      </w:r>
      <w:r w:rsidR="00EA19C6">
        <w:t xml:space="preserve"> </w:t>
      </w:r>
      <w:r w:rsidR="00783898">
        <w:t>f</w:t>
      </w:r>
      <w:r w:rsidR="00A519D0">
        <w:t>eedback</w:t>
      </w:r>
      <w:r w:rsidR="009B68D2">
        <w:t>,</w:t>
      </w:r>
      <w:r w:rsidR="004C58A4">
        <w:t xml:space="preserve"> and </w:t>
      </w:r>
      <w:r w:rsidR="002E4F3C">
        <w:t>are not necessarily representative of</w:t>
      </w:r>
      <w:r w:rsidR="00F91975">
        <w:t xml:space="preserve"> all potential implementation options</w:t>
      </w:r>
      <w:r w:rsidR="00A519D0" w:rsidDel="00780EE5">
        <w:t xml:space="preserve">. </w:t>
      </w:r>
    </w:p>
    <w:p w14:paraId="06D48EC6" w14:textId="77777777" w:rsidR="00A519D0" w:rsidRPr="00391A1B" w:rsidRDefault="00A519D0" w:rsidP="00A519D0">
      <w:pPr>
        <w:pStyle w:val="Heading3"/>
        <w:rPr>
          <w:iCs/>
        </w:rPr>
      </w:pPr>
      <w:bookmarkStart w:id="54" w:name="_Toc199402829"/>
      <w:bookmarkStart w:id="55" w:name="_Toc207008665"/>
      <w:r w:rsidRPr="00391A1B">
        <w:t xml:space="preserve">Option 1: </w:t>
      </w:r>
      <w:r>
        <w:t>A uniform n</w:t>
      </w:r>
      <w:r w:rsidRPr="00391A1B">
        <w:t>ational licensing</w:t>
      </w:r>
      <w:r w:rsidRPr="00391A1B">
        <w:rPr>
          <w:iCs/>
        </w:rPr>
        <w:t xml:space="preserve"> scheme for electrical occupations</w:t>
      </w:r>
      <w:bookmarkEnd w:id="54"/>
      <w:bookmarkEnd w:id="55"/>
    </w:p>
    <w:p w14:paraId="2375F39C" w14:textId="77777777" w:rsidR="00A519D0" w:rsidRPr="00391A1B" w:rsidRDefault="00A519D0" w:rsidP="00A519D0">
      <w:pPr>
        <w:pStyle w:val="Heading4"/>
      </w:pPr>
      <w:r w:rsidRPr="00391A1B">
        <w:t>Key features</w:t>
      </w:r>
    </w:p>
    <w:p w14:paraId="7F0F6B8E" w14:textId="1B58E947" w:rsidR="00A519D0" w:rsidRDefault="00DB6CD2" w:rsidP="00A519D0">
      <w:r>
        <w:t xml:space="preserve">This option </w:t>
      </w:r>
      <w:r w:rsidR="00BD78F9">
        <w:t>would</w:t>
      </w:r>
      <w:r w:rsidR="00A519D0">
        <w:t xml:space="preserve"> replace the current system of state-based licensing with a single national licence.</w:t>
      </w:r>
      <w:r w:rsidR="00A519D0" w:rsidRPr="00F35BDE">
        <w:t xml:space="preserve"> </w:t>
      </w:r>
      <w:r w:rsidR="00A519D0">
        <w:t>The</w:t>
      </w:r>
      <w:r w:rsidR="00A519D0" w:rsidDel="00415F0D">
        <w:t xml:space="preserve"> scheme </w:t>
      </w:r>
      <w:r w:rsidR="00A519D0" w:rsidDel="00DE7D3D">
        <w:t>w</w:t>
      </w:r>
      <w:r w:rsidR="00A519D0" w:rsidDel="00415F0D">
        <w:t xml:space="preserve">ould </w:t>
      </w:r>
      <w:r w:rsidR="00A519D0">
        <w:t>aim to establish a nationally consistent approach to licen</w:t>
      </w:r>
      <w:r w:rsidR="00BD78F9">
        <w:t>ce</w:t>
      </w:r>
      <w:r w:rsidR="00A519D0">
        <w:t xml:space="preserve"> categories, the requirements to obtain and maintain a licence</w:t>
      </w:r>
      <w:r w:rsidR="00A519D0" w:rsidDel="00CC4046">
        <w:t>,</w:t>
      </w:r>
      <w:r w:rsidR="00A519D0">
        <w:t xml:space="preserve"> and the scope of regulated work across jurisdictions. While specific details of the scheme would be developed through further consultation if this </w:t>
      </w:r>
      <w:r w:rsidR="00217E04">
        <w:t xml:space="preserve">is the preferred </w:t>
      </w:r>
      <w:r w:rsidR="00A519D0">
        <w:t>option, other potential features of a national scheme include:</w:t>
      </w:r>
    </w:p>
    <w:p w14:paraId="0D9E1628" w14:textId="0A6E2A5B" w:rsidR="00A519D0" w:rsidRPr="0043448F" w:rsidRDefault="009D28E2" w:rsidP="00A519D0">
      <w:pPr>
        <w:pStyle w:val="ListParagraph"/>
        <w:numPr>
          <w:ilvl w:val="0"/>
          <w:numId w:val="33"/>
        </w:numPr>
        <w:spacing w:before="0" w:line="259" w:lineRule="auto"/>
        <w:rPr>
          <w:rFonts w:cs="Calibri Light"/>
        </w:rPr>
      </w:pPr>
      <w:r>
        <w:rPr>
          <w:rFonts w:cs="Calibri Light"/>
        </w:rPr>
        <w:t>r</w:t>
      </w:r>
      <w:r w:rsidR="00A519D0" w:rsidRPr="0043448F">
        <w:rPr>
          <w:rFonts w:cs="Calibri Light"/>
        </w:rPr>
        <w:t xml:space="preserve">egulatory oversight by </w:t>
      </w:r>
      <w:r w:rsidR="00A519D0" w:rsidRPr="0043448F" w:rsidDel="005F65EB">
        <w:rPr>
          <w:rFonts w:cs="Calibri Light"/>
        </w:rPr>
        <w:t>a</w:t>
      </w:r>
      <w:r w:rsidR="00A519D0" w:rsidRPr="0043448F">
        <w:rPr>
          <w:rFonts w:cs="Calibri Light"/>
        </w:rPr>
        <w:t xml:space="preserve"> new national licensing authority</w:t>
      </w:r>
    </w:p>
    <w:p w14:paraId="04C4C1D8" w14:textId="1AD48340" w:rsidR="00A519D0" w:rsidRPr="0043448F" w:rsidRDefault="009D28E2" w:rsidP="00A519D0">
      <w:pPr>
        <w:pStyle w:val="ListParagraph"/>
        <w:numPr>
          <w:ilvl w:val="0"/>
          <w:numId w:val="33"/>
        </w:numPr>
        <w:spacing w:before="0" w:line="259" w:lineRule="auto"/>
        <w:rPr>
          <w:rFonts w:cs="Calibri Light"/>
        </w:rPr>
      </w:pPr>
      <w:r>
        <w:rPr>
          <w:rFonts w:cs="Calibri Light"/>
        </w:rPr>
        <w:t>e</w:t>
      </w:r>
      <w:r w:rsidR="00A519D0" w:rsidRPr="0043448F">
        <w:rPr>
          <w:rFonts w:cs="Calibri Light"/>
        </w:rPr>
        <w:t>stablishment of a national register of licensed workers</w:t>
      </w:r>
    </w:p>
    <w:p w14:paraId="0B4D2F9F" w14:textId="13079F35" w:rsidR="00A519D0" w:rsidRPr="0043448F" w:rsidRDefault="009D28E2" w:rsidP="00A519D0">
      <w:pPr>
        <w:pStyle w:val="ListParagraph"/>
        <w:numPr>
          <w:ilvl w:val="0"/>
          <w:numId w:val="33"/>
        </w:numPr>
        <w:spacing w:before="0" w:line="259" w:lineRule="auto"/>
        <w:rPr>
          <w:rFonts w:cs="Calibri Light"/>
        </w:rPr>
      </w:pPr>
      <w:r>
        <w:rPr>
          <w:rFonts w:cs="Calibri Light"/>
        </w:rPr>
        <w:t>a</w:t>
      </w:r>
      <w:r w:rsidR="00A519D0" w:rsidRPr="0043448F">
        <w:rPr>
          <w:rFonts w:cs="Calibri Light"/>
        </w:rPr>
        <w:t xml:space="preserve"> national framework for legislation and policy development.</w:t>
      </w:r>
    </w:p>
    <w:p w14:paraId="2B28AA6C" w14:textId="6073B19F" w:rsidR="00A519D0" w:rsidRDefault="00A519D0" w:rsidP="00A519D0">
      <w:r>
        <w:t xml:space="preserve">A single licence would allow </w:t>
      </w:r>
      <w:r w:rsidR="00F05A02">
        <w:t xml:space="preserve">electrical workers </w:t>
      </w:r>
      <w:r>
        <w:t>to work anywhere in Australia without having to reapply for multiple licences</w:t>
      </w:r>
      <w:r w:rsidR="00FE4A7F">
        <w:t xml:space="preserve"> </w:t>
      </w:r>
      <w:r>
        <w:t>or pay additional fees. This scheme could build upon previous work to develop a national electrical licence undertaken by the National Occupational Licensing Authority (NOLA), as well as national licensing regimes developed for other occupations such as health practitioners (</w:t>
      </w:r>
      <w:r w:rsidR="002E5CDF">
        <w:t>B</w:t>
      </w:r>
      <w:r>
        <w:t xml:space="preserve">ox </w:t>
      </w:r>
      <w:r w:rsidR="00315709">
        <w:t>4</w:t>
      </w:r>
      <w:r>
        <w:t>).</w:t>
      </w:r>
    </w:p>
    <w:p w14:paraId="521ECBE6" w14:textId="77777777" w:rsidR="00A519D0" w:rsidRPr="00391A1B" w:rsidRDefault="00A519D0" w:rsidP="00A519D0">
      <w:pPr>
        <w:pStyle w:val="Heading4"/>
      </w:pPr>
      <w:r w:rsidRPr="00391A1B">
        <w:t>Advantages</w:t>
      </w:r>
    </w:p>
    <w:p w14:paraId="02810828" w14:textId="38B01B67" w:rsidR="00A519D0" w:rsidRDefault="00A519D0" w:rsidP="00A519D0">
      <w:r>
        <w:t xml:space="preserve">National licensing </w:t>
      </w:r>
      <w:r w:rsidR="001B34BA">
        <w:t>c</w:t>
      </w:r>
      <w:r>
        <w:t xml:space="preserve">ould deliver improved labour mobility, with significant benefits for workers, businesses and consumers. Moving to a single national licence would remove differing licence requirements, </w:t>
      </w:r>
      <w:r w:rsidR="00AE4074">
        <w:t xml:space="preserve">and </w:t>
      </w:r>
      <w:r>
        <w:t>expensive and complex mutual recognition processes and exemptions, all of which</w:t>
      </w:r>
      <w:r w:rsidDel="00B06B3D">
        <w:t xml:space="preserve"> </w:t>
      </w:r>
      <w:r>
        <w:t>impose</w:t>
      </w:r>
      <w:r w:rsidDel="00280B24">
        <w:t xml:space="preserve"> </w:t>
      </w:r>
      <w:r>
        <w:t>additional costs.</w:t>
      </w:r>
    </w:p>
    <w:p w14:paraId="73E6D6BC" w14:textId="52D65EB0" w:rsidR="008A0B8A" w:rsidRDefault="00A519D0" w:rsidP="00A519D0">
      <w:r>
        <w:t xml:space="preserve">State-based licensing bodies could also benefit from reduced administrative burden by consolidating responsibility for electrical licensing policy from eight bodies into one, and by removing the need to understand differing jurisdictional requirements or process interstate mutual recognition applications. These benefits are likely to be ongoing, as the costs associated with updating licensing requirements over time would be lower under a single national approach. </w:t>
      </w:r>
    </w:p>
    <w:p w14:paraId="2B229297" w14:textId="4786FB97" w:rsidR="00A519D0" w:rsidRDefault="00A519D0" w:rsidP="00A519D0">
      <w:r>
        <w:t xml:space="preserve">A national licensing scheme could also lead to improved monitoring and </w:t>
      </w:r>
      <w:r w:rsidR="005D36D6">
        <w:t xml:space="preserve">enforcement </w:t>
      </w:r>
      <w:r>
        <w:t xml:space="preserve">by regulators by facilitating national information sharing. </w:t>
      </w:r>
      <w:r w:rsidR="00A52189">
        <w:t>H</w:t>
      </w:r>
      <w:r w:rsidR="008F5709">
        <w:t xml:space="preserve">armonised </w:t>
      </w:r>
      <w:r w:rsidR="00050BA3">
        <w:t>standards</w:t>
      </w:r>
      <w:r w:rsidR="008F5709">
        <w:t xml:space="preserve"> under a national licensing scheme </w:t>
      </w:r>
      <w:r w:rsidR="002B1C00">
        <w:lastRenderedPageBreak/>
        <w:t>could</w:t>
      </w:r>
      <w:r w:rsidR="00A52189">
        <w:t xml:space="preserve"> also</w:t>
      </w:r>
      <w:r w:rsidR="002B1C00">
        <w:t xml:space="preserve"> improve</w:t>
      </w:r>
      <w:r w:rsidR="008F5709">
        <w:t xml:space="preserve"> compliance</w:t>
      </w:r>
      <w:r w:rsidR="00BF7678">
        <w:t xml:space="preserve"> by</w:t>
      </w:r>
      <w:r w:rsidR="008F5709">
        <w:t xml:space="preserve"> </w:t>
      </w:r>
      <w:r w:rsidR="00BF7678">
        <w:t>removing the need for</w:t>
      </w:r>
      <w:r w:rsidR="002B1C00">
        <w:t xml:space="preserve"> interstate </w:t>
      </w:r>
      <w:r w:rsidR="00077124">
        <w:t xml:space="preserve">workers </w:t>
      </w:r>
      <w:r w:rsidR="00BF7678">
        <w:t>to understand</w:t>
      </w:r>
      <w:r w:rsidR="00077124">
        <w:t xml:space="preserve"> differences in state</w:t>
      </w:r>
      <w:r w:rsidR="00BF7678">
        <w:t>-based</w:t>
      </w:r>
      <w:r w:rsidR="00077124">
        <w:t xml:space="preserve"> requirements.</w:t>
      </w:r>
    </w:p>
    <w:p w14:paraId="685E7D34" w14:textId="51E17DA5" w:rsidR="00A519D0" w:rsidRDefault="00A519D0" w:rsidP="00A519D0">
      <w:r>
        <w:t>A national scheme could also support Australia’s skilled migration</w:t>
      </w:r>
      <w:r w:rsidR="007B715B">
        <w:t xml:space="preserve"> system</w:t>
      </w:r>
      <w:r>
        <w:t xml:space="preserve"> in providing </w:t>
      </w:r>
      <w:r w:rsidR="00934CB0">
        <w:t>clear</w:t>
      </w:r>
      <w:r w:rsidR="007E3B41">
        <w:t>er</w:t>
      </w:r>
      <w:r w:rsidR="000853E0">
        <w:t xml:space="preserve">, </w:t>
      </w:r>
      <w:r w:rsidR="007E3B41">
        <w:t>streamlined</w:t>
      </w:r>
      <w:r w:rsidR="003767DE">
        <w:t xml:space="preserve"> visa entry requirements</w:t>
      </w:r>
      <w:r>
        <w:t xml:space="preserve"> for potential migrants. More seamless recognition of international workers could enable the greater supply of </w:t>
      </w:r>
      <w:r w:rsidR="00F05A02">
        <w:t xml:space="preserve">electrical workers </w:t>
      </w:r>
      <w:r>
        <w:t xml:space="preserve">needed to deliver key Government priorities, including the net zero transition and housing construction. </w:t>
      </w:r>
    </w:p>
    <w:p w14:paraId="0BF61646" w14:textId="77777777" w:rsidR="00A519D0" w:rsidRPr="00391A1B" w:rsidRDefault="00A519D0" w:rsidP="00A519D0">
      <w:pPr>
        <w:pStyle w:val="Heading4"/>
      </w:pPr>
      <w:r w:rsidRPr="00391A1B">
        <w:t>Disadvantages</w:t>
      </w:r>
    </w:p>
    <w:p w14:paraId="7AC141DC" w14:textId="608A411B" w:rsidR="00A519D0" w:rsidRDefault="00A519D0" w:rsidP="00A519D0">
      <w:r>
        <w:t>National licensing</w:t>
      </w:r>
      <w:r w:rsidDel="00954EED">
        <w:t xml:space="preserve"> </w:t>
      </w:r>
      <w:r>
        <w:t>can also impose costs. For example, national licensing may require the creation of a national licensing authority and/or national licensing register, both of which would impose one-off establishment costs as well as ongoing costs to maintain. Workers, businesses and governments would also face transition costs when moving to a new regime, including taking the time to understand new national requirements.</w:t>
      </w:r>
      <w:r w:rsidR="006809AB">
        <w:t xml:space="preserve"> Some workers</w:t>
      </w:r>
      <w:r w:rsidR="00E94E28">
        <w:t>,</w:t>
      </w:r>
      <w:r w:rsidR="006809AB">
        <w:t xml:space="preserve"> whose state licences </w:t>
      </w:r>
      <w:r w:rsidR="00310C03">
        <w:t>cover multiple occupations</w:t>
      </w:r>
      <w:r w:rsidR="00E94E28">
        <w:t>,</w:t>
      </w:r>
      <w:r w:rsidR="00310C03">
        <w:t xml:space="preserve"> may face increased costs.</w:t>
      </w:r>
      <w:r w:rsidRPr="006B4A03">
        <w:t xml:space="preserve"> </w:t>
      </w:r>
      <w:r w:rsidR="00C44360">
        <w:t>N</w:t>
      </w:r>
      <w:r>
        <w:t>ew legislation would also be required to support implementation of the scheme.</w:t>
      </w:r>
    </w:p>
    <w:p w14:paraId="63088B3B" w14:textId="5A2BC60E" w:rsidR="00A519D0" w:rsidRDefault="00A519D0" w:rsidP="00A519D0">
      <w:pPr>
        <w:spacing w:after="0"/>
      </w:pPr>
      <w:r>
        <w:t>Further, harmonising requirements will likely require lengthy and complex negotiation between states, and there is a risk</w:t>
      </w:r>
      <w:r w:rsidDel="003D3C50">
        <w:t xml:space="preserve"> </w:t>
      </w:r>
      <w:r>
        <w:t xml:space="preserve">that agreement may not be reached. </w:t>
      </w:r>
      <w:r w:rsidR="00662B59">
        <w:t xml:space="preserve">Ideally, harmonisation would </w:t>
      </w:r>
      <w:r w:rsidR="002C07C5">
        <w:t xml:space="preserve">lead to </w:t>
      </w:r>
      <w:r w:rsidR="005A259F">
        <w:t xml:space="preserve">a regime </w:t>
      </w:r>
      <w:r w:rsidR="004E710B">
        <w:t xml:space="preserve">that provides the safety and other benefits </w:t>
      </w:r>
      <w:r w:rsidR="00837FCC">
        <w:t>sought from</w:t>
      </w:r>
      <w:r w:rsidR="004E710B">
        <w:t xml:space="preserve"> licen</w:t>
      </w:r>
      <w:r w:rsidR="009D138D">
        <w:t>s</w:t>
      </w:r>
      <w:r w:rsidR="004E710B">
        <w:t xml:space="preserve">ing without imposing </w:t>
      </w:r>
      <w:r w:rsidR="00F6378B">
        <w:t>unnecessary</w:t>
      </w:r>
      <w:r w:rsidR="004E710B">
        <w:t xml:space="preserve"> </w:t>
      </w:r>
      <w:r w:rsidR="00FE2415">
        <w:t>costs.</w:t>
      </w:r>
      <w:r w:rsidR="004E710B">
        <w:t xml:space="preserve"> </w:t>
      </w:r>
      <w:r w:rsidR="00FE2415">
        <w:t>However, in practice this can be difficult to determine where there are eight different regimes</w:t>
      </w:r>
      <w:r w:rsidR="0090379B">
        <w:t xml:space="preserve"> and potentially a lack of data to inform this assessment. </w:t>
      </w:r>
      <w:r>
        <w:t>Previous attempts at national licensing were abandoned in 2013 as jurisdictions</w:t>
      </w:r>
      <w:r w:rsidDel="00B65CDF">
        <w:t xml:space="preserve"> </w:t>
      </w:r>
      <w:r>
        <w:t>failed to reach agreement on a single set of national requirements.</w:t>
      </w:r>
      <w:r w:rsidR="00A15401">
        <w:br/>
      </w: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046953" w:rsidRPr="007C019B" w14:paraId="743E894D"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59D24F71" w14:textId="53FC5CDE" w:rsidR="00A519D0" w:rsidRPr="003A7C3F" w:rsidRDefault="00A519D0">
            <w:pPr>
              <w:spacing w:before="96" w:after="96"/>
              <w:rPr>
                <w:sz w:val="22"/>
                <w:szCs w:val="22"/>
              </w:rPr>
            </w:pPr>
            <w:r w:rsidRPr="00911D28">
              <w:rPr>
                <w:szCs w:val="22"/>
              </w:rPr>
              <w:t xml:space="preserve">Box </w:t>
            </w:r>
            <w:r w:rsidR="00315709">
              <w:rPr>
                <w:szCs w:val="22"/>
              </w:rPr>
              <w:t>4</w:t>
            </w:r>
            <w:r w:rsidRPr="00911D28">
              <w:rPr>
                <w:szCs w:val="22"/>
              </w:rPr>
              <w:t xml:space="preserve">: National licensing case study – health practitioners </w:t>
            </w:r>
          </w:p>
        </w:tc>
      </w:tr>
      <w:tr w:rsidR="00A519D0" w14:paraId="0A6D30C8" w14:textId="77777777">
        <w:tc>
          <w:tcPr>
            <w:tcW w:w="9016" w:type="dxa"/>
          </w:tcPr>
          <w:p w14:paraId="1E26345A" w14:textId="77777777" w:rsidR="00A519D0" w:rsidRPr="00556CF6" w:rsidRDefault="00A519D0">
            <w:pPr>
              <w:rPr>
                <w:sz w:val="22"/>
                <w:szCs w:val="22"/>
              </w:rPr>
            </w:pPr>
            <w:r w:rsidRPr="00556CF6">
              <w:rPr>
                <w:sz w:val="22"/>
                <w:szCs w:val="22"/>
              </w:rPr>
              <w:t>In 2010, state governments established the National Registration and Accreditation Scheme (NRAS) for health practitioners, to provide one scheme for registered health practitioners.</w:t>
            </w:r>
            <w:r w:rsidRPr="00B212B7">
              <w:rPr>
                <w:rStyle w:val="FootnoteReference"/>
                <w:sz w:val="22"/>
                <w:szCs w:val="22"/>
                <w:vertAlign w:val="superscript"/>
              </w:rPr>
              <w:footnoteReference w:id="57"/>
            </w:r>
            <w:r w:rsidRPr="00556CF6">
              <w:rPr>
                <w:sz w:val="22"/>
                <w:szCs w:val="22"/>
              </w:rPr>
              <w:t xml:space="preserve"> The Australian Health Practitioner Regulation Agency (AHPRA), through its state offices, administers NRAS and enacts the procedural framework regarding accreditation and registration standards of health practitioners.</w:t>
            </w:r>
            <w:r w:rsidRPr="00B212B7">
              <w:rPr>
                <w:rStyle w:val="FootnoteReference"/>
                <w:sz w:val="22"/>
                <w:szCs w:val="22"/>
                <w:vertAlign w:val="superscript"/>
              </w:rPr>
              <w:footnoteReference w:id="58"/>
            </w:r>
          </w:p>
          <w:p w14:paraId="3AB33165" w14:textId="77777777" w:rsidR="00A519D0" w:rsidRPr="00556CF6" w:rsidRDefault="00A519D0">
            <w:pPr>
              <w:rPr>
                <w:sz w:val="22"/>
                <w:szCs w:val="22"/>
              </w:rPr>
            </w:pPr>
            <w:r w:rsidRPr="00556CF6">
              <w:rPr>
                <w:sz w:val="22"/>
                <w:szCs w:val="22"/>
              </w:rPr>
              <w:t>Each of the sixteen health professions under NRAS has a national board, which accredits study programs, acts as</w:t>
            </w:r>
            <w:r w:rsidRPr="00556CF6" w:rsidDel="00914ECC">
              <w:rPr>
                <w:sz w:val="22"/>
                <w:szCs w:val="22"/>
              </w:rPr>
              <w:t xml:space="preserve"> </w:t>
            </w:r>
            <w:r w:rsidRPr="00556CF6">
              <w:rPr>
                <w:sz w:val="22"/>
                <w:szCs w:val="22"/>
              </w:rPr>
              <w:t>the decision-making body for standards and registration requirements,</w:t>
            </w:r>
            <w:r w:rsidRPr="00556CF6" w:rsidDel="00C94826">
              <w:rPr>
                <w:sz w:val="22"/>
                <w:szCs w:val="22"/>
              </w:rPr>
              <w:t xml:space="preserve"> and </w:t>
            </w:r>
            <w:r w:rsidRPr="00556CF6">
              <w:rPr>
                <w:sz w:val="22"/>
                <w:szCs w:val="22"/>
              </w:rPr>
              <w:t>investigates reported misconduct. The accreditation of study programs largely regulates the requirements and standards of health practitioners.</w:t>
            </w:r>
          </w:p>
          <w:p w14:paraId="077ABB39" w14:textId="77777777" w:rsidR="00A519D0" w:rsidRDefault="00A519D0">
            <w:r w:rsidRPr="00556CF6">
              <w:rPr>
                <w:sz w:val="22"/>
                <w:szCs w:val="22"/>
              </w:rPr>
              <w:t>A national licensing scheme for electrical occupations could potentially model the institutional framework of AHPRA and NRAS, whereby state and territory offices directly manage registrations and investigate misconduct, while</w:t>
            </w:r>
            <w:r w:rsidRPr="00556CF6" w:rsidDel="00CA7E27">
              <w:rPr>
                <w:sz w:val="22"/>
                <w:szCs w:val="22"/>
              </w:rPr>
              <w:t xml:space="preserve"> </w:t>
            </w:r>
            <w:r w:rsidRPr="00556CF6">
              <w:rPr>
                <w:sz w:val="22"/>
                <w:szCs w:val="22"/>
              </w:rPr>
              <w:t>National Boards determine the suitability of requirements.</w:t>
            </w:r>
            <w:r>
              <w:t xml:space="preserve"> </w:t>
            </w:r>
          </w:p>
        </w:tc>
      </w:tr>
    </w:tbl>
    <w:p w14:paraId="19F52F8B" w14:textId="77777777" w:rsidR="00A519D0" w:rsidRPr="0057477B" w:rsidRDefault="00A519D0" w:rsidP="00A519D0">
      <w:pPr>
        <w:pStyle w:val="Heading3"/>
      </w:pPr>
      <w:bookmarkStart w:id="56" w:name="_Toc199402830"/>
      <w:bookmarkStart w:id="57" w:name="_Toc207008666"/>
      <w:r w:rsidRPr="0057477B">
        <w:lastRenderedPageBreak/>
        <w:t>Option 2: Extending</w:t>
      </w:r>
      <w:r>
        <w:t xml:space="preserve"> and enhancing the existing</w:t>
      </w:r>
      <w:r w:rsidRPr="0057477B">
        <w:t xml:space="preserve"> AMR</w:t>
      </w:r>
      <w:r>
        <w:t xml:space="preserve"> scheme</w:t>
      </w:r>
      <w:bookmarkEnd w:id="56"/>
      <w:bookmarkEnd w:id="57"/>
    </w:p>
    <w:p w14:paraId="6E2D9487" w14:textId="77777777" w:rsidR="00A519D0" w:rsidRPr="0057477B" w:rsidRDefault="00A519D0" w:rsidP="00A519D0">
      <w:pPr>
        <w:pStyle w:val="Heading4"/>
      </w:pPr>
      <w:r w:rsidRPr="0057477B">
        <w:t>Key features</w:t>
      </w:r>
    </w:p>
    <w:p w14:paraId="65A7DF40" w14:textId="75185B66" w:rsidR="00A519D0" w:rsidRDefault="00A519D0" w:rsidP="00A519D0">
      <w:r>
        <w:t xml:space="preserve">Extending and enhancing the current AMR scheme also has the potential to achieve national labour mobility, albeit while maintaining </w:t>
      </w:r>
      <w:r w:rsidR="00F758A6">
        <w:t xml:space="preserve">most, if not all, of the current functions of </w:t>
      </w:r>
      <w:r>
        <w:t>state licensing regimes. For example, the benefits of AMR could be increased by recognising</w:t>
      </w:r>
      <w:r w:rsidDel="000D3FCF">
        <w:t xml:space="preserve"> </w:t>
      </w:r>
      <w:r>
        <w:t xml:space="preserve">more licences, minimising exemptions and conditions on interstate licensees, and further harmonising licensing requirements across jurisdictions. This could enable all </w:t>
      </w:r>
      <w:r w:rsidR="00F05A02">
        <w:t xml:space="preserve">electrical workers </w:t>
      </w:r>
      <w:r>
        <w:t>to seamlessly move between jurisdictions without acquiring a national licence or applying for a second state/territory licence, consistent with what has already been achieved for other occupations including veterinarians (</w:t>
      </w:r>
      <w:r w:rsidR="00E962C2">
        <w:t>B</w:t>
      </w:r>
      <w:r>
        <w:t>ox</w:t>
      </w:r>
      <w:r w:rsidR="00E962C2">
        <w:t> </w:t>
      </w:r>
      <w:r w:rsidR="00315709">
        <w:t>5</w:t>
      </w:r>
      <w:r>
        <w:t xml:space="preserve">). Supported </w:t>
      </w:r>
      <w:r w:rsidR="0059334D">
        <w:t>by</w:t>
      </w:r>
      <w:r>
        <w:t xml:space="preserve"> expanded use of digital tools</w:t>
      </w:r>
      <w:r w:rsidR="00E962C2">
        <w:t xml:space="preserve"> and information sharing</w:t>
      </w:r>
      <w:r>
        <w:t xml:space="preserve">, from a user’s perspective, this could </w:t>
      </w:r>
      <w:r w:rsidR="00245E72">
        <w:t xml:space="preserve">streamline regulatory processes and </w:t>
      </w:r>
      <w:r>
        <w:t>potentially offer many of the same benefits and features of a national licence.</w:t>
      </w:r>
      <w:r w:rsidR="001E7AEE" w:rsidRPr="001E7AEE">
        <w:t xml:space="preserve"> </w:t>
      </w:r>
    </w:p>
    <w:p w14:paraId="742C7CC7" w14:textId="00A260AF" w:rsidR="00A519D0" w:rsidRDefault="00A519D0" w:rsidP="00A519D0">
      <w:r>
        <w:t>Extending AMR would strengthen the already established scheme, while allowing jurisdictions to maintain different licences and licence requirements where necessary</w:t>
      </w:r>
      <w:r w:rsidDel="00D96789">
        <w:t xml:space="preserve">, </w:t>
      </w:r>
      <w:r>
        <w:t>and state regulators to maintain their existing roles and responsibilities. An expanded AMR could be supported by a new governance framework t</w:t>
      </w:r>
      <w:r w:rsidR="00573C0B">
        <w:t>o</w:t>
      </w:r>
      <w:r>
        <w:t xml:space="preserve"> </w:t>
      </w:r>
      <w:r w:rsidR="00251CC0">
        <w:t>support</w:t>
      </w:r>
      <w:r>
        <w:t xml:space="preserve"> work towards further harmonisation (including for licence categories and standards) over time.</w:t>
      </w:r>
    </w:p>
    <w:p w14:paraId="69BBD906" w14:textId="77777777" w:rsidR="00A519D0" w:rsidRPr="0057477B" w:rsidRDefault="00A519D0" w:rsidP="00A519D0">
      <w:pPr>
        <w:pStyle w:val="Heading4"/>
      </w:pPr>
      <w:r w:rsidRPr="0057477B">
        <w:t>Advantages</w:t>
      </w:r>
    </w:p>
    <w:p w14:paraId="6681A966" w14:textId="4B365B2E" w:rsidR="00A519D0" w:rsidRDefault="00A519D0" w:rsidP="00A519D0">
      <w:r>
        <w:t>By utilising existing legislation and governance arrangements, extending AMR could represent a relatively simple and low</w:t>
      </w:r>
      <w:r w:rsidR="00296B42">
        <w:t>-</w:t>
      </w:r>
      <w:r>
        <w:t xml:space="preserve">cost means of achieving improved labour mobility. When compared to a new national licensing scheme, this option could achieve </w:t>
      </w:r>
      <w:r w:rsidR="00251CC0">
        <w:t xml:space="preserve">similar </w:t>
      </w:r>
      <w:r>
        <w:t>outcome</w:t>
      </w:r>
      <w:r w:rsidR="00251CC0">
        <w:t>s</w:t>
      </w:r>
      <w:r>
        <w:t xml:space="preserve"> for workers and businesses (by only requiring workers to obtain one licence) without incurring large establishment costs.</w:t>
      </w:r>
    </w:p>
    <w:p w14:paraId="174C8F50" w14:textId="3AFAAB1E" w:rsidR="00A519D0" w:rsidRDefault="00A519D0" w:rsidP="00A519D0">
      <w:r>
        <w:t>Extending AMR could provide significant benefits to workers through financial and time savings, with</w:t>
      </w:r>
      <w:r w:rsidDel="00130885">
        <w:t xml:space="preserve"> </w:t>
      </w:r>
      <w:r>
        <w:t>the Council of Australian Governments estimating savings to electrical, plumbing and property occupations of $41 million over a 10-year period when considering AMR in 2013</w:t>
      </w:r>
      <w:r w:rsidR="00E820E2">
        <w:t>.</w:t>
      </w:r>
      <w:r w:rsidRPr="00B212B7">
        <w:rPr>
          <w:rStyle w:val="FootnoteReference"/>
          <w:sz w:val="22"/>
          <w:szCs w:val="22"/>
          <w:vertAlign w:val="superscript"/>
        </w:rPr>
        <w:footnoteReference w:id="59"/>
      </w:r>
      <w:r>
        <w:t xml:space="preserve"> This option would also result in reduced administrative burden, with NSW estimating a $129,000 saving </w:t>
      </w:r>
      <w:r w:rsidR="00DE6B23">
        <w:t xml:space="preserve">per annum </w:t>
      </w:r>
      <w:r>
        <w:t>from minimising the processing of registrations across its state regulators</w:t>
      </w:r>
      <w:r w:rsidR="00E820E2">
        <w:t>.</w:t>
      </w:r>
      <w:r w:rsidRPr="00B212B7">
        <w:rPr>
          <w:rStyle w:val="FootnoteReference"/>
          <w:sz w:val="22"/>
          <w:szCs w:val="22"/>
          <w:vertAlign w:val="superscript"/>
        </w:rPr>
        <w:footnoteReference w:id="60"/>
      </w:r>
    </w:p>
    <w:p w14:paraId="6F22C10F" w14:textId="77777777" w:rsidR="00A519D0" w:rsidRDefault="00A519D0" w:rsidP="00A519D0">
      <w:r>
        <w:t>Moreover, extending AMR would promote</w:t>
      </w:r>
      <w:r w:rsidDel="007913E5">
        <w:t xml:space="preserve"> </w:t>
      </w:r>
      <w:r>
        <w:t xml:space="preserve">regulatory competition and improve transparency by requiring jurisdictions to publish the rationale behind their decisions on compliance requirements, licensing recognition and the necessity for regulation. </w:t>
      </w:r>
    </w:p>
    <w:p w14:paraId="235543DA" w14:textId="77777777" w:rsidR="00A519D0" w:rsidRPr="0057477B" w:rsidRDefault="00A519D0" w:rsidP="00A519D0">
      <w:pPr>
        <w:pStyle w:val="Heading4"/>
      </w:pPr>
      <w:r w:rsidRPr="0057477B">
        <w:t xml:space="preserve">Disadvantages </w:t>
      </w:r>
    </w:p>
    <w:p w14:paraId="1918CF26" w14:textId="2615E64C" w:rsidR="00A519D0" w:rsidRDefault="00A519D0" w:rsidP="00A519D0">
      <w:pPr>
        <w:spacing w:after="0"/>
      </w:pPr>
      <w:r>
        <w:t>Extending AMR also has limitations. For example, as with the national licensing option, enhancing the current AMR scheme would require state cooperation to remove exemptions and harmonise requirements. The complexity of the current state-based licensing framework and differences in licen</w:t>
      </w:r>
      <w:r w:rsidR="00845F60">
        <w:t>ce</w:t>
      </w:r>
      <w:r>
        <w:t xml:space="preserve"> categories regulated by each state would persist, raising potential difficulties for regulators undertaking monitoring and compliance.</w:t>
      </w:r>
      <w:r w:rsidR="006F2F7A" w:rsidRPr="006F2F7A">
        <w:t xml:space="preserve"> </w:t>
      </w:r>
      <w:r w:rsidR="00481944">
        <w:t>The requirement</w:t>
      </w:r>
      <w:r w:rsidR="007B01DD">
        <w:t xml:space="preserve"> </w:t>
      </w:r>
      <w:r w:rsidR="00481944">
        <w:t>for regulators to process notification</w:t>
      </w:r>
      <w:r w:rsidR="007B01DD">
        <w:t>s from interstate workers, and</w:t>
      </w:r>
      <w:r w:rsidR="00481944">
        <w:t xml:space="preserve"> </w:t>
      </w:r>
      <w:r w:rsidR="007B01DD">
        <w:t xml:space="preserve">the need for </w:t>
      </w:r>
      <w:r w:rsidR="00481944">
        <w:t>workers</w:t>
      </w:r>
      <w:r w:rsidR="00E820E2">
        <w:t xml:space="preserve"> and business</w:t>
      </w:r>
      <w:r w:rsidR="00481944">
        <w:t xml:space="preserve"> to familiarise themselves with local requirements </w:t>
      </w:r>
      <w:r w:rsidR="007B01DD">
        <w:t xml:space="preserve">would continue. </w:t>
      </w:r>
      <w:r>
        <w:t xml:space="preserve">There is also a risk that some jurisdictional differences could remain, </w:t>
      </w:r>
      <w:r>
        <w:lastRenderedPageBreak/>
        <w:t>such as additional licence conditions imposed on interstate workers, which would continue to act as a barrier to labour mobility.</w:t>
      </w:r>
      <w:r w:rsidR="006F2F7A">
        <w:t xml:space="preserve"> </w:t>
      </w:r>
      <w:r w:rsidR="00EA1996">
        <w:t>Any barriers to information transmission between regulators under current AMR arrangements would also need to be addressed</w:t>
      </w:r>
      <w:r w:rsidR="00C725C8">
        <w:t xml:space="preserve">, such as through new data and </w:t>
      </w:r>
      <w:r w:rsidR="007A6D72">
        <w:t>digital tools</w:t>
      </w:r>
      <w:r w:rsidR="00CD300D" w:rsidRPr="00CD300D">
        <w:t>.</w:t>
      </w:r>
      <w:r w:rsidR="006F2F7A">
        <w:t xml:space="preserve"> </w:t>
      </w:r>
      <w:r>
        <w:br/>
      </w: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046953" w14:paraId="2533CFC0"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67CFAD2F" w14:textId="4070AD80" w:rsidR="00A519D0" w:rsidRPr="003A7C3F" w:rsidRDefault="00A519D0">
            <w:pPr>
              <w:spacing w:before="96" w:after="96"/>
              <w:rPr>
                <w:sz w:val="22"/>
                <w:szCs w:val="22"/>
              </w:rPr>
            </w:pPr>
            <w:r w:rsidRPr="00911D28">
              <w:rPr>
                <w:szCs w:val="22"/>
              </w:rPr>
              <w:t xml:space="preserve">Box </w:t>
            </w:r>
            <w:r w:rsidR="00315709">
              <w:rPr>
                <w:szCs w:val="22"/>
              </w:rPr>
              <w:t>5</w:t>
            </w:r>
            <w:r w:rsidRPr="00911D28">
              <w:rPr>
                <w:szCs w:val="22"/>
              </w:rPr>
              <w:t xml:space="preserve">: AMR case study – veterinarians  </w:t>
            </w:r>
          </w:p>
        </w:tc>
      </w:tr>
      <w:tr w:rsidR="00A519D0" w14:paraId="0D5F516F" w14:textId="77777777" w:rsidTr="008D1580">
        <w:tc>
          <w:tcPr>
            <w:tcW w:w="0" w:type="dxa"/>
          </w:tcPr>
          <w:p w14:paraId="4FB5ACE6" w14:textId="5EF9D649" w:rsidR="00A519D0" w:rsidRPr="007C019B" w:rsidRDefault="00A519D0">
            <w:pPr>
              <w:rPr>
                <w:sz w:val="22"/>
                <w:szCs w:val="22"/>
              </w:rPr>
            </w:pPr>
            <w:r w:rsidRPr="007C019B">
              <w:rPr>
                <w:sz w:val="22"/>
                <w:szCs w:val="22"/>
              </w:rPr>
              <w:t>Australian veterinarians have benefited from</w:t>
            </w:r>
            <w:r w:rsidR="00187410">
              <w:rPr>
                <w:sz w:val="22"/>
                <w:szCs w:val="22"/>
              </w:rPr>
              <w:t xml:space="preserve"> automatic national recogn</w:t>
            </w:r>
            <w:r w:rsidR="00A53669">
              <w:rPr>
                <w:sz w:val="22"/>
                <w:szCs w:val="22"/>
              </w:rPr>
              <w:t>ition of registration</w:t>
            </w:r>
            <w:r w:rsidRPr="007C019B">
              <w:rPr>
                <w:sz w:val="22"/>
                <w:szCs w:val="22"/>
              </w:rPr>
              <w:t xml:space="preserve"> since 2006.</w:t>
            </w:r>
            <w:r w:rsidRPr="00B212B7">
              <w:rPr>
                <w:rStyle w:val="FootnoteReference"/>
                <w:sz w:val="22"/>
                <w:szCs w:val="22"/>
                <w:vertAlign w:val="superscript"/>
              </w:rPr>
              <w:footnoteReference w:id="61"/>
            </w:r>
            <w:r w:rsidRPr="007C019B">
              <w:rPr>
                <w:sz w:val="22"/>
                <w:szCs w:val="22"/>
              </w:rPr>
              <w:t xml:space="preserve"> The scheme allows veterinarians in participating states to practice in another participating state without the need for a second registration</w:t>
            </w:r>
            <w:r w:rsidR="00EC7409">
              <w:rPr>
                <w:sz w:val="22"/>
                <w:szCs w:val="22"/>
              </w:rPr>
              <w:t>.</w:t>
            </w:r>
            <w:r w:rsidRPr="00B212B7">
              <w:rPr>
                <w:rStyle w:val="FootnoteReference"/>
                <w:sz w:val="22"/>
                <w:szCs w:val="22"/>
                <w:vertAlign w:val="superscript"/>
              </w:rPr>
              <w:footnoteReference w:id="62"/>
            </w:r>
            <w:r w:rsidRPr="007C019B">
              <w:rPr>
                <w:sz w:val="22"/>
                <w:szCs w:val="22"/>
              </w:rPr>
              <w:t xml:space="preserve"> The scheme now applies in all jurisdictions </w:t>
            </w:r>
            <w:r w:rsidR="00884BD5" w:rsidRPr="007C019B">
              <w:rPr>
                <w:sz w:val="22"/>
                <w:szCs w:val="22"/>
              </w:rPr>
              <w:t>except for</w:t>
            </w:r>
            <w:r w:rsidRPr="007C019B">
              <w:rPr>
                <w:sz w:val="22"/>
                <w:szCs w:val="22"/>
              </w:rPr>
              <w:t xml:space="preserve"> the Northern Territory, where the broader AMR scheme was adopted in 2021.</w:t>
            </w:r>
          </w:p>
          <w:p w14:paraId="07B6DD95" w14:textId="15828CDD" w:rsidR="00A519D0" w:rsidRPr="003A7C3F" w:rsidRDefault="00A519D0">
            <w:pPr>
              <w:rPr>
                <w:sz w:val="22"/>
                <w:szCs w:val="22"/>
              </w:rPr>
            </w:pPr>
            <w:r w:rsidRPr="007C019B">
              <w:rPr>
                <w:sz w:val="22"/>
                <w:szCs w:val="22"/>
              </w:rPr>
              <w:t>The Australian Veterinary Association supported and aided development of this scheme,</w:t>
            </w:r>
            <w:r w:rsidRPr="007C019B" w:rsidDel="00470E96">
              <w:rPr>
                <w:sz w:val="22"/>
                <w:szCs w:val="22"/>
              </w:rPr>
              <w:t xml:space="preserve"> </w:t>
            </w:r>
            <w:r w:rsidRPr="007C019B">
              <w:rPr>
                <w:sz w:val="22"/>
                <w:szCs w:val="22"/>
              </w:rPr>
              <w:t>recognising the benefits including improved labour mobility between jurisdictions, reduced labour shortages in small jurisdictions, and the ability to seamlessly utilise interstate labour during natural disasters</w:t>
            </w:r>
            <w:r w:rsidR="00EC7409">
              <w:rPr>
                <w:sz w:val="22"/>
                <w:szCs w:val="22"/>
              </w:rPr>
              <w:t>.</w:t>
            </w:r>
            <w:r w:rsidRPr="00B212B7">
              <w:rPr>
                <w:rStyle w:val="FootnoteReference"/>
                <w:sz w:val="22"/>
                <w:szCs w:val="22"/>
                <w:vertAlign w:val="superscript"/>
              </w:rPr>
              <w:footnoteReference w:id="63"/>
            </w:r>
            <w:r w:rsidR="00B3490C">
              <w:rPr>
                <w:sz w:val="22"/>
                <w:szCs w:val="22"/>
              </w:rPr>
              <w:t xml:space="preserve"> </w:t>
            </w:r>
            <w:r w:rsidR="00BB67D1" w:rsidRPr="00B3490C">
              <w:rPr>
                <w:sz w:val="22"/>
                <w:szCs w:val="22"/>
              </w:rPr>
              <w:t>The sch</w:t>
            </w:r>
            <w:r w:rsidR="00BB67D1">
              <w:rPr>
                <w:sz w:val="22"/>
                <w:szCs w:val="22"/>
              </w:rPr>
              <w:t>eme is supported by the Australasian Vete</w:t>
            </w:r>
            <w:r w:rsidR="00B90FDD">
              <w:rPr>
                <w:sz w:val="22"/>
                <w:szCs w:val="22"/>
              </w:rPr>
              <w:t xml:space="preserve">rinary Boards Council, which </w:t>
            </w:r>
            <w:r w:rsidR="00386DA3">
              <w:rPr>
                <w:sz w:val="22"/>
                <w:szCs w:val="22"/>
              </w:rPr>
              <w:t xml:space="preserve">encourages standardisation and </w:t>
            </w:r>
            <w:r w:rsidR="00B90FDD">
              <w:rPr>
                <w:sz w:val="22"/>
                <w:szCs w:val="22"/>
              </w:rPr>
              <w:t xml:space="preserve">provides a forum for </w:t>
            </w:r>
            <w:r w:rsidR="000370B5">
              <w:rPr>
                <w:sz w:val="22"/>
                <w:szCs w:val="22"/>
              </w:rPr>
              <w:t>discussion, advice and cooperation among veterinary boards in Australia and New Zealand.</w:t>
            </w:r>
            <w:r w:rsidR="000D5BEB" w:rsidRPr="00B3490C">
              <w:rPr>
                <w:rStyle w:val="FootnoteReference"/>
                <w:sz w:val="22"/>
                <w:szCs w:val="22"/>
                <w:vertAlign w:val="superscript"/>
              </w:rPr>
              <w:footnoteReference w:id="64"/>
            </w:r>
          </w:p>
        </w:tc>
      </w:tr>
    </w:tbl>
    <w:p w14:paraId="25BA6B13" w14:textId="7E8B742C" w:rsidR="000F5DF6" w:rsidRPr="000F5DF6" w:rsidRDefault="000F5DF6" w:rsidP="000F5DF6">
      <w:pPr>
        <w:pStyle w:val="Heading3"/>
      </w:pPr>
      <w:bookmarkStart w:id="58" w:name="_Toc207008667"/>
      <w:r>
        <w:t>Option 3: A hybrid approach</w:t>
      </w:r>
      <w:bookmarkEnd w:id="58"/>
    </w:p>
    <w:p w14:paraId="472E8223" w14:textId="7C28CEC0" w:rsidR="00503FF2" w:rsidRDefault="00A519D0" w:rsidP="00A519D0">
      <w:r>
        <w:t>There may be merit in considering a hybrid approach that combines elements of each of the above options</w:t>
      </w:r>
      <w:r w:rsidR="00733341">
        <w:t xml:space="preserve"> and builds towards a </w:t>
      </w:r>
      <w:r w:rsidR="00343524">
        <w:t>single</w:t>
      </w:r>
      <w:r w:rsidR="00733341">
        <w:t xml:space="preserve"> national licence (</w:t>
      </w:r>
      <w:r w:rsidR="00AF6D9C">
        <w:t>O</w:t>
      </w:r>
      <w:r w:rsidR="00733341">
        <w:t xml:space="preserve">ption 1) </w:t>
      </w:r>
      <w:r w:rsidR="00343524">
        <w:t>in a sequential manner</w:t>
      </w:r>
      <w:r>
        <w:t>. For example,</w:t>
      </w:r>
      <w:r w:rsidR="00503FF2">
        <w:t xml:space="preserve"> this approach could involve:</w:t>
      </w:r>
    </w:p>
    <w:p w14:paraId="6BB33F00" w14:textId="6C43AA2E" w:rsidR="001F334D" w:rsidRDefault="00733341" w:rsidP="00503FF2">
      <w:pPr>
        <w:pStyle w:val="ListParagraph"/>
        <w:numPr>
          <w:ilvl w:val="0"/>
          <w:numId w:val="33"/>
        </w:numPr>
      </w:pPr>
      <w:r>
        <w:t>S</w:t>
      </w:r>
      <w:r w:rsidR="00A519D0">
        <w:t>tates agree</w:t>
      </w:r>
      <w:r w:rsidR="00343524">
        <w:t>ing</w:t>
      </w:r>
      <w:r w:rsidR="00A519D0">
        <w:t xml:space="preserve"> a nationally consistent set of licence categories,</w:t>
      </w:r>
      <w:r w:rsidR="001F334D">
        <w:t xml:space="preserve"> definitions,</w:t>
      </w:r>
      <w:r w:rsidR="00A519D0">
        <w:t xml:space="preserve"> fees and requirements</w:t>
      </w:r>
      <w:r w:rsidR="001F334D">
        <w:t xml:space="preserve"> for </w:t>
      </w:r>
      <w:r w:rsidR="00253B65">
        <w:t>the licence categories</w:t>
      </w:r>
      <w:r w:rsidR="00704F1C">
        <w:t xml:space="preserve"> </w:t>
      </w:r>
      <w:r w:rsidR="00253B65">
        <w:t>that are most harmonised currently (</w:t>
      </w:r>
      <w:r w:rsidR="00B44D93">
        <w:t xml:space="preserve">for example, </w:t>
      </w:r>
      <w:r w:rsidR="00253B65">
        <w:t xml:space="preserve">unrestricted electrical licences and </w:t>
      </w:r>
      <w:r w:rsidR="00986065">
        <w:t>lines</w:t>
      </w:r>
      <w:r w:rsidR="000129BB">
        <w:t xml:space="preserve"> </w:t>
      </w:r>
      <w:r w:rsidR="00986065">
        <w:t>worker licences)</w:t>
      </w:r>
      <w:r w:rsidR="00054722">
        <w:t>.</w:t>
      </w:r>
      <w:r w:rsidR="00704F1C">
        <w:t xml:space="preserve"> Other licence categories could be added to the national licensing scheme over time</w:t>
      </w:r>
      <w:r w:rsidR="006F06B2">
        <w:t>.</w:t>
      </w:r>
      <w:r w:rsidR="00704F1C">
        <w:t xml:space="preserve"> </w:t>
      </w:r>
    </w:p>
    <w:p w14:paraId="62B51F2F" w14:textId="4C58489B" w:rsidR="00986065" w:rsidRDefault="00986065" w:rsidP="00503FF2">
      <w:pPr>
        <w:pStyle w:val="ListParagraph"/>
        <w:numPr>
          <w:ilvl w:val="0"/>
          <w:numId w:val="33"/>
        </w:numPr>
      </w:pPr>
      <w:r>
        <w:t xml:space="preserve">Removing exemptions to AMR for </w:t>
      </w:r>
      <w:r w:rsidR="006F06B2">
        <w:t xml:space="preserve">all </w:t>
      </w:r>
      <w:r>
        <w:t xml:space="preserve">other </w:t>
      </w:r>
      <w:r w:rsidR="00054722">
        <w:t xml:space="preserve">licence </w:t>
      </w:r>
      <w:r>
        <w:t>categories</w:t>
      </w:r>
      <w:r w:rsidR="00DB56A8">
        <w:t>, while retaining notification requirements for interstate licensees</w:t>
      </w:r>
      <w:r w:rsidR="00054722">
        <w:t>.</w:t>
      </w:r>
    </w:p>
    <w:p w14:paraId="1BD8D25F" w14:textId="7D1CD5AF" w:rsidR="00A519D0" w:rsidRDefault="00DB56A8" w:rsidP="00503FF2">
      <w:pPr>
        <w:pStyle w:val="ListParagraph"/>
        <w:numPr>
          <w:ilvl w:val="0"/>
          <w:numId w:val="33"/>
        </w:numPr>
      </w:pPr>
      <w:r>
        <w:t xml:space="preserve">States </w:t>
      </w:r>
      <w:r w:rsidR="00A519D0">
        <w:t>retaining authority for monitoring</w:t>
      </w:r>
      <w:r w:rsidR="00BF06A4">
        <w:t xml:space="preserve">, </w:t>
      </w:r>
      <w:r w:rsidR="00A519D0">
        <w:t>compliance and</w:t>
      </w:r>
      <w:r w:rsidR="00BF06A4">
        <w:t xml:space="preserve"> enforcement and</w:t>
      </w:r>
      <w:r w:rsidR="00A519D0">
        <w:t xml:space="preserve"> the ability to impose local conditions within their jurisdiction</w:t>
      </w:r>
      <w:r w:rsidR="00A54DAF">
        <w:t>, where this provides a net benefit</w:t>
      </w:r>
      <w:r w:rsidR="00A519D0">
        <w:t>.</w:t>
      </w:r>
    </w:p>
    <w:p w14:paraId="1F085CDB" w14:textId="405D0E68" w:rsidR="006E5ED6" w:rsidRDefault="006E5ED6" w:rsidP="00503FF2">
      <w:pPr>
        <w:pStyle w:val="ListParagraph"/>
        <w:numPr>
          <w:ilvl w:val="0"/>
          <w:numId w:val="33"/>
        </w:numPr>
      </w:pPr>
      <w:r>
        <w:t xml:space="preserve">Reviewing </w:t>
      </w:r>
      <w:r w:rsidR="007D59A9">
        <w:t>and further harmonising training and apprenticeship requirements.</w:t>
      </w:r>
    </w:p>
    <w:p w14:paraId="5EB510B3" w14:textId="4C38FA6A" w:rsidR="001F584D" w:rsidRDefault="001F584D" w:rsidP="00503FF2">
      <w:pPr>
        <w:pStyle w:val="ListParagraph"/>
        <w:numPr>
          <w:ilvl w:val="0"/>
          <w:numId w:val="33"/>
        </w:numPr>
      </w:pPr>
      <w:r>
        <w:t xml:space="preserve">Establishing </w:t>
      </w:r>
      <w:r w:rsidR="001844B4">
        <w:t>a governance mechanism to</w:t>
      </w:r>
      <w:r w:rsidR="00E158AB">
        <w:t xml:space="preserve"> </w:t>
      </w:r>
      <w:r w:rsidR="00E10149">
        <w:t xml:space="preserve">encourage states to </w:t>
      </w:r>
      <w:r w:rsidR="00E158AB">
        <w:t>harmonise requirements over time and ensure sustainability of the scheme.</w:t>
      </w:r>
    </w:p>
    <w:p w14:paraId="7DE0421E" w14:textId="57860BC5" w:rsidR="005E48FF" w:rsidRDefault="00B612C9" w:rsidP="002F2C37">
      <w:pPr>
        <w:pStyle w:val="ListParagraph"/>
        <w:numPr>
          <w:ilvl w:val="0"/>
          <w:numId w:val="33"/>
        </w:numPr>
      </w:pPr>
      <w:r>
        <w:t>Introducing</w:t>
      </w:r>
      <w:r w:rsidR="00D8209C">
        <w:t xml:space="preserve"> new</w:t>
      </w:r>
      <w:r>
        <w:t xml:space="preserve"> </w:t>
      </w:r>
      <w:r w:rsidR="001F584D">
        <w:t>digital</w:t>
      </w:r>
      <w:r w:rsidR="00E158AB">
        <w:t xml:space="preserve"> and data </w:t>
      </w:r>
      <w:r w:rsidR="002A1DF7">
        <w:t>tools</w:t>
      </w:r>
      <w:r w:rsidR="00E158AB">
        <w:t xml:space="preserve"> </w:t>
      </w:r>
      <w:r w:rsidR="00D8209C">
        <w:t xml:space="preserve">to </w:t>
      </w:r>
      <w:r w:rsidR="002A1DF7">
        <w:t>improve</w:t>
      </w:r>
      <w:r w:rsidR="00D8209C">
        <w:t xml:space="preserve"> information sharing between state licensing regulators </w:t>
      </w:r>
      <w:r w:rsidR="002A1DF7">
        <w:t>while</w:t>
      </w:r>
      <w:r w:rsidR="00D8209C">
        <w:t xml:space="preserve"> streamlining </w:t>
      </w:r>
      <w:r w:rsidR="002C7EF2">
        <w:t>regulatory</w:t>
      </w:r>
      <w:r w:rsidR="00D8209C">
        <w:t xml:space="preserve"> processes</w:t>
      </w:r>
      <w:r w:rsidR="002C7EF2">
        <w:t xml:space="preserve"> and</w:t>
      </w:r>
      <w:r w:rsidR="00D8209C">
        <w:t xml:space="preserve"> providing information to workers</w:t>
      </w:r>
      <w:r w:rsidR="002C7EF2">
        <w:t>.</w:t>
      </w:r>
    </w:p>
    <w:p w14:paraId="4F193D1B" w14:textId="74A6BF44" w:rsidR="00B30890" w:rsidRDefault="00A519D0" w:rsidP="00A519D0">
      <w:r>
        <w:t xml:space="preserve">In addition to the different potential models for achieving national licensing, a range of implementation approaches exist, with varying costs and benefits. For example, the above options are not necessarily mutually exclusive, and </w:t>
      </w:r>
      <w:r w:rsidR="00191402">
        <w:t>O</w:t>
      </w:r>
      <w:r>
        <w:t>ption</w:t>
      </w:r>
      <w:r w:rsidR="00D17E8D">
        <w:t>s</w:t>
      </w:r>
      <w:r>
        <w:t xml:space="preserve"> 2</w:t>
      </w:r>
      <w:r w:rsidR="00D17E8D">
        <w:t xml:space="preserve"> or 3</w:t>
      </w:r>
      <w:r>
        <w:t xml:space="preserve"> could represent an intermediate step towards achieving the single national licence outlined in </w:t>
      </w:r>
      <w:r w:rsidR="00191402">
        <w:t>O</w:t>
      </w:r>
      <w:r>
        <w:t xml:space="preserve">ption 1. There may also be potential to utilise </w:t>
      </w:r>
      <w:r w:rsidRPr="00972D15">
        <w:lastRenderedPageBreak/>
        <w:t>grandfathering</w:t>
      </w:r>
      <w:r w:rsidR="00EB7E48">
        <w:t xml:space="preserve"> arrangements</w:t>
      </w:r>
      <w:r>
        <w:t xml:space="preserve"> or the ability to opt-in to gradually implement the new scheme over time while minimising transaction costs for existing licensees.</w:t>
      </w:r>
    </w:p>
    <w:tbl>
      <w:tblPr>
        <w:tblStyle w:val="TableGrid"/>
        <w:tblW w:w="0" w:type="auto"/>
        <w:tblLook w:val="04A0" w:firstRow="1" w:lastRow="0" w:firstColumn="1" w:lastColumn="0" w:noHBand="0" w:noVBand="1"/>
      </w:tblPr>
      <w:tblGrid>
        <w:gridCol w:w="9016"/>
      </w:tblGrid>
      <w:tr w:rsidR="00A519D0" w14:paraId="43771C79" w14:textId="77777777">
        <w:trPr>
          <w:cnfStyle w:val="100000000000" w:firstRow="1" w:lastRow="0" w:firstColumn="0" w:lastColumn="0" w:oddVBand="0" w:evenVBand="0" w:oddHBand="0" w:evenHBand="0" w:firstRowFirstColumn="0" w:firstRowLastColumn="0" w:lastRowFirstColumn="0" w:lastRowLastColumn="0"/>
        </w:trPr>
        <w:tc>
          <w:tcPr>
            <w:tcW w:w="9016" w:type="dxa"/>
            <w:tcBorders>
              <w:top w:val="nil"/>
              <w:left w:val="nil"/>
              <w:bottom w:val="nil"/>
              <w:right w:val="nil"/>
            </w:tcBorders>
            <w:shd w:val="clear" w:color="auto" w:fill="D8E6DF" w:themeFill="accent2" w:themeFillTint="33"/>
          </w:tcPr>
          <w:p w14:paraId="19F4981E" w14:textId="77777777" w:rsidR="00A519D0" w:rsidRPr="00D463D9" w:rsidRDefault="00A519D0">
            <w:pPr>
              <w:spacing w:before="96" w:after="96"/>
            </w:pPr>
            <w:r w:rsidRPr="003A7C3F">
              <w:t>Questions:</w:t>
            </w:r>
          </w:p>
          <w:p w14:paraId="14F2D05E" w14:textId="77777777" w:rsidR="005965B5" w:rsidRPr="005965B5" w:rsidRDefault="005965B5" w:rsidP="00536758">
            <w:pPr>
              <w:pStyle w:val="Bullet"/>
              <w:numPr>
                <w:ilvl w:val="0"/>
                <w:numId w:val="35"/>
              </w:numPr>
              <w:spacing w:beforeLines="40" w:before="96" w:afterLines="40" w:after="96"/>
              <w:rPr>
                <w:b w:val="0"/>
              </w:rPr>
            </w:pPr>
            <w:r w:rsidRPr="005965B5">
              <w:rPr>
                <w:b w:val="0"/>
              </w:rPr>
              <w:t>Which national licensing option do you prefer, and why do you think it would work well?</w:t>
            </w:r>
          </w:p>
          <w:p w14:paraId="4230568D" w14:textId="3F34C0CD" w:rsidR="005965B5" w:rsidRPr="005965B5" w:rsidRDefault="005965B5" w:rsidP="00536758">
            <w:pPr>
              <w:pStyle w:val="Bullet"/>
              <w:numPr>
                <w:ilvl w:val="0"/>
                <w:numId w:val="35"/>
              </w:numPr>
              <w:spacing w:beforeLines="40" w:before="96" w:afterLines="40" w:after="96"/>
              <w:rPr>
                <w:b w:val="0"/>
              </w:rPr>
            </w:pPr>
            <w:r w:rsidRPr="005965B5">
              <w:rPr>
                <w:b w:val="0"/>
              </w:rPr>
              <w:t>Is there an alternative model that could better achieve improved labour mobility</w:t>
            </w:r>
            <w:r w:rsidR="000129BB">
              <w:rPr>
                <w:b w:val="0"/>
              </w:rPr>
              <w:t xml:space="preserve"> </w:t>
            </w:r>
            <w:r w:rsidR="00DD7589">
              <w:rPr>
                <w:b w:val="0"/>
              </w:rPr>
              <w:t>while maintaining safety and quality</w:t>
            </w:r>
            <w:r w:rsidRPr="005965B5">
              <w:rPr>
                <w:b w:val="0"/>
              </w:rPr>
              <w:t>?</w:t>
            </w:r>
          </w:p>
          <w:p w14:paraId="3802189D" w14:textId="7EC8C57C" w:rsidR="00A519D0" w:rsidRPr="005B6EA3" w:rsidRDefault="004E244E" w:rsidP="00A519D0">
            <w:pPr>
              <w:pStyle w:val="Bullet"/>
              <w:numPr>
                <w:ilvl w:val="0"/>
                <w:numId w:val="35"/>
              </w:numPr>
              <w:tabs>
                <w:tab w:val="clear" w:pos="720"/>
              </w:tabs>
              <w:spacing w:beforeLines="40" w:before="96" w:afterLines="40" w:after="96" w:line="240" w:lineRule="auto"/>
            </w:pPr>
            <w:r>
              <w:rPr>
                <w:b w:val="0"/>
              </w:rPr>
              <w:t>How could</w:t>
            </w:r>
            <w:r w:rsidR="00F56937">
              <w:rPr>
                <w:b w:val="0"/>
              </w:rPr>
              <w:t xml:space="preserve"> </w:t>
            </w:r>
            <w:r w:rsidR="00A519D0" w:rsidRPr="004234B0">
              <w:rPr>
                <w:b w:val="0"/>
              </w:rPr>
              <w:t>technology or</w:t>
            </w:r>
            <w:r w:rsidR="00EA7BDD">
              <w:rPr>
                <w:b w:val="0"/>
              </w:rPr>
              <w:t xml:space="preserve"> </w:t>
            </w:r>
            <w:r w:rsidR="00A519D0" w:rsidRPr="004234B0">
              <w:rPr>
                <w:b w:val="0"/>
              </w:rPr>
              <w:t>data</w:t>
            </w:r>
            <w:r>
              <w:rPr>
                <w:b w:val="0"/>
              </w:rPr>
              <w:t xml:space="preserve"> be</w:t>
            </w:r>
            <w:r w:rsidR="00322053">
              <w:rPr>
                <w:b w:val="0"/>
              </w:rPr>
              <w:t xml:space="preserve"> better</w:t>
            </w:r>
            <w:r>
              <w:rPr>
                <w:b w:val="0"/>
              </w:rPr>
              <w:t xml:space="preserve"> used to improve </w:t>
            </w:r>
            <w:r w:rsidR="00D97BF0">
              <w:rPr>
                <w:b w:val="0"/>
              </w:rPr>
              <w:t>outcomes</w:t>
            </w:r>
            <w:r w:rsidR="00716EAF">
              <w:rPr>
                <w:b w:val="0"/>
              </w:rPr>
              <w:t>?</w:t>
            </w:r>
          </w:p>
        </w:tc>
      </w:tr>
      <w:bookmarkEnd w:id="2"/>
      <w:bookmarkEnd w:id="3"/>
    </w:tbl>
    <w:p w14:paraId="4B8C14D7" w14:textId="68FC8CBC" w:rsidR="00A519D0" w:rsidRDefault="00A519D0" w:rsidP="00F0371B"/>
    <w:sectPr w:rsidR="00A519D0" w:rsidSect="00295B30">
      <w:headerReference w:type="even" r:id="rId21"/>
      <w:headerReference w:type="default" r:id="rId22"/>
      <w:footerReference w:type="even" r:id="rId23"/>
      <w:footerReference w:type="default" r:id="rId24"/>
      <w:headerReference w:type="first" r:id="rId25"/>
      <w:footerReference w:type="first" r:id="rId26"/>
      <w:pgSz w:w="11906" w:h="16838" w:code="9"/>
      <w:pgMar w:top="184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E3BE3" w14:textId="77777777" w:rsidR="00CB5145" w:rsidRDefault="00CB5145">
      <w:pPr>
        <w:spacing w:before="0" w:after="0"/>
      </w:pPr>
      <w:r>
        <w:separator/>
      </w:r>
    </w:p>
  </w:endnote>
  <w:endnote w:type="continuationSeparator" w:id="0">
    <w:p w14:paraId="7A0AED3E" w14:textId="77777777" w:rsidR="00CB5145" w:rsidRDefault="00CB5145">
      <w:pPr>
        <w:spacing w:before="0" w:after="0"/>
      </w:pPr>
      <w:r>
        <w:continuationSeparator/>
      </w:r>
    </w:p>
  </w:endnote>
  <w:endnote w:type="continuationNotice" w:id="1">
    <w:p w14:paraId="7909BA09" w14:textId="77777777" w:rsidR="00CB5145" w:rsidRDefault="00CB514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EE12B" w14:textId="3A681948" w:rsidR="008C660B" w:rsidRDefault="008C660B">
    <w:pPr>
      <w:pStyle w:val="Footer"/>
    </w:pPr>
    <w:r>
      <w:rPr>
        <w:noProof/>
      </w:rPr>
      <mc:AlternateContent>
        <mc:Choice Requires="wps">
          <w:drawing>
            <wp:anchor distT="0" distB="0" distL="0" distR="0" simplePos="0" relativeHeight="251658246" behindDoc="0" locked="0" layoutInCell="1" allowOverlap="1" wp14:anchorId="469EC50F" wp14:editId="450A326A">
              <wp:simplePos x="635" y="635"/>
              <wp:positionH relativeFrom="page">
                <wp:align>center</wp:align>
              </wp:positionH>
              <wp:positionV relativeFrom="page">
                <wp:align>bottom</wp:align>
              </wp:positionV>
              <wp:extent cx="551815" cy="452755"/>
              <wp:effectExtent l="0" t="0" r="635" b="0"/>
              <wp:wrapNone/>
              <wp:docPr id="1646011662"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8F9813A" w14:textId="56DF624A" w:rsidR="008C660B" w:rsidRPr="008C660B" w:rsidRDefault="008C660B" w:rsidP="008C660B">
                          <w:pPr>
                            <w:spacing w:after="0"/>
                            <w:rPr>
                              <w:rFonts w:ascii="Calibri" w:eastAsia="Calibri" w:hAnsi="Calibri" w:cs="Calibri"/>
                              <w:noProof/>
                              <w:color w:val="FF0000"/>
                              <w:sz w:val="24"/>
                              <w:szCs w:val="24"/>
                            </w:rPr>
                          </w:pPr>
                          <w:r w:rsidRPr="008C660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9EC50F" id="_x0000_t202" coordsize="21600,21600" o:spt="202" path="m,l,21600r21600,l21600,xe">
              <v:stroke joinstyle="miter"/>
              <v:path gradientshapeok="t" o:connecttype="rect"/>
            </v:shapetype>
            <v:shape id="Text Box 14" o:spid="_x0000_s1027" type="#_x0000_t202" alt="OFFICIAL" style="position:absolute;left:0;text-align:left;margin-left:0;margin-top:0;width:43.45pt;height:35.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" filled="f" stroked="f">
              <v:textbox style="mso-fit-shape-to-text:t" inset="0,0,0,15pt">
                <w:txbxContent>
                  <w:p w14:paraId="38F9813A" w14:textId="56DF624A" w:rsidR="008C660B" w:rsidRPr="008C660B" w:rsidRDefault="008C660B" w:rsidP="008C660B">
                    <w:pPr>
                      <w:spacing w:after="0"/>
                      <w:rPr>
                        <w:rFonts w:ascii="Calibri" w:eastAsia="Calibri" w:hAnsi="Calibri" w:cs="Calibri"/>
                        <w:noProof/>
                        <w:color w:val="FF0000"/>
                        <w:sz w:val="24"/>
                        <w:szCs w:val="24"/>
                      </w:rPr>
                    </w:pPr>
                    <w:r w:rsidRPr="008C660B">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4F443" w14:textId="46DA81C2" w:rsidR="008C660B" w:rsidRDefault="008C660B">
    <w:pPr>
      <w:pStyle w:val="Footer"/>
    </w:pPr>
    <w:r>
      <w:rPr>
        <w:noProof/>
      </w:rPr>
      <mc:AlternateContent>
        <mc:Choice Requires="wps">
          <w:drawing>
            <wp:anchor distT="0" distB="0" distL="0" distR="0" simplePos="0" relativeHeight="251658245" behindDoc="0" locked="0" layoutInCell="1" allowOverlap="1" wp14:anchorId="47B0CB30" wp14:editId="449FDB1A">
              <wp:simplePos x="901700" y="10090150"/>
              <wp:positionH relativeFrom="page">
                <wp:align>center</wp:align>
              </wp:positionH>
              <wp:positionV relativeFrom="page">
                <wp:align>bottom</wp:align>
              </wp:positionV>
              <wp:extent cx="551815" cy="452755"/>
              <wp:effectExtent l="0" t="0" r="635" b="0"/>
              <wp:wrapNone/>
              <wp:docPr id="1862348435"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61F4740" w14:textId="58FD490D" w:rsidR="008C660B" w:rsidRPr="008C660B" w:rsidRDefault="008C660B" w:rsidP="008C660B">
                          <w:pPr>
                            <w:spacing w:after="0"/>
                            <w:rPr>
                              <w:rFonts w:ascii="Calibri" w:eastAsia="Calibri" w:hAnsi="Calibri" w:cs="Calibri"/>
                              <w:noProof/>
                              <w:color w:val="FF0000"/>
                              <w:sz w:val="24"/>
                              <w:szCs w:val="24"/>
                            </w:rPr>
                          </w:pPr>
                          <w:r w:rsidRPr="008C660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B0CB30" id="_x0000_t202" coordsize="21600,21600" o:spt="202" path="m,l,21600r21600,l21600,xe">
              <v:stroke joinstyle="miter"/>
              <v:path gradientshapeok="t" o:connecttype="rect"/>
            </v:shapetype>
            <v:shape id="Text Box 13" o:spid="_x0000_s1029" type="#_x0000_t202" alt="OFFICIAL" style="position:absolute;left:0;text-align:left;margin-left:0;margin-top:0;width:43.45pt;height:35.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textbox style="mso-fit-shape-to-text:t" inset="0,0,0,15pt">
                <w:txbxContent>
                  <w:p w14:paraId="661F4740" w14:textId="58FD490D" w:rsidR="008C660B" w:rsidRPr="008C660B" w:rsidRDefault="008C660B" w:rsidP="008C660B">
                    <w:pPr>
                      <w:spacing w:after="0"/>
                      <w:rPr>
                        <w:rFonts w:ascii="Calibri" w:eastAsia="Calibri" w:hAnsi="Calibri" w:cs="Calibri"/>
                        <w:noProof/>
                        <w:color w:val="FF0000"/>
                        <w:sz w:val="24"/>
                        <w:szCs w:val="24"/>
                      </w:rPr>
                    </w:pPr>
                    <w:r w:rsidRPr="008C660B">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62EB1" w14:textId="3B90037A" w:rsidR="003F00AC" w:rsidRPr="00023B06" w:rsidRDefault="003F00AC" w:rsidP="00BC6E69">
    <w:pPr>
      <w:pStyle w:val="FooterEven"/>
      <w:jc w:val="both"/>
      <w:rPr>
        <w:position w:val="-8"/>
      </w:rPr>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A16CDE">
      <w:fldChar w:fldCharType="begin"/>
    </w:r>
    <w:r w:rsidR="00A16CDE">
      <w:instrText xml:space="preserve"> STYLEREF  "Heading 1"  \* MERGEFORMAT </w:instrText>
    </w:r>
    <w:r w:rsidR="00A16CDE">
      <w:fldChar w:fldCharType="end"/>
    </w:r>
    <w:r>
      <w:tab/>
    </w:r>
    <w:r>
      <w:rPr>
        <w:position w:val="-8"/>
      </w:rPr>
      <w:t>Competition Review</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ECF7A" w14:textId="5573E4A2" w:rsidR="003F00AC" w:rsidRDefault="003F00AC" w:rsidP="00103F3C">
    <w:pPr>
      <w:pStyle w:val="FooterOdd"/>
    </w:pPr>
    <w:r>
      <w:t>Competition Review</w:t>
    </w:r>
    <w:r>
      <w:tab/>
    </w:r>
    <w:fldSimple w:instr=" STYLEREF  &quot;Heading 1&quot;  \* MERGEFORMAT ">
      <w:r w:rsidR="008F7940">
        <w:rPr>
          <w:noProof/>
        </w:rPr>
        <w:t>A national licensing scheme for electrical occupations</w:t>
      </w:r>
    </w:fldSimple>
    <w:r>
      <w:t xml:space="preserve"> | </w:t>
    </w:r>
    <w:r>
      <w:fldChar w:fldCharType="begin"/>
    </w:r>
    <w:r>
      <w:instrText xml:space="preserve"> PAGE   \* MERGEFORMAT </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16DC6" w14:textId="0747A091" w:rsidR="003F00AC" w:rsidRPr="00095D88" w:rsidRDefault="008C660B" w:rsidP="00095D88">
    <w:pPr>
      <w:pStyle w:val="Footer"/>
    </w:pPr>
    <w:r>
      <w:rPr>
        <w:noProof/>
      </w:rPr>
      <mc:AlternateContent>
        <mc:Choice Requires="wps">
          <w:drawing>
            <wp:anchor distT="0" distB="0" distL="0" distR="0" simplePos="0" relativeHeight="251658247" behindDoc="0" locked="0" layoutInCell="1" allowOverlap="1" wp14:anchorId="61E78588" wp14:editId="544715EF">
              <wp:simplePos x="635" y="635"/>
              <wp:positionH relativeFrom="page">
                <wp:align>center</wp:align>
              </wp:positionH>
              <wp:positionV relativeFrom="page">
                <wp:align>bottom</wp:align>
              </wp:positionV>
              <wp:extent cx="551815" cy="452755"/>
              <wp:effectExtent l="0" t="0" r="635" b="0"/>
              <wp:wrapNone/>
              <wp:docPr id="522363426"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99E730C" w14:textId="3EB04E2E" w:rsidR="008C660B" w:rsidRPr="008C660B" w:rsidRDefault="008C660B" w:rsidP="008C660B">
                          <w:pPr>
                            <w:spacing w:after="0"/>
                            <w:rPr>
                              <w:rFonts w:ascii="Calibri" w:eastAsia="Calibri" w:hAnsi="Calibri" w:cs="Calibri"/>
                              <w:noProof/>
                              <w:color w:val="FF0000"/>
                              <w:sz w:val="24"/>
                              <w:szCs w:val="24"/>
                            </w:rPr>
                          </w:pPr>
                          <w:r w:rsidRPr="008C660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E78588" id="_x0000_t202" coordsize="21600,21600" o:spt="202" path="m,l,21600r21600,l21600,xe">
              <v:stroke joinstyle="miter"/>
              <v:path gradientshapeok="t" o:connecttype="rect"/>
            </v:shapetype>
            <v:shape id="Text Box 22" o:spid="_x0000_s1031" type="#_x0000_t202" alt="OFFICIAL" style="position:absolute;left:0;text-align:left;margin-left:0;margin-top:0;width:43.45pt;height:35.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textbox style="mso-fit-shape-to-text:t" inset="0,0,0,15pt">
                <w:txbxContent>
                  <w:p w14:paraId="299E730C" w14:textId="3EB04E2E" w:rsidR="008C660B" w:rsidRPr="008C660B" w:rsidRDefault="008C660B" w:rsidP="008C660B">
                    <w:pPr>
                      <w:spacing w:after="0"/>
                      <w:rPr>
                        <w:rFonts w:ascii="Calibri" w:eastAsia="Calibri" w:hAnsi="Calibri" w:cs="Calibri"/>
                        <w:noProof/>
                        <w:color w:val="FF0000"/>
                        <w:sz w:val="24"/>
                        <w:szCs w:val="24"/>
                      </w:rPr>
                    </w:pPr>
                    <w:r w:rsidRPr="008C660B">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97D00" w14:textId="77777777" w:rsidR="00CB5145" w:rsidRPr="00ED5A20" w:rsidRDefault="00CB5145" w:rsidP="000F6233">
      <w:pPr>
        <w:rPr>
          <w:color w:val="4D7861" w:themeColor="accent2"/>
        </w:rPr>
      </w:pPr>
      <w:r w:rsidRPr="00ED5A20">
        <w:rPr>
          <w:color w:val="4D7861" w:themeColor="accent2"/>
        </w:rPr>
        <w:separator/>
      </w:r>
    </w:p>
  </w:footnote>
  <w:footnote w:type="continuationSeparator" w:id="0">
    <w:p w14:paraId="785A24E2" w14:textId="77777777" w:rsidR="00CB5145" w:rsidRPr="00B737EB" w:rsidRDefault="00CB5145">
      <w:pPr>
        <w:spacing w:before="0" w:after="0"/>
        <w:rPr>
          <w:color w:val="2C384A" w:themeColor="accent1"/>
        </w:rPr>
      </w:pPr>
      <w:r w:rsidRPr="00B737EB">
        <w:rPr>
          <w:color w:val="2C384A" w:themeColor="accent1"/>
        </w:rPr>
        <w:continuationSeparator/>
      </w:r>
    </w:p>
  </w:footnote>
  <w:footnote w:type="continuationNotice" w:id="1">
    <w:p w14:paraId="547C4DF7" w14:textId="77777777" w:rsidR="00CB5145" w:rsidRDefault="00CB5145">
      <w:pPr>
        <w:spacing w:before="0" w:after="0"/>
      </w:pPr>
    </w:p>
  </w:footnote>
  <w:footnote w:id="2">
    <w:p w14:paraId="1EF2CB99" w14:textId="5ECA7655" w:rsidR="00C42544" w:rsidRDefault="00C42544" w:rsidP="00C42544">
      <w:pPr>
        <w:pStyle w:val="FootnoteText"/>
      </w:pPr>
      <w:r>
        <w:rPr>
          <w:rStyle w:val="FootnoteReference"/>
        </w:rPr>
        <w:footnoteRef/>
      </w:r>
      <w:r>
        <w:t xml:space="preserve"> </w:t>
      </w:r>
      <w:r w:rsidR="00FF03C9">
        <w:tab/>
      </w:r>
      <w:r>
        <w:t xml:space="preserve">Bowman, Hambur and Markovski (2024), </w:t>
      </w:r>
      <w:r w:rsidRPr="00074B8F">
        <w:rPr>
          <w:i/>
          <w:iCs/>
        </w:rPr>
        <w:t>Examining the Macroeconomic Costs of Occupational Entry Regulations</w:t>
      </w:r>
      <w:r>
        <w:t xml:space="preserve">, </w:t>
      </w:r>
      <w:hyperlink r:id="rId1" w:history="1">
        <w:r w:rsidRPr="003F3F1D">
          <w:rPr>
            <w:rStyle w:val="Hyperlink"/>
          </w:rPr>
          <w:t>Examining the Macroeconomic Costs of Occupational Entry Regulations</w:t>
        </w:r>
      </w:hyperlink>
      <w:r w:rsidR="00FF03C9" w:rsidRPr="00C969EA">
        <w:t>.</w:t>
      </w:r>
    </w:p>
  </w:footnote>
  <w:footnote w:id="3">
    <w:p w14:paraId="7CDCA3DF" w14:textId="318F1DEA" w:rsidR="00F6751D" w:rsidRDefault="00F6751D" w:rsidP="008409BC">
      <w:pPr>
        <w:pStyle w:val="FootnoteText"/>
      </w:pPr>
      <w:r>
        <w:rPr>
          <w:rStyle w:val="FootnoteReference"/>
        </w:rPr>
        <w:footnoteRef/>
      </w:r>
      <w:r>
        <w:t xml:space="preserve"> </w:t>
      </w:r>
      <w:r w:rsidR="00FF03C9">
        <w:tab/>
      </w:r>
      <w:r>
        <w:t>National Electrical and Communications Asso</w:t>
      </w:r>
      <w:r w:rsidR="0066046B">
        <w:t xml:space="preserve">ciation (2025), </w:t>
      </w:r>
      <w:r w:rsidR="0066046B" w:rsidRPr="00F66081">
        <w:rPr>
          <w:i/>
          <w:iCs/>
        </w:rPr>
        <w:t>Australia’s Productivity</w:t>
      </w:r>
      <w:r w:rsidR="0066046B">
        <w:t xml:space="preserve">, </w:t>
      </w:r>
      <w:hyperlink r:id="rId2" w:history="1">
        <w:r w:rsidR="00C4129F">
          <w:rPr>
            <w:rStyle w:val="Hyperlink"/>
          </w:rPr>
          <w:t>https://www.neca.asn.au/getmedia/1227827f-27c6-442d-ad68-570341155a1a/NECA-Productivity-Commission-Pillar-1.pdf</w:t>
        </w:r>
      </w:hyperlink>
      <w:r w:rsidR="00C969EA" w:rsidRPr="00C969EA">
        <w:t>.</w:t>
      </w:r>
    </w:p>
  </w:footnote>
  <w:footnote w:id="4">
    <w:p w14:paraId="53B9CF01" w14:textId="29D0A99E" w:rsidR="00A519D0" w:rsidRDefault="00A519D0" w:rsidP="008409BC">
      <w:pPr>
        <w:pStyle w:val="FootnoteText"/>
      </w:pPr>
      <w:r>
        <w:rPr>
          <w:rStyle w:val="FootnoteReference"/>
        </w:rPr>
        <w:footnoteRef/>
      </w:r>
      <w:r>
        <w:t xml:space="preserve"> </w:t>
      </w:r>
      <w:r w:rsidR="00C969EA">
        <w:tab/>
      </w:r>
      <w:r>
        <w:t>J</w:t>
      </w:r>
      <w:r w:rsidR="00FD6E89">
        <w:t>SA</w:t>
      </w:r>
      <w:r>
        <w:t xml:space="preserve"> (2025), </w:t>
      </w:r>
      <w:r w:rsidRPr="00BC7B44">
        <w:rPr>
          <w:i/>
          <w:iCs/>
        </w:rPr>
        <w:t xml:space="preserve">Electricians </w:t>
      </w:r>
      <w:r w:rsidR="007B715B">
        <w:rPr>
          <w:i/>
          <w:iCs/>
        </w:rPr>
        <w:t>Occupation</w:t>
      </w:r>
      <w:r w:rsidR="007B715B" w:rsidRPr="00BC7B44">
        <w:rPr>
          <w:i/>
          <w:iCs/>
        </w:rPr>
        <w:t xml:space="preserve"> </w:t>
      </w:r>
      <w:r w:rsidRPr="00BC7B44">
        <w:rPr>
          <w:i/>
          <w:iCs/>
        </w:rPr>
        <w:t>Profile</w:t>
      </w:r>
      <w:r>
        <w:t xml:space="preserve">, </w:t>
      </w:r>
      <w:hyperlink r:id="rId3" w:history="1">
        <w:r w:rsidRPr="008D2ADE">
          <w:rPr>
            <w:rStyle w:val="Hyperlink"/>
          </w:rPr>
          <w:t>https://www.jobsandskills.gov.au/data/occupation-and-industry-profiles/occupations/3411-electricians</w:t>
        </w:r>
      </w:hyperlink>
      <w:r w:rsidR="00C969EA" w:rsidRPr="00C969EA">
        <w:t>.</w:t>
      </w:r>
    </w:p>
  </w:footnote>
  <w:footnote w:id="5">
    <w:p w14:paraId="06F813EB" w14:textId="03AC6E92" w:rsidR="008D21B3" w:rsidRDefault="008D21B3" w:rsidP="008409BC">
      <w:pPr>
        <w:pStyle w:val="FootnoteText"/>
      </w:pPr>
      <w:r>
        <w:rPr>
          <w:rStyle w:val="FootnoteReference"/>
        </w:rPr>
        <w:footnoteRef/>
      </w:r>
      <w:r>
        <w:t xml:space="preserve"> </w:t>
      </w:r>
      <w:r w:rsidR="00C969EA">
        <w:tab/>
      </w:r>
      <w:r>
        <w:t>J</w:t>
      </w:r>
      <w:r w:rsidR="00FD6E89">
        <w:t>SA</w:t>
      </w:r>
      <w:r>
        <w:t xml:space="preserve"> (2024), </w:t>
      </w:r>
      <w:r w:rsidR="00FD6E89" w:rsidRPr="00F66081">
        <w:rPr>
          <w:i/>
          <w:iCs/>
        </w:rPr>
        <w:t>Occupation Shortage Analysis</w:t>
      </w:r>
      <w:r w:rsidR="00FD6E89">
        <w:t xml:space="preserve">, </w:t>
      </w:r>
      <w:hyperlink r:id="rId4" w:history="1">
        <w:r w:rsidR="00FD6E89">
          <w:rPr>
            <w:rStyle w:val="Hyperlink"/>
          </w:rPr>
          <w:t>https://www.jobsandskills.gov.au/data/occupation-shortages-analysis</w:t>
        </w:r>
      </w:hyperlink>
      <w:r w:rsidR="00C969EA" w:rsidRPr="00C969EA">
        <w:t>.</w:t>
      </w:r>
    </w:p>
  </w:footnote>
  <w:footnote w:id="6">
    <w:p w14:paraId="3C135A91" w14:textId="61A8DCC1" w:rsidR="00A519D0" w:rsidRDefault="00A519D0" w:rsidP="008409BC">
      <w:pPr>
        <w:pStyle w:val="FootnoteText"/>
      </w:pPr>
      <w:r>
        <w:rPr>
          <w:rStyle w:val="FootnoteReference"/>
        </w:rPr>
        <w:footnoteRef/>
      </w:r>
      <w:r>
        <w:t xml:space="preserve"> </w:t>
      </w:r>
      <w:r w:rsidR="00C969EA">
        <w:tab/>
      </w:r>
      <w:r>
        <w:t>J</w:t>
      </w:r>
      <w:r w:rsidR="00FD6E89">
        <w:t>SA</w:t>
      </w:r>
      <w:r>
        <w:t xml:space="preserve"> (2023), </w:t>
      </w:r>
      <w:r w:rsidRPr="008A4C7F">
        <w:rPr>
          <w:i/>
          <w:iCs/>
        </w:rPr>
        <w:t>Clean Energy Capacity Study</w:t>
      </w:r>
      <w:r>
        <w:t xml:space="preserve">, </w:t>
      </w:r>
      <w:hyperlink r:id="rId5" w:history="1">
        <w:r w:rsidRPr="008D2ADE">
          <w:rPr>
            <w:rStyle w:val="Hyperlink"/>
          </w:rPr>
          <w:t>https://www.jobsandskills.gov.au/research/studies/clean-energy-capacity-study</w:t>
        </w:r>
      </w:hyperlink>
      <w:r w:rsidR="00C969EA" w:rsidRPr="00C969EA">
        <w:t>.</w:t>
      </w:r>
    </w:p>
  </w:footnote>
  <w:footnote w:id="7">
    <w:p w14:paraId="4D86440B" w14:textId="2B1CE73E" w:rsidR="00A519D0" w:rsidRDefault="00A519D0" w:rsidP="008409BC">
      <w:pPr>
        <w:pStyle w:val="FootnoteText"/>
      </w:pPr>
      <w:r>
        <w:rPr>
          <w:rStyle w:val="FootnoteReference"/>
        </w:rPr>
        <w:footnoteRef/>
      </w:r>
      <w:r>
        <w:t xml:space="preserve"> </w:t>
      </w:r>
      <w:r w:rsidR="007F25F9">
        <w:tab/>
      </w:r>
      <w:r>
        <w:t xml:space="preserve">Housing Industry Association (2024), </w:t>
      </w:r>
      <w:r w:rsidRPr="0024597B">
        <w:rPr>
          <w:i/>
          <w:iCs/>
        </w:rPr>
        <w:t>All Hands on Deck: Construction Workforce Requirements</w:t>
      </w:r>
      <w:r>
        <w:t xml:space="preserve">, </w:t>
      </w:r>
      <w:hyperlink r:id="rId6" w:history="1">
        <w:r>
          <w:rPr>
            <w:rStyle w:val="Hyperlink"/>
          </w:rPr>
          <w:t>https://hia.com.au/our-industry/advocacy/workforce-requirements</w:t>
        </w:r>
      </w:hyperlink>
      <w:r w:rsidR="007F25F9" w:rsidRPr="00C969EA">
        <w:t>.</w:t>
      </w:r>
    </w:p>
  </w:footnote>
  <w:footnote w:id="8">
    <w:p w14:paraId="32ED2BE5" w14:textId="73B7A03B" w:rsidR="00A519D0" w:rsidRDefault="00A519D0" w:rsidP="008409BC">
      <w:pPr>
        <w:pStyle w:val="FootnoteText"/>
      </w:pPr>
      <w:r>
        <w:rPr>
          <w:rStyle w:val="FootnoteReference"/>
        </w:rPr>
        <w:footnoteRef/>
      </w:r>
      <w:r>
        <w:t xml:space="preserve"> </w:t>
      </w:r>
      <w:r w:rsidR="007F25F9">
        <w:tab/>
      </w:r>
      <w:r>
        <w:t>Chalmers (2025),</w:t>
      </w:r>
      <w:r w:rsidRPr="009A0364">
        <w:rPr>
          <w:i/>
          <w:iCs/>
        </w:rPr>
        <w:t xml:space="preserve"> National licensing for electrical trades</w:t>
      </w:r>
      <w:r>
        <w:t xml:space="preserve">, </w:t>
      </w:r>
      <w:hyperlink r:id="rId7" w:history="1">
        <w:r>
          <w:rPr>
            <w:rStyle w:val="Hyperlink"/>
          </w:rPr>
          <w:t>https://ministers.treasury.gov.au/ministers/jim-chalmers-2022/media-releases/national-licensing-electrical-trades</w:t>
        </w:r>
      </w:hyperlink>
      <w:r w:rsidR="007F25F9" w:rsidRPr="00C969EA">
        <w:t>.</w:t>
      </w:r>
    </w:p>
  </w:footnote>
  <w:footnote w:id="9">
    <w:p w14:paraId="4FB9B81F" w14:textId="7605C0B5" w:rsidR="00A519D0" w:rsidRPr="00CF7E35" w:rsidRDefault="00A519D0" w:rsidP="008409BC">
      <w:pPr>
        <w:pStyle w:val="FootnoteText"/>
        <w:rPr>
          <w:i/>
          <w:iCs/>
        </w:rPr>
      </w:pPr>
      <w:r>
        <w:rPr>
          <w:rStyle w:val="FootnoteReference"/>
        </w:rPr>
        <w:footnoteRef/>
      </w:r>
      <w:r>
        <w:t xml:space="preserve"> </w:t>
      </w:r>
      <w:r w:rsidR="007F25F9">
        <w:tab/>
      </w:r>
      <w:r>
        <w:t xml:space="preserve">Productivity Commission (2025), </w:t>
      </w:r>
      <w:r>
        <w:rPr>
          <w:i/>
          <w:iCs/>
        </w:rPr>
        <w:t>Request for advice,</w:t>
      </w:r>
      <w:r w:rsidRPr="00CF7E35">
        <w:t xml:space="preserve"> </w:t>
      </w:r>
      <w:hyperlink r:id="rId8" w:history="1">
        <w:r w:rsidRPr="00CF7E35">
          <w:rPr>
            <w:rStyle w:val="Hyperlink"/>
          </w:rPr>
          <w:t>https://www.pc.gov.au/inquiries/current/competition-analysis-2025/request-advice</w:t>
        </w:r>
      </w:hyperlink>
      <w:r w:rsidR="007F25F9" w:rsidRPr="00C969EA">
        <w:t>.</w:t>
      </w:r>
    </w:p>
  </w:footnote>
  <w:footnote w:id="10">
    <w:p w14:paraId="2A670F01" w14:textId="31035DB2" w:rsidR="005E0911" w:rsidRPr="009732E5" w:rsidRDefault="00A519D0" w:rsidP="005E0911">
      <w:pPr>
        <w:pStyle w:val="FootnoteText"/>
      </w:pPr>
      <w:r>
        <w:rPr>
          <w:rStyle w:val="FootnoteReference"/>
        </w:rPr>
        <w:footnoteRef/>
      </w:r>
      <w:r>
        <w:t xml:space="preserve"> </w:t>
      </w:r>
      <w:r w:rsidR="007F25F9">
        <w:tab/>
      </w:r>
      <w:r>
        <w:t>Productivity Commission (202</w:t>
      </w:r>
      <w:r w:rsidR="00AB2C6B">
        <w:t>5</w:t>
      </w:r>
      <w:r>
        <w:t xml:space="preserve">), </w:t>
      </w:r>
      <w:r>
        <w:rPr>
          <w:i/>
          <w:iCs/>
        </w:rPr>
        <w:t>National Competition Policy analysis</w:t>
      </w:r>
      <w:r w:rsidR="001238C0">
        <w:rPr>
          <w:i/>
          <w:iCs/>
        </w:rPr>
        <w:t xml:space="preserve"> 2025</w:t>
      </w:r>
      <w:r>
        <w:t xml:space="preserve">, </w:t>
      </w:r>
      <w:hyperlink r:id="rId9" w:anchor="interim" w:history="1">
        <w:r w:rsidR="005E0911" w:rsidRPr="00DD4EA8">
          <w:rPr>
            <w:rStyle w:val="Hyperlink"/>
          </w:rPr>
          <w:t>https://www.pc.gov.au/inquiries/current/competition-analysis-2025#interim</w:t>
        </w:r>
      </w:hyperlink>
    </w:p>
  </w:footnote>
  <w:footnote w:id="11">
    <w:p w14:paraId="0917394A" w14:textId="74A2484E" w:rsidR="00A519D0" w:rsidRDefault="00A519D0" w:rsidP="008409BC">
      <w:pPr>
        <w:pStyle w:val="FootnoteText"/>
      </w:pPr>
      <w:r>
        <w:rPr>
          <w:rStyle w:val="FootnoteReference"/>
        </w:rPr>
        <w:footnoteRef/>
      </w:r>
      <w:r>
        <w:t xml:space="preserve"> </w:t>
      </w:r>
      <w:r w:rsidR="007F25F9">
        <w:tab/>
      </w:r>
      <w:r w:rsidRPr="00302AC0">
        <w:t xml:space="preserve">Department of the Prime Minister and Cabinet (2021), </w:t>
      </w:r>
      <w:r w:rsidRPr="00F87F92">
        <w:rPr>
          <w:i/>
          <w:iCs/>
        </w:rPr>
        <w:t>Improving occupational mobility</w:t>
      </w:r>
      <w:r w:rsidRPr="00302AC0">
        <w:t xml:space="preserve">, </w:t>
      </w:r>
      <w:hyperlink r:id="rId10" w:history="1">
        <w:r w:rsidRPr="0021504C">
          <w:rPr>
            <w:rStyle w:val="Hyperlink"/>
          </w:rPr>
          <w:t>https://www.regulatoryreform.gov.au/sites/default/files/improving-occupational-mobility.pdf</w:t>
        </w:r>
      </w:hyperlink>
      <w:r w:rsidR="007F25F9" w:rsidRPr="00C969EA">
        <w:t>.</w:t>
      </w:r>
    </w:p>
  </w:footnote>
  <w:footnote w:id="12">
    <w:p w14:paraId="5AFD8D4B" w14:textId="66973145" w:rsidR="00A519D0" w:rsidRDefault="00A519D0" w:rsidP="008409BC">
      <w:pPr>
        <w:pStyle w:val="FootnoteText"/>
      </w:pPr>
      <w:r>
        <w:rPr>
          <w:rStyle w:val="FootnoteReference"/>
        </w:rPr>
        <w:footnoteRef/>
      </w:r>
      <w:r>
        <w:t xml:space="preserve"> </w:t>
      </w:r>
      <w:r w:rsidR="007F25F9">
        <w:tab/>
      </w:r>
      <w:r w:rsidR="00D867B0">
        <w:t>Ibid.</w:t>
      </w:r>
    </w:p>
  </w:footnote>
  <w:footnote w:id="13">
    <w:p w14:paraId="636394A6" w14:textId="20649D8C" w:rsidR="005B1E64" w:rsidRDefault="005B1E64" w:rsidP="008409BC">
      <w:pPr>
        <w:pStyle w:val="FootnoteText"/>
      </w:pPr>
      <w:r>
        <w:rPr>
          <w:rStyle w:val="FootnoteReference"/>
        </w:rPr>
        <w:footnoteRef/>
      </w:r>
      <w:r>
        <w:t xml:space="preserve"> </w:t>
      </w:r>
      <w:r w:rsidR="007F25F9">
        <w:tab/>
      </w:r>
      <w:r>
        <w:t xml:space="preserve">Labour Mobility Working Group (2021), </w:t>
      </w:r>
      <w:r w:rsidRPr="00971093">
        <w:rPr>
          <w:i/>
        </w:rPr>
        <w:t>Frequently Asked Questions for Workers</w:t>
      </w:r>
      <w:r>
        <w:t xml:space="preserve">, </w:t>
      </w:r>
      <w:hyperlink r:id="rId11" w:history="1">
        <w:r w:rsidRPr="0021504C">
          <w:rPr>
            <w:rStyle w:val="Hyperlink"/>
          </w:rPr>
          <w:t>https://workersmobility.ca/faq-for-workers/</w:t>
        </w:r>
      </w:hyperlink>
      <w:r w:rsidR="007F25F9" w:rsidRPr="00C969EA">
        <w:t>.</w:t>
      </w:r>
    </w:p>
  </w:footnote>
  <w:footnote w:id="14">
    <w:p w14:paraId="7E4A80FD" w14:textId="5CDD3DBA" w:rsidR="005B1E64" w:rsidRPr="000016D2" w:rsidRDefault="005B1E64" w:rsidP="008409BC">
      <w:pPr>
        <w:pStyle w:val="FootnoteText"/>
      </w:pPr>
      <w:r>
        <w:rPr>
          <w:rStyle w:val="FootnoteReference"/>
        </w:rPr>
        <w:footnoteRef/>
      </w:r>
      <w:r>
        <w:t xml:space="preserve"> </w:t>
      </w:r>
      <w:r w:rsidR="007F25F9">
        <w:tab/>
      </w:r>
      <w:r>
        <w:t xml:space="preserve">Government of Canada (2025), </w:t>
      </w:r>
      <w:r w:rsidRPr="00971093">
        <w:rPr>
          <w:i/>
        </w:rPr>
        <w:t>Implementation of Bill C-5: One Canadian Economy</w:t>
      </w:r>
      <w:r>
        <w:t xml:space="preserve">, </w:t>
      </w:r>
      <w:hyperlink r:id="rId12" w:history="1">
        <w:r w:rsidRPr="0021504C">
          <w:rPr>
            <w:rStyle w:val="Hyperlink"/>
          </w:rPr>
          <w:t>https://www.canada.ca/en/intergovernmental-affairs/news/2025/06/implementation-of-bill-c-5-one-canadian-economy.html</w:t>
        </w:r>
      </w:hyperlink>
      <w:r w:rsidR="007F25F9" w:rsidRPr="00C969EA">
        <w:t>.</w:t>
      </w:r>
    </w:p>
  </w:footnote>
  <w:footnote w:id="15">
    <w:p w14:paraId="0B435E34" w14:textId="1D9B96C5" w:rsidR="005B1E64" w:rsidRPr="005C7472" w:rsidRDefault="005B1E64" w:rsidP="008409BC">
      <w:pPr>
        <w:pStyle w:val="FootnoteText"/>
      </w:pPr>
      <w:r>
        <w:rPr>
          <w:rStyle w:val="FootnoteReference"/>
        </w:rPr>
        <w:footnoteRef/>
      </w:r>
      <w:r>
        <w:t xml:space="preserve"> </w:t>
      </w:r>
      <w:r w:rsidR="007F25F9">
        <w:tab/>
      </w:r>
      <w:r>
        <w:t xml:space="preserve">Canadian Council of Directors Apprenticeship (2024), </w:t>
      </w:r>
      <w:r w:rsidRPr="00940E72">
        <w:rPr>
          <w:i/>
          <w:iCs/>
        </w:rPr>
        <w:t>Red Seal Program</w:t>
      </w:r>
      <w:r>
        <w:t xml:space="preserve">, </w:t>
      </w:r>
      <w:hyperlink r:id="rId13" w:history="1">
        <w:r>
          <w:rPr>
            <w:rStyle w:val="Hyperlink"/>
          </w:rPr>
          <w:t>https://www.red-seal.ca/eng/about/program.shtml</w:t>
        </w:r>
      </w:hyperlink>
      <w:r w:rsidR="007F25F9" w:rsidRPr="00C969EA">
        <w:t>.</w:t>
      </w:r>
    </w:p>
  </w:footnote>
  <w:footnote w:id="16">
    <w:p w14:paraId="3281A0C5" w14:textId="320F4BD2" w:rsidR="005B1E64" w:rsidRDefault="005B1E64" w:rsidP="008409BC">
      <w:pPr>
        <w:pStyle w:val="FootnoteText"/>
      </w:pPr>
      <w:r>
        <w:rPr>
          <w:rStyle w:val="FootnoteReference"/>
        </w:rPr>
        <w:footnoteRef/>
      </w:r>
      <w:r>
        <w:t xml:space="preserve"> </w:t>
      </w:r>
      <w:r w:rsidR="007F25F9">
        <w:tab/>
      </w:r>
      <w:r>
        <w:t xml:space="preserve">Koumenta and Pagliero (2017), </w:t>
      </w:r>
      <w:r>
        <w:rPr>
          <w:i/>
          <w:iCs/>
        </w:rPr>
        <w:t>Occupational Licensing in the European Union: Coverage and Wage Effects,</w:t>
      </w:r>
      <w:r>
        <w:t xml:space="preserve"> </w:t>
      </w:r>
      <w:hyperlink r:id="rId14" w:history="1">
        <w:r w:rsidRPr="006575CA">
          <w:rPr>
            <w:rStyle w:val="Hyperlink"/>
          </w:rPr>
          <w:t>https://www.carloalberto.org/wp-content/uploads/2019/11/no.525.pdf</w:t>
        </w:r>
      </w:hyperlink>
      <w:r w:rsidR="007F25F9" w:rsidRPr="00C969EA">
        <w:t>.</w:t>
      </w:r>
    </w:p>
  </w:footnote>
  <w:footnote w:id="17">
    <w:p w14:paraId="32018207" w14:textId="6B13C5D8" w:rsidR="005B1E64" w:rsidRDefault="005B1E64" w:rsidP="008409BC">
      <w:pPr>
        <w:pStyle w:val="FootnoteText"/>
      </w:pPr>
      <w:r>
        <w:rPr>
          <w:rStyle w:val="FootnoteReference"/>
        </w:rPr>
        <w:footnoteRef/>
      </w:r>
      <w:r>
        <w:t xml:space="preserve"> </w:t>
      </w:r>
      <w:r w:rsidR="007F25F9">
        <w:tab/>
      </w:r>
      <w:r>
        <w:t xml:space="preserve">Productivity Commission (2015), </w:t>
      </w:r>
      <w:r w:rsidRPr="00A4622F">
        <w:rPr>
          <w:i/>
          <w:iCs/>
        </w:rPr>
        <w:t>Mutual recognition schemes</w:t>
      </w:r>
      <w:r>
        <w:t xml:space="preserve">, </w:t>
      </w:r>
      <w:hyperlink r:id="rId15" w:history="1">
        <w:r>
          <w:rPr>
            <w:rStyle w:val="Hyperlink"/>
          </w:rPr>
          <w:t>https://www.pc.gov.au/inquiries/completed/mutual-recognition-schemes/report</w:t>
        </w:r>
      </w:hyperlink>
      <w:r w:rsidR="007F25F9" w:rsidRPr="00C969EA">
        <w:t>.</w:t>
      </w:r>
    </w:p>
  </w:footnote>
  <w:footnote w:id="18">
    <w:p w14:paraId="7EE625EC" w14:textId="09A67049" w:rsidR="005B1E64" w:rsidRDefault="005B1E64" w:rsidP="008409BC">
      <w:pPr>
        <w:pStyle w:val="FootnoteText"/>
      </w:pPr>
      <w:r>
        <w:rPr>
          <w:rStyle w:val="FootnoteReference"/>
        </w:rPr>
        <w:footnoteRef/>
      </w:r>
      <w:r>
        <w:t xml:space="preserve"> </w:t>
      </w:r>
      <w:r w:rsidR="007F25F9">
        <w:tab/>
      </w:r>
      <w:r>
        <w:t xml:space="preserve">OECD (2020), </w:t>
      </w:r>
      <w:r w:rsidRPr="00940E72">
        <w:rPr>
          <w:i/>
          <w:iCs/>
        </w:rPr>
        <w:t>Measuring occupational entry regulations: A new OECD approach</w:t>
      </w:r>
      <w:r>
        <w:t xml:space="preserve">, </w:t>
      </w:r>
      <w:hyperlink r:id="rId16" w:history="1">
        <w:r>
          <w:rPr>
            <w:rStyle w:val="Hyperlink"/>
          </w:rPr>
          <w:t>https://www.oecd.org/content/dam/oecd/en/publications/reports/2020/03/measuring-occupational-entry-regulations-a-new-oecd-approach_fdd72a54/296dae6b-en.pdf</w:t>
        </w:r>
      </w:hyperlink>
      <w:r w:rsidR="007F25F9" w:rsidRPr="00C969EA">
        <w:t>.</w:t>
      </w:r>
    </w:p>
  </w:footnote>
  <w:footnote w:id="19">
    <w:p w14:paraId="5E49D7B4" w14:textId="2929287A" w:rsidR="005B1E64" w:rsidRDefault="005B1E64" w:rsidP="008409BC">
      <w:pPr>
        <w:pStyle w:val="FootnoteText"/>
      </w:pPr>
      <w:r>
        <w:rPr>
          <w:rStyle w:val="FootnoteReference"/>
        </w:rPr>
        <w:footnoteRef/>
      </w:r>
      <w:r>
        <w:t xml:space="preserve"> </w:t>
      </w:r>
      <w:r w:rsidR="007F25F9">
        <w:tab/>
      </w:r>
      <w:r>
        <w:t xml:space="preserve">Jade Learning (2025), </w:t>
      </w:r>
      <w:r w:rsidRPr="00940E72">
        <w:rPr>
          <w:i/>
          <w:iCs/>
        </w:rPr>
        <w:t>Is Your Electrical License Accepted by Other States?</w:t>
      </w:r>
      <w:r>
        <w:t xml:space="preserve">, </w:t>
      </w:r>
      <w:hyperlink r:id="rId17" w:anchor=":~:text=License%20Reciprocity%20and%20Its%20Benefits,the%20exam%20and%20get%20licensed." w:history="1">
        <w:r>
          <w:rPr>
            <w:rStyle w:val="Hyperlink"/>
          </w:rPr>
          <w:t>https://www.jadelearning.com/reciprocity-plan/</w:t>
        </w:r>
      </w:hyperlink>
      <w:r w:rsidR="007F25F9" w:rsidRPr="00C969EA">
        <w:t>.</w:t>
      </w:r>
    </w:p>
  </w:footnote>
  <w:footnote w:id="20">
    <w:p w14:paraId="51E4EFBA" w14:textId="13AAF123" w:rsidR="005B1E64" w:rsidRDefault="005B1E64" w:rsidP="005B1E64">
      <w:pPr>
        <w:pStyle w:val="FootnoteText"/>
      </w:pPr>
      <w:r>
        <w:rPr>
          <w:rStyle w:val="FootnoteReference"/>
        </w:rPr>
        <w:footnoteRef/>
      </w:r>
      <w:r>
        <w:t xml:space="preserve"> </w:t>
      </w:r>
      <w:r w:rsidR="007F25F9">
        <w:tab/>
      </w:r>
      <w:r>
        <w:t>Ibid.</w:t>
      </w:r>
    </w:p>
  </w:footnote>
  <w:footnote w:id="21">
    <w:p w14:paraId="4C22660A" w14:textId="07AAECB0" w:rsidR="00A519D0" w:rsidRDefault="00A519D0" w:rsidP="00A519D0">
      <w:pPr>
        <w:pStyle w:val="FootnoteText"/>
      </w:pPr>
      <w:r>
        <w:rPr>
          <w:rStyle w:val="FootnoteReference"/>
        </w:rPr>
        <w:footnoteRef/>
      </w:r>
      <w:r>
        <w:t xml:space="preserve"> </w:t>
      </w:r>
      <w:r w:rsidR="007F25F9">
        <w:tab/>
      </w:r>
      <w:r>
        <w:t>Ibid.</w:t>
      </w:r>
    </w:p>
  </w:footnote>
  <w:footnote w:id="22">
    <w:p w14:paraId="5EB167C5" w14:textId="5CDC68AD" w:rsidR="00A519D0" w:rsidRDefault="00A519D0" w:rsidP="008409BC">
      <w:pPr>
        <w:pStyle w:val="FootnoteText"/>
      </w:pPr>
      <w:r>
        <w:rPr>
          <w:rStyle w:val="FootnoteReference"/>
        </w:rPr>
        <w:footnoteRef/>
      </w:r>
      <w:r>
        <w:t xml:space="preserve"> </w:t>
      </w:r>
      <w:r w:rsidR="007F25F9">
        <w:tab/>
      </w:r>
      <w:r>
        <w:t>National Occupational Licensing Authority (2014),</w:t>
      </w:r>
      <w:r w:rsidRPr="00531649">
        <w:rPr>
          <w:i/>
          <w:iCs/>
        </w:rPr>
        <w:t xml:space="preserve"> Submission to the Productivity Commission in relation to the Geographic Labour Mobility Draft Report</w:t>
      </w:r>
      <w:r>
        <w:t xml:space="preserve">, </w:t>
      </w:r>
      <w:hyperlink r:id="rId18" w:history="1">
        <w:r>
          <w:rPr>
            <w:rStyle w:val="Hyperlink"/>
          </w:rPr>
          <w:t>https://www.pc.gov.au/__data/assets/pdf_file/0018/134064/subdr053-labour-mobility.pdf</w:t>
        </w:r>
      </w:hyperlink>
      <w:r w:rsidR="007F25F9" w:rsidRPr="00C969EA">
        <w:t>.</w:t>
      </w:r>
    </w:p>
  </w:footnote>
  <w:footnote w:id="23">
    <w:p w14:paraId="56E6DE1C" w14:textId="68865E35" w:rsidR="00A519D0" w:rsidRDefault="00A519D0" w:rsidP="008409BC">
      <w:pPr>
        <w:pStyle w:val="FootnoteText"/>
      </w:pPr>
      <w:r>
        <w:rPr>
          <w:rStyle w:val="FootnoteReference"/>
        </w:rPr>
        <w:footnoteRef/>
      </w:r>
      <w:r>
        <w:t xml:space="preserve"> </w:t>
      </w:r>
      <w:r w:rsidR="007F25F9">
        <w:tab/>
      </w:r>
      <w:r>
        <w:t xml:space="preserve">COAG (2009), </w:t>
      </w:r>
      <w:r w:rsidRPr="00983796">
        <w:rPr>
          <w:i/>
          <w:iCs/>
        </w:rPr>
        <w:t>Intergovernmental Agreement for a National Licensing System for Specified Occupations</w:t>
      </w:r>
      <w:r>
        <w:rPr>
          <w:i/>
          <w:iCs/>
        </w:rPr>
        <w:t>,</w:t>
      </w:r>
      <w:r>
        <w:t xml:space="preserve"> </w:t>
      </w:r>
      <w:hyperlink r:id="rId19" w:history="1">
        <w:r w:rsidRPr="00805426">
          <w:rPr>
            <w:rStyle w:val="Hyperlink"/>
          </w:rPr>
          <w:t>Intergovernmental Agreement for a National Licensing System for Specified Occupations</w:t>
        </w:r>
      </w:hyperlink>
      <w:r w:rsidR="007F25F9" w:rsidRPr="00C969EA">
        <w:t>.</w:t>
      </w:r>
    </w:p>
  </w:footnote>
  <w:footnote w:id="24">
    <w:p w14:paraId="71E3C770" w14:textId="05DABDFA" w:rsidR="00A519D0" w:rsidRDefault="00A519D0" w:rsidP="008409BC">
      <w:pPr>
        <w:pStyle w:val="FootnoteText"/>
      </w:pPr>
      <w:r>
        <w:rPr>
          <w:rStyle w:val="FootnoteReference"/>
        </w:rPr>
        <w:footnoteRef/>
      </w:r>
      <w:r>
        <w:t xml:space="preserve"> </w:t>
      </w:r>
      <w:r w:rsidR="00862CF3">
        <w:tab/>
      </w:r>
      <w:r>
        <w:t xml:space="preserve">ANZSOG (2016), </w:t>
      </w:r>
      <w:r w:rsidRPr="00664FC1">
        <w:rPr>
          <w:i/>
          <w:iCs/>
        </w:rPr>
        <w:t>The National Occupational Licensing Project</w:t>
      </w:r>
      <w:r>
        <w:t>,</w:t>
      </w:r>
      <w:r w:rsidRPr="00664FC1">
        <w:t xml:space="preserve"> </w:t>
      </w:r>
      <w:hyperlink r:id="rId20" w:history="1">
        <w:r>
          <w:rPr>
            <w:rStyle w:val="Hyperlink"/>
          </w:rPr>
          <w:t>https://anzsog.edu.au/research-insights-and-resources/research/national-occupational-licensing-project-the-nola-a-2016-177-1/</w:t>
        </w:r>
      </w:hyperlink>
      <w:r w:rsidR="00862CF3" w:rsidRPr="00C969EA">
        <w:t>.</w:t>
      </w:r>
    </w:p>
  </w:footnote>
  <w:footnote w:id="25">
    <w:p w14:paraId="4A6709C6" w14:textId="572D0CA2" w:rsidR="00A519D0" w:rsidRDefault="00A519D0" w:rsidP="008409BC">
      <w:pPr>
        <w:pStyle w:val="FootnoteText"/>
      </w:pPr>
      <w:r>
        <w:rPr>
          <w:rStyle w:val="FootnoteReference"/>
        </w:rPr>
        <w:footnoteRef/>
      </w:r>
      <w:r>
        <w:t xml:space="preserve"> </w:t>
      </w:r>
      <w:r w:rsidR="00862CF3">
        <w:tab/>
      </w:r>
      <w:r>
        <w:t xml:space="preserve">Senate Select Committee on Red Tape (2018), </w:t>
      </w:r>
      <w:r>
        <w:rPr>
          <w:i/>
          <w:iCs/>
        </w:rPr>
        <w:t xml:space="preserve">Effect of red tape on occupational licensing, </w:t>
      </w:r>
      <w:hyperlink r:id="rId21" w:history="1">
        <w:r w:rsidRPr="008D2ADE">
          <w:rPr>
            <w:rStyle w:val="Hyperlink"/>
          </w:rPr>
          <w:t>https://www.aph.gov.au/-/media/Committees/redtape_ctte/OccupationalLicensing/Interim_report/report.pdf</w:t>
        </w:r>
      </w:hyperlink>
      <w:r w:rsidR="00862CF3" w:rsidRPr="00C969EA">
        <w:t>.</w:t>
      </w:r>
    </w:p>
  </w:footnote>
  <w:footnote w:id="26">
    <w:p w14:paraId="6DEED4F5" w14:textId="2EC13285" w:rsidR="00A519D0" w:rsidRDefault="00A519D0" w:rsidP="008409BC">
      <w:pPr>
        <w:pStyle w:val="FootnoteText"/>
      </w:pPr>
      <w:r>
        <w:rPr>
          <w:rStyle w:val="FootnoteReference"/>
        </w:rPr>
        <w:footnoteRef/>
      </w:r>
      <w:r>
        <w:t xml:space="preserve"> </w:t>
      </w:r>
      <w:r w:rsidR="00862CF3">
        <w:tab/>
      </w:r>
      <w:r>
        <w:t xml:space="preserve">SMH (2013), </w:t>
      </w:r>
      <w:r>
        <w:rPr>
          <w:i/>
          <w:iCs/>
        </w:rPr>
        <w:t xml:space="preserve">COAG ditches national licensing scheme, </w:t>
      </w:r>
      <w:hyperlink r:id="rId22" w:history="1">
        <w:r>
          <w:rPr>
            <w:rStyle w:val="Hyperlink"/>
          </w:rPr>
          <w:t>https://www.smh.com.au/national/coag-ditches-national-licensing-scheme-20131213-2zc1s.html</w:t>
        </w:r>
      </w:hyperlink>
      <w:r w:rsidR="00862CF3" w:rsidRPr="00C969EA">
        <w:t>.</w:t>
      </w:r>
    </w:p>
  </w:footnote>
  <w:footnote w:id="27">
    <w:p w14:paraId="7E6CA7A5" w14:textId="15DCB714" w:rsidR="00A519D0" w:rsidRDefault="00A519D0" w:rsidP="008409BC">
      <w:pPr>
        <w:pStyle w:val="FootnoteText"/>
      </w:pPr>
      <w:r>
        <w:rPr>
          <w:rStyle w:val="FootnoteReference"/>
        </w:rPr>
        <w:footnoteRef/>
      </w:r>
      <w:r>
        <w:t xml:space="preserve"> </w:t>
      </w:r>
      <w:r w:rsidR="00862CF3">
        <w:tab/>
      </w:r>
      <w:r>
        <w:t xml:space="preserve">Moseley (2013), </w:t>
      </w:r>
      <w:r>
        <w:rPr>
          <w:i/>
          <w:iCs/>
        </w:rPr>
        <w:t xml:space="preserve">National licensing for estate agents dumped, </w:t>
      </w:r>
      <w:hyperlink r:id="rId23" w:history="1">
        <w:r>
          <w:rPr>
            <w:rStyle w:val="Hyperlink"/>
          </w:rPr>
          <w:t>https://www.theadviser.com.au/lender/29532-national-licensing-dumped</w:t>
        </w:r>
      </w:hyperlink>
      <w:r w:rsidR="00862CF3" w:rsidRPr="00C969EA">
        <w:t>.</w:t>
      </w:r>
    </w:p>
  </w:footnote>
  <w:footnote w:id="28">
    <w:p w14:paraId="296873D5" w14:textId="2096FFA2" w:rsidR="00A519D0" w:rsidRDefault="00A519D0" w:rsidP="008409BC">
      <w:pPr>
        <w:pStyle w:val="FootnoteText"/>
      </w:pPr>
      <w:r>
        <w:rPr>
          <w:rStyle w:val="FootnoteReference"/>
        </w:rPr>
        <w:footnoteRef/>
      </w:r>
      <w:r>
        <w:t xml:space="preserve"> </w:t>
      </w:r>
      <w:r w:rsidR="00862CF3">
        <w:tab/>
      </w:r>
      <w:r>
        <w:t xml:space="preserve">ANZSOG (2016), </w:t>
      </w:r>
      <w:r w:rsidRPr="00664FC1">
        <w:rPr>
          <w:i/>
          <w:iCs/>
        </w:rPr>
        <w:t>The National Occupational Licensing Project</w:t>
      </w:r>
      <w:r>
        <w:t>,</w:t>
      </w:r>
      <w:r w:rsidRPr="00664FC1">
        <w:t xml:space="preserve"> </w:t>
      </w:r>
      <w:hyperlink r:id="rId24" w:history="1">
        <w:r>
          <w:rPr>
            <w:rStyle w:val="Hyperlink"/>
          </w:rPr>
          <w:t>https://anzsog.edu.au/research-insights-and-resources/research/national-occupational-licensing-project-the-nola-a-2016-177-1/</w:t>
        </w:r>
      </w:hyperlink>
      <w:r w:rsidR="00862CF3" w:rsidRPr="00C969EA">
        <w:t>.</w:t>
      </w:r>
    </w:p>
  </w:footnote>
  <w:footnote w:id="29">
    <w:p w14:paraId="273074D8" w14:textId="41B26275" w:rsidR="00A519D0" w:rsidRDefault="00A519D0" w:rsidP="008409BC">
      <w:pPr>
        <w:pStyle w:val="FootnoteText"/>
      </w:pPr>
      <w:r>
        <w:rPr>
          <w:rStyle w:val="FootnoteReference"/>
        </w:rPr>
        <w:footnoteRef/>
      </w:r>
      <w:r>
        <w:t xml:space="preserve"> </w:t>
      </w:r>
      <w:r w:rsidR="00862CF3">
        <w:tab/>
      </w:r>
      <w:r>
        <w:t xml:space="preserve">Energy Safe Victoria (2015), </w:t>
      </w:r>
      <w:r>
        <w:rPr>
          <w:i/>
          <w:iCs/>
        </w:rPr>
        <w:t xml:space="preserve">Submission to mutual recognition scheme study, </w:t>
      </w:r>
      <w:hyperlink r:id="rId25" w:history="1">
        <w:r>
          <w:rPr>
            <w:rStyle w:val="Hyperlink"/>
          </w:rPr>
          <w:t>https://www.pc.gov.au/__data/assets/pdf_file/0009/187335/sub026-mutual-recognition.pdf</w:t>
        </w:r>
      </w:hyperlink>
      <w:r w:rsidR="00862CF3" w:rsidRPr="00C969EA">
        <w:t>.</w:t>
      </w:r>
    </w:p>
  </w:footnote>
  <w:footnote w:id="30">
    <w:p w14:paraId="426EEEF5" w14:textId="498FA8ED" w:rsidR="00A519D0" w:rsidRPr="00A935BE" w:rsidRDefault="00A519D0" w:rsidP="008409BC">
      <w:pPr>
        <w:pStyle w:val="FootnoteText"/>
        <w:rPr>
          <w:color w:val="3A6FAF"/>
          <w:u w:val="single"/>
        </w:rPr>
      </w:pPr>
      <w:r>
        <w:rPr>
          <w:rStyle w:val="FootnoteReference"/>
        </w:rPr>
        <w:footnoteRef/>
      </w:r>
      <w:r>
        <w:t xml:space="preserve"> </w:t>
      </w:r>
      <w:r w:rsidR="00862CF3">
        <w:tab/>
      </w:r>
      <w:r>
        <w:t xml:space="preserve">NSW Government (2025), </w:t>
      </w:r>
      <w:r w:rsidRPr="00D7760E">
        <w:t>Recognition under the East Coast Electrician's scheme,</w:t>
      </w:r>
      <w:hyperlink r:id="rId26" w:history="1">
        <w:r w:rsidRPr="00325F54">
          <w:rPr>
            <w:rStyle w:val="Hyperlink"/>
          </w:rPr>
          <w:t>https://www.nsw.gov.au/business-and-economy/licences-and-credentials/building-and-trade-licences-and-registrations/working-interstate-and-mutual-recognition/east-coast-electricians-scheme</w:t>
        </w:r>
      </w:hyperlink>
      <w:r w:rsidR="00862CF3">
        <w:t>.</w:t>
      </w:r>
    </w:p>
  </w:footnote>
  <w:footnote w:id="31">
    <w:p w14:paraId="34D1F96F" w14:textId="2CE46785" w:rsidR="00A519D0" w:rsidRDefault="00A519D0" w:rsidP="008409BC">
      <w:pPr>
        <w:pStyle w:val="FootnoteText"/>
      </w:pPr>
      <w:r>
        <w:rPr>
          <w:rStyle w:val="FootnoteReference"/>
        </w:rPr>
        <w:footnoteRef/>
      </w:r>
      <w:r>
        <w:t xml:space="preserve"> </w:t>
      </w:r>
      <w:r w:rsidR="00862CF3">
        <w:tab/>
      </w:r>
      <w:r>
        <w:t xml:space="preserve">Productivity Commission (2015), </w:t>
      </w:r>
      <w:r w:rsidRPr="00A4622F">
        <w:rPr>
          <w:i/>
          <w:iCs/>
        </w:rPr>
        <w:t>Mutual recognition schemes</w:t>
      </w:r>
      <w:r>
        <w:t xml:space="preserve">, </w:t>
      </w:r>
      <w:hyperlink r:id="rId27" w:history="1">
        <w:r>
          <w:rPr>
            <w:rStyle w:val="Hyperlink"/>
          </w:rPr>
          <w:t>https://www.pc.gov.au/inquiries/completed/mutual-recognition-schemes/report</w:t>
        </w:r>
      </w:hyperlink>
      <w:r w:rsidR="00862CF3" w:rsidRPr="00C969EA">
        <w:t>.</w:t>
      </w:r>
    </w:p>
  </w:footnote>
  <w:footnote w:id="32">
    <w:p w14:paraId="765AD549" w14:textId="40F4CE41" w:rsidR="00A519D0" w:rsidRDefault="00A519D0" w:rsidP="00A519D0">
      <w:pPr>
        <w:pStyle w:val="FootnoteText"/>
      </w:pPr>
      <w:r>
        <w:rPr>
          <w:rStyle w:val="FootnoteReference"/>
        </w:rPr>
        <w:footnoteRef/>
      </w:r>
      <w:r>
        <w:t xml:space="preserve"> </w:t>
      </w:r>
      <w:r w:rsidR="00862CF3">
        <w:tab/>
      </w:r>
      <w:r>
        <w:t>Ibid.</w:t>
      </w:r>
    </w:p>
  </w:footnote>
  <w:footnote w:id="33">
    <w:p w14:paraId="15B55A0B" w14:textId="5A4B8DB3" w:rsidR="00A519D0" w:rsidRDefault="00A519D0" w:rsidP="008409BC">
      <w:pPr>
        <w:pStyle w:val="FootnoteText"/>
      </w:pPr>
      <w:r>
        <w:rPr>
          <w:rStyle w:val="FootnoteReference"/>
        </w:rPr>
        <w:footnoteRef/>
      </w:r>
      <w:r>
        <w:t xml:space="preserve"> </w:t>
      </w:r>
      <w:r w:rsidR="00862CF3">
        <w:tab/>
      </w:r>
      <w:r>
        <w:t xml:space="preserve">Department of the Prime Minister and Cabinet (2021), </w:t>
      </w:r>
      <w:r w:rsidRPr="00DF6987">
        <w:rPr>
          <w:i/>
          <w:iCs/>
        </w:rPr>
        <w:t>Improving occupational mobility</w:t>
      </w:r>
      <w:r>
        <w:t xml:space="preserve">, </w:t>
      </w:r>
      <w:hyperlink r:id="rId28" w:history="1">
        <w:r>
          <w:rPr>
            <w:rStyle w:val="Hyperlink"/>
          </w:rPr>
          <w:t>https://www.regulatoryreform.gov.au/sites/default/files/improving-occupational-mobility.pdf</w:t>
        </w:r>
      </w:hyperlink>
      <w:r w:rsidR="00862CF3" w:rsidRPr="00C969EA">
        <w:t>.</w:t>
      </w:r>
    </w:p>
  </w:footnote>
  <w:footnote w:id="34">
    <w:p w14:paraId="694C09AC" w14:textId="13815485" w:rsidR="00A519D0" w:rsidRDefault="00A519D0" w:rsidP="00A519D0">
      <w:pPr>
        <w:pStyle w:val="FootnoteText"/>
      </w:pPr>
      <w:r>
        <w:rPr>
          <w:rStyle w:val="FootnoteReference"/>
        </w:rPr>
        <w:footnoteRef/>
      </w:r>
      <w:r>
        <w:t xml:space="preserve"> </w:t>
      </w:r>
      <w:r w:rsidR="00862CF3">
        <w:tab/>
      </w:r>
      <w:r>
        <w:t>Ibid.</w:t>
      </w:r>
    </w:p>
  </w:footnote>
  <w:footnote w:id="35">
    <w:p w14:paraId="58AAA46B" w14:textId="6C26B597" w:rsidR="00F13425" w:rsidRDefault="00F13425" w:rsidP="00F13425">
      <w:pPr>
        <w:pStyle w:val="FootnoteText"/>
      </w:pPr>
      <w:r>
        <w:rPr>
          <w:rStyle w:val="FootnoteReference"/>
        </w:rPr>
        <w:footnoteRef/>
      </w:r>
      <w:r>
        <w:t xml:space="preserve"> </w:t>
      </w:r>
      <w:r>
        <w:tab/>
        <w:t xml:space="preserve">Productivity Commission (2025), </w:t>
      </w:r>
      <w:r w:rsidRPr="00004598">
        <w:rPr>
          <w:i/>
          <w:iCs/>
        </w:rPr>
        <w:t>National Competition Policy analysis 2025 – interim report</w:t>
      </w:r>
      <w:r>
        <w:t xml:space="preserve"> </w:t>
      </w:r>
    </w:p>
  </w:footnote>
  <w:footnote w:id="36">
    <w:p w14:paraId="60F7ED17" w14:textId="2F43FFF9" w:rsidR="00F02159" w:rsidRDefault="00A519D0" w:rsidP="00FD4B74">
      <w:pPr>
        <w:pStyle w:val="FootnoteText"/>
      </w:pPr>
      <w:r>
        <w:rPr>
          <w:rStyle w:val="FootnoteReference"/>
        </w:rPr>
        <w:footnoteRef/>
      </w:r>
      <w:r>
        <w:t xml:space="preserve"> </w:t>
      </w:r>
      <w:r w:rsidR="00862CF3">
        <w:tab/>
      </w:r>
      <w:r w:rsidR="00257572" w:rsidRPr="00257572">
        <w:t>Australian Bureau of Statistics (2025), </w:t>
      </w:r>
      <w:hyperlink r:id="rId29" w:history="1">
        <w:r w:rsidR="00257572" w:rsidRPr="00BC1D44">
          <w:t>Labour Force, Australia, Detailed</w:t>
        </w:r>
      </w:hyperlink>
      <w:r w:rsidR="00257572" w:rsidRPr="00257572">
        <w:t>,</w:t>
      </w:r>
      <w:r w:rsidR="00D052C5">
        <w:t xml:space="preserve"> </w:t>
      </w:r>
      <w:hyperlink r:id="rId30" w:history="1">
        <w:r w:rsidR="00D052C5">
          <w:rPr>
            <w:rStyle w:val="Hyperlink"/>
          </w:rPr>
          <w:t>https://www.abs.gov.au/statistics/labour/employment-and-unemployment/labour-force-australia-detailed/latest-release</w:t>
        </w:r>
      </w:hyperlink>
    </w:p>
  </w:footnote>
  <w:footnote w:id="37">
    <w:p w14:paraId="7A2B27EE" w14:textId="41E12154" w:rsidR="005316FB" w:rsidRDefault="005316FB">
      <w:pPr>
        <w:pStyle w:val="FootnoteText"/>
      </w:pPr>
      <w:r>
        <w:rPr>
          <w:rStyle w:val="FootnoteReference"/>
        </w:rPr>
        <w:footnoteRef/>
      </w:r>
      <w:r>
        <w:t xml:space="preserve"> </w:t>
      </w:r>
      <w:r>
        <w:tab/>
        <w:t xml:space="preserve">Note: </w:t>
      </w:r>
      <w:r w:rsidR="00811736" w:rsidRPr="00811736">
        <w:t xml:space="preserve">Since </w:t>
      </w:r>
      <w:r w:rsidR="00935752">
        <w:t>electricians</w:t>
      </w:r>
      <w:r w:rsidR="009A020D">
        <w:t xml:space="preserve"> do not represent all electrical workers</w:t>
      </w:r>
      <w:r w:rsidR="00935752">
        <w:t xml:space="preserve">, and </w:t>
      </w:r>
      <w:r w:rsidR="001542C7">
        <w:t xml:space="preserve">some </w:t>
      </w:r>
      <w:r w:rsidR="00811736" w:rsidRPr="00811736">
        <w:t xml:space="preserve">workers in other </w:t>
      </w:r>
      <w:r w:rsidR="00D44BDE">
        <w:t>fields</w:t>
      </w:r>
      <w:r w:rsidR="00811736" w:rsidRPr="00811736">
        <w:t xml:space="preserve"> hold electrical licences, these figures</w:t>
      </w:r>
      <w:r w:rsidR="00A45D3B">
        <w:t xml:space="preserve"> </w:t>
      </w:r>
      <w:r w:rsidR="003459FA">
        <w:t xml:space="preserve">likely </w:t>
      </w:r>
      <w:r w:rsidR="00811736" w:rsidRPr="00811736">
        <w:t>represent an underestimate of the total number of electrical licensees</w:t>
      </w:r>
      <w:r w:rsidR="00A45D3B">
        <w:t xml:space="preserve"> in each jurisdiction</w:t>
      </w:r>
      <w:r w:rsidR="00811736" w:rsidRPr="00811736">
        <w:t>.</w:t>
      </w:r>
    </w:p>
  </w:footnote>
  <w:footnote w:id="38">
    <w:p w14:paraId="330BA04A" w14:textId="555F7921" w:rsidR="003447F2" w:rsidRDefault="003447F2" w:rsidP="003447F2">
      <w:pPr>
        <w:pStyle w:val="FootnoteText"/>
      </w:pPr>
      <w:r>
        <w:rPr>
          <w:rStyle w:val="FootnoteReference"/>
        </w:rPr>
        <w:footnoteRef/>
      </w:r>
      <w:r>
        <w:t xml:space="preserve"> </w:t>
      </w:r>
      <w:r>
        <w:tab/>
      </w:r>
      <w:r w:rsidR="007002DB">
        <w:t xml:space="preserve">Treasury calculations using ABS population figures. </w:t>
      </w:r>
    </w:p>
  </w:footnote>
  <w:footnote w:id="39">
    <w:p w14:paraId="3CAEF681" w14:textId="6CDF8B95" w:rsidR="00A519D0" w:rsidRDefault="00A519D0" w:rsidP="008409BC">
      <w:pPr>
        <w:pStyle w:val="FootnoteText"/>
      </w:pPr>
      <w:r>
        <w:rPr>
          <w:rStyle w:val="FootnoteReference"/>
        </w:rPr>
        <w:footnoteRef/>
      </w:r>
      <w:r>
        <w:t xml:space="preserve"> </w:t>
      </w:r>
      <w:r w:rsidR="00862CF3">
        <w:tab/>
      </w:r>
      <w:r>
        <w:t xml:space="preserve">Department of the Prime Minister and Cabinet (2021), </w:t>
      </w:r>
      <w:r w:rsidRPr="00DF6987">
        <w:rPr>
          <w:i/>
          <w:iCs/>
        </w:rPr>
        <w:t>Improving occupational mobility</w:t>
      </w:r>
      <w:r>
        <w:t xml:space="preserve">, </w:t>
      </w:r>
      <w:hyperlink r:id="rId31" w:history="1">
        <w:r>
          <w:rPr>
            <w:rStyle w:val="Hyperlink"/>
          </w:rPr>
          <w:t>https://www.regulatoryreform.gov.au/sites/default/files/improving-occupational-mobility.pdf</w:t>
        </w:r>
      </w:hyperlink>
      <w:r w:rsidR="00862CF3" w:rsidRPr="00C969EA">
        <w:t>.</w:t>
      </w:r>
    </w:p>
  </w:footnote>
  <w:footnote w:id="40">
    <w:p w14:paraId="1F337819" w14:textId="0E21C59A" w:rsidR="00A519D0" w:rsidRDefault="00A519D0" w:rsidP="008409BC">
      <w:pPr>
        <w:pStyle w:val="FootnoteText"/>
      </w:pPr>
      <w:r>
        <w:rPr>
          <w:rStyle w:val="FootnoteReference"/>
        </w:rPr>
        <w:footnoteRef/>
      </w:r>
      <w:r>
        <w:t xml:space="preserve"> </w:t>
      </w:r>
      <w:r w:rsidR="00862CF3">
        <w:tab/>
      </w:r>
      <w:r>
        <w:t xml:space="preserve">Deregulation Taskforce (nd), </w:t>
      </w:r>
      <w:r w:rsidRPr="00047512">
        <w:rPr>
          <w:i/>
          <w:iCs/>
        </w:rPr>
        <w:t>AMR – information for workers and businesses</w:t>
      </w:r>
      <w:r>
        <w:t>, (</w:t>
      </w:r>
      <w:hyperlink r:id="rId32" w:history="1">
        <w:r>
          <w:rPr>
            <w:rStyle w:val="Hyperlink"/>
          </w:rPr>
          <w:t>https://www.regulatoryreform.gov.au/sites/default/files/amr-info-business-workers.pdf</w:t>
        </w:r>
      </w:hyperlink>
      <w:r w:rsidR="00862CF3" w:rsidRPr="00C969EA">
        <w:t>.</w:t>
      </w:r>
    </w:p>
  </w:footnote>
  <w:footnote w:id="41">
    <w:p w14:paraId="521AB87C" w14:textId="44EBF36F" w:rsidR="00EB6279" w:rsidRDefault="00EB6279" w:rsidP="008409BC">
      <w:pPr>
        <w:pStyle w:val="FootnoteText"/>
      </w:pPr>
      <w:r>
        <w:rPr>
          <w:rStyle w:val="FootnoteReference"/>
        </w:rPr>
        <w:footnoteRef/>
      </w:r>
      <w:r>
        <w:t xml:space="preserve"> </w:t>
      </w:r>
      <w:r w:rsidR="00862CF3">
        <w:tab/>
      </w:r>
      <w:r>
        <w:t xml:space="preserve">Deregulation Taskforce (nd), </w:t>
      </w:r>
      <w:r w:rsidRPr="00047512">
        <w:rPr>
          <w:i/>
          <w:iCs/>
        </w:rPr>
        <w:t>AMR – information for workers and businesses</w:t>
      </w:r>
      <w:r>
        <w:t>, (</w:t>
      </w:r>
      <w:hyperlink r:id="rId33" w:history="1">
        <w:r>
          <w:rPr>
            <w:rStyle w:val="Hyperlink"/>
          </w:rPr>
          <w:t>https://www.regulatoryreform.gov.au/sites/default/files/amr-info-business-workers.pdf</w:t>
        </w:r>
      </w:hyperlink>
      <w:r w:rsidR="00862CF3" w:rsidRPr="00C969EA">
        <w:t>.</w:t>
      </w:r>
    </w:p>
  </w:footnote>
  <w:footnote w:id="42">
    <w:p w14:paraId="680C6158" w14:textId="31A2A31B" w:rsidR="007000BB" w:rsidRDefault="007000BB" w:rsidP="008409BC">
      <w:pPr>
        <w:pStyle w:val="FootnoteText"/>
      </w:pPr>
      <w:r>
        <w:rPr>
          <w:rStyle w:val="FootnoteReference"/>
        </w:rPr>
        <w:footnoteRef/>
      </w:r>
      <w:r>
        <w:t xml:space="preserve"> </w:t>
      </w:r>
      <w:r w:rsidR="00862CF3">
        <w:tab/>
      </w:r>
      <w:r w:rsidR="0068217F">
        <w:t>Queensland Government (2025),</w:t>
      </w:r>
      <w:r w:rsidR="0068217F" w:rsidRPr="00CB7049">
        <w:t xml:space="preserve"> </w:t>
      </w:r>
      <w:r w:rsidR="0068217F" w:rsidRPr="00732061">
        <w:rPr>
          <w:i/>
          <w:iCs/>
        </w:rPr>
        <w:t>Electrical Safety Regulation 2013</w:t>
      </w:r>
      <w:r w:rsidR="0068217F">
        <w:t xml:space="preserve">, </w:t>
      </w:r>
      <w:hyperlink r:id="rId34" w:anchor="sch.1" w:history="1">
        <w:r w:rsidR="0068217F" w:rsidRPr="000E68A4">
          <w:rPr>
            <w:rStyle w:val="Hyperlink"/>
          </w:rPr>
          <w:t>https://www.legislation.qld.gov.au/view/html/inforce/current/sl-2013-0213#sch.1</w:t>
        </w:r>
      </w:hyperlink>
    </w:p>
  </w:footnote>
  <w:footnote w:id="43">
    <w:p w14:paraId="6CD72A44" w14:textId="15542FCD" w:rsidR="00A519D0" w:rsidRDefault="00A519D0" w:rsidP="008409BC">
      <w:pPr>
        <w:pStyle w:val="FootnoteText"/>
      </w:pPr>
      <w:r>
        <w:rPr>
          <w:rStyle w:val="FootnoteReference"/>
        </w:rPr>
        <w:footnoteRef/>
      </w:r>
      <w:r>
        <w:t xml:space="preserve">  </w:t>
      </w:r>
      <w:r w:rsidR="00862CF3">
        <w:tab/>
      </w:r>
      <w:r>
        <w:t xml:space="preserve">COAG (2013), </w:t>
      </w:r>
      <w:r w:rsidRPr="002060DB">
        <w:rPr>
          <w:i/>
          <w:iCs/>
        </w:rPr>
        <w:t>Decision Regulation Impact Statement - Proposal for national licensing of the electrical occupations</w:t>
      </w:r>
      <w:r>
        <w:rPr>
          <w:i/>
          <w:iCs/>
        </w:rPr>
        <w:t>.</w:t>
      </w:r>
    </w:p>
  </w:footnote>
  <w:footnote w:id="44">
    <w:p w14:paraId="157D735C" w14:textId="2D23AE64" w:rsidR="00A519D0" w:rsidRDefault="00A519D0" w:rsidP="008409BC">
      <w:pPr>
        <w:pStyle w:val="FootnoteText"/>
      </w:pPr>
      <w:r>
        <w:rPr>
          <w:rStyle w:val="FootnoteReference"/>
        </w:rPr>
        <w:footnoteRef/>
      </w:r>
      <w:r>
        <w:t xml:space="preserve"> </w:t>
      </w:r>
      <w:r w:rsidR="00862CF3">
        <w:tab/>
      </w:r>
      <w:r>
        <w:t xml:space="preserve">Electrical Regulatory Authorities Council (2024), Electrical Fatal Incident Data, </w:t>
      </w:r>
      <w:hyperlink r:id="rId35" w:history="1">
        <w:r w:rsidRPr="008D2ADE">
          <w:rPr>
            <w:rStyle w:val="Hyperlink"/>
          </w:rPr>
          <w:t>https://www.erac.gov.au/wp-content/uploads/2025/03/ERAC-Electrical-fatality-report-2023-2024.pdf</w:t>
        </w:r>
      </w:hyperlink>
      <w:r w:rsidR="00862CF3" w:rsidRPr="00C969EA">
        <w:t>.</w:t>
      </w:r>
    </w:p>
  </w:footnote>
  <w:footnote w:id="45">
    <w:p w14:paraId="08BF3F41" w14:textId="587B3F25" w:rsidR="00A519D0" w:rsidRDefault="00A519D0" w:rsidP="00A519D0">
      <w:pPr>
        <w:pStyle w:val="FootnoteText"/>
      </w:pPr>
      <w:r>
        <w:rPr>
          <w:rStyle w:val="FootnoteReference"/>
        </w:rPr>
        <w:footnoteRef/>
      </w:r>
      <w:r>
        <w:t xml:space="preserve"> </w:t>
      </w:r>
      <w:r w:rsidR="00862CF3">
        <w:tab/>
      </w:r>
      <w:r>
        <w:t>Ibid.</w:t>
      </w:r>
    </w:p>
  </w:footnote>
  <w:footnote w:id="46">
    <w:p w14:paraId="6EF78907" w14:textId="77777777" w:rsidR="00516DAD" w:rsidRDefault="00516DAD" w:rsidP="00516DAD">
      <w:pPr>
        <w:pStyle w:val="FootnoteText"/>
      </w:pPr>
      <w:r>
        <w:rPr>
          <w:rStyle w:val="FootnoteReference"/>
        </w:rPr>
        <w:footnoteRef/>
      </w:r>
      <w:r>
        <w:t xml:space="preserve"> </w:t>
      </w:r>
      <w:r>
        <w:tab/>
        <w:t xml:space="preserve">COAG (2013), </w:t>
      </w:r>
      <w:r w:rsidRPr="002060DB">
        <w:rPr>
          <w:i/>
          <w:iCs/>
        </w:rPr>
        <w:t>Decision Regulation Impact Statement - Proposal for national licensing of the electrical occupations</w:t>
      </w:r>
      <w:r>
        <w:rPr>
          <w:i/>
          <w:iCs/>
        </w:rPr>
        <w:t>.</w:t>
      </w:r>
    </w:p>
  </w:footnote>
  <w:footnote w:id="47">
    <w:p w14:paraId="2BEA683F" w14:textId="085A134B" w:rsidR="00A519D0" w:rsidRDefault="00A519D0" w:rsidP="00A519D0">
      <w:pPr>
        <w:pStyle w:val="FootnoteText"/>
      </w:pPr>
      <w:r>
        <w:rPr>
          <w:rStyle w:val="FootnoteReference"/>
        </w:rPr>
        <w:footnoteRef/>
      </w:r>
      <w:r>
        <w:t xml:space="preserve"> </w:t>
      </w:r>
      <w:r w:rsidR="00862CF3">
        <w:tab/>
      </w:r>
      <w:r w:rsidR="005236C1">
        <w:t xml:space="preserve">Electrical Regulatory Authorities Council (2024), </w:t>
      </w:r>
      <w:r w:rsidR="005236C1" w:rsidRPr="0034776A">
        <w:rPr>
          <w:i/>
          <w:iCs/>
        </w:rPr>
        <w:t>Electrical Fatal Incident Data</w:t>
      </w:r>
      <w:r w:rsidR="005236C1">
        <w:t xml:space="preserve">, </w:t>
      </w:r>
      <w:hyperlink r:id="rId36" w:history="1">
        <w:r w:rsidR="005236C1" w:rsidRPr="008D2ADE">
          <w:rPr>
            <w:rStyle w:val="Hyperlink"/>
          </w:rPr>
          <w:t>https://www.erac.gov.au/wp-content/uploads/2025/03/ERAC-Electrical-fatality-report-2023-2024.pdf</w:t>
        </w:r>
      </w:hyperlink>
      <w:r w:rsidR="005236C1" w:rsidRPr="00C969EA">
        <w:t>.</w:t>
      </w:r>
    </w:p>
  </w:footnote>
  <w:footnote w:id="48">
    <w:p w14:paraId="5AAE053D" w14:textId="31683630" w:rsidR="00C917D9" w:rsidRDefault="00C917D9" w:rsidP="00C917D9">
      <w:pPr>
        <w:pStyle w:val="FootnoteText"/>
      </w:pPr>
      <w:r>
        <w:rPr>
          <w:rStyle w:val="FootnoteReference"/>
        </w:rPr>
        <w:footnoteRef/>
      </w:r>
      <w:r>
        <w:t xml:space="preserve"> </w:t>
      </w:r>
      <w:r>
        <w:tab/>
        <w:t xml:space="preserve">Treasury calculations using ABS population figures. </w:t>
      </w:r>
    </w:p>
  </w:footnote>
  <w:footnote w:id="49">
    <w:p w14:paraId="5BCA7413" w14:textId="4926CBA6" w:rsidR="002C4EFD" w:rsidRDefault="002C4EFD" w:rsidP="008409BC">
      <w:pPr>
        <w:pStyle w:val="FootnoteText"/>
      </w:pPr>
      <w:r>
        <w:rPr>
          <w:rStyle w:val="FootnoteReference"/>
        </w:rPr>
        <w:footnoteRef/>
      </w:r>
      <w:r>
        <w:t xml:space="preserve"> </w:t>
      </w:r>
      <w:r w:rsidR="00862CF3">
        <w:tab/>
      </w:r>
      <w:r w:rsidR="008F0FA7">
        <w:t>Safe Work Australia (202</w:t>
      </w:r>
      <w:r w:rsidR="00ED4307">
        <w:t>5</w:t>
      </w:r>
      <w:r w:rsidR="008F0FA7">
        <w:t xml:space="preserve">), </w:t>
      </w:r>
      <w:r w:rsidR="00ED4307" w:rsidRPr="00AA5201">
        <w:rPr>
          <w:i/>
          <w:iCs/>
        </w:rPr>
        <w:t>Work-related fatalities</w:t>
      </w:r>
      <w:r w:rsidR="009459B3">
        <w:rPr>
          <w:i/>
          <w:iCs/>
        </w:rPr>
        <w:t xml:space="preserve"> dashboard</w:t>
      </w:r>
      <w:r w:rsidR="00ED4307">
        <w:t xml:space="preserve">, </w:t>
      </w:r>
      <w:hyperlink r:id="rId37" w:history="1">
        <w:r w:rsidR="00ED4307">
          <w:rPr>
            <w:rStyle w:val="Hyperlink"/>
          </w:rPr>
          <w:t>https://data.safeworkaustralia.gov.au/interactive-data/topic/work-related-fatalities</w:t>
        </w:r>
      </w:hyperlink>
      <w:r w:rsidR="00862CF3" w:rsidRPr="00C969EA">
        <w:t>.</w:t>
      </w:r>
    </w:p>
  </w:footnote>
  <w:footnote w:id="50">
    <w:p w14:paraId="227EF8DE" w14:textId="66056765" w:rsidR="00D6078D" w:rsidRDefault="00D6078D">
      <w:pPr>
        <w:pStyle w:val="FootnoteText"/>
      </w:pPr>
      <w:r>
        <w:rPr>
          <w:rStyle w:val="FootnoteReference"/>
        </w:rPr>
        <w:footnoteRef/>
      </w:r>
      <w:r>
        <w:t xml:space="preserve"> </w:t>
      </w:r>
      <w:r w:rsidR="00862CF3">
        <w:tab/>
      </w:r>
      <w:r>
        <w:t>Ibid.</w:t>
      </w:r>
    </w:p>
  </w:footnote>
  <w:footnote w:id="51">
    <w:p w14:paraId="3632103B" w14:textId="155C263C" w:rsidR="00D6078D" w:rsidRDefault="00D6078D">
      <w:pPr>
        <w:pStyle w:val="FootnoteText"/>
      </w:pPr>
      <w:r>
        <w:rPr>
          <w:rStyle w:val="FootnoteReference"/>
        </w:rPr>
        <w:footnoteRef/>
      </w:r>
      <w:r>
        <w:t xml:space="preserve"> </w:t>
      </w:r>
      <w:r w:rsidR="00862CF3">
        <w:tab/>
      </w:r>
      <w:r>
        <w:t>Ibid.</w:t>
      </w:r>
    </w:p>
  </w:footnote>
  <w:footnote w:id="52">
    <w:p w14:paraId="70D1FC44" w14:textId="3027992B" w:rsidR="00D6078D" w:rsidRDefault="00D6078D" w:rsidP="008409BC">
      <w:pPr>
        <w:pStyle w:val="FootnoteText"/>
      </w:pPr>
      <w:r>
        <w:rPr>
          <w:rStyle w:val="FootnoteReference"/>
        </w:rPr>
        <w:footnoteRef/>
      </w:r>
      <w:r>
        <w:t xml:space="preserve"> </w:t>
      </w:r>
      <w:r w:rsidR="00862CF3">
        <w:tab/>
      </w:r>
      <w:r w:rsidR="009459B3">
        <w:t xml:space="preserve">Safe Work Australia (2025), </w:t>
      </w:r>
      <w:r w:rsidR="009459B3">
        <w:rPr>
          <w:i/>
          <w:iCs/>
        </w:rPr>
        <w:t>Workers’ compensation dashboard</w:t>
      </w:r>
      <w:r w:rsidR="009459B3">
        <w:t xml:space="preserve">, </w:t>
      </w:r>
      <w:hyperlink r:id="rId38" w:history="1">
        <w:r w:rsidR="009459B3">
          <w:rPr>
            <w:rStyle w:val="Hyperlink"/>
          </w:rPr>
          <w:t>https://data.safeworkaustralia.gov.au/interactive-data/topic/workers-compensation</w:t>
        </w:r>
      </w:hyperlink>
      <w:r w:rsidR="00862CF3" w:rsidRPr="00C969EA">
        <w:t>.</w:t>
      </w:r>
    </w:p>
  </w:footnote>
  <w:footnote w:id="53">
    <w:p w14:paraId="68C8AA1D" w14:textId="329780D4" w:rsidR="00D6078D" w:rsidRDefault="00D6078D" w:rsidP="008409BC">
      <w:pPr>
        <w:pStyle w:val="FootnoteText"/>
      </w:pPr>
      <w:r>
        <w:rPr>
          <w:rStyle w:val="FootnoteReference"/>
        </w:rPr>
        <w:footnoteRef/>
      </w:r>
      <w:r>
        <w:t xml:space="preserve"> </w:t>
      </w:r>
      <w:r w:rsidR="00862CF3">
        <w:tab/>
      </w:r>
      <w:r>
        <w:t xml:space="preserve">Australian Institute of Health and Welfare (2025), </w:t>
      </w:r>
      <w:r w:rsidRPr="00D76E54">
        <w:rPr>
          <w:i/>
          <w:iCs/>
        </w:rPr>
        <w:t>Injury in Australia: Electricity and air pressure</w:t>
      </w:r>
      <w:r>
        <w:t xml:space="preserve">, </w:t>
      </w:r>
      <w:hyperlink r:id="rId39" w:history="1">
        <w:r w:rsidRPr="008D2ADE">
          <w:rPr>
            <w:rStyle w:val="Hyperlink"/>
          </w:rPr>
          <w:t>https://www.aihw.gov.au/reports/injury/electricity-and-air-pressure</w:t>
        </w:r>
      </w:hyperlink>
      <w:r w:rsidR="00862CF3" w:rsidRPr="00C969EA">
        <w:t>.</w:t>
      </w:r>
    </w:p>
  </w:footnote>
  <w:footnote w:id="54">
    <w:p w14:paraId="1D981E99" w14:textId="74B18BFA" w:rsidR="00A519D0" w:rsidRDefault="00A519D0" w:rsidP="008409BC">
      <w:pPr>
        <w:pStyle w:val="FootnoteText"/>
      </w:pPr>
      <w:r>
        <w:rPr>
          <w:rStyle w:val="FootnoteReference"/>
        </w:rPr>
        <w:footnoteRef/>
      </w:r>
      <w:r>
        <w:t xml:space="preserve"> </w:t>
      </w:r>
      <w:r w:rsidR="00862CF3">
        <w:tab/>
      </w:r>
      <w:r>
        <w:t xml:space="preserve">Safework Australia (2023), </w:t>
      </w:r>
      <w:r>
        <w:rPr>
          <w:i/>
          <w:iCs/>
        </w:rPr>
        <w:t>WHS Profile: Electricians,</w:t>
      </w:r>
      <w:r>
        <w:t xml:space="preserve"> </w:t>
      </w:r>
      <w:hyperlink r:id="rId40" w:history="1">
        <w:r w:rsidRPr="008D2ADE">
          <w:rPr>
            <w:rStyle w:val="Hyperlink"/>
          </w:rPr>
          <w:t>https://data.safeworkaustralia.gov.au/profile/whs-profile-electricians</w:t>
        </w:r>
      </w:hyperlink>
      <w:r w:rsidR="00862CF3" w:rsidRPr="00C969EA">
        <w:t>.</w:t>
      </w:r>
    </w:p>
  </w:footnote>
  <w:footnote w:id="55">
    <w:p w14:paraId="6FDA84BB" w14:textId="76BCB02F" w:rsidR="00A519D0" w:rsidRDefault="00A519D0" w:rsidP="00A519D0">
      <w:pPr>
        <w:pStyle w:val="FootnoteText"/>
      </w:pPr>
      <w:r>
        <w:rPr>
          <w:rStyle w:val="FootnoteReference"/>
        </w:rPr>
        <w:footnoteRef/>
      </w:r>
      <w:r>
        <w:t xml:space="preserve"> </w:t>
      </w:r>
      <w:r w:rsidR="00862CF3">
        <w:tab/>
      </w:r>
      <w:r>
        <w:t>Ibid.</w:t>
      </w:r>
    </w:p>
  </w:footnote>
  <w:footnote w:id="56">
    <w:p w14:paraId="32C8D81E" w14:textId="496A2504" w:rsidR="00A519D0" w:rsidRPr="0050083C" w:rsidRDefault="00A519D0" w:rsidP="008409BC">
      <w:pPr>
        <w:pStyle w:val="FootnoteText"/>
        <w:rPr>
          <w:i/>
          <w:iCs/>
        </w:rPr>
      </w:pPr>
      <w:r>
        <w:rPr>
          <w:rStyle w:val="FootnoteReference"/>
        </w:rPr>
        <w:footnoteRef/>
      </w:r>
      <w:r>
        <w:t xml:space="preserve"> </w:t>
      </w:r>
      <w:r w:rsidR="00862CF3">
        <w:tab/>
      </w:r>
      <w:r>
        <w:t xml:space="preserve">Australian Government Department of Education and Training (2018), </w:t>
      </w:r>
      <w:r w:rsidRPr="0050083C">
        <w:rPr>
          <w:i/>
          <w:iCs/>
        </w:rPr>
        <w:t>Submission to the Select Committee on</w:t>
      </w:r>
      <w:r>
        <w:rPr>
          <w:i/>
          <w:iCs/>
        </w:rPr>
        <w:t xml:space="preserve"> the </w:t>
      </w:r>
      <w:r w:rsidRPr="007310B9">
        <w:rPr>
          <w:i/>
          <w:iCs/>
        </w:rPr>
        <w:t>effect of red tape on Occupational Licensing</w:t>
      </w:r>
      <w:r>
        <w:t xml:space="preserve">, </w:t>
      </w:r>
      <w:hyperlink r:id="rId41" w:history="1">
        <w:r>
          <w:rPr>
            <w:rStyle w:val="Hyperlink"/>
          </w:rPr>
          <w:t>https://www.aph.gov.au/Parliamentary_Business/Committees/Senate/Red_Tape/OccupationalLicensing/Submissions</w:t>
        </w:r>
      </w:hyperlink>
      <w:r w:rsidR="00862CF3" w:rsidRPr="00C969EA">
        <w:t>.</w:t>
      </w:r>
    </w:p>
  </w:footnote>
  <w:footnote w:id="57">
    <w:p w14:paraId="5E17C07A" w14:textId="5C4CD791" w:rsidR="00A519D0" w:rsidRDefault="00A519D0" w:rsidP="008409BC">
      <w:pPr>
        <w:pStyle w:val="FootnoteText"/>
      </w:pPr>
      <w:r>
        <w:rPr>
          <w:rStyle w:val="FootnoteReference"/>
        </w:rPr>
        <w:footnoteRef/>
      </w:r>
      <w:r>
        <w:t xml:space="preserve"> </w:t>
      </w:r>
      <w:r w:rsidR="00862CF3">
        <w:tab/>
      </w:r>
      <w:r>
        <w:t>Australian Government (nd),</w:t>
      </w:r>
      <w:r w:rsidRPr="00AD6BFB">
        <w:t xml:space="preserve"> </w:t>
      </w:r>
      <w:r w:rsidRPr="00AD6BFB">
        <w:rPr>
          <w:i/>
          <w:iCs/>
        </w:rPr>
        <w:t>National Registration and Accreditation Scheme</w:t>
      </w:r>
      <w:r>
        <w:t xml:space="preserve">, </w:t>
      </w:r>
      <w:hyperlink r:id="rId42" w:history="1">
        <w:r>
          <w:rPr>
            <w:rStyle w:val="Hyperlink"/>
          </w:rPr>
          <w:t>https://www.health.gov.au/our-work/national-registration-and-accreditation-scheme</w:t>
        </w:r>
      </w:hyperlink>
      <w:r w:rsidR="00862CF3" w:rsidRPr="00C969EA">
        <w:t>.</w:t>
      </w:r>
    </w:p>
  </w:footnote>
  <w:footnote w:id="58">
    <w:p w14:paraId="503FF065" w14:textId="4313BC2C" w:rsidR="00A519D0" w:rsidRDefault="00A519D0" w:rsidP="008409BC">
      <w:pPr>
        <w:pStyle w:val="FootnoteText"/>
      </w:pPr>
      <w:r>
        <w:rPr>
          <w:rStyle w:val="FootnoteReference"/>
        </w:rPr>
        <w:footnoteRef/>
      </w:r>
      <w:r>
        <w:t xml:space="preserve"> </w:t>
      </w:r>
      <w:r w:rsidR="00862CF3">
        <w:tab/>
      </w:r>
      <w:r>
        <w:t xml:space="preserve">Productivity Commission (2015), </w:t>
      </w:r>
      <w:r w:rsidRPr="00A4622F">
        <w:rPr>
          <w:i/>
          <w:iCs/>
        </w:rPr>
        <w:t>Mutual recognition schemes</w:t>
      </w:r>
      <w:r>
        <w:t xml:space="preserve">, </w:t>
      </w:r>
      <w:hyperlink r:id="rId43" w:history="1">
        <w:r>
          <w:rPr>
            <w:rStyle w:val="Hyperlink"/>
          </w:rPr>
          <w:t>https://www.pc.gov.au/inquiries/completed/mutual-recognition-schemes/report</w:t>
        </w:r>
      </w:hyperlink>
      <w:r w:rsidR="00862CF3" w:rsidRPr="00C969EA">
        <w:t>.</w:t>
      </w:r>
    </w:p>
  </w:footnote>
  <w:footnote w:id="59">
    <w:p w14:paraId="3FF637FF" w14:textId="03993D78" w:rsidR="00A519D0" w:rsidRDefault="00A519D0" w:rsidP="008409BC">
      <w:pPr>
        <w:pStyle w:val="FootnoteText"/>
      </w:pPr>
      <w:r>
        <w:rPr>
          <w:rStyle w:val="FootnoteReference"/>
        </w:rPr>
        <w:footnoteRef/>
      </w:r>
      <w:r>
        <w:t xml:space="preserve"> </w:t>
      </w:r>
      <w:r w:rsidR="00862CF3">
        <w:tab/>
      </w:r>
      <w:r>
        <w:t xml:space="preserve">Department of the Prime Minister and Cabinet (2021), </w:t>
      </w:r>
      <w:r w:rsidRPr="00DF6987">
        <w:rPr>
          <w:i/>
          <w:iCs/>
        </w:rPr>
        <w:t>Improving occupational mobility</w:t>
      </w:r>
      <w:r>
        <w:t xml:space="preserve">, </w:t>
      </w:r>
      <w:hyperlink r:id="rId44" w:history="1">
        <w:r>
          <w:rPr>
            <w:rStyle w:val="Hyperlink"/>
          </w:rPr>
          <w:t>https://www.regulatoryreform.gov.au/sites/default/files/improving-occupational-mobility.pdf</w:t>
        </w:r>
      </w:hyperlink>
      <w:r w:rsidR="00862CF3" w:rsidRPr="00C969EA">
        <w:t>.</w:t>
      </w:r>
    </w:p>
  </w:footnote>
  <w:footnote w:id="60">
    <w:p w14:paraId="63CEFB4A" w14:textId="2F288007" w:rsidR="00A519D0" w:rsidRDefault="00A519D0" w:rsidP="00A519D0">
      <w:pPr>
        <w:pStyle w:val="FootnoteText"/>
      </w:pPr>
      <w:r>
        <w:rPr>
          <w:rStyle w:val="FootnoteReference"/>
        </w:rPr>
        <w:footnoteRef/>
      </w:r>
      <w:r>
        <w:t xml:space="preserve"> </w:t>
      </w:r>
      <w:r w:rsidR="00862CF3">
        <w:tab/>
      </w:r>
      <w:r>
        <w:t>Ibid.</w:t>
      </w:r>
    </w:p>
  </w:footnote>
  <w:footnote w:id="61">
    <w:p w14:paraId="757A4947" w14:textId="3D65BF0A" w:rsidR="00A519D0" w:rsidRDefault="00A519D0" w:rsidP="00A519D0">
      <w:pPr>
        <w:pStyle w:val="FootnoteText"/>
      </w:pPr>
      <w:r>
        <w:rPr>
          <w:rStyle w:val="FootnoteReference"/>
        </w:rPr>
        <w:footnoteRef/>
      </w:r>
      <w:r>
        <w:t xml:space="preserve"> </w:t>
      </w:r>
      <w:r w:rsidR="00862CF3">
        <w:tab/>
      </w:r>
      <w:r>
        <w:t>Australian Government (2023</w:t>
      </w:r>
      <w:r w:rsidRPr="00CF6C91">
        <w:rPr>
          <w:i/>
          <w:iCs/>
        </w:rPr>
        <w:t>), National Recognition of Veterinary Registration</w:t>
      </w:r>
      <w:r>
        <w:rPr>
          <w:i/>
          <w:iCs/>
        </w:rPr>
        <w:t>,</w:t>
      </w:r>
      <w:r w:rsidR="00862CF3">
        <w:rPr>
          <w:i/>
          <w:iCs/>
        </w:rPr>
        <w:t xml:space="preserve"> </w:t>
      </w:r>
      <w:hyperlink r:id="rId45" w:history="1">
        <w:r>
          <w:rPr>
            <w:rStyle w:val="Hyperlink"/>
          </w:rPr>
          <w:t>https://www.agriculture.gov.au/agriculture-land/animal/health/system/vets</w:t>
        </w:r>
      </w:hyperlink>
      <w:r w:rsidR="00862CF3" w:rsidRPr="00C969EA">
        <w:t>.</w:t>
      </w:r>
    </w:p>
  </w:footnote>
  <w:footnote w:id="62">
    <w:p w14:paraId="6F5A192F" w14:textId="0847A2DC" w:rsidR="00A519D0" w:rsidRDefault="00A519D0" w:rsidP="008409BC">
      <w:pPr>
        <w:pStyle w:val="FootnoteText"/>
      </w:pPr>
      <w:r>
        <w:rPr>
          <w:rStyle w:val="FootnoteReference"/>
        </w:rPr>
        <w:footnoteRef/>
      </w:r>
      <w:r>
        <w:t xml:space="preserve"> </w:t>
      </w:r>
      <w:r w:rsidR="00862CF3">
        <w:tab/>
      </w:r>
      <w:r>
        <w:t xml:space="preserve">Productivity Commission (2015), </w:t>
      </w:r>
      <w:r w:rsidRPr="00A4622F">
        <w:rPr>
          <w:i/>
          <w:iCs/>
        </w:rPr>
        <w:t>Mutual recognition schemes</w:t>
      </w:r>
      <w:r>
        <w:t xml:space="preserve">, </w:t>
      </w:r>
      <w:hyperlink r:id="rId46" w:history="1">
        <w:r>
          <w:rPr>
            <w:rStyle w:val="Hyperlink"/>
          </w:rPr>
          <w:t>https://www.pc.gov.au/inquiries/completed/mutual-recognition-schemes/report</w:t>
        </w:r>
      </w:hyperlink>
      <w:r w:rsidR="00862CF3" w:rsidRPr="00C969EA">
        <w:t>.</w:t>
      </w:r>
    </w:p>
  </w:footnote>
  <w:footnote w:id="63">
    <w:p w14:paraId="6E850B98" w14:textId="2E767A16" w:rsidR="00A519D0" w:rsidRDefault="00A519D0" w:rsidP="00A519D0">
      <w:pPr>
        <w:pStyle w:val="FootnoteText"/>
      </w:pPr>
      <w:r>
        <w:rPr>
          <w:rStyle w:val="FootnoteReference"/>
        </w:rPr>
        <w:footnoteRef/>
      </w:r>
      <w:r>
        <w:t xml:space="preserve"> </w:t>
      </w:r>
      <w:r w:rsidR="00862CF3">
        <w:tab/>
      </w:r>
      <w:r>
        <w:t>Ibid.</w:t>
      </w:r>
    </w:p>
  </w:footnote>
  <w:footnote w:id="64">
    <w:p w14:paraId="798C63BE" w14:textId="2A90A4A4" w:rsidR="000D5BEB" w:rsidRPr="000D5BEB" w:rsidRDefault="000D5BEB">
      <w:pPr>
        <w:pStyle w:val="FootnoteText"/>
      </w:pPr>
      <w:r>
        <w:rPr>
          <w:rStyle w:val="FootnoteReference"/>
        </w:rPr>
        <w:footnoteRef/>
      </w:r>
      <w:r>
        <w:t xml:space="preserve"> </w:t>
      </w:r>
      <w:r w:rsidR="00862CF3">
        <w:tab/>
      </w:r>
      <w:r>
        <w:t xml:space="preserve">Australian Veterinary Boards Council (2025), </w:t>
      </w:r>
      <w:r>
        <w:rPr>
          <w:i/>
          <w:iCs/>
        </w:rPr>
        <w:t>About AVBC</w:t>
      </w:r>
      <w:r>
        <w:t xml:space="preserve">, </w:t>
      </w:r>
      <w:hyperlink r:id="rId47" w:history="1">
        <w:r>
          <w:rPr>
            <w:rStyle w:val="Hyperlink"/>
          </w:rPr>
          <w:t>https://avbc.asn.au/about/</w:t>
        </w:r>
      </w:hyperlink>
      <w:r w:rsidR="00862CF3" w:rsidRPr="00C969E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C8F76" w14:textId="221E71EA" w:rsidR="008C660B" w:rsidRDefault="008C660B">
    <w:pPr>
      <w:pStyle w:val="Header"/>
    </w:pPr>
    <w:r>
      <w:rPr>
        <w:noProof/>
      </w:rPr>
      <mc:AlternateContent>
        <mc:Choice Requires="wps">
          <w:drawing>
            <wp:anchor distT="0" distB="0" distL="0" distR="0" simplePos="0" relativeHeight="251658243" behindDoc="0" locked="0" layoutInCell="1" allowOverlap="1" wp14:anchorId="0504E438" wp14:editId="28C7AA04">
              <wp:simplePos x="635" y="635"/>
              <wp:positionH relativeFrom="page">
                <wp:align>center</wp:align>
              </wp:positionH>
              <wp:positionV relativeFrom="page">
                <wp:align>top</wp:align>
              </wp:positionV>
              <wp:extent cx="551815" cy="452755"/>
              <wp:effectExtent l="0" t="0" r="635" b="4445"/>
              <wp:wrapNone/>
              <wp:docPr id="191389717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4A885B6" w14:textId="301E8B2F" w:rsidR="008C660B" w:rsidRPr="008C660B" w:rsidRDefault="008C660B" w:rsidP="008C660B">
                          <w:pPr>
                            <w:spacing w:after="0"/>
                            <w:rPr>
                              <w:rFonts w:ascii="Calibri" w:eastAsia="Calibri" w:hAnsi="Calibri" w:cs="Calibri"/>
                              <w:noProof/>
                              <w:color w:val="FF0000"/>
                              <w:sz w:val="24"/>
                              <w:szCs w:val="24"/>
                            </w:rPr>
                          </w:pPr>
                          <w:r w:rsidRPr="008C660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04E438"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5.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64A885B6" w14:textId="301E8B2F" w:rsidR="008C660B" w:rsidRPr="008C660B" w:rsidRDefault="008C660B" w:rsidP="008C660B">
                    <w:pPr>
                      <w:spacing w:after="0"/>
                      <w:rPr>
                        <w:rFonts w:ascii="Calibri" w:eastAsia="Calibri" w:hAnsi="Calibri" w:cs="Calibri"/>
                        <w:noProof/>
                        <w:color w:val="FF0000"/>
                        <w:sz w:val="24"/>
                        <w:szCs w:val="24"/>
                      </w:rPr>
                    </w:pPr>
                    <w:r w:rsidRPr="008C660B">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4E29A" w14:textId="268FA37B" w:rsidR="008C660B" w:rsidRDefault="008C660B">
    <w:pPr>
      <w:pStyle w:val="Header"/>
    </w:pPr>
    <w:r>
      <w:rPr>
        <w:noProof/>
      </w:rPr>
      <mc:AlternateContent>
        <mc:Choice Requires="wps">
          <w:drawing>
            <wp:anchor distT="0" distB="0" distL="0" distR="0" simplePos="0" relativeHeight="251658242" behindDoc="0" locked="0" layoutInCell="1" allowOverlap="1" wp14:anchorId="6F7F7C00" wp14:editId="057A5950">
              <wp:simplePos x="901700" y="450850"/>
              <wp:positionH relativeFrom="page">
                <wp:align>center</wp:align>
              </wp:positionH>
              <wp:positionV relativeFrom="page">
                <wp:align>top</wp:align>
              </wp:positionV>
              <wp:extent cx="551815" cy="452755"/>
              <wp:effectExtent l="0" t="0" r="635" b="4445"/>
              <wp:wrapNone/>
              <wp:docPr id="204261336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7BD8F8E" w14:textId="6E3934A4" w:rsidR="008C660B" w:rsidRPr="008C660B" w:rsidRDefault="008C660B" w:rsidP="008C660B">
                          <w:pPr>
                            <w:spacing w:after="0"/>
                            <w:rPr>
                              <w:rFonts w:ascii="Calibri" w:eastAsia="Calibri" w:hAnsi="Calibri" w:cs="Calibri"/>
                              <w:noProof/>
                              <w:color w:val="FF0000"/>
                              <w:sz w:val="24"/>
                              <w:szCs w:val="24"/>
                            </w:rPr>
                          </w:pPr>
                          <w:r w:rsidRPr="008C660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7F7C00" id="_x0000_t202" coordsize="21600,21600" o:spt="202" path="m,l,21600r21600,l21600,xe">
              <v:stroke joinstyle="miter"/>
              <v:path gradientshapeok="t" o:connecttype="rect"/>
            </v:shapetype>
            <v:shape id="Text Box 1" o:spid="_x0000_s1028" type="#_x0000_t202" alt="OFFICIAL" style="position:absolute;left:0;text-align:left;margin-left:0;margin-top:0;width:43.45pt;height:35.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wtDg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U1nU/d76A54VAOxn17y9cdlt4wH56ZwwXjHCja&#10;8ISHVNDXFM4WJS24H3/zx3zkHaOU9CiYmhpUNCXqm8F9RG0lo7jNyxxvbnLvJsMc9D2gDAt8EZYn&#10;M+YFNZnSgX5FOa9iIQwxw7FcTcNk3odRufgcuFitUhLKyLKwMVvLI3SkK3L5MrwyZ8+EB9zUI0xq&#10;YtUb3sfc+Ke3q0NA9tNSIrUjkWfGUYJprefnEjX+6z1lXR/18ic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BbkzwtDgIAABwE&#10;AAAOAAAAAAAAAAAAAAAAAC4CAABkcnMvZTJvRG9jLnhtbFBLAQItABQABgAIAAAAIQAMXgIO2gAA&#10;AAMBAAAPAAAAAAAAAAAAAAAAAGgEAABkcnMvZG93bnJldi54bWxQSwUGAAAAAAQABADzAAAAbwUA&#10;AAAA&#10;" filled="f" stroked="f">
              <v:textbox style="mso-fit-shape-to-text:t" inset="0,15pt,0,0">
                <w:txbxContent>
                  <w:p w14:paraId="67BD8F8E" w14:textId="6E3934A4" w:rsidR="008C660B" w:rsidRPr="008C660B" w:rsidRDefault="008C660B" w:rsidP="008C660B">
                    <w:pPr>
                      <w:spacing w:after="0"/>
                      <w:rPr>
                        <w:rFonts w:ascii="Calibri" w:eastAsia="Calibri" w:hAnsi="Calibri" w:cs="Calibri"/>
                        <w:noProof/>
                        <w:color w:val="FF0000"/>
                        <w:sz w:val="24"/>
                        <w:szCs w:val="24"/>
                      </w:rPr>
                    </w:pPr>
                    <w:r w:rsidRPr="008C660B">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4D5AA" w14:textId="5C4F7DD6" w:rsidR="003F00AC" w:rsidRPr="00AC75E2" w:rsidRDefault="003F00AC" w:rsidP="00AC75E2">
    <w:pPr>
      <w:pStyle w:val="HeaderEven"/>
    </w:pPr>
    <w:r>
      <w:rPr>
        <w:noProof/>
      </w:rPr>
      <w:drawing>
        <wp:anchor distT="0" distB="0" distL="114300" distR="114300" simplePos="0" relativeHeight="251658241" behindDoc="1" locked="1" layoutInCell="1" allowOverlap="1" wp14:anchorId="6825BFFC" wp14:editId="5F5A7DC9">
          <wp:simplePos x="0" y="0"/>
          <wp:positionH relativeFrom="page">
            <wp:align>left</wp:align>
          </wp:positionH>
          <wp:positionV relativeFrom="page">
            <wp:align>top</wp:align>
          </wp:positionV>
          <wp:extent cx="7570800" cy="936000"/>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24980" w14:textId="1EB8AA40" w:rsidR="003F00AC" w:rsidRPr="00F60198" w:rsidRDefault="003F00AC" w:rsidP="00A12F62">
    <w:pPr>
      <w:pStyle w:val="HeaderOdd"/>
    </w:pPr>
    <w:r>
      <w:rPr>
        <w:noProof/>
      </w:rPr>
      <w:drawing>
        <wp:anchor distT="0" distB="0" distL="114300" distR="114300" simplePos="0" relativeHeight="251658240" behindDoc="1" locked="1" layoutInCell="1" allowOverlap="1" wp14:anchorId="7AAAA89C" wp14:editId="3F0E909D">
          <wp:simplePos x="0" y="0"/>
          <wp:positionH relativeFrom="page">
            <wp:align>left</wp:align>
          </wp:positionH>
          <wp:positionV relativeFrom="page">
            <wp:align>top</wp:align>
          </wp:positionV>
          <wp:extent cx="7570800" cy="93600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482D9" w14:textId="6661CB9F" w:rsidR="003F00AC" w:rsidRPr="00095D88" w:rsidRDefault="008C660B" w:rsidP="00095D88">
    <w:pPr>
      <w:pStyle w:val="Header"/>
    </w:pPr>
    <w:r>
      <w:rPr>
        <w:noProof/>
      </w:rPr>
      <mc:AlternateContent>
        <mc:Choice Requires="wps">
          <w:drawing>
            <wp:anchor distT="0" distB="0" distL="0" distR="0" simplePos="0" relativeHeight="251658244" behindDoc="0" locked="0" layoutInCell="1" allowOverlap="1" wp14:anchorId="50CD804E" wp14:editId="5631345C">
              <wp:simplePos x="635" y="635"/>
              <wp:positionH relativeFrom="page">
                <wp:align>center</wp:align>
              </wp:positionH>
              <wp:positionV relativeFrom="page">
                <wp:align>top</wp:align>
              </wp:positionV>
              <wp:extent cx="551815" cy="452755"/>
              <wp:effectExtent l="0" t="0" r="635" b="4445"/>
              <wp:wrapNone/>
              <wp:docPr id="378792906"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55D0FF0" w14:textId="5E393078" w:rsidR="008C660B" w:rsidRPr="008C660B" w:rsidRDefault="008C660B" w:rsidP="008C660B">
                          <w:pPr>
                            <w:spacing w:after="0"/>
                            <w:rPr>
                              <w:rFonts w:ascii="Calibri" w:eastAsia="Calibri" w:hAnsi="Calibri" w:cs="Calibri"/>
                              <w:noProof/>
                              <w:color w:val="FF0000"/>
                              <w:sz w:val="24"/>
                              <w:szCs w:val="24"/>
                            </w:rPr>
                          </w:pPr>
                          <w:r w:rsidRPr="008C660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CD804E" id="_x0000_t202" coordsize="21600,21600" o:spt="202" path="m,l,21600r21600,l21600,xe">
              <v:stroke joinstyle="miter"/>
              <v:path gradientshapeok="t" o:connecttype="rect"/>
            </v:shapetype>
            <v:shape id="Text Box 10" o:spid="_x0000_s1030" type="#_x0000_t202" alt="OFFICIAL" style="position:absolute;left:0;text-align:left;margin-left:0;margin-top:0;width:43.45pt;height:35.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Og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VYfOp+B80Jh3Iw7ttbvu6w9Ib58MwcLhjnQNGG&#10;Jzykgr6mcLYoacH9+Js/5iPvGKWkR8HU1KCiKVHfDO4jaisZxW1e5nhzk3s3Geag7wFlWOCLsDyZ&#10;MS+oyZQO9CvKeRULYYgZjuVqGibzPozKxefAxWqVklBGloWN2VoeoSNdkcuX4ZU5eyY84KYeYVIT&#10;q97wPubGP71dHQKyn5YSqR2JPDOOEkxrPT+XqPFf7ynr+qiXPwE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DUQk6ANAgAAHAQA&#10;AA4AAAAAAAAAAAAAAAAALgIAAGRycy9lMm9Eb2MueG1sUEsBAi0AFAAGAAgAAAAhAAxeAg7aAAAA&#10;AwEAAA8AAAAAAAAAAAAAAAAAZwQAAGRycy9kb3ducmV2LnhtbFBLBQYAAAAABAAEAPMAAABuBQAA&#10;AAA=&#10;" filled="f" stroked="f">
              <v:textbox style="mso-fit-shape-to-text:t" inset="0,15pt,0,0">
                <w:txbxContent>
                  <w:p w14:paraId="055D0FF0" w14:textId="5E393078" w:rsidR="008C660B" w:rsidRPr="008C660B" w:rsidRDefault="008C660B" w:rsidP="008C660B">
                    <w:pPr>
                      <w:spacing w:after="0"/>
                      <w:rPr>
                        <w:rFonts w:ascii="Calibri" w:eastAsia="Calibri" w:hAnsi="Calibri" w:cs="Calibri"/>
                        <w:noProof/>
                        <w:color w:val="FF0000"/>
                        <w:sz w:val="24"/>
                        <w:szCs w:val="24"/>
                      </w:rPr>
                    </w:pPr>
                    <w:r w:rsidRPr="008C660B">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053394"/>
    <w:multiLevelType w:val="hybridMultilevel"/>
    <w:tmpl w:val="04F47A4E"/>
    <w:lvl w:ilvl="0" w:tplc="8520A468">
      <w:start w:val="1"/>
      <w:numFmt w:val="bullet"/>
      <w:lvlText w:val=""/>
      <w:lvlJc w:val="left"/>
      <w:pPr>
        <w:ind w:left="720" w:hanging="360"/>
      </w:pPr>
      <w:rPr>
        <w:rFonts w:ascii="Symbol" w:hAnsi="Symbol"/>
      </w:rPr>
    </w:lvl>
    <w:lvl w:ilvl="1" w:tplc="D296476C">
      <w:start w:val="1"/>
      <w:numFmt w:val="bullet"/>
      <w:lvlText w:val=""/>
      <w:lvlJc w:val="left"/>
      <w:pPr>
        <w:ind w:left="720" w:hanging="360"/>
      </w:pPr>
      <w:rPr>
        <w:rFonts w:ascii="Symbol" w:hAnsi="Symbol"/>
      </w:rPr>
    </w:lvl>
    <w:lvl w:ilvl="2" w:tplc="65C0F782">
      <w:start w:val="1"/>
      <w:numFmt w:val="bullet"/>
      <w:lvlText w:val=""/>
      <w:lvlJc w:val="left"/>
      <w:pPr>
        <w:ind w:left="720" w:hanging="360"/>
      </w:pPr>
      <w:rPr>
        <w:rFonts w:ascii="Symbol" w:hAnsi="Symbol"/>
      </w:rPr>
    </w:lvl>
    <w:lvl w:ilvl="3" w:tplc="0044874E">
      <w:start w:val="1"/>
      <w:numFmt w:val="bullet"/>
      <w:lvlText w:val=""/>
      <w:lvlJc w:val="left"/>
      <w:pPr>
        <w:ind w:left="720" w:hanging="360"/>
      </w:pPr>
      <w:rPr>
        <w:rFonts w:ascii="Symbol" w:hAnsi="Symbol"/>
      </w:rPr>
    </w:lvl>
    <w:lvl w:ilvl="4" w:tplc="2F88D6A6">
      <w:start w:val="1"/>
      <w:numFmt w:val="bullet"/>
      <w:lvlText w:val=""/>
      <w:lvlJc w:val="left"/>
      <w:pPr>
        <w:ind w:left="720" w:hanging="360"/>
      </w:pPr>
      <w:rPr>
        <w:rFonts w:ascii="Symbol" w:hAnsi="Symbol"/>
      </w:rPr>
    </w:lvl>
    <w:lvl w:ilvl="5" w:tplc="4E6634AA">
      <w:start w:val="1"/>
      <w:numFmt w:val="bullet"/>
      <w:lvlText w:val=""/>
      <w:lvlJc w:val="left"/>
      <w:pPr>
        <w:ind w:left="720" w:hanging="360"/>
      </w:pPr>
      <w:rPr>
        <w:rFonts w:ascii="Symbol" w:hAnsi="Symbol"/>
      </w:rPr>
    </w:lvl>
    <w:lvl w:ilvl="6" w:tplc="DA9E9A16">
      <w:start w:val="1"/>
      <w:numFmt w:val="bullet"/>
      <w:lvlText w:val=""/>
      <w:lvlJc w:val="left"/>
      <w:pPr>
        <w:ind w:left="720" w:hanging="360"/>
      </w:pPr>
      <w:rPr>
        <w:rFonts w:ascii="Symbol" w:hAnsi="Symbol"/>
      </w:rPr>
    </w:lvl>
    <w:lvl w:ilvl="7" w:tplc="BA56F1A4">
      <w:start w:val="1"/>
      <w:numFmt w:val="bullet"/>
      <w:lvlText w:val=""/>
      <w:lvlJc w:val="left"/>
      <w:pPr>
        <w:ind w:left="720" w:hanging="360"/>
      </w:pPr>
      <w:rPr>
        <w:rFonts w:ascii="Symbol" w:hAnsi="Symbol"/>
      </w:rPr>
    </w:lvl>
    <w:lvl w:ilvl="8" w:tplc="E52C875E">
      <w:start w:val="1"/>
      <w:numFmt w:val="bullet"/>
      <w:lvlText w:val=""/>
      <w:lvlJc w:val="left"/>
      <w:pPr>
        <w:ind w:left="720" w:hanging="360"/>
      </w:pPr>
      <w:rPr>
        <w:rFonts w:ascii="Symbol" w:hAnsi="Symbol"/>
      </w:rPr>
    </w:lvl>
  </w:abstractNum>
  <w:abstractNum w:abstractNumId="3" w15:restartNumberingAfterBreak="0">
    <w:nsid w:val="0DA51728"/>
    <w:multiLevelType w:val="hybridMultilevel"/>
    <w:tmpl w:val="21A63B1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5C0D7D"/>
    <w:multiLevelType w:val="hybridMultilevel"/>
    <w:tmpl w:val="3D040EDA"/>
    <w:lvl w:ilvl="0" w:tplc="2D2C59BC">
      <w:start w:val="1"/>
      <w:numFmt w:val="bullet"/>
      <w:lvlText w:val=""/>
      <w:lvlJc w:val="left"/>
      <w:pPr>
        <w:ind w:left="1020" w:hanging="360"/>
      </w:pPr>
      <w:rPr>
        <w:rFonts w:ascii="Symbol" w:hAnsi="Symbol"/>
      </w:rPr>
    </w:lvl>
    <w:lvl w:ilvl="1" w:tplc="FB4405B0">
      <w:start w:val="1"/>
      <w:numFmt w:val="bullet"/>
      <w:lvlText w:val=""/>
      <w:lvlJc w:val="left"/>
      <w:pPr>
        <w:ind w:left="1020" w:hanging="360"/>
      </w:pPr>
      <w:rPr>
        <w:rFonts w:ascii="Symbol" w:hAnsi="Symbol"/>
      </w:rPr>
    </w:lvl>
    <w:lvl w:ilvl="2" w:tplc="B3B84F3C">
      <w:start w:val="1"/>
      <w:numFmt w:val="bullet"/>
      <w:lvlText w:val=""/>
      <w:lvlJc w:val="left"/>
      <w:pPr>
        <w:ind w:left="1020" w:hanging="360"/>
      </w:pPr>
      <w:rPr>
        <w:rFonts w:ascii="Symbol" w:hAnsi="Symbol"/>
      </w:rPr>
    </w:lvl>
    <w:lvl w:ilvl="3" w:tplc="022A541C">
      <w:start w:val="1"/>
      <w:numFmt w:val="bullet"/>
      <w:lvlText w:val=""/>
      <w:lvlJc w:val="left"/>
      <w:pPr>
        <w:ind w:left="1020" w:hanging="360"/>
      </w:pPr>
      <w:rPr>
        <w:rFonts w:ascii="Symbol" w:hAnsi="Symbol"/>
      </w:rPr>
    </w:lvl>
    <w:lvl w:ilvl="4" w:tplc="35B8440E">
      <w:start w:val="1"/>
      <w:numFmt w:val="bullet"/>
      <w:lvlText w:val=""/>
      <w:lvlJc w:val="left"/>
      <w:pPr>
        <w:ind w:left="1020" w:hanging="360"/>
      </w:pPr>
      <w:rPr>
        <w:rFonts w:ascii="Symbol" w:hAnsi="Symbol"/>
      </w:rPr>
    </w:lvl>
    <w:lvl w:ilvl="5" w:tplc="3490CA24">
      <w:start w:val="1"/>
      <w:numFmt w:val="bullet"/>
      <w:lvlText w:val=""/>
      <w:lvlJc w:val="left"/>
      <w:pPr>
        <w:ind w:left="1020" w:hanging="360"/>
      </w:pPr>
      <w:rPr>
        <w:rFonts w:ascii="Symbol" w:hAnsi="Symbol"/>
      </w:rPr>
    </w:lvl>
    <w:lvl w:ilvl="6" w:tplc="412A4B84">
      <w:start w:val="1"/>
      <w:numFmt w:val="bullet"/>
      <w:lvlText w:val=""/>
      <w:lvlJc w:val="left"/>
      <w:pPr>
        <w:ind w:left="1020" w:hanging="360"/>
      </w:pPr>
      <w:rPr>
        <w:rFonts w:ascii="Symbol" w:hAnsi="Symbol"/>
      </w:rPr>
    </w:lvl>
    <w:lvl w:ilvl="7" w:tplc="5D84EDC4">
      <w:start w:val="1"/>
      <w:numFmt w:val="bullet"/>
      <w:lvlText w:val=""/>
      <w:lvlJc w:val="left"/>
      <w:pPr>
        <w:ind w:left="1020" w:hanging="360"/>
      </w:pPr>
      <w:rPr>
        <w:rFonts w:ascii="Symbol" w:hAnsi="Symbol"/>
      </w:rPr>
    </w:lvl>
    <w:lvl w:ilvl="8" w:tplc="0CC67BDA">
      <w:start w:val="1"/>
      <w:numFmt w:val="bullet"/>
      <w:lvlText w:val=""/>
      <w:lvlJc w:val="left"/>
      <w:pPr>
        <w:ind w:left="1020" w:hanging="360"/>
      </w:pPr>
      <w:rPr>
        <w:rFonts w:ascii="Symbol" w:hAnsi="Symbol"/>
      </w:rPr>
    </w:lvl>
  </w:abstractNum>
  <w:abstractNum w:abstractNumId="5"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A0053A"/>
    <w:multiLevelType w:val="hybridMultilevel"/>
    <w:tmpl w:val="470E329E"/>
    <w:lvl w:ilvl="0" w:tplc="41BC55BC">
      <w:start w:val="1"/>
      <w:numFmt w:val="bullet"/>
      <w:lvlText w:val=""/>
      <w:lvlJc w:val="left"/>
      <w:pPr>
        <w:ind w:left="2160" w:hanging="360"/>
      </w:pPr>
      <w:rPr>
        <w:rFonts w:ascii="Symbol" w:hAnsi="Symbol"/>
      </w:rPr>
    </w:lvl>
    <w:lvl w:ilvl="1" w:tplc="767CFEA2">
      <w:start w:val="1"/>
      <w:numFmt w:val="bullet"/>
      <w:lvlText w:val=""/>
      <w:lvlJc w:val="left"/>
      <w:pPr>
        <w:ind w:left="2160" w:hanging="360"/>
      </w:pPr>
      <w:rPr>
        <w:rFonts w:ascii="Symbol" w:hAnsi="Symbol"/>
      </w:rPr>
    </w:lvl>
    <w:lvl w:ilvl="2" w:tplc="1BACD730">
      <w:start w:val="1"/>
      <w:numFmt w:val="bullet"/>
      <w:lvlText w:val=""/>
      <w:lvlJc w:val="left"/>
      <w:pPr>
        <w:ind w:left="2160" w:hanging="360"/>
      </w:pPr>
      <w:rPr>
        <w:rFonts w:ascii="Symbol" w:hAnsi="Symbol"/>
      </w:rPr>
    </w:lvl>
    <w:lvl w:ilvl="3" w:tplc="F1B8A354">
      <w:start w:val="1"/>
      <w:numFmt w:val="bullet"/>
      <w:lvlText w:val=""/>
      <w:lvlJc w:val="left"/>
      <w:pPr>
        <w:ind w:left="2160" w:hanging="360"/>
      </w:pPr>
      <w:rPr>
        <w:rFonts w:ascii="Symbol" w:hAnsi="Symbol"/>
      </w:rPr>
    </w:lvl>
    <w:lvl w:ilvl="4" w:tplc="457627B4">
      <w:start w:val="1"/>
      <w:numFmt w:val="bullet"/>
      <w:lvlText w:val=""/>
      <w:lvlJc w:val="left"/>
      <w:pPr>
        <w:ind w:left="2160" w:hanging="360"/>
      </w:pPr>
      <w:rPr>
        <w:rFonts w:ascii="Symbol" w:hAnsi="Symbol"/>
      </w:rPr>
    </w:lvl>
    <w:lvl w:ilvl="5" w:tplc="9848915E">
      <w:start w:val="1"/>
      <w:numFmt w:val="bullet"/>
      <w:lvlText w:val=""/>
      <w:lvlJc w:val="left"/>
      <w:pPr>
        <w:ind w:left="2160" w:hanging="360"/>
      </w:pPr>
      <w:rPr>
        <w:rFonts w:ascii="Symbol" w:hAnsi="Symbol"/>
      </w:rPr>
    </w:lvl>
    <w:lvl w:ilvl="6" w:tplc="695A125E">
      <w:start w:val="1"/>
      <w:numFmt w:val="bullet"/>
      <w:lvlText w:val=""/>
      <w:lvlJc w:val="left"/>
      <w:pPr>
        <w:ind w:left="2160" w:hanging="360"/>
      </w:pPr>
      <w:rPr>
        <w:rFonts w:ascii="Symbol" w:hAnsi="Symbol"/>
      </w:rPr>
    </w:lvl>
    <w:lvl w:ilvl="7" w:tplc="FBB84CF2">
      <w:start w:val="1"/>
      <w:numFmt w:val="bullet"/>
      <w:lvlText w:val=""/>
      <w:lvlJc w:val="left"/>
      <w:pPr>
        <w:ind w:left="2160" w:hanging="360"/>
      </w:pPr>
      <w:rPr>
        <w:rFonts w:ascii="Symbol" w:hAnsi="Symbol"/>
      </w:rPr>
    </w:lvl>
    <w:lvl w:ilvl="8" w:tplc="68A61BC6">
      <w:start w:val="1"/>
      <w:numFmt w:val="bullet"/>
      <w:lvlText w:val=""/>
      <w:lvlJc w:val="left"/>
      <w:pPr>
        <w:ind w:left="2160" w:hanging="360"/>
      </w:pPr>
      <w:rPr>
        <w:rFonts w:ascii="Symbol" w:hAnsi="Symbol"/>
      </w:rPr>
    </w:lvl>
  </w:abstractNum>
  <w:abstractNum w:abstractNumId="7"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8" w15:restartNumberingAfterBreak="0">
    <w:nsid w:val="16CC4E5D"/>
    <w:multiLevelType w:val="multilevel"/>
    <w:tmpl w:val="D10E9CF6"/>
    <w:numStyleLink w:val="OneLevelList"/>
  </w:abstractNum>
  <w:abstractNum w:abstractNumId="9"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1B0CBE"/>
    <w:multiLevelType w:val="hybridMultilevel"/>
    <w:tmpl w:val="ECC24D5A"/>
    <w:lvl w:ilvl="0" w:tplc="C6346B7A">
      <w:start w:val="1"/>
      <w:numFmt w:val="bullet"/>
      <w:lvlText w:val=""/>
      <w:lvlJc w:val="left"/>
      <w:pPr>
        <w:ind w:left="1020" w:hanging="360"/>
      </w:pPr>
      <w:rPr>
        <w:rFonts w:ascii="Symbol" w:hAnsi="Symbol"/>
      </w:rPr>
    </w:lvl>
    <w:lvl w:ilvl="1" w:tplc="92FE8BB4">
      <w:start w:val="1"/>
      <w:numFmt w:val="bullet"/>
      <w:lvlText w:val=""/>
      <w:lvlJc w:val="left"/>
      <w:pPr>
        <w:ind w:left="1020" w:hanging="360"/>
      </w:pPr>
      <w:rPr>
        <w:rFonts w:ascii="Symbol" w:hAnsi="Symbol"/>
      </w:rPr>
    </w:lvl>
    <w:lvl w:ilvl="2" w:tplc="DEB0AAE8">
      <w:start w:val="1"/>
      <w:numFmt w:val="bullet"/>
      <w:lvlText w:val=""/>
      <w:lvlJc w:val="left"/>
      <w:pPr>
        <w:ind w:left="1020" w:hanging="360"/>
      </w:pPr>
      <w:rPr>
        <w:rFonts w:ascii="Symbol" w:hAnsi="Symbol"/>
      </w:rPr>
    </w:lvl>
    <w:lvl w:ilvl="3" w:tplc="F25C69F2">
      <w:start w:val="1"/>
      <w:numFmt w:val="bullet"/>
      <w:lvlText w:val=""/>
      <w:lvlJc w:val="left"/>
      <w:pPr>
        <w:ind w:left="1020" w:hanging="360"/>
      </w:pPr>
      <w:rPr>
        <w:rFonts w:ascii="Symbol" w:hAnsi="Symbol"/>
      </w:rPr>
    </w:lvl>
    <w:lvl w:ilvl="4" w:tplc="DE18BA82">
      <w:start w:val="1"/>
      <w:numFmt w:val="bullet"/>
      <w:lvlText w:val=""/>
      <w:lvlJc w:val="left"/>
      <w:pPr>
        <w:ind w:left="1020" w:hanging="360"/>
      </w:pPr>
      <w:rPr>
        <w:rFonts w:ascii="Symbol" w:hAnsi="Symbol"/>
      </w:rPr>
    </w:lvl>
    <w:lvl w:ilvl="5" w:tplc="85385526">
      <w:start w:val="1"/>
      <w:numFmt w:val="bullet"/>
      <w:lvlText w:val=""/>
      <w:lvlJc w:val="left"/>
      <w:pPr>
        <w:ind w:left="1020" w:hanging="360"/>
      </w:pPr>
      <w:rPr>
        <w:rFonts w:ascii="Symbol" w:hAnsi="Symbol"/>
      </w:rPr>
    </w:lvl>
    <w:lvl w:ilvl="6" w:tplc="243C6BB4">
      <w:start w:val="1"/>
      <w:numFmt w:val="bullet"/>
      <w:lvlText w:val=""/>
      <w:lvlJc w:val="left"/>
      <w:pPr>
        <w:ind w:left="1020" w:hanging="360"/>
      </w:pPr>
      <w:rPr>
        <w:rFonts w:ascii="Symbol" w:hAnsi="Symbol"/>
      </w:rPr>
    </w:lvl>
    <w:lvl w:ilvl="7" w:tplc="420E768E">
      <w:start w:val="1"/>
      <w:numFmt w:val="bullet"/>
      <w:lvlText w:val=""/>
      <w:lvlJc w:val="left"/>
      <w:pPr>
        <w:ind w:left="1020" w:hanging="360"/>
      </w:pPr>
      <w:rPr>
        <w:rFonts w:ascii="Symbol" w:hAnsi="Symbol"/>
      </w:rPr>
    </w:lvl>
    <w:lvl w:ilvl="8" w:tplc="83D29096">
      <w:start w:val="1"/>
      <w:numFmt w:val="bullet"/>
      <w:lvlText w:val=""/>
      <w:lvlJc w:val="left"/>
      <w:pPr>
        <w:ind w:left="1020" w:hanging="360"/>
      </w:pPr>
      <w:rPr>
        <w:rFonts w:ascii="Symbol" w:hAnsi="Symbol"/>
      </w:rPr>
    </w:lvl>
  </w:abstractNum>
  <w:abstractNum w:abstractNumId="11" w15:restartNumberingAfterBreak="0">
    <w:nsid w:val="1D712FF7"/>
    <w:multiLevelType w:val="hybridMultilevel"/>
    <w:tmpl w:val="80D00DD0"/>
    <w:lvl w:ilvl="0" w:tplc="23BC444C">
      <w:start w:val="1"/>
      <w:numFmt w:val="bullet"/>
      <w:lvlText w:val=""/>
      <w:lvlJc w:val="left"/>
      <w:pPr>
        <w:ind w:left="720" w:hanging="360"/>
      </w:pPr>
      <w:rPr>
        <w:rFonts w:ascii="Symbol" w:hAnsi="Symbol"/>
      </w:rPr>
    </w:lvl>
    <w:lvl w:ilvl="1" w:tplc="A5564026">
      <w:start w:val="1"/>
      <w:numFmt w:val="bullet"/>
      <w:lvlText w:val=""/>
      <w:lvlJc w:val="left"/>
      <w:pPr>
        <w:ind w:left="720" w:hanging="360"/>
      </w:pPr>
      <w:rPr>
        <w:rFonts w:ascii="Symbol" w:hAnsi="Symbol"/>
      </w:rPr>
    </w:lvl>
    <w:lvl w:ilvl="2" w:tplc="6284C734">
      <w:start w:val="1"/>
      <w:numFmt w:val="bullet"/>
      <w:lvlText w:val=""/>
      <w:lvlJc w:val="left"/>
      <w:pPr>
        <w:ind w:left="720" w:hanging="360"/>
      </w:pPr>
      <w:rPr>
        <w:rFonts w:ascii="Symbol" w:hAnsi="Symbol"/>
      </w:rPr>
    </w:lvl>
    <w:lvl w:ilvl="3" w:tplc="997E1F00">
      <w:start w:val="1"/>
      <w:numFmt w:val="bullet"/>
      <w:lvlText w:val=""/>
      <w:lvlJc w:val="left"/>
      <w:pPr>
        <w:ind w:left="720" w:hanging="360"/>
      </w:pPr>
      <w:rPr>
        <w:rFonts w:ascii="Symbol" w:hAnsi="Symbol"/>
      </w:rPr>
    </w:lvl>
    <w:lvl w:ilvl="4" w:tplc="B63CD052">
      <w:start w:val="1"/>
      <w:numFmt w:val="bullet"/>
      <w:lvlText w:val=""/>
      <w:lvlJc w:val="left"/>
      <w:pPr>
        <w:ind w:left="720" w:hanging="360"/>
      </w:pPr>
      <w:rPr>
        <w:rFonts w:ascii="Symbol" w:hAnsi="Symbol"/>
      </w:rPr>
    </w:lvl>
    <w:lvl w:ilvl="5" w:tplc="6E4A8A90">
      <w:start w:val="1"/>
      <w:numFmt w:val="bullet"/>
      <w:lvlText w:val=""/>
      <w:lvlJc w:val="left"/>
      <w:pPr>
        <w:ind w:left="720" w:hanging="360"/>
      </w:pPr>
      <w:rPr>
        <w:rFonts w:ascii="Symbol" w:hAnsi="Symbol"/>
      </w:rPr>
    </w:lvl>
    <w:lvl w:ilvl="6" w:tplc="3378EE08">
      <w:start w:val="1"/>
      <w:numFmt w:val="bullet"/>
      <w:lvlText w:val=""/>
      <w:lvlJc w:val="left"/>
      <w:pPr>
        <w:ind w:left="720" w:hanging="360"/>
      </w:pPr>
      <w:rPr>
        <w:rFonts w:ascii="Symbol" w:hAnsi="Symbol"/>
      </w:rPr>
    </w:lvl>
    <w:lvl w:ilvl="7" w:tplc="4762F558">
      <w:start w:val="1"/>
      <w:numFmt w:val="bullet"/>
      <w:lvlText w:val=""/>
      <w:lvlJc w:val="left"/>
      <w:pPr>
        <w:ind w:left="720" w:hanging="360"/>
      </w:pPr>
      <w:rPr>
        <w:rFonts w:ascii="Symbol" w:hAnsi="Symbol"/>
      </w:rPr>
    </w:lvl>
    <w:lvl w:ilvl="8" w:tplc="D23A8620">
      <w:start w:val="1"/>
      <w:numFmt w:val="bullet"/>
      <w:lvlText w:val=""/>
      <w:lvlJc w:val="left"/>
      <w:pPr>
        <w:ind w:left="720" w:hanging="360"/>
      </w:pPr>
      <w:rPr>
        <w:rFonts w:ascii="Symbol" w:hAnsi="Symbol"/>
      </w:rPr>
    </w:lvl>
  </w:abstractNum>
  <w:abstractNum w:abstractNumId="12" w15:restartNumberingAfterBreak="0">
    <w:nsid w:val="21771019"/>
    <w:multiLevelType w:val="hybridMultilevel"/>
    <w:tmpl w:val="573E4D5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262B6791"/>
    <w:multiLevelType w:val="hybridMultilevel"/>
    <w:tmpl w:val="831C28B4"/>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6C374F"/>
    <w:multiLevelType w:val="hybridMultilevel"/>
    <w:tmpl w:val="B8CCE54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7"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8C244CE"/>
    <w:multiLevelType w:val="hybridMultilevel"/>
    <w:tmpl w:val="C12C51D0"/>
    <w:lvl w:ilvl="0" w:tplc="23B8B692">
      <w:start w:val="1"/>
      <w:numFmt w:val="bullet"/>
      <w:lvlText w:val=""/>
      <w:lvlJc w:val="left"/>
      <w:pPr>
        <w:ind w:left="1020" w:hanging="360"/>
      </w:pPr>
      <w:rPr>
        <w:rFonts w:ascii="Symbol" w:hAnsi="Symbol"/>
      </w:rPr>
    </w:lvl>
    <w:lvl w:ilvl="1" w:tplc="6C9AD8F8">
      <w:start w:val="1"/>
      <w:numFmt w:val="bullet"/>
      <w:lvlText w:val=""/>
      <w:lvlJc w:val="left"/>
      <w:pPr>
        <w:ind w:left="1020" w:hanging="360"/>
      </w:pPr>
      <w:rPr>
        <w:rFonts w:ascii="Symbol" w:hAnsi="Symbol"/>
      </w:rPr>
    </w:lvl>
    <w:lvl w:ilvl="2" w:tplc="1DC0CE68">
      <w:start w:val="1"/>
      <w:numFmt w:val="bullet"/>
      <w:lvlText w:val=""/>
      <w:lvlJc w:val="left"/>
      <w:pPr>
        <w:ind w:left="1020" w:hanging="360"/>
      </w:pPr>
      <w:rPr>
        <w:rFonts w:ascii="Symbol" w:hAnsi="Symbol"/>
      </w:rPr>
    </w:lvl>
    <w:lvl w:ilvl="3" w:tplc="FBCC7182">
      <w:start w:val="1"/>
      <w:numFmt w:val="bullet"/>
      <w:lvlText w:val=""/>
      <w:lvlJc w:val="left"/>
      <w:pPr>
        <w:ind w:left="1020" w:hanging="360"/>
      </w:pPr>
      <w:rPr>
        <w:rFonts w:ascii="Symbol" w:hAnsi="Symbol"/>
      </w:rPr>
    </w:lvl>
    <w:lvl w:ilvl="4" w:tplc="1EBA3270">
      <w:start w:val="1"/>
      <w:numFmt w:val="bullet"/>
      <w:lvlText w:val=""/>
      <w:lvlJc w:val="left"/>
      <w:pPr>
        <w:ind w:left="1020" w:hanging="360"/>
      </w:pPr>
      <w:rPr>
        <w:rFonts w:ascii="Symbol" w:hAnsi="Symbol"/>
      </w:rPr>
    </w:lvl>
    <w:lvl w:ilvl="5" w:tplc="680C1DE6">
      <w:start w:val="1"/>
      <w:numFmt w:val="bullet"/>
      <w:lvlText w:val=""/>
      <w:lvlJc w:val="left"/>
      <w:pPr>
        <w:ind w:left="1020" w:hanging="360"/>
      </w:pPr>
      <w:rPr>
        <w:rFonts w:ascii="Symbol" w:hAnsi="Symbol"/>
      </w:rPr>
    </w:lvl>
    <w:lvl w:ilvl="6" w:tplc="64D24140">
      <w:start w:val="1"/>
      <w:numFmt w:val="bullet"/>
      <w:lvlText w:val=""/>
      <w:lvlJc w:val="left"/>
      <w:pPr>
        <w:ind w:left="1020" w:hanging="360"/>
      </w:pPr>
      <w:rPr>
        <w:rFonts w:ascii="Symbol" w:hAnsi="Symbol"/>
      </w:rPr>
    </w:lvl>
    <w:lvl w:ilvl="7" w:tplc="80C8183C">
      <w:start w:val="1"/>
      <w:numFmt w:val="bullet"/>
      <w:lvlText w:val=""/>
      <w:lvlJc w:val="left"/>
      <w:pPr>
        <w:ind w:left="1020" w:hanging="360"/>
      </w:pPr>
      <w:rPr>
        <w:rFonts w:ascii="Symbol" w:hAnsi="Symbol"/>
      </w:rPr>
    </w:lvl>
    <w:lvl w:ilvl="8" w:tplc="1E585AAA">
      <w:start w:val="1"/>
      <w:numFmt w:val="bullet"/>
      <w:lvlText w:val=""/>
      <w:lvlJc w:val="left"/>
      <w:pPr>
        <w:ind w:left="1020" w:hanging="360"/>
      </w:pPr>
      <w:rPr>
        <w:rFonts w:ascii="Symbol" w:hAnsi="Symbol"/>
      </w:rPr>
    </w:lvl>
  </w:abstractNum>
  <w:abstractNum w:abstractNumId="19" w15:restartNumberingAfterBreak="0">
    <w:nsid w:val="2B8B321D"/>
    <w:multiLevelType w:val="hybridMultilevel"/>
    <w:tmpl w:val="840672FC"/>
    <w:lvl w:ilvl="0" w:tplc="9288CE40">
      <w:start w:val="1"/>
      <w:numFmt w:val="bullet"/>
      <w:lvlText w:val=""/>
      <w:lvlJc w:val="left"/>
      <w:pPr>
        <w:ind w:left="1440" w:hanging="360"/>
      </w:pPr>
      <w:rPr>
        <w:rFonts w:ascii="Symbol" w:hAnsi="Symbol"/>
      </w:rPr>
    </w:lvl>
    <w:lvl w:ilvl="1" w:tplc="2C2AB7A8">
      <w:start w:val="1"/>
      <w:numFmt w:val="bullet"/>
      <w:lvlText w:val=""/>
      <w:lvlJc w:val="left"/>
      <w:pPr>
        <w:ind w:left="1440" w:hanging="360"/>
      </w:pPr>
      <w:rPr>
        <w:rFonts w:ascii="Symbol" w:hAnsi="Symbol"/>
      </w:rPr>
    </w:lvl>
    <w:lvl w:ilvl="2" w:tplc="41968704">
      <w:start w:val="1"/>
      <w:numFmt w:val="bullet"/>
      <w:lvlText w:val=""/>
      <w:lvlJc w:val="left"/>
      <w:pPr>
        <w:ind w:left="1440" w:hanging="360"/>
      </w:pPr>
      <w:rPr>
        <w:rFonts w:ascii="Symbol" w:hAnsi="Symbol"/>
      </w:rPr>
    </w:lvl>
    <w:lvl w:ilvl="3" w:tplc="1610D044">
      <w:start w:val="1"/>
      <w:numFmt w:val="bullet"/>
      <w:lvlText w:val=""/>
      <w:lvlJc w:val="left"/>
      <w:pPr>
        <w:ind w:left="1440" w:hanging="360"/>
      </w:pPr>
      <w:rPr>
        <w:rFonts w:ascii="Symbol" w:hAnsi="Symbol"/>
      </w:rPr>
    </w:lvl>
    <w:lvl w:ilvl="4" w:tplc="72386B06">
      <w:start w:val="1"/>
      <w:numFmt w:val="bullet"/>
      <w:lvlText w:val=""/>
      <w:lvlJc w:val="left"/>
      <w:pPr>
        <w:ind w:left="1440" w:hanging="360"/>
      </w:pPr>
      <w:rPr>
        <w:rFonts w:ascii="Symbol" w:hAnsi="Symbol"/>
      </w:rPr>
    </w:lvl>
    <w:lvl w:ilvl="5" w:tplc="2BCA2A12">
      <w:start w:val="1"/>
      <w:numFmt w:val="bullet"/>
      <w:lvlText w:val=""/>
      <w:lvlJc w:val="left"/>
      <w:pPr>
        <w:ind w:left="1440" w:hanging="360"/>
      </w:pPr>
      <w:rPr>
        <w:rFonts w:ascii="Symbol" w:hAnsi="Symbol"/>
      </w:rPr>
    </w:lvl>
    <w:lvl w:ilvl="6" w:tplc="38A0BCF8">
      <w:start w:val="1"/>
      <w:numFmt w:val="bullet"/>
      <w:lvlText w:val=""/>
      <w:lvlJc w:val="left"/>
      <w:pPr>
        <w:ind w:left="1440" w:hanging="360"/>
      </w:pPr>
      <w:rPr>
        <w:rFonts w:ascii="Symbol" w:hAnsi="Symbol"/>
      </w:rPr>
    </w:lvl>
    <w:lvl w:ilvl="7" w:tplc="0D9A3AD6">
      <w:start w:val="1"/>
      <w:numFmt w:val="bullet"/>
      <w:lvlText w:val=""/>
      <w:lvlJc w:val="left"/>
      <w:pPr>
        <w:ind w:left="1440" w:hanging="360"/>
      </w:pPr>
      <w:rPr>
        <w:rFonts w:ascii="Symbol" w:hAnsi="Symbol"/>
      </w:rPr>
    </w:lvl>
    <w:lvl w:ilvl="8" w:tplc="9528B160">
      <w:start w:val="1"/>
      <w:numFmt w:val="bullet"/>
      <w:lvlText w:val=""/>
      <w:lvlJc w:val="left"/>
      <w:pPr>
        <w:ind w:left="1440" w:hanging="360"/>
      </w:pPr>
      <w:rPr>
        <w:rFonts w:ascii="Symbol" w:hAnsi="Symbol"/>
      </w:rPr>
    </w:lvl>
  </w:abstractNum>
  <w:abstractNum w:abstractNumId="20" w15:restartNumberingAfterBreak="0">
    <w:nsid w:val="2C712224"/>
    <w:multiLevelType w:val="hybridMultilevel"/>
    <w:tmpl w:val="E188A322"/>
    <w:lvl w:ilvl="0" w:tplc="F4C82494">
      <w:start w:val="1"/>
      <w:numFmt w:val="bullet"/>
      <w:lvlText w:val=""/>
      <w:lvlJc w:val="left"/>
      <w:pPr>
        <w:ind w:left="1020" w:hanging="360"/>
      </w:pPr>
      <w:rPr>
        <w:rFonts w:ascii="Symbol" w:hAnsi="Symbol"/>
      </w:rPr>
    </w:lvl>
    <w:lvl w:ilvl="1" w:tplc="B83A076A">
      <w:start w:val="1"/>
      <w:numFmt w:val="bullet"/>
      <w:lvlText w:val=""/>
      <w:lvlJc w:val="left"/>
      <w:pPr>
        <w:ind w:left="1020" w:hanging="360"/>
      </w:pPr>
      <w:rPr>
        <w:rFonts w:ascii="Symbol" w:hAnsi="Symbol"/>
      </w:rPr>
    </w:lvl>
    <w:lvl w:ilvl="2" w:tplc="B5E24BF6">
      <w:start w:val="1"/>
      <w:numFmt w:val="bullet"/>
      <w:lvlText w:val=""/>
      <w:lvlJc w:val="left"/>
      <w:pPr>
        <w:ind w:left="1020" w:hanging="360"/>
      </w:pPr>
      <w:rPr>
        <w:rFonts w:ascii="Symbol" w:hAnsi="Symbol"/>
      </w:rPr>
    </w:lvl>
    <w:lvl w:ilvl="3" w:tplc="7F987614">
      <w:start w:val="1"/>
      <w:numFmt w:val="bullet"/>
      <w:lvlText w:val=""/>
      <w:lvlJc w:val="left"/>
      <w:pPr>
        <w:ind w:left="1020" w:hanging="360"/>
      </w:pPr>
      <w:rPr>
        <w:rFonts w:ascii="Symbol" w:hAnsi="Symbol"/>
      </w:rPr>
    </w:lvl>
    <w:lvl w:ilvl="4" w:tplc="5366F674">
      <w:start w:val="1"/>
      <w:numFmt w:val="bullet"/>
      <w:lvlText w:val=""/>
      <w:lvlJc w:val="left"/>
      <w:pPr>
        <w:ind w:left="1020" w:hanging="360"/>
      </w:pPr>
      <w:rPr>
        <w:rFonts w:ascii="Symbol" w:hAnsi="Symbol"/>
      </w:rPr>
    </w:lvl>
    <w:lvl w:ilvl="5" w:tplc="803E2EEE">
      <w:start w:val="1"/>
      <w:numFmt w:val="bullet"/>
      <w:lvlText w:val=""/>
      <w:lvlJc w:val="left"/>
      <w:pPr>
        <w:ind w:left="1020" w:hanging="360"/>
      </w:pPr>
      <w:rPr>
        <w:rFonts w:ascii="Symbol" w:hAnsi="Symbol"/>
      </w:rPr>
    </w:lvl>
    <w:lvl w:ilvl="6" w:tplc="C3D674C6">
      <w:start w:val="1"/>
      <w:numFmt w:val="bullet"/>
      <w:lvlText w:val=""/>
      <w:lvlJc w:val="left"/>
      <w:pPr>
        <w:ind w:left="1020" w:hanging="360"/>
      </w:pPr>
      <w:rPr>
        <w:rFonts w:ascii="Symbol" w:hAnsi="Symbol"/>
      </w:rPr>
    </w:lvl>
    <w:lvl w:ilvl="7" w:tplc="38D0DFDC">
      <w:start w:val="1"/>
      <w:numFmt w:val="bullet"/>
      <w:lvlText w:val=""/>
      <w:lvlJc w:val="left"/>
      <w:pPr>
        <w:ind w:left="1020" w:hanging="360"/>
      </w:pPr>
      <w:rPr>
        <w:rFonts w:ascii="Symbol" w:hAnsi="Symbol"/>
      </w:rPr>
    </w:lvl>
    <w:lvl w:ilvl="8" w:tplc="B04AA538">
      <w:start w:val="1"/>
      <w:numFmt w:val="bullet"/>
      <w:lvlText w:val=""/>
      <w:lvlJc w:val="left"/>
      <w:pPr>
        <w:ind w:left="1020" w:hanging="360"/>
      </w:pPr>
      <w:rPr>
        <w:rFonts w:ascii="Symbol" w:hAnsi="Symbol"/>
      </w:rPr>
    </w:lvl>
  </w:abstractNum>
  <w:abstractNum w:abstractNumId="21" w15:restartNumberingAfterBreak="0">
    <w:nsid w:val="2DE607CD"/>
    <w:multiLevelType w:val="hybridMultilevel"/>
    <w:tmpl w:val="CE74D962"/>
    <w:lvl w:ilvl="0" w:tplc="E5D6F522">
      <w:start w:val="6"/>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C2546C"/>
    <w:multiLevelType w:val="hybridMultilevel"/>
    <w:tmpl w:val="0C9CFA50"/>
    <w:lvl w:ilvl="0" w:tplc="5734BD1E">
      <w:start w:val="1"/>
      <w:numFmt w:val="bullet"/>
      <w:lvlText w:val=""/>
      <w:lvlJc w:val="left"/>
      <w:pPr>
        <w:ind w:left="1020" w:hanging="360"/>
      </w:pPr>
      <w:rPr>
        <w:rFonts w:ascii="Symbol" w:hAnsi="Symbol"/>
      </w:rPr>
    </w:lvl>
    <w:lvl w:ilvl="1" w:tplc="AFC252C0">
      <w:start w:val="1"/>
      <w:numFmt w:val="bullet"/>
      <w:lvlText w:val=""/>
      <w:lvlJc w:val="left"/>
      <w:pPr>
        <w:ind w:left="1020" w:hanging="360"/>
      </w:pPr>
      <w:rPr>
        <w:rFonts w:ascii="Symbol" w:hAnsi="Symbol"/>
      </w:rPr>
    </w:lvl>
    <w:lvl w:ilvl="2" w:tplc="13CCC472">
      <w:start w:val="1"/>
      <w:numFmt w:val="bullet"/>
      <w:lvlText w:val=""/>
      <w:lvlJc w:val="left"/>
      <w:pPr>
        <w:ind w:left="1020" w:hanging="360"/>
      </w:pPr>
      <w:rPr>
        <w:rFonts w:ascii="Symbol" w:hAnsi="Symbol"/>
      </w:rPr>
    </w:lvl>
    <w:lvl w:ilvl="3" w:tplc="DFC666D8">
      <w:start w:val="1"/>
      <w:numFmt w:val="bullet"/>
      <w:lvlText w:val=""/>
      <w:lvlJc w:val="left"/>
      <w:pPr>
        <w:ind w:left="1020" w:hanging="360"/>
      </w:pPr>
      <w:rPr>
        <w:rFonts w:ascii="Symbol" w:hAnsi="Symbol"/>
      </w:rPr>
    </w:lvl>
    <w:lvl w:ilvl="4" w:tplc="E230E4CA">
      <w:start w:val="1"/>
      <w:numFmt w:val="bullet"/>
      <w:lvlText w:val=""/>
      <w:lvlJc w:val="left"/>
      <w:pPr>
        <w:ind w:left="1020" w:hanging="360"/>
      </w:pPr>
      <w:rPr>
        <w:rFonts w:ascii="Symbol" w:hAnsi="Symbol"/>
      </w:rPr>
    </w:lvl>
    <w:lvl w:ilvl="5" w:tplc="B71092AC">
      <w:start w:val="1"/>
      <w:numFmt w:val="bullet"/>
      <w:lvlText w:val=""/>
      <w:lvlJc w:val="left"/>
      <w:pPr>
        <w:ind w:left="1020" w:hanging="360"/>
      </w:pPr>
      <w:rPr>
        <w:rFonts w:ascii="Symbol" w:hAnsi="Symbol"/>
      </w:rPr>
    </w:lvl>
    <w:lvl w:ilvl="6" w:tplc="59AEFE56">
      <w:start w:val="1"/>
      <w:numFmt w:val="bullet"/>
      <w:lvlText w:val=""/>
      <w:lvlJc w:val="left"/>
      <w:pPr>
        <w:ind w:left="1020" w:hanging="360"/>
      </w:pPr>
      <w:rPr>
        <w:rFonts w:ascii="Symbol" w:hAnsi="Symbol"/>
      </w:rPr>
    </w:lvl>
    <w:lvl w:ilvl="7" w:tplc="CA166A96">
      <w:start w:val="1"/>
      <w:numFmt w:val="bullet"/>
      <w:lvlText w:val=""/>
      <w:lvlJc w:val="left"/>
      <w:pPr>
        <w:ind w:left="1020" w:hanging="360"/>
      </w:pPr>
      <w:rPr>
        <w:rFonts w:ascii="Symbol" w:hAnsi="Symbol"/>
      </w:rPr>
    </w:lvl>
    <w:lvl w:ilvl="8" w:tplc="67663064">
      <w:start w:val="1"/>
      <w:numFmt w:val="bullet"/>
      <w:lvlText w:val=""/>
      <w:lvlJc w:val="left"/>
      <w:pPr>
        <w:ind w:left="1020" w:hanging="360"/>
      </w:pPr>
      <w:rPr>
        <w:rFonts w:ascii="Symbol" w:hAnsi="Symbol"/>
      </w:rPr>
    </w:lvl>
  </w:abstractNum>
  <w:abstractNum w:abstractNumId="23"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4"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71E4624"/>
    <w:multiLevelType w:val="hybridMultilevel"/>
    <w:tmpl w:val="63181300"/>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9275059"/>
    <w:multiLevelType w:val="hybridMultilevel"/>
    <w:tmpl w:val="3E0EFBDC"/>
    <w:lvl w:ilvl="0" w:tplc="DCB476B0">
      <w:start w:val="1"/>
      <w:numFmt w:val="bullet"/>
      <w:lvlText w:val=""/>
      <w:lvlJc w:val="left"/>
      <w:pPr>
        <w:ind w:left="1020" w:hanging="360"/>
      </w:pPr>
      <w:rPr>
        <w:rFonts w:ascii="Symbol" w:hAnsi="Symbol"/>
      </w:rPr>
    </w:lvl>
    <w:lvl w:ilvl="1" w:tplc="B6CAFE9A">
      <w:start w:val="1"/>
      <w:numFmt w:val="bullet"/>
      <w:lvlText w:val=""/>
      <w:lvlJc w:val="left"/>
      <w:pPr>
        <w:ind w:left="1020" w:hanging="360"/>
      </w:pPr>
      <w:rPr>
        <w:rFonts w:ascii="Symbol" w:hAnsi="Symbol"/>
      </w:rPr>
    </w:lvl>
    <w:lvl w:ilvl="2" w:tplc="113EFC30">
      <w:start w:val="1"/>
      <w:numFmt w:val="bullet"/>
      <w:lvlText w:val=""/>
      <w:lvlJc w:val="left"/>
      <w:pPr>
        <w:ind w:left="1020" w:hanging="360"/>
      </w:pPr>
      <w:rPr>
        <w:rFonts w:ascii="Symbol" w:hAnsi="Symbol"/>
      </w:rPr>
    </w:lvl>
    <w:lvl w:ilvl="3" w:tplc="44F4AE54">
      <w:start w:val="1"/>
      <w:numFmt w:val="bullet"/>
      <w:lvlText w:val=""/>
      <w:lvlJc w:val="left"/>
      <w:pPr>
        <w:ind w:left="1020" w:hanging="360"/>
      </w:pPr>
      <w:rPr>
        <w:rFonts w:ascii="Symbol" w:hAnsi="Symbol"/>
      </w:rPr>
    </w:lvl>
    <w:lvl w:ilvl="4" w:tplc="4DDA344E">
      <w:start w:val="1"/>
      <w:numFmt w:val="bullet"/>
      <w:lvlText w:val=""/>
      <w:lvlJc w:val="left"/>
      <w:pPr>
        <w:ind w:left="1020" w:hanging="360"/>
      </w:pPr>
      <w:rPr>
        <w:rFonts w:ascii="Symbol" w:hAnsi="Symbol"/>
      </w:rPr>
    </w:lvl>
    <w:lvl w:ilvl="5" w:tplc="0DCE0036">
      <w:start w:val="1"/>
      <w:numFmt w:val="bullet"/>
      <w:lvlText w:val=""/>
      <w:lvlJc w:val="left"/>
      <w:pPr>
        <w:ind w:left="1020" w:hanging="360"/>
      </w:pPr>
      <w:rPr>
        <w:rFonts w:ascii="Symbol" w:hAnsi="Symbol"/>
      </w:rPr>
    </w:lvl>
    <w:lvl w:ilvl="6" w:tplc="7BB0A8AE">
      <w:start w:val="1"/>
      <w:numFmt w:val="bullet"/>
      <w:lvlText w:val=""/>
      <w:lvlJc w:val="left"/>
      <w:pPr>
        <w:ind w:left="1020" w:hanging="360"/>
      </w:pPr>
      <w:rPr>
        <w:rFonts w:ascii="Symbol" w:hAnsi="Symbol"/>
      </w:rPr>
    </w:lvl>
    <w:lvl w:ilvl="7" w:tplc="8A126E36">
      <w:start w:val="1"/>
      <w:numFmt w:val="bullet"/>
      <w:lvlText w:val=""/>
      <w:lvlJc w:val="left"/>
      <w:pPr>
        <w:ind w:left="1020" w:hanging="360"/>
      </w:pPr>
      <w:rPr>
        <w:rFonts w:ascii="Symbol" w:hAnsi="Symbol"/>
      </w:rPr>
    </w:lvl>
    <w:lvl w:ilvl="8" w:tplc="88246418">
      <w:start w:val="1"/>
      <w:numFmt w:val="bullet"/>
      <w:lvlText w:val=""/>
      <w:lvlJc w:val="left"/>
      <w:pPr>
        <w:ind w:left="1020" w:hanging="360"/>
      </w:pPr>
      <w:rPr>
        <w:rFonts w:ascii="Symbol" w:hAnsi="Symbol"/>
      </w:rPr>
    </w:lvl>
  </w:abstractNum>
  <w:abstractNum w:abstractNumId="29" w15:restartNumberingAfterBreak="0">
    <w:nsid w:val="40704CEA"/>
    <w:multiLevelType w:val="hybridMultilevel"/>
    <w:tmpl w:val="CC3CA990"/>
    <w:lvl w:ilvl="0" w:tplc="6DB095BC">
      <w:start w:val="1"/>
      <w:numFmt w:val="bullet"/>
      <w:lvlText w:val=""/>
      <w:lvlJc w:val="left"/>
      <w:pPr>
        <w:ind w:left="2160" w:hanging="360"/>
      </w:pPr>
      <w:rPr>
        <w:rFonts w:ascii="Symbol" w:hAnsi="Symbol"/>
      </w:rPr>
    </w:lvl>
    <w:lvl w:ilvl="1" w:tplc="C7FA439E">
      <w:start w:val="1"/>
      <w:numFmt w:val="bullet"/>
      <w:lvlText w:val=""/>
      <w:lvlJc w:val="left"/>
      <w:pPr>
        <w:ind w:left="2160" w:hanging="360"/>
      </w:pPr>
      <w:rPr>
        <w:rFonts w:ascii="Symbol" w:hAnsi="Symbol"/>
      </w:rPr>
    </w:lvl>
    <w:lvl w:ilvl="2" w:tplc="5720D086">
      <w:start w:val="1"/>
      <w:numFmt w:val="bullet"/>
      <w:lvlText w:val=""/>
      <w:lvlJc w:val="left"/>
      <w:pPr>
        <w:ind w:left="2160" w:hanging="360"/>
      </w:pPr>
      <w:rPr>
        <w:rFonts w:ascii="Symbol" w:hAnsi="Symbol"/>
      </w:rPr>
    </w:lvl>
    <w:lvl w:ilvl="3" w:tplc="463E12CC">
      <w:start w:val="1"/>
      <w:numFmt w:val="bullet"/>
      <w:lvlText w:val=""/>
      <w:lvlJc w:val="left"/>
      <w:pPr>
        <w:ind w:left="2160" w:hanging="360"/>
      </w:pPr>
      <w:rPr>
        <w:rFonts w:ascii="Symbol" w:hAnsi="Symbol"/>
      </w:rPr>
    </w:lvl>
    <w:lvl w:ilvl="4" w:tplc="774E5E6E">
      <w:start w:val="1"/>
      <w:numFmt w:val="bullet"/>
      <w:lvlText w:val=""/>
      <w:lvlJc w:val="left"/>
      <w:pPr>
        <w:ind w:left="2160" w:hanging="360"/>
      </w:pPr>
      <w:rPr>
        <w:rFonts w:ascii="Symbol" w:hAnsi="Symbol"/>
      </w:rPr>
    </w:lvl>
    <w:lvl w:ilvl="5" w:tplc="0EEA8F9E">
      <w:start w:val="1"/>
      <w:numFmt w:val="bullet"/>
      <w:lvlText w:val=""/>
      <w:lvlJc w:val="left"/>
      <w:pPr>
        <w:ind w:left="2160" w:hanging="360"/>
      </w:pPr>
      <w:rPr>
        <w:rFonts w:ascii="Symbol" w:hAnsi="Symbol"/>
      </w:rPr>
    </w:lvl>
    <w:lvl w:ilvl="6" w:tplc="4A9C9106">
      <w:start w:val="1"/>
      <w:numFmt w:val="bullet"/>
      <w:lvlText w:val=""/>
      <w:lvlJc w:val="left"/>
      <w:pPr>
        <w:ind w:left="2160" w:hanging="360"/>
      </w:pPr>
      <w:rPr>
        <w:rFonts w:ascii="Symbol" w:hAnsi="Symbol"/>
      </w:rPr>
    </w:lvl>
    <w:lvl w:ilvl="7" w:tplc="2EEC6D44">
      <w:start w:val="1"/>
      <w:numFmt w:val="bullet"/>
      <w:lvlText w:val=""/>
      <w:lvlJc w:val="left"/>
      <w:pPr>
        <w:ind w:left="2160" w:hanging="360"/>
      </w:pPr>
      <w:rPr>
        <w:rFonts w:ascii="Symbol" w:hAnsi="Symbol"/>
      </w:rPr>
    </w:lvl>
    <w:lvl w:ilvl="8" w:tplc="68A63D92">
      <w:start w:val="1"/>
      <w:numFmt w:val="bullet"/>
      <w:lvlText w:val=""/>
      <w:lvlJc w:val="left"/>
      <w:pPr>
        <w:ind w:left="2160" w:hanging="360"/>
      </w:pPr>
      <w:rPr>
        <w:rFonts w:ascii="Symbol" w:hAnsi="Symbol"/>
      </w:rPr>
    </w:lvl>
  </w:abstractNum>
  <w:abstractNum w:abstractNumId="30" w15:restartNumberingAfterBreak="0">
    <w:nsid w:val="40AE125D"/>
    <w:multiLevelType w:val="hybridMultilevel"/>
    <w:tmpl w:val="CF9C2FEA"/>
    <w:lvl w:ilvl="0" w:tplc="0C090001">
      <w:start w:val="5"/>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732860"/>
    <w:multiLevelType w:val="hybridMultilevel"/>
    <w:tmpl w:val="D0CE1BF8"/>
    <w:lvl w:ilvl="0" w:tplc="5F54B0B0">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33" w15:restartNumberingAfterBreak="0">
    <w:nsid w:val="4DD6594A"/>
    <w:multiLevelType w:val="hybridMultilevel"/>
    <w:tmpl w:val="57BAFFB0"/>
    <w:lvl w:ilvl="0" w:tplc="9AE4B830">
      <w:start w:val="1"/>
      <w:numFmt w:val="bullet"/>
      <w:lvlText w:val=""/>
      <w:lvlJc w:val="left"/>
      <w:pPr>
        <w:ind w:left="1440" w:hanging="360"/>
      </w:pPr>
      <w:rPr>
        <w:rFonts w:ascii="Symbol" w:hAnsi="Symbol"/>
      </w:rPr>
    </w:lvl>
    <w:lvl w:ilvl="1" w:tplc="8BC8228C">
      <w:start w:val="1"/>
      <w:numFmt w:val="bullet"/>
      <w:lvlText w:val=""/>
      <w:lvlJc w:val="left"/>
      <w:pPr>
        <w:ind w:left="1440" w:hanging="360"/>
      </w:pPr>
      <w:rPr>
        <w:rFonts w:ascii="Symbol" w:hAnsi="Symbol"/>
      </w:rPr>
    </w:lvl>
    <w:lvl w:ilvl="2" w:tplc="CDE09CCE">
      <w:start w:val="1"/>
      <w:numFmt w:val="bullet"/>
      <w:lvlText w:val=""/>
      <w:lvlJc w:val="left"/>
      <w:pPr>
        <w:ind w:left="1440" w:hanging="360"/>
      </w:pPr>
      <w:rPr>
        <w:rFonts w:ascii="Symbol" w:hAnsi="Symbol"/>
      </w:rPr>
    </w:lvl>
    <w:lvl w:ilvl="3" w:tplc="0E7E6BAC">
      <w:start w:val="1"/>
      <w:numFmt w:val="bullet"/>
      <w:lvlText w:val=""/>
      <w:lvlJc w:val="left"/>
      <w:pPr>
        <w:ind w:left="1440" w:hanging="360"/>
      </w:pPr>
      <w:rPr>
        <w:rFonts w:ascii="Symbol" w:hAnsi="Symbol"/>
      </w:rPr>
    </w:lvl>
    <w:lvl w:ilvl="4" w:tplc="0CDA5A92">
      <w:start w:val="1"/>
      <w:numFmt w:val="bullet"/>
      <w:lvlText w:val=""/>
      <w:lvlJc w:val="left"/>
      <w:pPr>
        <w:ind w:left="1440" w:hanging="360"/>
      </w:pPr>
      <w:rPr>
        <w:rFonts w:ascii="Symbol" w:hAnsi="Symbol"/>
      </w:rPr>
    </w:lvl>
    <w:lvl w:ilvl="5" w:tplc="123C0406">
      <w:start w:val="1"/>
      <w:numFmt w:val="bullet"/>
      <w:lvlText w:val=""/>
      <w:lvlJc w:val="left"/>
      <w:pPr>
        <w:ind w:left="1440" w:hanging="360"/>
      </w:pPr>
      <w:rPr>
        <w:rFonts w:ascii="Symbol" w:hAnsi="Symbol"/>
      </w:rPr>
    </w:lvl>
    <w:lvl w:ilvl="6" w:tplc="B67E9368">
      <w:start w:val="1"/>
      <w:numFmt w:val="bullet"/>
      <w:lvlText w:val=""/>
      <w:lvlJc w:val="left"/>
      <w:pPr>
        <w:ind w:left="1440" w:hanging="360"/>
      </w:pPr>
      <w:rPr>
        <w:rFonts w:ascii="Symbol" w:hAnsi="Symbol"/>
      </w:rPr>
    </w:lvl>
    <w:lvl w:ilvl="7" w:tplc="95E6FD66">
      <w:start w:val="1"/>
      <w:numFmt w:val="bullet"/>
      <w:lvlText w:val=""/>
      <w:lvlJc w:val="left"/>
      <w:pPr>
        <w:ind w:left="1440" w:hanging="360"/>
      </w:pPr>
      <w:rPr>
        <w:rFonts w:ascii="Symbol" w:hAnsi="Symbol"/>
      </w:rPr>
    </w:lvl>
    <w:lvl w:ilvl="8" w:tplc="CBA05858">
      <w:start w:val="1"/>
      <w:numFmt w:val="bullet"/>
      <w:lvlText w:val=""/>
      <w:lvlJc w:val="left"/>
      <w:pPr>
        <w:ind w:left="1440" w:hanging="360"/>
      </w:pPr>
      <w:rPr>
        <w:rFonts w:ascii="Symbol" w:hAnsi="Symbol"/>
      </w:rPr>
    </w:lvl>
  </w:abstractNum>
  <w:abstractNum w:abstractNumId="34" w15:restartNumberingAfterBreak="0">
    <w:nsid w:val="507B3453"/>
    <w:multiLevelType w:val="hybridMultilevel"/>
    <w:tmpl w:val="8F0EB02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0C561BA"/>
    <w:multiLevelType w:val="hybridMultilevel"/>
    <w:tmpl w:val="C396CAE4"/>
    <w:lvl w:ilvl="0" w:tplc="49721C52">
      <w:start w:val="1"/>
      <w:numFmt w:val="bullet"/>
      <w:lvlText w:val=""/>
      <w:lvlJc w:val="left"/>
      <w:pPr>
        <w:ind w:left="1440" w:hanging="360"/>
      </w:pPr>
      <w:rPr>
        <w:rFonts w:ascii="Symbol" w:hAnsi="Symbol"/>
      </w:rPr>
    </w:lvl>
    <w:lvl w:ilvl="1" w:tplc="F65002CA">
      <w:start w:val="1"/>
      <w:numFmt w:val="bullet"/>
      <w:lvlText w:val=""/>
      <w:lvlJc w:val="left"/>
      <w:pPr>
        <w:ind w:left="1440" w:hanging="360"/>
      </w:pPr>
      <w:rPr>
        <w:rFonts w:ascii="Symbol" w:hAnsi="Symbol"/>
      </w:rPr>
    </w:lvl>
    <w:lvl w:ilvl="2" w:tplc="46C69AB8">
      <w:start w:val="1"/>
      <w:numFmt w:val="bullet"/>
      <w:lvlText w:val=""/>
      <w:lvlJc w:val="left"/>
      <w:pPr>
        <w:ind w:left="1440" w:hanging="360"/>
      </w:pPr>
      <w:rPr>
        <w:rFonts w:ascii="Symbol" w:hAnsi="Symbol"/>
      </w:rPr>
    </w:lvl>
    <w:lvl w:ilvl="3" w:tplc="F8B28ADE">
      <w:start w:val="1"/>
      <w:numFmt w:val="bullet"/>
      <w:lvlText w:val=""/>
      <w:lvlJc w:val="left"/>
      <w:pPr>
        <w:ind w:left="1440" w:hanging="360"/>
      </w:pPr>
      <w:rPr>
        <w:rFonts w:ascii="Symbol" w:hAnsi="Symbol"/>
      </w:rPr>
    </w:lvl>
    <w:lvl w:ilvl="4" w:tplc="CFE86EDA">
      <w:start w:val="1"/>
      <w:numFmt w:val="bullet"/>
      <w:lvlText w:val=""/>
      <w:lvlJc w:val="left"/>
      <w:pPr>
        <w:ind w:left="1440" w:hanging="360"/>
      </w:pPr>
      <w:rPr>
        <w:rFonts w:ascii="Symbol" w:hAnsi="Symbol"/>
      </w:rPr>
    </w:lvl>
    <w:lvl w:ilvl="5" w:tplc="166A3B38">
      <w:start w:val="1"/>
      <w:numFmt w:val="bullet"/>
      <w:lvlText w:val=""/>
      <w:lvlJc w:val="left"/>
      <w:pPr>
        <w:ind w:left="1440" w:hanging="360"/>
      </w:pPr>
      <w:rPr>
        <w:rFonts w:ascii="Symbol" w:hAnsi="Symbol"/>
      </w:rPr>
    </w:lvl>
    <w:lvl w:ilvl="6" w:tplc="40EAE528">
      <w:start w:val="1"/>
      <w:numFmt w:val="bullet"/>
      <w:lvlText w:val=""/>
      <w:lvlJc w:val="left"/>
      <w:pPr>
        <w:ind w:left="1440" w:hanging="360"/>
      </w:pPr>
      <w:rPr>
        <w:rFonts w:ascii="Symbol" w:hAnsi="Symbol"/>
      </w:rPr>
    </w:lvl>
    <w:lvl w:ilvl="7" w:tplc="AD02B042">
      <w:start w:val="1"/>
      <w:numFmt w:val="bullet"/>
      <w:lvlText w:val=""/>
      <w:lvlJc w:val="left"/>
      <w:pPr>
        <w:ind w:left="1440" w:hanging="360"/>
      </w:pPr>
      <w:rPr>
        <w:rFonts w:ascii="Symbol" w:hAnsi="Symbol"/>
      </w:rPr>
    </w:lvl>
    <w:lvl w:ilvl="8" w:tplc="4532FB14">
      <w:start w:val="1"/>
      <w:numFmt w:val="bullet"/>
      <w:lvlText w:val=""/>
      <w:lvlJc w:val="left"/>
      <w:pPr>
        <w:ind w:left="1440" w:hanging="360"/>
      </w:pPr>
      <w:rPr>
        <w:rFonts w:ascii="Symbol" w:hAnsi="Symbol"/>
      </w:rPr>
    </w:lvl>
  </w:abstractNum>
  <w:abstractNum w:abstractNumId="36" w15:restartNumberingAfterBreak="0">
    <w:nsid w:val="510D2021"/>
    <w:multiLevelType w:val="multilevel"/>
    <w:tmpl w:val="72F8140E"/>
    <w:numStyleLink w:val="OutlineList"/>
  </w:abstractNum>
  <w:abstractNum w:abstractNumId="37"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57FC2857"/>
    <w:multiLevelType w:val="hybridMultilevel"/>
    <w:tmpl w:val="3E5A6744"/>
    <w:lvl w:ilvl="0" w:tplc="4264735E">
      <w:start w:val="17"/>
      <w:numFmt w:val="bullet"/>
      <w:lvlText w:val=""/>
      <w:lvlJc w:val="left"/>
      <w:pPr>
        <w:ind w:left="720" w:hanging="360"/>
      </w:pPr>
      <w:rPr>
        <w:rFonts w:ascii="Symbol" w:eastAsiaTheme="minorHAns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BD12BE1"/>
    <w:multiLevelType w:val="hybridMultilevel"/>
    <w:tmpl w:val="E83E4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5510E74"/>
    <w:multiLevelType w:val="hybridMultilevel"/>
    <w:tmpl w:val="D0CE1BF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43" w15:restartNumberingAfterBreak="0">
    <w:nsid w:val="6F531F12"/>
    <w:multiLevelType w:val="hybridMultilevel"/>
    <w:tmpl w:val="368033C4"/>
    <w:lvl w:ilvl="0" w:tplc="AC36387C">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0A2465E"/>
    <w:multiLevelType w:val="hybridMultilevel"/>
    <w:tmpl w:val="8E6AF904"/>
    <w:lvl w:ilvl="0" w:tplc="CE400416">
      <w:start w:val="1"/>
      <w:numFmt w:val="bullet"/>
      <w:lvlText w:val=""/>
      <w:lvlJc w:val="left"/>
      <w:pPr>
        <w:ind w:left="720" w:hanging="360"/>
      </w:pPr>
      <w:rPr>
        <w:rFonts w:ascii="Symbol" w:hAnsi="Symbol"/>
      </w:rPr>
    </w:lvl>
    <w:lvl w:ilvl="1" w:tplc="F7980942">
      <w:start w:val="1"/>
      <w:numFmt w:val="bullet"/>
      <w:lvlText w:val=""/>
      <w:lvlJc w:val="left"/>
      <w:pPr>
        <w:ind w:left="720" w:hanging="360"/>
      </w:pPr>
      <w:rPr>
        <w:rFonts w:ascii="Symbol" w:hAnsi="Symbol"/>
      </w:rPr>
    </w:lvl>
    <w:lvl w:ilvl="2" w:tplc="9A9AB31E">
      <w:start w:val="1"/>
      <w:numFmt w:val="bullet"/>
      <w:lvlText w:val=""/>
      <w:lvlJc w:val="left"/>
      <w:pPr>
        <w:ind w:left="720" w:hanging="360"/>
      </w:pPr>
      <w:rPr>
        <w:rFonts w:ascii="Symbol" w:hAnsi="Symbol"/>
      </w:rPr>
    </w:lvl>
    <w:lvl w:ilvl="3" w:tplc="21B803B4">
      <w:start w:val="1"/>
      <w:numFmt w:val="bullet"/>
      <w:lvlText w:val=""/>
      <w:lvlJc w:val="left"/>
      <w:pPr>
        <w:ind w:left="720" w:hanging="360"/>
      </w:pPr>
      <w:rPr>
        <w:rFonts w:ascii="Symbol" w:hAnsi="Symbol"/>
      </w:rPr>
    </w:lvl>
    <w:lvl w:ilvl="4" w:tplc="5AC84398">
      <w:start w:val="1"/>
      <w:numFmt w:val="bullet"/>
      <w:lvlText w:val=""/>
      <w:lvlJc w:val="left"/>
      <w:pPr>
        <w:ind w:left="720" w:hanging="360"/>
      </w:pPr>
      <w:rPr>
        <w:rFonts w:ascii="Symbol" w:hAnsi="Symbol"/>
      </w:rPr>
    </w:lvl>
    <w:lvl w:ilvl="5" w:tplc="B2A6049C">
      <w:start w:val="1"/>
      <w:numFmt w:val="bullet"/>
      <w:lvlText w:val=""/>
      <w:lvlJc w:val="left"/>
      <w:pPr>
        <w:ind w:left="720" w:hanging="360"/>
      </w:pPr>
      <w:rPr>
        <w:rFonts w:ascii="Symbol" w:hAnsi="Symbol"/>
      </w:rPr>
    </w:lvl>
    <w:lvl w:ilvl="6" w:tplc="0D8C05AE">
      <w:start w:val="1"/>
      <w:numFmt w:val="bullet"/>
      <w:lvlText w:val=""/>
      <w:lvlJc w:val="left"/>
      <w:pPr>
        <w:ind w:left="720" w:hanging="360"/>
      </w:pPr>
      <w:rPr>
        <w:rFonts w:ascii="Symbol" w:hAnsi="Symbol"/>
      </w:rPr>
    </w:lvl>
    <w:lvl w:ilvl="7" w:tplc="4B186F8C">
      <w:start w:val="1"/>
      <w:numFmt w:val="bullet"/>
      <w:lvlText w:val=""/>
      <w:lvlJc w:val="left"/>
      <w:pPr>
        <w:ind w:left="720" w:hanging="360"/>
      </w:pPr>
      <w:rPr>
        <w:rFonts w:ascii="Symbol" w:hAnsi="Symbol"/>
      </w:rPr>
    </w:lvl>
    <w:lvl w:ilvl="8" w:tplc="B8EA6AFE">
      <w:start w:val="1"/>
      <w:numFmt w:val="bullet"/>
      <w:lvlText w:val=""/>
      <w:lvlJc w:val="left"/>
      <w:pPr>
        <w:ind w:left="720" w:hanging="360"/>
      </w:pPr>
      <w:rPr>
        <w:rFonts w:ascii="Symbol" w:hAnsi="Symbol"/>
      </w:rPr>
    </w:lvl>
  </w:abstractNum>
  <w:abstractNum w:abstractNumId="45" w15:restartNumberingAfterBreak="0">
    <w:nsid w:val="73A95B7A"/>
    <w:multiLevelType w:val="hybridMultilevel"/>
    <w:tmpl w:val="CCCA20D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9"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509446909">
    <w:abstractNumId w:val="23"/>
  </w:num>
  <w:num w:numId="2" w16cid:durableId="230386874">
    <w:abstractNumId w:val="0"/>
  </w:num>
  <w:num w:numId="3" w16cid:durableId="1716855291">
    <w:abstractNumId w:val="26"/>
  </w:num>
  <w:num w:numId="4" w16cid:durableId="797724066">
    <w:abstractNumId w:val="5"/>
  </w:num>
  <w:num w:numId="5" w16cid:durableId="709110180">
    <w:abstractNumId w:val="8"/>
  </w:num>
  <w:num w:numId="6" w16cid:durableId="306596971">
    <w:abstractNumId w:val="36"/>
  </w:num>
  <w:num w:numId="7" w16cid:durableId="1739129519">
    <w:abstractNumId w:val="25"/>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043020558">
    <w:abstractNumId w:val="9"/>
  </w:num>
  <w:num w:numId="9" w16cid:durableId="1591279926">
    <w:abstractNumId w:val="1"/>
  </w:num>
  <w:num w:numId="10" w16cid:durableId="832991063">
    <w:abstractNumId w:val="17"/>
  </w:num>
  <w:num w:numId="11" w16cid:durableId="215508863">
    <w:abstractNumId w:val="48"/>
  </w:num>
  <w:num w:numId="12" w16cid:durableId="2019234066">
    <w:abstractNumId w:val="36"/>
  </w:num>
  <w:num w:numId="13" w16cid:durableId="1757362042">
    <w:abstractNumId w:val="49"/>
  </w:num>
  <w:num w:numId="14" w16cid:durableId="353965158">
    <w:abstractNumId w:val="32"/>
  </w:num>
  <w:num w:numId="15" w16cid:durableId="77220001">
    <w:abstractNumId w:val="16"/>
  </w:num>
  <w:num w:numId="16" w16cid:durableId="626086807">
    <w:abstractNumId w:val="40"/>
  </w:num>
  <w:num w:numId="17" w16cid:durableId="143200778">
    <w:abstractNumId w:val="25"/>
  </w:num>
  <w:num w:numId="18" w16cid:durableId="10540393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5910852">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6955640">
    <w:abstractNumId w:val="24"/>
  </w:num>
  <w:num w:numId="21" w16cid:durableId="525217854">
    <w:abstractNumId w:val="37"/>
  </w:num>
  <w:num w:numId="22" w16cid:durableId="1017973052">
    <w:abstractNumId w:val="7"/>
  </w:num>
  <w:num w:numId="23" w16cid:durableId="17107575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4227257">
    <w:abstractNumId w:val="42"/>
  </w:num>
  <w:num w:numId="25" w16cid:durableId="1198618205">
    <w:abstractNumId w:val="13"/>
  </w:num>
  <w:num w:numId="26" w16cid:durableId="729502405">
    <w:abstractNumId w:val="25"/>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 w16cid:durableId="2000302802">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1097783">
    <w:abstractNumId w:val="25"/>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16cid:durableId="1831099807">
    <w:abstractNumId w:val="45"/>
  </w:num>
  <w:num w:numId="30" w16cid:durableId="1593926058">
    <w:abstractNumId w:val="21"/>
  </w:num>
  <w:num w:numId="31" w16cid:durableId="36317109">
    <w:abstractNumId w:val="39"/>
  </w:num>
  <w:num w:numId="32" w16cid:durableId="336226035">
    <w:abstractNumId w:val="34"/>
  </w:num>
  <w:num w:numId="33" w16cid:durableId="1067727373">
    <w:abstractNumId w:val="43"/>
  </w:num>
  <w:num w:numId="34" w16cid:durableId="640502978">
    <w:abstractNumId w:val="30"/>
  </w:num>
  <w:num w:numId="35" w16cid:durableId="698626476">
    <w:abstractNumId w:val="31"/>
  </w:num>
  <w:num w:numId="36" w16cid:durableId="607781209">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30358101">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0829131">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40792119">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34584566">
    <w:abstractNumId w:val="38"/>
  </w:num>
  <w:num w:numId="41" w16cid:durableId="854811637">
    <w:abstractNumId w:val="19"/>
  </w:num>
  <w:num w:numId="42" w16cid:durableId="476917886">
    <w:abstractNumId w:val="10"/>
  </w:num>
  <w:num w:numId="43" w16cid:durableId="800925717">
    <w:abstractNumId w:val="28"/>
  </w:num>
  <w:num w:numId="44" w16cid:durableId="1255481503">
    <w:abstractNumId w:val="29"/>
  </w:num>
  <w:num w:numId="45" w16cid:durableId="1917083378">
    <w:abstractNumId w:val="35"/>
  </w:num>
  <w:num w:numId="46" w16cid:durableId="1729524772">
    <w:abstractNumId w:val="6"/>
  </w:num>
  <w:num w:numId="47" w16cid:durableId="346323860">
    <w:abstractNumId w:val="14"/>
  </w:num>
  <w:num w:numId="48" w16cid:durableId="1485506072">
    <w:abstractNumId w:val="18"/>
  </w:num>
  <w:num w:numId="49" w16cid:durableId="18819120">
    <w:abstractNumId w:val="11"/>
  </w:num>
  <w:num w:numId="50" w16cid:durableId="1191996554">
    <w:abstractNumId w:val="33"/>
  </w:num>
  <w:num w:numId="51" w16cid:durableId="408308571">
    <w:abstractNumId w:val="44"/>
  </w:num>
  <w:num w:numId="52" w16cid:durableId="2089883657">
    <w:abstractNumId w:val="20"/>
  </w:num>
  <w:num w:numId="53" w16cid:durableId="637106502">
    <w:abstractNumId w:val="41"/>
  </w:num>
  <w:num w:numId="54" w16cid:durableId="75178663">
    <w:abstractNumId w:val="3"/>
  </w:num>
  <w:num w:numId="55" w16cid:durableId="472218637">
    <w:abstractNumId w:val="27"/>
  </w:num>
  <w:num w:numId="56" w16cid:durableId="120422149">
    <w:abstractNumId w:val="15"/>
  </w:num>
  <w:num w:numId="57" w16cid:durableId="1192067001">
    <w:abstractNumId w:val="12"/>
  </w:num>
  <w:num w:numId="58" w16cid:durableId="2106144955">
    <w:abstractNumId w:val="22"/>
  </w:num>
  <w:num w:numId="59" w16cid:durableId="2006476593">
    <w:abstractNumId w:val="4"/>
  </w:num>
  <w:num w:numId="60" w16cid:durableId="1451895417">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073521"/>
    <w:rsid w:val="00000859"/>
    <w:rsid w:val="00000B1C"/>
    <w:rsid w:val="00000E95"/>
    <w:rsid w:val="000016D2"/>
    <w:rsid w:val="0000217A"/>
    <w:rsid w:val="00002389"/>
    <w:rsid w:val="00002B81"/>
    <w:rsid w:val="00002B85"/>
    <w:rsid w:val="00002C36"/>
    <w:rsid w:val="00003E7C"/>
    <w:rsid w:val="000047C5"/>
    <w:rsid w:val="0000480E"/>
    <w:rsid w:val="00005A7C"/>
    <w:rsid w:val="00005ABC"/>
    <w:rsid w:val="0000614A"/>
    <w:rsid w:val="000069A7"/>
    <w:rsid w:val="00006EF5"/>
    <w:rsid w:val="00007BD7"/>
    <w:rsid w:val="000104B4"/>
    <w:rsid w:val="0001062D"/>
    <w:rsid w:val="00010E7B"/>
    <w:rsid w:val="00010E7E"/>
    <w:rsid w:val="00010EF6"/>
    <w:rsid w:val="0001146B"/>
    <w:rsid w:val="00011725"/>
    <w:rsid w:val="000129BB"/>
    <w:rsid w:val="00012C62"/>
    <w:rsid w:val="00013095"/>
    <w:rsid w:val="0001396A"/>
    <w:rsid w:val="00013B26"/>
    <w:rsid w:val="00013F59"/>
    <w:rsid w:val="0001435F"/>
    <w:rsid w:val="00014B83"/>
    <w:rsid w:val="00015396"/>
    <w:rsid w:val="00015DA7"/>
    <w:rsid w:val="0001658A"/>
    <w:rsid w:val="0001698E"/>
    <w:rsid w:val="00016A33"/>
    <w:rsid w:val="00016D03"/>
    <w:rsid w:val="00016E7F"/>
    <w:rsid w:val="00016EF8"/>
    <w:rsid w:val="00016F1F"/>
    <w:rsid w:val="00017D6B"/>
    <w:rsid w:val="000201C8"/>
    <w:rsid w:val="00020799"/>
    <w:rsid w:val="000221BA"/>
    <w:rsid w:val="00022A5A"/>
    <w:rsid w:val="00022E1B"/>
    <w:rsid w:val="0002342A"/>
    <w:rsid w:val="000239CE"/>
    <w:rsid w:val="00023B06"/>
    <w:rsid w:val="00023CAB"/>
    <w:rsid w:val="000240D5"/>
    <w:rsid w:val="0002447E"/>
    <w:rsid w:val="0002448C"/>
    <w:rsid w:val="0002544D"/>
    <w:rsid w:val="00025ABF"/>
    <w:rsid w:val="0002638E"/>
    <w:rsid w:val="00026DC0"/>
    <w:rsid w:val="00026FB9"/>
    <w:rsid w:val="0002708F"/>
    <w:rsid w:val="0002773D"/>
    <w:rsid w:val="000306F3"/>
    <w:rsid w:val="00030775"/>
    <w:rsid w:val="00030E2A"/>
    <w:rsid w:val="000327CB"/>
    <w:rsid w:val="0003304B"/>
    <w:rsid w:val="0003333B"/>
    <w:rsid w:val="00033C8A"/>
    <w:rsid w:val="00034220"/>
    <w:rsid w:val="00034683"/>
    <w:rsid w:val="00034872"/>
    <w:rsid w:val="00034CDA"/>
    <w:rsid w:val="0003600E"/>
    <w:rsid w:val="0003681B"/>
    <w:rsid w:val="0003682C"/>
    <w:rsid w:val="000369C4"/>
    <w:rsid w:val="00036B1D"/>
    <w:rsid w:val="000370B5"/>
    <w:rsid w:val="0003734B"/>
    <w:rsid w:val="0003737D"/>
    <w:rsid w:val="000373D1"/>
    <w:rsid w:val="0003760C"/>
    <w:rsid w:val="00037776"/>
    <w:rsid w:val="0003782C"/>
    <w:rsid w:val="00040369"/>
    <w:rsid w:val="00040A52"/>
    <w:rsid w:val="00040B4C"/>
    <w:rsid w:val="00040CBA"/>
    <w:rsid w:val="00040D63"/>
    <w:rsid w:val="00041EF4"/>
    <w:rsid w:val="00041F3B"/>
    <w:rsid w:val="0004269C"/>
    <w:rsid w:val="0004274D"/>
    <w:rsid w:val="00042FE1"/>
    <w:rsid w:val="00043348"/>
    <w:rsid w:val="00043DAD"/>
    <w:rsid w:val="00043EF2"/>
    <w:rsid w:val="0004483F"/>
    <w:rsid w:val="00044A2D"/>
    <w:rsid w:val="00045B13"/>
    <w:rsid w:val="00046038"/>
    <w:rsid w:val="00046570"/>
    <w:rsid w:val="00046953"/>
    <w:rsid w:val="00046CB4"/>
    <w:rsid w:val="00047AD2"/>
    <w:rsid w:val="000504FE"/>
    <w:rsid w:val="00050BA3"/>
    <w:rsid w:val="0005138B"/>
    <w:rsid w:val="00051539"/>
    <w:rsid w:val="00051BBE"/>
    <w:rsid w:val="00051BD3"/>
    <w:rsid w:val="00051BE3"/>
    <w:rsid w:val="000522B7"/>
    <w:rsid w:val="00053717"/>
    <w:rsid w:val="00054583"/>
    <w:rsid w:val="00054722"/>
    <w:rsid w:val="00054CAA"/>
    <w:rsid w:val="0005503F"/>
    <w:rsid w:val="0005679A"/>
    <w:rsid w:val="00056880"/>
    <w:rsid w:val="0005715A"/>
    <w:rsid w:val="00057190"/>
    <w:rsid w:val="000573EF"/>
    <w:rsid w:val="0005744C"/>
    <w:rsid w:val="000575B4"/>
    <w:rsid w:val="00057690"/>
    <w:rsid w:val="00057A6D"/>
    <w:rsid w:val="00060A4A"/>
    <w:rsid w:val="00060B7A"/>
    <w:rsid w:val="000614D9"/>
    <w:rsid w:val="000614DF"/>
    <w:rsid w:val="00063172"/>
    <w:rsid w:val="000634A6"/>
    <w:rsid w:val="00064585"/>
    <w:rsid w:val="000647E6"/>
    <w:rsid w:val="000653CF"/>
    <w:rsid w:val="00065A73"/>
    <w:rsid w:val="000666AA"/>
    <w:rsid w:val="00066FD5"/>
    <w:rsid w:val="000675D1"/>
    <w:rsid w:val="00067874"/>
    <w:rsid w:val="00067F45"/>
    <w:rsid w:val="00070435"/>
    <w:rsid w:val="00071369"/>
    <w:rsid w:val="00071882"/>
    <w:rsid w:val="000719A9"/>
    <w:rsid w:val="00072713"/>
    <w:rsid w:val="00073521"/>
    <w:rsid w:val="00073711"/>
    <w:rsid w:val="00073844"/>
    <w:rsid w:val="00073933"/>
    <w:rsid w:val="000739B7"/>
    <w:rsid w:val="00073BC3"/>
    <w:rsid w:val="00074290"/>
    <w:rsid w:val="00074EBF"/>
    <w:rsid w:val="00075358"/>
    <w:rsid w:val="00075F26"/>
    <w:rsid w:val="000760C2"/>
    <w:rsid w:val="0007699D"/>
    <w:rsid w:val="00077124"/>
    <w:rsid w:val="00077442"/>
    <w:rsid w:val="000775DE"/>
    <w:rsid w:val="00077730"/>
    <w:rsid w:val="00077B7C"/>
    <w:rsid w:val="00077BFF"/>
    <w:rsid w:val="00077C68"/>
    <w:rsid w:val="00077E10"/>
    <w:rsid w:val="00081325"/>
    <w:rsid w:val="00081678"/>
    <w:rsid w:val="00081A42"/>
    <w:rsid w:val="00082099"/>
    <w:rsid w:val="000820F3"/>
    <w:rsid w:val="00083C22"/>
    <w:rsid w:val="00083D88"/>
    <w:rsid w:val="000840A2"/>
    <w:rsid w:val="00084FE7"/>
    <w:rsid w:val="00085088"/>
    <w:rsid w:val="000851B2"/>
    <w:rsid w:val="000853E0"/>
    <w:rsid w:val="00085B50"/>
    <w:rsid w:val="00085C1C"/>
    <w:rsid w:val="00086691"/>
    <w:rsid w:val="000878AF"/>
    <w:rsid w:val="00087FAF"/>
    <w:rsid w:val="00090731"/>
    <w:rsid w:val="00091665"/>
    <w:rsid w:val="000923CA"/>
    <w:rsid w:val="00092608"/>
    <w:rsid w:val="00092C3C"/>
    <w:rsid w:val="00093ADB"/>
    <w:rsid w:val="00094852"/>
    <w:rsid w:val="00095204"/>
    <w:rsid w:val="0009525E"/>
    <w:rsid w:val="00095D88"/>
    <w:rsid w:val="00096A9A"/>
    <w:rsid w:val="000A0576"/>
    <w:rsid w:val="000A0B12"/>
    <w:rsid w:val="000A0FCD"/>
    <w:rsid w:val="000A1004"/>
    <w:rsid w:val="000A10D5"/>
    <w:rsid w:val="000A1BD4"/>
    <w:rsid w:val="000A39C8"/>
    <w:rsid w:val="000A3B45"/>
    <w:rsid w:val="000A4BC5"/>
    <w:rsid w:val="000A4BE9"/>
    <w:rsid w:val="000A4EBB"/>
    <w:rsid w:val="000A68A7"/>
    <w:rsid w:val="000A6E3F"/>
    <w:rsid w:val="000A6E7C"/>
    <w:rsid w:val="000A7459"/>
    <w:rsid w:val="000A774A"/>
    <w:rsid w:val="000A7FBD"/>
    <w:rsid w:val="000B093F"/>
    <w:rsid w:val="000B0D45"/>
    <w:rsid w:val="000B2E72"/>
    <w:rsid w:val="000B302A"/>
    <w:rsid w:val="000B308C"/>
    <w:rsid w:val="000B3877"/>
    <w:rsid w:val="000B3C8A"/>
    <w:rsid w:val="000B4C18"/>
    <w:rsid w:val="000B4F97"/>
    <w:rsid w:val="000B5055"/>
    <w:rsid w:val="000B541E"/>
    <w:rsid w:val="000B6FAF"/>
    <w:rsid w:val="000B71B3"/>
    <w:rsid w:val="000B7A57"/>
    <w:rsid w:val="000C0773"/>
    <w:rsid w:val="000C091A"/>
    <w:rsid w:val="000C094A"/>
    <w:rsid w:val="000C2078"/>
    <w:rsid w:val="000C2244"/>
    <w:rsid w:val="000C25A4"/>
    <w:rsid w:val="000C28B5"/>
    <w:rsid w:val="000C3DA8"/>
    <w:rsid w:val="000C3E42"/>
    <w:rsid w:val="000C4549"/>
    <w:rsid w:val="000C571D"/>
    <w:rsid w:val="000C5F11"/>
    <w:rsid w:val="000C5F40"/>
    <w:rsid w:val="000C6360"/>
    <w:rsid w:val="000C6847"/>
    <w:rsid w:val="000C6B3A"/>
    <w:rsid w:val="000C700C"/>
    <w:rsid w:val="000C7292"/>
    <w:rsid w:val="000C72D4"/>
    <w:rsid w:val="000C77A4"/>
    <w:rsid w:val="000C7864"/>
    <w:rsid w:val="000C7DF4"/>
    <w:rsid w:val="000D01C5"/>
    <w:rsid w:val="000D0801"/>
    <w:rsid w:val="000D2EDA"/>
    <w:rsid w:val="000D3BF9"/>
    <w:rsid w:val="000D3D1C"/>
    <w:rsid w:val="000D3FF9"/>
    <w:rsid w:val="000D41F9"/>
    <w:rsid w:val="000D491C"/>
    <w:rsid w:val="000D4A76"/>
    <w:rsid w:val="000D5BEB"/>
    <w:rsid w:val="000D61DA"/>
    <w:rsid w:val="000D6D99"/>
    <w:rsid w:val="000D79E6"/>
    <w:rsid w:val="000E045D"/>
    <w:rsid w:val="000E0B74"/>
    <w:rsid w:val="000E1DF5"/>
    <w:rsid w:val="000E2055"/>
    <w:rsid w:val="000E216F"/>
    <w:rsid w:val="000E2388"/>
    <w:rsid w:val="000E25AE"/>
    <w:rsid w:val="000E31B8"/>
    <w:rsid w:val="000E3350"/>
    <w:rsid w:val="000E4D8A"/>
    <w:rsid w:val="000E51C8"/>
    <w:rsid w:val="000E6051"/>
    <w:rsid w:val="000E6498"/>
    <w:rsid w:val="000E6F70"/>
    <w:rsid w:val="000E71D7"/>
    <w:rsid w:val="000E7901"/>
    <w:rsid w:val="000E791F"/>
    <w:rsid w:val="000F1617"/>
    <w:rsid w:val="000F16DB"/>
    <w:rsid w:val="000F1CC8"/>
    <w:rsid w:val="000F2660"/>
    <w:rsid w:val="000F28E1"/>
    <w:rsid w:val="000F29B2"/>
    <w:rsid w:val="000F2C27"/>
    <w:rsid w:val="000F30AB"/>
    <w:rsid w:val="000F3145"/>
    <w:rsid w:val="000F34D3"/>
    <w:rsid w:val="000F457A"/>
    <w:rsid w:val="000F500D"/>
    <w:rsid w:val="000F5DF6"/>
    <w:rsid w:val="000F5FA3"/>
    <w:rsid w:val="000F6233"/>
    <w:rsid w:val="000F642B"/>
    <w:rsid w:val="000F65BA"/>
    <w:rsid w:val="000F6C57"/>
    <w:rsid w:val="000F7FD6"/>
    <w:rsid w:val="001000CC"/>
    <w:rsid w:val="0010030F"/>
    <w:rsid w:val="001003F1"/>
    <w:rsid w:val="001009AC"/>
    <w:rsid w:val="00102067"/>
    <w:rsid w:val="001026DF"/>
    <w:rsid w:val="001035FD"/>
    <w:rsid w:val="0010376F"/>
    <w:rsid w:val="00103F3C"/>
    <w:rsid w:val="00104FB8"/>
    <w:rsid w:val="00105AD0"/>
    <w:rsid w:val="00105D9F"/>
    <w:rsid w:val="00106602"/>
    <w:rsid w:val="00106BA1"/>
    <w:rsid w:val="00106F07"/>
    <w:rsid w:val="0011104D"/>
    <w:rsid w:val="00111329"/>
    <w:rsid w:val="001118CB"/>
    <w:rsid w:val="00111BBC"/>
    <w:rsid w:val="00112739"/>
    <w:rsid w:val="001134F9"/>
    <w:rsid w:val="00114110"/>
    <w:rsid w:val="0011433B"/>
    <w:rsid w:val="001146D6"/>
    <w:rsid w:val="0011583F"/>
    <w:rsid w:val="00115CAB"/>
    <w:rsid w:val="00115F4E"/>
    <w:rsid w:val="001161E7"/>
    <w:rsid w:val="001162BE"/>
    <w:rsid w:val="001164E2"/>
    <w:rsid w:val="001166F2"/>
    <w:rsid w:val="00116A37"/>
    <w:rsid w:val="00116CBD"/>
    <w:rsid w:val="00116F47"/>
    <w:rsid w:val="001177EB"/>
    <w:rsid w:val="001204AC"/>
    <w:rsid w:val="001207D6"/>
    <w:rsid w:val="00121680"/>
    <w:rsid w:val="001225C6"/>
    <w:rsid w:val="001238C0"/>
    <w:rsid w:val="00123A85"/>
    <w:rsid w:val="00123CBD"/>
    <w:rsid w:val="00124E59"/>
    <w:rsid w:val="001252CB"/>
    <w:rsid w:val="001252FF"/>
    <w:rsid w:val="00125326"/>
    <w:rsid w:val="00125AF8"/>
    <w:rsid w:val="00126557"/>
    <w:rsid w:val="0012682B"/>
    <w:rsid w:val="00126CDA"/>
    <w:rsid w:val="001276F2"/>
    <w:rsid w:val="00130348"/>
    <w:rsid w:val="001305A7"/>
    <w:rsid w:val="001307B9"/>
    <w:rsid w:val="00130932"/>
    <w:rsid w:val="0013093E"/>
    <w:rsid w:val="001316B6"/>
    <w:rsid w:val="00131DC3"/>
    <w:rsid w:val="00132B4B"/>
    <w:rsid w:val="001331B2"/>
    <w:rsid w:val="001334E6"/>
    <w:rsid w:val="00134394"/>
    <w:rsid w:val="00134E18"/>
    <w:rsid w:val="00135861"/>
    <w:rsid w:val="00135B5A"/>
    <w:rsid w:val="00135B87"/>
    <w:rsid w:val="00135E4C"/>
    <w:rsid w:val="00135ED9"/>
    <w:rsid w:val="00136DF1"/>
    <w:rsid w:val="00136F51"/>
    <w:rsid w:val="001373C6"/>
    <w:rsid w:val="001373F5"/>
    <w:rsid w:val="00140D25"/>
    <w:rsid w:val="0014184A"/>
    <w:rsid w:val="0014194A"/>
    <w:rsid w:val="00142612"/>
    <w:rsid w:val="00142878"/>
    <w:rsid w:val="00142EF2"/>
    <w:rsid w:val="00144C2E"/>
    <w:rsid w:val="00144CF5"/>
    <w:rsid w:val="00146D23"/>
    <w:rsid w:val="00146E14"/>
    <w:rsid w:val="001472BD"/>
    <w:rsid w:val="0014778A"/>
    <w:rsid w:val="0014786F"/>
    <w:rsid w:val="00147D30"/>
    <w:rsid w:val="0015093F"/>
    <w:rsid w:val="001510E6"/>
    <w:rsid w:val="00151497"/>
    <w:rsid w:val="001529E8"/>
    <w:rsid w:val="00152E99"/>
    <w:rsid w:val="001530E6"/>
    <w:rsid w:val="0015358F"/>
    <w:rsid w:val="0015394E"/>
    <w:rsid w:val="00153EE5"/>
    <w:rsid w:val="001542C7"/>
    <w:rsid w:val="0015453A"/>
    <w:rsid w:val="0015490D"/>
    <w:rsid w:val="0015515C"/>
    <w:rsid w:val="001554AB"/>
    <w:rsid w:val="00155C96"/>
    <w:rsid w:val="00155FD9"/>
    <w:rsid w:val="00156153"/>
    <w:rsid w:val="00156415"/>
    <w:rsid w:val="001564AA"/>
    <w:rsid w:val="001566F3"/>
    <w:rsid w:val="00156703"/>
    <w:rsid w:val="00156D80"/>
    <w:rsid w:val="00157482"/>
    <w:rsid w:val="001574C0"/>
    <w:rsid w:val="00157E52"/>
    <w:rsid w:val="0016066D"/>
    <w:rsid w:val="001606CF"/>
    <w:rsid w:val="0016079A"/>
    <w:rsid w:val="00160A46"/>
    <w:rsid w:val="00161047"/>
    <w:rsid w:val="0016128D"/>
    <w:rsid w:val="001617C4"/>
    <w:rsid w:val="00161BBF"/>
    <w:rsid w:val="00161D95"/>
    <w:rsid w:val="001624DB"/>
    <w:rsid w:val="00162E91"/>
    <w:rsid w:val="00162EE1"/>
    <w:rsid w:val="00162F3B"/>
    <w:rsid w:val="00163091"/>
    <w:rsid w:val="00163903"/>
    <w:rsid w:val="0016402D"/>
    <w:rsid w:val="00164599"/>
    <w:rsid w:val="0016492F"/>
    <w:rsid w:val="00164A70"/>
    <w:rsid w:val="00164F98"/>
    <w:rsid w:val="001654E7"/>
    <w:rsid w:val="00165687"/>
    <w:rsid w:val="00165CE4"/>
    <w:rsid w:val="00165E10"/>
    <w:rsid w:val="00166D64"/>
    <w:rsid w:val="00166E4C"/>
    <w:rsid w:val="00167391"/>
    <w:rsid w:val="00167447"/>
    <w:rsid w:val="00167676"/>
    <w:rsid w:val="0017089D"/>
    <w:rsid w:val="00172865"/>
    <w:rsid w:val="00172D3E"/>
    <w:rsid w:val="001731C1"/>
    <w:rsid w:val="001735AF"/>
    <w:rsid w:val="00173DFD"/>
    <w:rsid w:val="00173FDA"/>
    <w:rsid w:val="00175AB8"/>
    <w:rsid w:val="00175F2D"/>
    <w:rsid w:val="00175FD2"/>
    <w:rsid w:val="00176034"/>
    <w:rsid w:val="00176F6E"/>
    <w:rsid w:val="00177CFF"/>
    <w:rsid w:val="0018015F"/>
    <w:rsid w:val="001805A8"/>
    <w:rsid w:val="001805A9"/>
    <w:rsid w:val="001809CB"/>
    <w:rsid w:val="00182CAE"/>
    <w:rsid w:val="001833E9"/>
    <w:rsid w:val="00183492"/>
    <w:rsid w:val="00184057"/>
    <w:rsid w:val="001844B4"/>
    <w:rsid w:val="00184505"/>
    <w:rsid w:val="00184DEE"/>
    <w:rsid w:val="00184F6E"/>
    <w:rsid w:val="0018516E"/>
    <w:rsid w:val="001858C1"/>
    <w:rsid w:val="00185CEE"/>
    <w:rsid w:val="00186188"/>
    <w:rsid w:val="00186405"/>
    <w:rsid w:val="00186565"/>
    <w:rsid w:val="00187056"/>
    <w:rsid w:val="00187410"/>
    <w:rsid w:val="001875FF"/>
    <w:rsid w:val="00187B6E"/>
    <w:rsid w:val="00190214"/>
    <w:rsid w:val="0019101A"/>
    <w:rsid w:val="00191402"/>
    <w:rsid w:val="001914FB"/>
    <w:rsid w:val="00192A82"/>
    <w:rsid w:val="00192B4F"/>
    <w:rsid w:val="0019308F"/>
    <w:rsid w:val="0019473C"/>
    <w:rsid w:val="00194F29"/>
    <w:rsid w:val="00195030"/>
    <w:rsid w:val="00195C8E"/>
    <w:rsid w:val="0019628D"/>
    <w:rsid w:val="001968C3"/>
    <w:rsid w:val="001972D2"/>
    <w:rsid w:val="00197F79"/>
    <w:rsid w:val="001A00C3"/>
    <w:rsid w:val="001A019F"/>
    <w:rsid w:val="001A0FC7"/>
    <w:rsid w:val="001A1097"/>
    <w:rsid w:val="001A1522"/>
    <w:rsid w:val="001A1E75"/>
    <w:rsid w:val="001A224D"/>
    <w:rsid w:val="001A25C6"/>
    <w:rsid w:val="001A2B9F"/>
    <w:rsid w:val="001A2CF3"/>
    <w:rsid w:val="001A2FAE"/>
    <w:rsid w:val="001A328D"/>
    <w:rsid w:val="001A34B6"/>
    <w:rsid w:val="001A380D"/>
    <w:rsid w:val="001A385C"/>
    <w:rsid w:val="001A5518"/>
    <w:rsid w:val="001A5A3D"/>
    <w:rsid w:val="001A5ED2"/>
    <w:rsid w:val="001A609F"/>
    <w:rsid w:val="001A6405"/>
    <w:rsid w:val="001A6859"/>
    <w:rsid w:val="001A6E9C"/>
    <w:rsid w:val="001A774A"/>
    <w:rsid w:val="001A7CA3"/>
    <w:rsid w:val="001B138C"/>
    <w:rsid w:val="001B1A64"/>
    <w:rsid w:val="001B1B83"/>
    <w:rsid w:val="001B2B67"/>
    <w:rsid w:val="001B2D1B"/>
    <w:rsid w:val="001B30DC"/>
    <w:rsid w:val="001B3495"/>
    <w:rsid w:val="001B34BA"/>
    <w:rsid w:val="001B382F"/>
    <w:rsid w:val="001B3A01"/>
    <w:rsid w:val="001B4169"/>
    <w:rsid w:val="001B46F2"/>
    <w:rsid w:val="001B57BC"/>
    <w:rsid w:val="001B60A6"/>
    <w:rsid w:val="001B61B5"/>
    <w:rsid w:val="001B62A7"/>
    <w:rsid w:val="001B701E"/>
    <w:rsid w:val="001B7854"/>
    <w:rsid w:val="001B7A7C"/>
    <w:rsid w:val="001B7E94"/>
    <w:rsid w:val="001C007B"/>
    <w:rsid w:val="001C0A47"/>
    <w:rsid w:val="001C0E77"/>
    <w:rsid w:val="001C171A"/>
    <w:rsid w:val="001C1999"/>
    <w:rsid w:val="001C1D26"/>
    <w:rsid w:val="001C2808"/>
    <w:rsid w:val="001C31F8"/>
    <w:rsid w:val="001C358D"/>
    <w:rsid w:val="001C38ED"/>
    <w:rsid w:val="001C3972"/>
    <w:rsid w:val="001C40A0"/>
    <w:rsid w:val="001C4629"/>
    <w:rsid w:val="001C496C"/>
    <w:rsid w:val="001C5A2C"/>
    <w:rsid w:val="001C5D1C"/>
    <w:rsid w:val="001C5DD0"/>
    <w:rsid w:val="001C64AE"/>
    <w:rsid w:val="001C66E0"/>
    <w:rsid w:val="001C6ECF"/>
    <w:rsid w:val="001C7CAB"/>
    <w:rsid w:val="001D0804"/>
    <w:rsid w:val="001D0AFC"/>
    <w:rsid w:val="001D0E14"/>
    <w:rsid w:val="001D1480"/>
    <w:rsid w:val="001D1DA7"/>
    <w:rsid w:val="001D237B"/>
    <w:rsid w:val="001D23A4"/>
    <w:rsid w:val="001D24F0"/>
    <w:rsid w:val="001D2F25"/>
    <w:rsid w:val="001D310A"/>
    <w:rsid w:val="001D3259"/>
    <w:rsid w:val="001D37A9"/>
    <w:rsid w:val="001D435A"/>
    <w:rsid w:val="001D543D"/>
    <w:rsid w:val="001D6BC8"/>
    <w:rsid w:val="001D6CBE"/>
    <w:rsid w:val="001D70F5"/>
    <w:rsid w:val="001D7138"/>
    <w:rsid w:val="001D7496"/>
    <w:rsid w:val="001D7582"/>
    <w:rsid w:val="001D7908"/>
    <w:rsid w:val="001D7BEF"/>
    <w:rsid w:val="001D7D53"/>
    <w:rsid w:val="001E032A"/>
    <w:rsid w:val="001E047C"/>
    <w:rsid w:val="001E054A"/>
    <w:rsid w:val="001E0EB3"/>
    <w:rsid w:val="001E0ED6"/>
    <w:rsid w:val="001E12D6"/>
    <w:rsid w:val="001E16D6"/>
    <w:rsid w:val="001E1ACB"/>
    <w:rsid w:val="001E1E7E"/>
    <w:rsid w:val="001E2249"/>
    <w:rsid w:val="001E228E"/>
    <w:rsid w:val="001E246A"/>
    <w:rsid w:val="001E26CD"/>
    <w:rsid w:val="001E280D"/>
    <w:rsid w:val="001E359C"/>
    <w:rsid w:val="001E39BE"/>
    <w:rsid w:val="001E3DBF"/>
    <w:rsid w:val="001E6787"/>
    <w:rsid w:val="001E698C"/>
    <w:rsid w:val="001E7AEE"/>
    <w:rsid w:val="001E7F59"/>
    <w:rsid w:val="001E7F99"/>
    <w:rsid w:val="001F08BE"/>
    <w:rsid w:val="001F1315"/>
    <w:rsid w:val="001F1B27"/>
    <w:rsid w:val="001F1BF4"/>
    <w:rsid w:val="001F2BEB"/>
    <w:rsid w:val="001F2CDF"/>
    <w:rsid w:val="001F334D"/>
    <w:rsid w:val="001F3C0A"/>
    <w:rsid w:val="001F434D"/>
    <w:rsid w:val="001F43D0"/>
    <w:rsid w:val="001F4A24"/>
    <w:rsid w:val="001F5218"/>
    <w:rsid w:val="001F584D"/>
    <w:rsid w:val="001F5DFB"/>
    <w:rsid w:val="001F62A2"/>
    <w:rsid w:val="001F62F0"/>
    <w:rsid w:val="001F65C9"/>
    <w:rsid w:val="001F669D"/>
    <w:rsid w:val="001F6846"/>
    <w:rsid w:val="001F6C61"/>
    <w:rsid w:val="001F6C89"/>
    <w:rsid w:val="001F6F98"/>
    <w:rsid w:val="001F70D2"/>
    <w:rsid w:val="001F72FF"/>
    <w:rsid w:val="001F7321"/>
    <w:rsid w:val="002003BB"/>
    <w:rsid w:val="00201183"/>
    <w:rsid w:val="00201CDF"/>
    <w:rsid w:val="00201D3B"/>
    <w:rsid w:val="002025F9"/>
    <w:rsid w:val="00202828"/>
    <w:rsid w:val="00202AA3"/>
    <w:rsid w:val="00202F2F"/>
    <w:rsid w:val="00203052"/>
    <w:rsid w:val="00203ADB"/>
    <w:rsid w:val="00203F87"/>
    <w:rsid w:val="00204000"/>
    <w:rsid w:val="00205644"/>
    <w:rsid w:val="00205863"/>
    <w:rsid w:val="002058BE"/>
    <w:rsid w:val="00206A3E"/>
    <w:rsid w:val="00206AC1"/>
    <w:rsid w:val="0020746A"/>
    <w:rsid w:val="002077AC"/>
    <w:rsid w:val="00207EF0"/>
    <w:rsid w:val="00210E6F"/>
    <w:rsid w:val="002110AA"/>
    <w:rsid w:val="0021189B"/>
    <w:rsid w:val="002119A2"/>
    <w:rsid w:val="002124BC"/>
    <w:rsid w:val="002132B6"/>
    <w:rsid w:val="002132F7"/>
    <w:rsid w:val="002133E2"/>
    <w:rsid w:val="0021436D"/>
    <w:rsid w:val="002146A7"/>
    <w:rsid w:val="00214953"/>
    <w:rsid w:val="00215071"/>
    <w:rsid w:val="00215698"/>
    <w:rsid w:val="00215D80"/>
    <w:rsid w:val="002162B6"/>
    <w:rsid w:val="0021634B"/>
    <w:rsid w:val="00216DC4"/>
    <w:rsid w:val="00216F84"/>
    <w:rsid w:val="002171DD"/>
    <w:rsid w:val="002178A6"/>
    <w:rsid w:val="00217E04"/>
    <w:rsid w:val="002200D8"/>
    <w:rsid w:val="00220B8F"/>
    <w:rsid w:val="00220C47"/>
    <w:rsid w:val="002218DD"/>
    <w:rsid w:val="00221C12"/>
    <w:rsid w:val="00221EC0"/>
    <w:rsid w:val="00221EC1"/>
    <w:rsid w:val="002229C3"/>
    <w:rsid w:val="002233FB"/>
    <w:rsid w:val="002243CB"/>
    <w:rsid w:val="002249DA"/>
    <w:rsid w:val="00224CD4"/>
    <w:rsid w:val="00227E90"/>
    <w:rsid w:val="002302DA"/>
    <w:rsid w:val="00230693"/>
    <w:rsid w:val="00231049"/>
    <w:rsid w:val="002314D2"/>
    <w:rsid w:val="00231991"/>
    <w:rsid w:val="0023305C"/>
    <w:rsid w:val="0023329A"/>
    <w:rsid w:val="002333B8"/>
    <w:rsid w:val="0023352D"/>
    <w:rsid w:val="0023387C"/>
    <w:rsid w:val="002345E3"/>
    <w:rsid w:val="00234603"/>
    <w:rsid w:val="002347AA"/>
    <w:rsid w:val="002354C7"/>
    <w:rsid w:val="0023561A"/>
    <w:rsid w:val="0023563B"/>
    <w:rsid w:val="00235E75"/>
    <w:rsid w:val="002363AB"/>
    <w:rsid w:val="002365DC"/>
    <w:rsid w:val="00237602"/>
    <w:rsid w:val="0023788A"/>
    <w:rsid w:val="002378F0"/>
    <w:rsid w:val="00237A71"/>
    <w:rsid w:val="002400E1"/>
    <w:rsid w:val="00241881"/>
    <w:rsid w:val="0024228E"/>
    <w:rsid w:val="0024231C"/>
    <w:rsid w:val="0024294C"/>
    <w:rsid w:val="00242C18"/>
    <w:rsid w:val="00242DE2"/>
    <w:rsid w:val="00242E3F"/>
    <w:rsid w:val="00243368"/>
    <w:rsid w:val="00244651"/>
    <w:rsid w:val="00244FBD"/>
    <w:rsid w:val="00245E72"/>
    <w:rsid w:val="002461BA"/>
    <w:rsid w:val="00246549"/>
    <w:rsid w:val="00246733"/>
    <w:rsid w:val="002470D1"/>
    <w:rsid w:val="0024728E"/>
    <w:rsid w:val="002474C0"/>
    <w:rsid w:val="00247AC5"/>
    <w:rsid w:val="0025004E"/>
    <w:rsid w:val="00250A6E"/>
    <w:rsid w:val="00250BBE"/>
    <w:rsid w:val="00250D4B"/>
    <w:rsid w:val="00250D56"/>
    <w:rsid w:val="00251CC0"/>
    <w:rsid w:val="00251FEA"/>
    <w:rsid w:val="00252EAF"/>
    <w:rsid w:val="00253248"/>
    <w:rsid w:val="00253378"/>
    <w:rsid w:val="0025376B"/>
    <w:rsid w:val="00253B65"/>
    <w:rsid w:val="00253E51"/>
    <w:rsid w:val="002541C0"/>
    <w:rsid w:val="002543D8"/>
    <w:rsid w:val="00254934"/>
    <w:rsid w:val="00254B0F"/>
    <w:rsid w:val="00255BDC"/>
    <w:rsid w:val="00255F0B"/>
    <w:rsid w:val="00255F2F"/>
    <w:rsid w:val="00256031"/>
    <w:rsid w:val="0025652F"/>
    <w:rsid w:val="0025682C"/>
    <w:rsid w:val="00256C74"/>
    <w:rsid w:val="00256DD8"/>
    <w:rsid w:val="002570F3"/>
    <w:rsid w:val="00257572"/>
    <w:rsid w:val="002603D2"/>
    <w:rsid w:val="00260E6B"/>
    <w:rsid w:val="00260F3C"/>
    <w:rsid w:val="002628EB"/>
    <w:rsid w:val="00262984"/>
    <w:rsid w:val="00263300"/>
    <w:rsid w:val="002635A5"/>
    <w:rsid w:val="00263B6C"/>
    <w:rsid w:val="002645B6"/>
    <w:rsid w:val="00264728"/>
    <w:rsid w:val="00265ACF"/>
    <w:rsid w:val="00265B72"/>
    <w:rsid w:val="00265E6F"/>
    <w:rsid w:val="0026613F"/>
    <w:rsid w:val="002663F5"/>
    <w:rsid w:val="00266AFB"/>
    <w:rsid w:val="002704A1"/>
    <w:rsid w:val="0027063E"/>
    <w:rsid w:val="002708FD"/>
    <w:rsid w:val="00271042"/>
    <w:rsid w:val="00271257"/>
    <w:rsid w:val="00271973"/>
    <w:rsid w:val="00271F27"/>
    <w:rsid w:val="00272551"/>
    <w:rsid w:val="00272913"/>
    <w:rsid w:val="00272939"/>
    <w:rsid w:val="00272EFB"/>
    <w:rsid w:val="002733A5"/>
    <w:rsid w:val="0027429D"/>
    <w:rsid w:val="002748F5"/>
    <w:rsid w:val="00274CC3"/>
    <w:rsid w:val="0027590B"/>
    <w:rsid w:val="00275ABC"/>
    <w:rsid w:val="00276B5F"/>
    <w:rsid w:val="002770F0"/>
    <w:rsid w:val="00277111"/>
    <w:rsid w:val="002774AC"/>
    <w:rsid w:val="002774CA"/>
    <w:rsid w:val="002801CD"/>
    <w:rsid w:val="00280ABD"/>
    <w:rsid w:val="00280B99"/>
    <w:rsid w:val="00281215"/>
    <w:rsid w:val="002823EC"/>
    <w:rsid w:val="002837E5"/>
    <w:rsid w:val="002847C8"/>
    <w:rsid w:val="00284F39"/>
    <w:rsid w:val="0028519C"/>
    <w:rsid w:val="002851DF"/>
    <w:rsid w:val="00285969"/>
    <w:rsid w:val="00286630"/>
    <w:rsid w:val="0028666E"/>
    <w:rsid w:val="00286757"/>
    <w:rsid w:val="0028778F"/>
    <w:rsid w:val="0028784E"/>
    <w:rsid w:val="00290013"/>
    <w:rsid w:val="002904B9"/>
    <w:rsid w:val="00290555"/>
    <w:rsid w:val="00290A67"/>
    <w:rsid w:val="00294717"/>
    <w:rsid w:val="00294806"/>
    <w:rsid w:val="00294A52"/>
    <w:rsid w:val="00295288"/>
    <w:rsid w:val="002953DA"/>
    <w:rsid w:val="00295595"/>
    <w:rsid w:val="00295B30"/>
    <w:rsid w:val="0029636A"/>
    <w:rsid w:val="002964D3"/>
    <w:rsid w:val="00296B42"/>
    <w:rsid w:val="00297A37"/>
    <w:rsid w:val="00297AAE"/>
    <w:rsid w:val="00297BDE"/>
    <w:rsid w:val="002A0071"/>
    <w:rsid w:val="002A042C"/>
    <w:rsid w:val="002A0657"/>
    <w:rsid w:val="002A0C96"/>
    <w:rsid w:val="002A0D9B"/>
    <w:rsid w:val="002A1418"/>
    <w:rsid w:val="002A1DF7"/>
    <w:rsid w:val="002A1F4B"/>
    <w:rsid w:val="002A20A4"/>
    <w:rsid w:val="002A2381"/>
    <w:rsid w:val="002A23DB"/>
    <w:rsid w:val="002A2CF4"/>
    <w:rsid w:val="002A2F3B"/>
    <w:rsid w:val="002A30D7"/>
    <w:rsid w:val="002A39D3"/>
    <w:rsid w:val="002A4C40"/>
    <w:rsid w:val="002A4C9C"/>
    <w:rsid w:val="002A57B6"/>
    <w:rsid w:val="002A692A"/>
    <w:rsid w:val="002A6FC9"/>
    <w:rsid w:val="002A74EF"/>
    <w:rsid w:val="002A7A31"/>
    <w:rsid w:val="002B14C0"/>
    <w:rsid w:val="002B1A5A"/>
    <w:rsid w:val="002B1C00"/>
    <w:rsid w:val="002B1D60"/>
    <w:rsid w:val="002B25FF"/>
    <w:rsid w:val="002B3829"/>
    <w:rsid w:val="002B3CEA"/>
    <w:rsid w:val="002B4EC2"/>
    <w:rsid w:val="002B50C2"/>
    <w:rsid w:val="002B5136"/>
    <w:rsid w:val="002B5240"/>
    <w:rsid w:val="002B5C50"/>
    <w:rsid w:val="002B6163"/>
    <w:rsid w:val="002B785C"/>
    <w:rsid w:val="002B7BCD"/>
    <w:rsid w:val="002B7FCA"/>
    <w:rsid w:val="002C0394"/>
    <w:rsid w:val="002C04EB"/>
    <w:rsid w:val="002C05E4"/>
    <w:rsid w:val="002C07A8"/>
    <w:rsid w:val="002C07C5"/>
    <w:rsid w:val="002C0B2B"/>
    <w:rsid w:val="002C220A"/>
    <w:rsid w:val="002C22EF"/>
    <w:rsid w:val="002C2B62"/>
    <w:rsid w:val="002C2CA7"/>
    <w:rsid w:val="002C3FEA"/>
    <w:rsid w:val="002C42DF"/>
    <w:rsid w:val="002C430A"/>
    <w:rsid w:val="002C4CDB"/>
    <w:rsid w:val="002C4E91"/>
    <w:rsid w:val="002C4EAF"/>
    <w:rsid w:val="002C4EFD"/>
    <w:rsid w:val="002C4FB9"/>
    <w:rsid w:val="002C545A"/>
    <w:rsid w:val="002C73F9"/>
    <w:rsid w:val="002C79D4"/>
    <w:rsid w:val="002C7B94"/>
    <w:rsid w:val="002C7EF2"/>
    <w:rsid w:val="002C7FB5"/>
    <w:rsid w:val="002D03AE"/>
    <w:rsid w:val="002D09C7"/>
    <w:rsid w:val="002D1110"/>
    <w:rsid w:val="002D1364"/>
    <w:rsid w:val="002D2B9D"/>
    <w:rsid w:val="002D2D55"/>
    <w:rsid w:val="002D2D97"/>
    <w:rsid w:val="002D2F2F"/>
    <w:rsid w:val="002D3DBC"/>
    <w:rsid w:val="002D4130"/>
    <w:rsid w:val="002D42E1"/>
    <w:rsid w:val="002D4363"/>
    <w:rsid w:val="002D4BD8"/>
    <w:rsid w:val="002D610A"/>
    <w:rsid w:val="002D692B"/>
    <w:rsid w:val="002D6C49"/>
    <w:rsid w:val="002D6DA2"/>
    <w:rsid w:val="002D6F1E"/>
    <w:rsid w:val="002D6FC1"/>
    <w:rsid w:val="002D7344"/>
    <w:rsid w:val="002D7C83"/>
    <w:rsid w:val="002D7DC8"/>
    <w:rsid w:val="002E024E"/>
    <w:rsid w:val="002E0F95"/>
    <w:rsid w:val="002E1321"/>
    <w:rsid w:val="002E14CA"/>
    <w:rsid w:val="002E193E"/>
    <w:rsid w:val="002E1D97"/>
    <w:rsid w:val="002E1F31"/>
    <w:rsid w:val="002E1FB6"/>
    <w:rsid w:val="002E3230"/>
    <w:rsid w:val="002E39DE"/>
    <w:rsid w:val="002E3B46"/>
    <w:rsid w:val="002E3B89"/>
    <w:rsid w:val="002E454C"/>
    <w:rsid w:val="002E4E1F"/>
    <w:rsid w:val="002E4F3C"/>
    <w:rsid w:val="002E59FC"/>
    <w:rsid w:val="002E5BA3"/>
    <w:rsid w:val="002E5CDF"/>
    <w:rsid w:val="002E5E6A"/>
    <w:rsid w:val="002E6144"/>
    <w:rsid w:val="002E646B"/>
    <w:rsid w:val="002E6799"/>
    <w:rsid w:val="002E6E1B"/>
    <w:rsid w:val="002E7253"/>
    <w:rsid w:val="002E7B81"/>
    <w:rsid w:val="002F0940"/>
    <w:rsid w:val="002F0C80"/>
    <w:rsid w:val="002F2C37"/>
    <w:rsid w:val="002F5158"/>
    <w:rsid w:val="002F5490"/>
    <w:rsid w:val="002F5881"/>
    <w:rsid w:val="002F617F"/>
    <w:rsid w:val="002F7106"/>
    <w:rsid w:val="002F77F8"/>
    <w:rsid w:val="00300109"/>
    <w:rsid w:val="00300129"/>
    <w:rsid w:val="00300678"/>
    <w:rsid w:val="00300BF0"/>
    <w:rsid w:val="0030105E"/>
    <w:rsid w:val="00301755"/>
    <w:rsid w:val="00302F39"/>
    <w:rsid w:val="00303539"/>
    <w:rsid w:val="003035F2"/>
    <w:rsid w:val="00303A4E"/>
    <w:rsid w:val="00303ADC"/>
    <w:rsid w:val="00303EA1"/>
    <w:rsid w:val="0030406C"/>
    <w:rsid w:val="00304127"/>
    <w:rsid w:val="00304343"/>
    <w:rsid w:val="003043C0"/>
    <w:rsid w:val="0030440B"/>
    <w:rsid w:val="00305798"/>
    <w:rsid w:val="003057DB"/>
    <w:rsid w:val="00305C67"/>
    <w:rsid w:val="0030601C"/>
    <w:rsid w:val="00306498"/>
    <w:rsid w:val="0030665E"/>
    <w:rsid w:val="00306894"/>
    <w:rsid w:val="00307ADC"/>
    <w:rsid w:val="00310902"/>
    <w:rsid w:val="00310C03"/>
    <w:rsid w:val="0031199E"/>
    <w:rsid w:val="00311B09"/>
    <w:rsid w:val="00311CE0"/>
    <w:rsid w:val="003122F4"/>
    <w:rsid w:val="003128A2"/>
    <w:rsid w:val="003138CC"/>
    <w:rsid w:val="003138F4"/>
    <w:rsid w:val="00315709"/>
    <w:rsid w:val="00315BF3"/>
    <w:rsid w:val="00315F49"/>
    <w:rsid w:val="003167DA"/>
    <w:rsid w:val="0031685F"/>
    <w:rsid w:val="003169C9"/>
    <w:rsid w:val="00316D1F"/>
    <w:rsid w:val="00316D9A"/>
    <w:rsid w:val="0031785C"/>
    <w:rsid w:val="00317A77"/>
    <w:rsid w:val="00317CB9"/>
    <w:rsid w:val="00317FA1"/>
    <w:rsid w:val="003206BC"/>
    <w:rsid w:val="0032076A"/>
    <w:rsid w:val="003211BB"/>
    <w:rsid w:val="00321589"/>
    <w:rsid w:val="00322053"/>
    <w:rsid w:val="00322BA0"/>
    <w:rsid w:val="003230BB"/>
    <w:rsid w:val="003232F7"/>
    <w:rsid w:val="00324294"/>
    <w:rsid w:val="00324305"/>
    <w:rsid w:val="0032464A"/>
    <w:rsid w:val="00324DFF"/>
    <w:rsid w:val="00325CB6"/>
    <w:rsid w:val="00325E2C"/>
    <w:rsid w:val="0032622B"/>
    <w:rsid w:val="0032630E"/>
    <w:rsid w:val="003263E2"/>
    <w:rsid w:val="003268D5"/>
    <w:rsid w:val="003273CB"/>
    <w:rsid w:val="003275A8"/>
    <w:rsid w:val="00330F2D"/>
    <w:rsid w:val="003310CA"/>
    <w:rsid w:val="003312FF"/>
    <w:rsid w:val="00331A5E"/>
    <w:rsid w:val="003325D3"/>
    <w:rsid w:val="00332A60"/>
    <w:rsid w:val="00332B41"/>
    <w:rsid w:val="00332BC1"/>
    <w:rsid w:val="003343D1"/>
    <w:rsid w:val="00334673"/>
    <w:rsid w:val="003347CA"/>
    <w:rsid w:val="003353E5"/>
    <w:rsid w:val="00335897"/>
    <w:rsid w:val="0033597A"/>
    <w:rsid w:val="003367A7"/>
    <w:rsid w:val="0033733F"/>
    <w:rsid w:val="00337480"/>
    <w:rsid w:val="0033755F"/>
    <w:rsid w:val="0033794D"/>
    <w:rsid w:val="00340257"/>
    <w:rsid w:val="003403D1"/>
    <w:rsid w:val="00342CB2"/>
    <w:rsid w:val="00343524"/>
    <w:rsid w:val="003441C6"/>
    <w:rsid w:val="00344382"/>
    <w:rsid w:val="003447F2"/>
    <w:rsid w:val="003448F6"/>
    <w:rsid w:val="00344DB0"/>
    <w:rsid w:val="003459FA"/>
    <w:rsid w:val="00345C7E"/>
    <w:rsid w:val="00345C9A"/>
    <w:rsid w:val="0034606A"/>
    <w:rsid w:val="00346146"/>
    <w:rsid w:val="00346C5E"/>
    <w:rsid w:val="00346D22"/>
    <w:rsid w:val="003476FF"/>
    <w:rsid w:val="0034776A"/>
    <w:rsid w:val="00347BA2"/>
    <w:rsid w:val="00347BA3"/>
    <w:rsid w:val="00347C49"/>
    <w:rsid w:val="00347CDA"/>
    <w:rsid w:val="00347CEF"/>
    <w:rsid w:val="00347DD0"/>
    <w:rsid w:val="0035022E"/>
    <w:rsid w:val="00350759"/>
    <w:rsid w:val="0035089C"/>
    <w:rsid w:val="00351181"/>
    <w:rsid w:val="00351940"/>
    <w:rsid w:val="0035233C"/>
    <w:rsid w:val="00353000"/>
    <w:rsid w:val="0035352D"/>
    <w:rsid w:val="00353EEC"/>
    <w:rsid w:val="00354479"/>
    <w:rsid w:val="003549C3"/>
    <w:rsid w:val="00354D27"/>
    <w:rsid w:val="003554AC"/>
    <w:rsid w:val="00355802"/>
    <w:rsid w:val="00355831"/>
    <w:rsid w:val="00355C10"/>
    <w:rsid w:val="00355CBF"/>
    <w:rsid w:val="00355CE7"/>
    <w:rsid w:val="00355FB0"/>
    <w:rsid w:val="003563F7"/>
    <w:rsid w:val="00356568"/>
    <w:rsid w:val="00356BCF"/>
    <w:rsid w:val="0035738A"/>
    <w:rsid w:val="003575B8"/>
    <w:rsid w:val="00357D8C"/>
    <w:rsid w:val="00360577"/>
    <w:rsid w:val="00360678"/>
    <w:rsid w:val="00360AB0"/>
    <w:rsid w:val="003612DB"/>
    <w:rsid w:val="003617A8"/>
    <w:rsid w:val="00362165"/>
    <w:rsid w:val="0036263B"/>
    <w:rsid w:val="00362D15"/>
    <w:rsid w:val="003632D6"/>
    <w:rsid w:val="00363B77"/>
    <w:rsid w:val="00364DFC"/>
    <w:rsid w:val="00365390"/>
    <w:rsid w:val="00365729"/>
    <w:rsid w:val="00365914"/>
    <w:rsid w:val="00365B27"/>
    <w:rsid w:val="00365E86"/>
    <w:rsid w:val="00366ADE"/>
    <w:rsid w:val="00366BE7"/>
    <w:rsid w:val="00366CF0"/>
    <w:rsid w:val="00366D36"/>
    <w:rsid w:val="00366D66"/>
    <w:rsid w:val="00366EDB"/>
    <w:rsid w:val="00367107"/>
    <w:rsid w:val="00367F44"/>
    <w:rsid w:val="003701F8"/>
    <w:rsid w:val="00370222"/>
    <w:rsid w:val="0037028C"/>
    <w:rsid w:val="00370437"/>
    <w:rsid w:val="00370488"/>
    <w:rsid w:val="00370ABB"/>
    <w:rsid w:val="003714DA"/>
    <w:rsid w:val="00371F75"/>
    <w:rsid w:val="0037279E"/>
    <w:rsid w:val="00373145"/>
    <w:rsid w:val="0037367F"/>
    <w:rsid w:val="003739C7"/>
    <w:rsid w:val="00374016"/>
    <w:rsid w:val="003745A4"/>
    <w:rsid w:val="0037461F"/>
    <w:rsid w:val="0037495A"/>
    <w:rsid w:val="00374C82"/>
    <w:rsid w:val="00374F9A"/>
    <w:rsid w:val="00375655"/>
    <w:rsid w:val="003767DE"/>
    <w:rsid w:val="00377178"/>
    <w:rsid w:val="00380318"/>
    <w:rsid w:val="00380483"/>
    <w:rsid w:val="003806F3"/>
    <w:rsid w:val="00380B81"/>
    <w:rsid w:val="00380D7C"/>
    <w:rsid w:val="00381099"/>
    <w:rsid w:val="0038195A"/>
    <w:rsid w:val="00382C28"/>
    <w:rsid w:val="00382EC3"/>
    <w:rsid w:val="00383EF6"/>
    <w:rsid w:val="003841D9"/>
    <w:rsid w:val="00384C60"/>
    <w:rsid w:val="00384FAD"/>
    <w:rsid w:val="00385240"/>
    <w:rsid w:val="00385665"/>
    <w:rsid w:val="003858A6"/>
    <w:rsid w:val="00385CE7"/>
    <w:rsid w:val="00386297"/>
    <w:rsid w:val="00386DA3"/>
    <w:rsid w:val="00387279"/>
    <w:rsid w:val="003905E7"/>
    <w:rsid w:val="0039061C"/>
    <w:rsid w:val="00391010"/>
    <w:rsid w:val="003928E8"/>
    <w:rsid w:val="00392DCC"/>
    <w:rsid w:val="00393A25"/>
    <w:rsid w:val="00393B45"/>
    <w:rsid w:val="00393FDC"/>
    <w:rsid w:val="003940FC"/>
    <w:rsid w:val="00394395"/>
    <w:rsid w:val="0039487A"/>
    <w:rsid w:val="003952B6"/>
    <w:rsid w:val="0039546A"/>
    <w:rsid w:val="0039602C"/>
    <w:rsid w:val="0039717B"/>
    <w:rsid w:val="00397AD3"/>
    <w:rsid w:val="00397BB5"/>
    <w:rsid w:val="00397D26"/>
    <w:rsid w:val="003A06E3"/>
    <w:rsid w:val="003A0C9B"/>
    <w:rsid w:val="003A1B88"/>
    <w:rsid w:val="003A1EF5"/>
    <w:rsid w:val="003A34C8"/>
    <w:rsid w:val="003A4161"/>
    <w:rsid w:val="003A41AB"/>
    <w:rsid w:val="003A425C"/>
    <w:rsid w:val="003A4B46"/>
    <w:rsid w:val="003A593C"/>
    <w:rsid w:val="003A5B36"/>
    <w:rsid w:val="003A6507"/>
    <w:rsid w:val="003A69B2"/>
    <w:rsid w:val="003A6BF1"/>
    <w:rsid w:val="003A726A"/>
    <w:rsid w:val="003A767C"/>
    <w:rsid w:val="003A7788"/>
    <w:rsid w:val="003A7A50"/>
    <w:rsid w:val="003A7E6E"/>
    <w:rsid w:val="003B006E"/>
    <w:rsid w:val="003B0BDC"/>
    <w:rsid w:val="003B0F28"/>
    <w:rsid w:val="003B11F7"/>
    <w:rsid w:val="003B1893"/>
    <w:rsid w:val="003B23C3"/>
    <w:rsid w:val="003B23EC"/>
    <w:rsid w:val="003B25A1"/>
    <w:rsid w:val="003B3FE3"/>
    <w:rsid w:val="003B457F"/>
    <w:rsid w:val="003B4CA7"/>
    <w:rsid w:val="003B628E"/>
    <w:rsid w:val="003B62C1"/>
    <w:rsid w:val="003B656B"/>
    <w:rsid w:val="003B6D4F"/>
    <w:rsid w:val="003B6FAD"/>
    <w:rsid w:val="003B7236"/>
    <w:rsid w:val="003B7440"/>
    <w:rsid w:val="003C00DF"/>
    <w:rsid w:val="003C09BC"/>
    <w:rsid w:val="003C1F5D"/>
    <w:rsid w:val="003C24B4"/>
    <w:rsid w:val="003C274F"/>
    <w:rsid w:val="003C3154"/>
    <w:rsid w:val="003C34E6"/>
    <w:rsid w:val="003C36B6"/>
    <w:rsid w:val="003C3C03"/>
    <w:rsid w:val="003C3D42"/>
    <w:rsid w:val="003C4B56"/>
    <w:rsid w:val="003C4CCA"/>
    <w:rsid w:val="003C516D"/>
    <w:rsid w:val="003C561C"/>
    <w:rsid w:val="003C63BC"/>
    <w:rsid w:val="003C65F9"/>
    <w:rsid w:val="003C70B5"/>
    <w:rsid w:val="003C7727"/>
    <w:rsid w:val="003C7A61"/>
    <w:rsid w:val="003D0D88"/>
    <w:rsid w:val="003D2066"/>
    <w:rsid w:val="003D2216"/>
    <w:rsid w:val="003D2274"/>
    <w:rsid w:val="003D2A2C"/>
    <w:rsid w:val="003D31DC"/>
    <w:rsid w:val="003D3B94"/>
    <w:rsid w:val="003D3DD0"/>
    <w:rsid w:val="003D4867"/>
    <w:rsid w:val="003D4A8A"/>
    <w:rsid w:val="003D5036"/>
    <w:rsid w:val="003D5699"/>
    <w:rsid w:val="003D569F"/>
    <w:rsid w:val="003D57CF"/>
    <w:rsid w:val="003D5CCA"/>
    <w:rsid w:val="003D5ED7"/>
    <w:rsid w:val="003D6C0B"/>
    <w:rsid w:val="003D764E"/>
    <w:rsid w:val="003D7BA7"/>
    <w:rsid w:val="003E0221"/>
    <w:rsid w:val="003E033D"/>
    <w:rsid w:val="003E1933"/>
    <w:rsid w:val="003E1EDB"/>
    <w:rsid w:val="003E20D6"/>
    <w:rsid w:val="003E28D1"/>
    <w:rsid w:val="003E2C3C"/>
    <w:rsid w:val="003E4628"/>
    <w:rsid w:val="003E4C57"/>
    <w:rsid w:val="003E4D87"/>
    <w:rsid w:val="003E5E8A"/>
    <w:rsid w:val="003E6F15"/>
    <w:rsid w:val="003E73A5"/>
    <w:rsid w:val="003E74E1"/>
    <w:rsid w:val="003E7948"/>
    <w:rsid w:val="003F00AC"/>
    <w:rsid w:val="003F0E90"/>
    <w:rsid w:val="003F1146"/>
    <w:rsid w:val="003F15E3"/>
    <w:rsid w:val="003F1AB2"/>
    <w:rsid w:val="003F1E7F"/>
    <w:rsid w:val="003F207E"/>
    <w:rsid w:val="003F27BE"/>
    <w:rsid w:val="003F3799"/>
    <w:rsid w:val="003F46E7"/>
    <w:rsid w:val="003F4B8F"/>
    <w:rsid w:val="003F55B9"/>
    <w:rsid w:val="003F55D5"/>
    <w:rsid w:val="003F584B"/>
    <w:rsid w:val="003F5E69"/>
    <w:rsid w:val="003F5F31"/>
    <w:rsid w:val="003F6A95"/>
    <w:rsid w:val="003F6C70"/>
    <w:rsid w:val="004000FA"/>
    <w:rsid w:val="0040029D"/>
    <w:rsid w:val="0040036C"/>
    <w:rsid w:val="00400DF7"/>
    <w:rsid w:val="00401082"/>
    <w:rsid w:val="004022A8"/>
    <w:rsid w:val="00402880"/>
    <w:rsid w:val="00403EF3"/>
    <w:rsid w:val="00404FB9"/>
    <w:rsid w:val="004050B5"/>
    <w:rsid w:val="0040535F"/>
    <w:rsid w:val="0040590F"/>
    <w:rsid w:val="004059B8"/>
    <w:rsid w:val="00405DA3"/>
    <w:rsid w:val="00405F37"/>
    <w:rsid w:val="00407C4D"/>
    <w:rsid w:val="00410819"/>
    <w:rsid w:val="00412898"/>
    <w:rsid w:val="00412913"/>
    <w:rsid w:val="004135C9"/>
    <w:rsid w:val="00413809"/>
    <w:rsid w:val="00413A38"/>
    <w:rsid w:val="00414FEB"/>
    <w:rsid w:val="00416152"/>
    <w:rsid w:val="00416762"/>
    <w:rsid w:val="00416E55"/>
    <w:rsid w:val="004176B1"/>
    <w:rsid w:val="004178B6"/>
    <w:rsid w:val="004179BC"/>
    <w:rsid w:val="00420A42"/>
    <w:rsid w:val="00420CAD"/>
    <w:rsid w:val="00421955"/>
    <w:rsid w:val="00421B21"/>
    <w:rsid w:val="00421F6D"/>
    <w:rsid w:val="00422E5F"/>
    <w:rsid w:val="00422F9E"/>
    <w:rsid w:val="004231B9"/>
    <w:rsid w:val="004234AA"/>
    <w:rsid w:val="004234B0"/>
    <w:rsid w:val="00423898"/>
    <w:rsid w:val="00423A8F"/>
    <w:rsid w:val="00424622"/>
    <w:rsid w:val="0042518A"/>
    <w:rsid w:val="0042549A"/>
    <w:rsid w:val="00425AAA"/>
    <w:rsid w:val="00425E11"/>
    <w:rsid w:val="004262C5"/>
    <w:rsid w:val="00426795"/>
    <w:rsid w:val="004268EA"/>
    <w:rsid w:val="00426BB0"/>
    <w:rsid w:val="004276A0"/>
    <w:rsid w:val="00430095"/>
    <w:rsid w:val="00430D92"/>
    <w:rsid w:val="0043128F"/>
    <w:rsid w:val="00431803"/>
    <w:rsid w:val="0043205E"/>
    <w:rsid w:val="004327CF"/>
    <w:rsid w:val="00434441"/>
    <w:rsid w:val="004346EA"/>
    <w:rsid w:val="00434CFA"/>
    <w:rsid w:val="00434D7D"/>
    <w:rsid w:val="00435276"/>
    <w:rsid w:val="004356B1"/>
    <w:rsid w:val="00435806"/>
    <w:rsid w:val="004360E3"/>
    <w:rsid w:val="00436A02"/>
    <w:rsid w:val="00436A23"/>
    <w:rsid w:val="00436CF4"/>
    <w:rsid w:val="0043731A"/>
    <w:rsid w:val="004375AB"/>
    <w:rsid w:val="00437784"/>
    <w:rsid w:val="00437C10"/>
    <w:rsid w:val="0044035A"/>
    <w:rsid w:val="0044037C"/>
    <w:rsid w:val="00441044"/>
    <w:rsid w:val="004410C2"/>
    <w:rsid w:val="00441171"/>
    <w:rsid w:val="004419CC"/>
    <w:rsid w:val="00441A96"/>
    <w:rsid w:val="004427D2"/>
    <w:rsid w:val="004428C6"/>
    <w:rsid w:val="0044304F"/>
    <w:rsid w:val="00443673"/>
    <w:rsid w:val="00444716"/>
    <w:rsid w:val="004448A3"/>
    <w:rsid w:val="00444A63"/>
    <w:rsid w:val="00445265"/>
    <w:rsid w:val="00445528"/>
    <w:rsid w:val="0044579D"/>
    <w:rsid w:val="00445A0C"/>
    <w:rsid w:val="00445B62"/>
    <w:rsid w:val="00445CC1"/>
    <w:rsid w:val="00446490"/>
    <w:rsid w:val="004474EC"/>
    <w:rsid w:val="004479E7"/>
    <w:rsid w:val="00447DDA"/>
    <w:rsid w:val="0045020A"/>
    <w:rsid w:val="00450F82"/>
    <w:rsid w:val="00451173"/>
    <w:rsid w:val="00451FCE"/>
    <w:rsid w:val="004532A9"/>
    <w:rsid w:val="0045343C"/>
    <w:rsid w:val="00453A1A"/>
    <w:rsid w:val="0045411F"/>
    <w:rsid w:val="004559CE"/>
    <w:rsid w:val="00455DA3"/>
    <w:rsid w:val="00456032"/>
    <w:rsid w:val="00456585"/>
    <w:rsid w:val="00456A2C"/>
    <w:rsid w:val="00456F41"/>
    <w:rsid w:val="004573A7"/>
    <w:rsid w:val="00457DE6"/>
    <w:rsid w:val="0046051F"/>
    <w:rsid w:val="00460B3F"/>
    <w:rsid w:val="00460E1A"/>
    <w:rsid w:val="00461077"/>
    <w:rsid w:val="00461642"/>
    <w:rsid w:val="004618D1"/>
    <w:rsid w:val="004621B0"/>
    <w:rsid w:val="00462565"/>
    <w:rsid w:val="00463DF8"/>
    <w:rsid w:val="004642FC"/>
    <w:rsid w:val="004649E0"/>
    <w:rsid w:val="00464C55"/>
    <w:rsid w:val="00464DA4"/>
    <w:rsid w:val="00464DAF"/>
    <w:rsid w:val="00464FC2"/>
    <w:rsid w:val="0046524C"/>
    <w:rsid w:val="004657DD"/>
    <w:rsid w:val="00465AE7"/>
    <w:rsid w:val="00465F79"/>
    <w:rsid w:val="004663B4"/>
    <w:rsid w:val="00466561"/>
    <w:rsid w:val="00466C2B"/>
    <w:rsid w:val="00466D77"/>
    <w:rsid w:val="0046725B"/>
    <w:rsid w:val="004679C6"/>
    <w:rsid w:val="00470332"/>
    <w:rsid w:val="004706F4"/>
    <w:rsid w:val="00470ECB"/>
    <w:rsid w:val="00471108"/>
    <w:rsid w:val="0047163F"/>
    <w:rsid w:val="00473197"/>
    <w:rsid w:val="0047323A"/>
    <w:rsid w:val="00473543"/>
    <w:rsid w:val="00473C78"/>
    <w:rsid w:val="00473FDA"/>
    <w:rsid w:val="0047426E"/>
    <w:rsid w:val="0047490B"/>
    <w:rsid w:val="00475085"/>
    <w:rsid w:val="00475125"/>
    <w:rsid w:val="00475489"/>
    <w:rsid w:val="00475C24"/>
    <w:rsid w:val="00476122"/>
    <w:rsid w:val="00476890"/>
    <w:rsid w:val="00476BB9"/>
    <w:rsid w:val="00476CF6"/>
    <w:rsid w:val="004778FC"/>
    <w:rsid w:val="00477AA8"/>
    <w:rsid w:val="004814EC"/>
    <w:rsid w:val="0048160A"/>
    <w:rsid w:val="004817CF"/>
    <w:rsid w:val="00481944"/>
    <w:rsid w:val="00481FD3"/>
    <w:rsid w:val="0048274A"/>
    <w:rsid w:val="00482F2A"/>
    <w:rsid w:val="00483217"/>
    <w:rsid w:val="004839BD"/>
    <w:rsid w:val="004847A8"/>
    <w:rsid w:val="00484B09"/>
    <w:rsid w:val="00484D12"/>
    <w:rsid w:val="0048519D"/>
    <w:rsid w:val="004853BD"/>
    <w:rsid w:val="00485BA8"/>
    <w:rsid w:val="00486759"/>
    <w:rsid w:val="00486DB3"/>
    <w:rsid w:val="00486EF1"/>
    <w:rsid w:val="00487353"/>
    <w:rsid w:val="00487A2B"/>
    <w:rsid w:val="00487B89"/>
    <w:rsid w:val="004908D5"/>
    <w:rsid w:val="00490D64"/>
    <w:rsid w:val="0049108C"/>
    <w:rsid w:val="004910BB"/>
    <w:rsid w:val="00491716"/>
    <w:rsid w:val="00491F7C"/>
    <w:rsid w:val="00492205"/>
    <w:rsid w:val="00492FCB"/>
    <w:rsid w:val="0049381D"/>
    <w:rsid w:val="0049438D"/>
    <w:rsid w:val="004943B6"/>
    <w:rsid w:val="004945B5"/>
    <w:rsid w:val="004946C5"/>
    <w:rsid w:val="00495F81"/>
    <w:rsid w:val="004974E8"/>
    <w:rsid w:val="00497657"/>
    <w:rsid w:val="004A00DA"/>
    <w:rsid w:val="004A03F2"/>
    <w:rsid w:val="004A04B8"/>
    <w:rsid w:val="004A0E1D"/>
    <w:rsid w:val="004A0E8A"/>
    <w:rsid w:val="004A0F11"/>
    <w:rsid w:val="004A15B8"/>
    <w:rsid w:val="004A2C61"/>
    <w:rsid w:val="004A2C74"/>
    <w:rsid w:val="004A2D42"/>
    <w:rsid w:val="004A3054"/>
    <w:rsid w:val="004A39E4"/>
    <w:rsid w:val="004A3EAA"/>
    <w:rsid w:val="004A427C"/>
    <w:rsid w:val="004A4627"/>
    <w:rsid w:val="004A52C5"/>
    <w:rsid w:val="004A57F5"/>
    <w:rsid w:val="004A665F"/>
    <w:rsid w:val="004A67CB"/>
    <w:rsid w:val="004A7389"/>
    <w:rsid w:val="004A73A0"/>
    <w:rsid w:val="004A7BDF"/>
    <w:rsid w:val="004A7D97"/>
    <w:rsid w:val="004B0901"/>
    <w:rsid w:val="004B1A1C"/>
    <w:rsid w:val="004B233C"/>
    <w:rsid w:val="004B235F"/>
    <w:rsid w:val="004B38F5"/>
    <w:rsid w:val="004B4057"/>
    <w:rsid w:val="004B4C32"/>
    <w:rsid w:val="004B4D5D"/>
    <w:rsid w:val="004B4E3E"/>
    <w:rsid w:val="004B5133"/>
    <w:rsid w:val="004B6945"/>
    <w:rsid w:val="004C098E"/>
    <w:rsid w:val="004C0BB3"/>
    <w:rsid w:val="004C0C01"/>
    <w:rsid w:val="004C1A52"/>
    <w:rsid w:val="004C2902"/>
    <w:rsid w:val="004C304E"/>
    <w:rsid w:val="004C3A24"/>
    <w:rsid w:val="004C41B6"/>
    <w:rsid w:val="004C4504"/>
    <w:rsid w:val="004C4AE5"/>
    <w:rsid w:val="004C4D16"/>
    <w:rsid w:val="004C4D2A"/>
    <w:rsid w:val="004C551D"/>
    <w:rsid w:val="004C58A4"/>
    <w:rsid w:val="004C6376"/>
    <w:rsid w:val="004C66A1"/>
    <w:rsid w:val="004C70E8"/>
    <w:rsid w:val="004C7818"/>
    <w:rsid w:val="004C7D26"/>
    <w:rsid w:val="004D00A6"/>
    <w:rsid w:val="004D01FF"/>
    <w:rsid w:val="004D04D7"/>
    <w:rsid w:val="004D08A5"/>
    <w:rsid w:val="004D0CDA"/>
    <w:rsid w:val="004D1E56"/>
    <w:rsid w:val="004D1FA9"/>
    <w:rsid w:val="004D39B3"/>
    <w:rsid w:val="004D3C8A"/>
    <w:rsid w:val="004D4E45"/>
    <w:rsid w:val="004D50A4"/>
    <w:rsid w:val="004D5142"/>
    <w:rsid w:val="004D5E08"/>
    <w:rsid w:val="004D6816"/>
    <w:rsid w:val="004D684C"/>
    <w:rsid w:val="004D6B09"/>
    <w:rsid w:val="004D6D03"/>
    <w:rsid w:val="004D6D0A"/>
    <w:rsid w:val="004D6D4B"/>
    <w:rsid w:val="004D6E37"/>
    <w:rsid w:val="004D6FD4"/>
    <w:rsid w:val="004D7C5A"/>
    <w:rsid w:val="004D7D1F"/>
    <w:rsid w:val="004E00EA"/>
    <w:rsid w:val="004E01D2"/>
    <w:rsid w:val="004E1B4C"/>
    <w:rsid w:val="004E1D15"/>
    <w:rsid w:val="004E2398"/>
    <w:rsid w:val="004E23F3"/>
    <w:rsid w:val="004E244E"/>
    <w:rsid w:val="004E3420"/>
    <w:rsid w:val="004E490F"/>
    <w:rsid w:val="004E4E53"/>
    <w:rsid w:val="004E545A"/>
    <w:rsid w:val="004E59D9"/>
    <w:rsid w:val="004E5C3D"/>
    <w:rsid w:val="004E5C3E"/>
    <w:rsid w:val="004E6421"/>
    <w:rsid w:val="004E65B2"/>
    <w:rsid w:val="004E65E7"/>
    <w:rsid w:val="004E6835"/>
    <w:rsid w:val="004E6B14"/>
    <w:rsid w:val="004E705C"/>
    <w:rsid w:val="004E710B"/>
    <w:rsid w:val="004E731E"/>
    <w:rsid w:val="004E73CE"/>
    <w:rsid w:val="004E7CF4"/>
    <w:rsid w:val="004F010A"/>
    <w:rsid w:val="004F0E20"/>
    <w:rsid w:val="004F1672"/>
    <w:rsid w:val="004F16AE"/>
    <w:rsid w:val="004F1EF4"/>
    <w:rsid w:val="004F225B"/>
    <w:rsid w:val="004F23BB"/>
    <w:rsid w:val="004F29FC"/>
    <w:rsid w:val="004F31A3"/>
    <w:rsid w:val="004F37DE"/>
    <w:rsid w:val="004F3F42"/>
    <w:rsid w:val="004F499B"/>
    <w:rsid w:val="004F4AB2"/>
    <w:rsid w:val="004F4B92"/>
    <w:rsid w:val="004F5904"/>
    <w:rsid w:val="004F618C"/>
    <w:rsid w:val="004F6336"/>
    <w:rsid w:val="004F6B5C"/>
    <w:rsid w:val="004F7180"/>
    <w:rsid w:val="004F7306"/>
    <w:rsid w:val="005006BF"/>
    <w:rsid w:val="00500D16"/>
    <w:rsid w:val="00501238"/>
    <w:rsid w:val="00501B6C"/>
    <w:rsid w:val="00501EB3"/>
    <w:rsid w:val="005023C3"/>
    <w:rsid w:val="005023FA"/>
    <w:rsid w:val="005025CC"/>
    <w:rsid w:val="00502A9D"/>
    <w:rsid w:val="00502F04"/>
    <w:rsid w:val="0050329B"/>
    <w:rsid w:val="005032A3"/>
    <w:rsid w:val="0050335C"/>
    <w:rsid w:val="005035C3"/>
    <w:rsid w:val="0050384D"/>
    <w:rsid w:val="00503FF2"/>
    <w:rsid w:val="005055B0"/>
    <w:rsid w:val="005058B9"/>
    <w:rsid w:val="00506511"/>
    <w:rsid w:val="0050730C"/>
    <w:rsid w:val="005075DE"/>
    <w:rsid w:val="005107DB"/>
    <w:rsid w:val="00510838"/>
    <w:rsid w:val="005111DC"/>
    <w:rsid w:val="00511C76"/>
    <w:rsid w:val="00511E2F"/>
    <w:rsid w:val="005125CE"/>
    <w:rsid w:val="00512706"/>
    <w:rsid w:val="00512A28"/>
    <w:rsid w:val="00513702"/>
    <w:rsid w:val="00513867"/>
    <w:rsid w:val="00513B97"/>
    <w:rsid w:val="00513F62"/>
    <w:rsid w:val="00514FD3"/>
    <w:rsid w:val="00515573"/>
    <w:rsid w:val="00516785"/>
    <w:rsid w:val="00516C02"/>
    <w:rsid w:val="00516DAD"/>
    <w:rsid w:val="00516E58"/>
    <w:rsid w:val="005177E0"/>
    <w:rsid w:val="005202F4"/>
    <w:rsid w:val="00520E24"/>
    <w:rsid w:val="00520E54"/>
    <w:rsid w:val="0052100F"/>
    <w:rsid w:val="005210FD"/>
    <w:rsid w:val="00521BF9"/>
    <w:rsid w:val="00521EF8"/>
    <w:rsid w:val="00522410"/>
    <w:rsid w:val="0052288B"/>
    <w:rsid w:val="00523087"/>
    <w:rsid w:val="005236C1"/>
    <w:rsid w:val="005239B9"/>
    <w:rsid w:val="005239E1"/>
    <w:rsid w:val="00523A29"/>
    <w:rsid w:val="0052419D"/>
    <w:rsid w:val="0052466B"/>
    <w:rsid w:val="00524932"/>
    <w:rsid w:val="00525A70"/>
    <w:rsid w:val="00526461"/>
    <w:rsid w:val="00527529"/>
    <w:rsid w:val="005275A4"/>
    <w:rsid w:val="00527915"/>
    <w:rsid w:val="00530157"/>
    <w:rsid w:val="005301A5"/>
    <w:rsid w:val="005301F8"/>
    <w:rsid w:val="00530FBC"/>
    <w:rsid w:val="005310E0"/>
    <w:rsid w:val="005312FC"/>
    <w:rsid w:val="005316FB"/>
    <w:rsid w:val="00532AD9"/>
    <w:rsid w:val="00532C6D"/>
    <w:rsid w:val="005331B8"/>
    <w:rsid w:val="005331D2"/>
    <w:rsid w:val="00533A9D"/>
    <w:rsid w:val="00533D87"/>
    <w:rsid w:val="0053412A"/>
    <w:rsid w:val="0053418D"/>
    <w:rsid w:val="0053569E"/>
    <w:rsid w:val="005359F2"/>
    <w:rsid w:val="00535D34"/>
    <w:rsid w:val="00535F16"/>
    <w:rsid w:val="00535F25"/>
    <w:rsid w:val="0053603D"/>
    <w:rsid w:val="005362A6"/>
    <w:rsid w:val="005366F2"/>
    <w:rsid w:val="00536758"/>
    <w:rsid w:val="00536BB0"/>
    <w:rsid w:val="00537263"/>
    <w:rsid w:val="0053728E"/>
    <w:rsid w:val="0053742A"/>
    <w:rsid w:val="00537527"/>
    <w:rsid w:val="00537C85"/>
    <w:rsid w:val="00537DD1"/>
    <w:rsid w:val="00537E9E"/>
    <w:rsid w:val="00540579"/>
    <w:rsid w:val="0054088D"/>
    <w:rsid w:val="00541647"/>
    <w:rsid w:val="00541D29"/>
    <w:rsid w:val="005426CD"/>
    <w:rsid w:val="00542AB5"/>
    <w:rsid w:val="00542B11"/>
    <w:rsid w:val="00542B8E"/>
    <w:rsid w:val="00543F23"/>
    <w:rsid w:val="0054416C"/>
    <w:rsid w:val="005452E2"/>
    <w:rsid w:val="00547A0D"/>
    <w:rsid w:val="00550394"/>
    <w:rsid w:val="005506CC"/>
    <w:rsid w:val="00551382"/>
    <w:rsid w:val="0055143F"/>
    <w:rsid w:val="0055189D"/>
    <w:rsid w:val="005518F7"/>
    <w:rsid w:val="00551940"/>
    <w:rsid w:val="0055233B"/>
    <w:rsid w:val="005529D8"/>
    <w:rsid w:val="00552FE2"/>
    <w:rsid w:val="00553465"/>
    <w:rsid w:val="005539EA"/>
    <w:rsid w:val="00553D28"/>
    <w:rsid w:val="00553E7A"/>
    <w:rsid w:val="0055425E"/>
    <w:rsid w:val="0055444D"/>
    <w:rsid w:val="00554FB5"/>
    <w:rsid w:val="00555D84"/>
    <w:rsid w:val="0055638D"/>
    <w:rsid w:val="00557A50"/>
    <w:rsid w:val="00557B1F"/>
    <w:rsid w:val="005605EF"/>
    <w:rsid w:val="00560C5C"/>
    <w:rsid w:val="00560D09"/>
    <w:rsid w:val="00561864"/>
    <w:rsid w:val="00562F17"/>
    <w:rsid w:val="00562F31"/>
    <w:rsid w:val="00563051"/>
    <w:rsid w:val="0056315C"/>
    <w:rsid w:val="0056354B"/>
    <w:rsid w:val="005635F1"/>
    <w:rsid w:val="00563816"/>
    <w:rsid w:val="00563846"/>
    <w:rsid w:val="005639BA"/>
    <w:rsid w:val="00563A94"/>
    <w:rsid w:val="005641EF"/>
    <w:rsid w:val="00564450"/>
    <w:rsid w:val="00564584"/>
    <w:rsid w:val="005653CF"/>
    <w:rsid w:val="0056582C"/>
    <w:rsid w:val="00565D35"/>
    <w:rsid w:val="0056618F"/>
    <w:rsid w:val="005667D1"/>
    <w:rsid w:val="00566DFE"/>
    <w:rsid w:val="00567231"/>
    <w:rsid w:val="00567F32"/>
    <w:rsid w:val="005700B1"/>
    <w:rsid w:val="00571A48"/>
    <w:rsid w:val="00572810"/>
    <w:rsid w:val="00572B8A"/>
    <w:rsid w:val="00572BCC"/>
    <w:rsid w:val="00573135"/>
    <w:rsid w:val="005736AC"/>
    <w:rsid w:val="00573B9C"/>
    <w:rsid w:val="00573C0B"/>
    <w:rsid w:val="00573FD4"/>
    <w:rsid w:val="00574162"/>
    <w:rsid w:val="005745AB"/>
    <w:rsid w:val="005746F5"/>
    <w:rsid w:val="005748C8"/>
    <w:rsid w:val="00575104"/>
    <w:rsid w:val="005751CF"/>
    <w:rsid w:val="0057698F"/>
    <w:rsid w:val="00576AB8"/>
    <w:rsid w:val="00576B16"/>
    <w:rsid w:val="00576E02"/>
    <w:rsid w:val="00577409"/>
    <w:rsid w:val="005776B2"/>
    <w:rsid w:val="005778A6"/>
    <w:rsid w:val="0058020E"/>
    <w:rsid w:val="0058099C"/>
    <w:rsid w:val="00580EA3"/>
    <w:rsid w:val="0058116D"/>
    <w:rsid w:val="005817D2"/>
    <w:rsid w:val="00582540"/>
    <w:rsid w:val="00582D76"/>
    <w:rsid w:val="00582DD0"/>
    <w:rsid w:val="0058300F"/>
    <w:rsid w:val="00583423"/>
    <w:rsid w:val="005844FD"/>
    <w:rsid w:val="00585296"/>
    <w:rsid w:val="005859BE"/>
    <w:rsid w:val="00585A2E"/>
    <w:rsid w:val="00586075"/>
    <w:rsid w:val="00586605"/>
    <w:rsid w:val="005868DE"/>
    <w:rsid w:val="00586D09"/>
    <w:rsid w:val="005872F2"/>
    <w:rsid w:val="005877AC"/>
    <w:rsid w:val="00587A91"/>
    <w:rsid w:val="005905E2"/>
    <w:rsid w:val="00591109"/>
    <w:rsid w:val="005911F7"/>
    <w:rsid w:val="0059141D"/>
    <w:rsid w:val="00591466"/>
    <w:rsid w:val="00591784"/>
    <w:rsid w:val="00591787"/>
    <w:rsid w:val="00591973"/>
    <w:rsid w:val="00591C2E"/>
    <w:rsid w:val="00591F18"/>
    <w:rsid w:val="0059228F"/>
    <w:rsid w:val="005925B4"/>
    <w:rsid w:val="00592957"/>
    <w:rsid w:val="0059334D"/>
    <w:rsid w:val="00593629"/>
    <w:rsid w:val="00594378"/>
    <w:rsid w:val="0059490C"/>
    <w:rsid w:val="00594D70"/>
    <w:rsid w:val="00594DD3"/>
    <w:rsid w:val="00595879"/>
    <w:rsid w:val="005958A4"/>
    <w:rsid w:val="00596002"/>
    <w:rsid w:val="005965B5"/>
    <w:rsid w:val="005966B7"/>
    <w:rsid w:val="00596B76"/>
    <w:rsid w:val="00596D6F"/>
    <w:rsid w:val="005970E8"/>
    <w:rsid w:val="0059754C"/>
    <w:rsid w:val="005A06A0"/>
    <w:rsid w:val="005A076B"/>
    <w:rsid w:val="005A0BB1"/>
    <w:rsid w:val="005A1813"/>
    <w:rsid w:val="005A259F"/>
    <w:rsid w:val="005A2800"/>
    <w:rsid w:val="005A304E"/>
    <w:rsid w:val="005A4092"/>
    <w:rsid w:val="005A481C"/>
    <w:rsid w:val="005A4B5E"/>
    <w:rsid w:val="005A5882"/>
    <w:rsid w:val="005A5A70"/>
    <w:rsid w:val="005A5B57"/>
    <w:rsid w:val="005A5C64"/>
    <w:rsid w:val="005A5F27"/>
    <w:rsid w:val="005A6C96"/>
    <w:rsid w:val="005A7248"/>
    <w:rsid w:val="005A7860"/>
    <w:rsid w:val="005B022F"/>
    <w:rsid w:val="005B0AC3"/>
    <w:rsid w:val="005B0F35"/>
    <w:rsid w:val="005B0F83"/>
    <w:rsid w:val="005B1923"/>
    <w:rsid w:val="005B1A8A"/>
    <w:rsid w:val="005B1E64"/>
    <w:rsid w:val="005B1F6F"/>
    <w:rsid w:val="005B2393"/>
    <w:rsid w:val="005B269E"/>
    <w:rsid w:val="005B2AB6"/>
    <w:rsid w:val="005B390A"/>
    <w:rsid w:val="005B3C83"/>
    <w:rsid w:val="005B4038"/>
    <w:rsid w:val="005B4237"/>
    <w:rsid w:val="005B43E9"/>
    <w:rsid w:val="005B46A2"/>
    <w:rsid w:val="005B4D2F"/>
    <w:rsid w:val="005B4E1D"/>
    <w:rsid w:val="005B5B4D"/>
    <w:rsid w:val="005B5E2A"/>
    <w:rsid w:val="005B60A4"/>
    <w:rsid w:val="005B635D"/>
    <w:rsid w:val="005B721A"/>
    <w:rsid w:val="005B7485"/>
    <w:rsid w:val="005B7D6E"/>
    <w:rsid w:val="005C0285"/>
    <w:rsid w:val="005C02A4"/>
    <w:rsid w:val="005C05AA"/>
    <w:rsid w:val="005C07FB"/>
    <w:rsid w:val="005C0B94"/>
    <w:rsid w:val="005C10B4"/>
    <w:rsid w:val="005C142C"/>
    <w:rsid w:val="005C15FD"/>
    <w:rsid w:val="005C1CE8"/>
    <w:rsid w:val="005C20D2"/>
    <w:rsid w:val="005C2836"/>
    <w:rsid w:val="005C2B28"/>
    <w:rsid w:val="005C32FE"/>
    <w:rsid w:val="005C3516"/>
    <w:rsid w:val="005C389D"/>
    <w:rsid w:val="005C3931"/>
    <w:rsid w:val="005C3CC4"/>
    <w:rsid w:val="005C3CC5"/>
    <w:rsid w:val="005C45E9"/>
    <w:rsid w:val="005C481D"/>
    <w:rsid w:val="005C4BE1"/>
    <w:rsid w:val="005C4CA0"/>
    <w:rsid w:val="005C4F85"/>
    <w:rsid w:val="005C503A"/>
    <w:rsid w:val="005C601E"/>
    <w:rsid w:val="005C61CF"/>
    <w:rsid w:val="005C68D9"/>
    <w:rsid w:val="005C6C44"/>
    <w:rsid w:val="005C7D32"/>
    <w:rsid w:val="005D024A"/>
    <w:rsid w:val="005D083D"/>
    <w:rsid w:val="005D1CA4"/>
    <w:rsid w:val="005D317E"/>
    <w:rsid w:val="005D33BB"/>
    <w:rsid w:val="005D36D6"/>
    <w:rsid w:val="005D3925"/>
    <w:rsid w:val="005D3CFC"/>
    <w:rsid w:val="005D3EC2"/>
    <w:rsid w:val="005D45EA"/>
    <w:rsid w:val="005D4FD4"/>
    <w:rsid w:val="005D52FC"/>
    <w:rsid w:val="005D6B7C"/>
    <w:rsid w:val="005D6D64"/>
    <w:rsid w:val="005D7990"/>
    <w:rsid w:val="005E0238"/>
    <w:rsid w:val="005E0911"/>
    <w:rsid w:val="005E1890"/>
    <w:rsid w:val="005E190C"/>
    <w:rsid w:val="005E2FCC"/>
    <w:rsid w:val="005E329B"/>
    <w:rsid w:val="005E3ED8"/>
    <w:rsid w:val="005E4195"/>
    <w:rsid w:val="005E44C0"/>
    <w:rsid w:val="005E48FF"/>
    <w:rsid w:val="005E501E"/>
    <w:rsid w:val="005E5230"/>
    <w:rsid w:val="005E64F1"/>
    <w:rsid w:val="005E6759"/>
    <w:rsid w:val="005E695B"/>
    <w:rsid w:val="005E7330"/>
    <w:rsid w:val="005E73E4"/>
    <w:rsid w:val="005E7632"/>
    <w:rsid w:val="005E7DF5"/>
    <w:rsid w:val="005E7E3B"/>
    <w:rsid w:val="005F0AE0"/>
    <w:rsid w:val="005F1016"/>
    <w:rsid w:val="005F12C8"/>
    <w:rsid w:val="005F18BE"/>
    <w:rsid w:val="005F282A"/>
    <w:rsid w:val="005F2A3D"/>
    <w:rsid w:val="005F2EC0"/>
    <w:rsid w:val="005F436D"/>
    <w:rsid w:val="005F48AA"/>
    <w:rsid w:val="005F48D7"/>
    <w:rsid w:val="005F4D1B"/>
    <w:rsid w:val="005F53CE"/>
    <w:rsid w:val="005F54E8"/>
    <w:rsid w:val="005F629C"/>
    <w:rsid w:val="005F7240"/>
    <w:rsid w:val="005F770C"/>
    <w:rsid w:val="006000BE"/>
    <w:rsid w:val="00600599"/>
    <w:rsid w:val="00600969"/>
    <w:rsid w:val="006009E1"/>
    <w:rsid w:val="006009F7"/>
    <w:rsid w:val="00601650"/>
    <w:rsid w:val="00601ADE"/>
    <w:rsid w:val="006023CD"/>
    <w:rsid w:val="00603405"/>
    <w:rsid w:val="006037B8"/>
    <w:rsid w:val="00603F48"/>
    <w:rsid w:val="006045FF"/>
    <w:rsid w:val="00604DB3"/>
    <w:rsid w:val="00604EEF"/>
    <w:rsid w:val="006056C8"/>
    <w:rsid w:val="00605AFD"/>
    <w:rsid w:val="00605C93"/>
    <w:rsid w:val="00606526"/>
    <w:rsid w:val="006066CB"/>
    <w:rsid w:val="00606842"/>
    <w:rsid w:val="00607108"/>
    <w:rsid w:val="006074ED"/>
    <w:rsid w:val="0061094C"/>
    <w:rsid w:val="006109FB"/>
    <w:rsid w:val="006112F7"/>
    <w:rsid w:val="00611331"/>
    <w:rsid w:val="0061211B"/>
    <w:rsid w:val="006123D4"/>
    <w:rsid w:val="0061301E"/>
    <w:rsid w:val="0061445B"/>
    <w:rsid w:val="00614A79"/>
    <w:rsid w:val="00614E14"/>
    <w:rsid w:val="00615298"/>
    <w:rsid w:val="00615F2A"/>
    <w:rsid w:val="00616034"/>
    <w:rsid w:val="006161D9"/>
    <w:rsid w:val="00616750"/>
    <w:rsid w:val="006169B3"/>
    <w:rsid w:val="0061786C"/>
    <w:rsid w:val="00617F4B"/>
    <w:rsid w:val="006212FA"/>
    <w:rsid w:val="00621746"/>
    <w:rsid w:val="00621BE6"/>
    <w:rsid w:val="00622841"/>
    <w:rsid w:val="00622938"/>
    <w:rsid w:val="00622DFE"/>
    <w:rsid w:val="006237B8"/>
    <w:rsid w:val="00623B18"/>
    <w:rsid w:val="00624414"/>
    <w:rsid w:val="0062453A"/>
    <w:rsid w:val="006249FC"/>
    <w:rsid w:val="00624C4B"/>
    <w:rsid w:val="00624C97"/>
    <w:rsid w:val="00625173"/>
    <w:rsid w:val="006255E7"/>
    <w:rsid w:val="00625E6B"/>
    <w:rsid w:val="00626372"/>
    <w:rsid w:val="0062660A"/>
    <w:rsid w:val="0062792F"/>
    <w:rsid w:val="00627C26"/>
    <w:rsid w:val="00627D72"/>
    <w:rsid w:val="00627F45"/>
    <w:rsid w:val="00630594"/>
    <w:rsid w:val="00630A26"/>
    <w:rsid w:val="00630BB2"/>
    <w:rsid w:val="00630DFD"/>
    <w:rsid w:val="006321A7"/>
    <w:rsid w:val="00632A77"/>
    <w:rsid w:val="00632E72"/>
    <w:rsid w:val="0063318A"/>
    <w:rsid w:val="00633BA6"/>
    <w:rsid w:val="00633CDF"/>
    <w:rsid w:val="006340A7"/>
    <w:rsid w:val="00634939"/>
    <w:rsid w:val="0063539C"/>
    <w:rsid w:val="00635554"/>
    <w:rsid w:val="006372EC"/>
    <w:rsid w:val="00637DEC"/>
    <w:rsid w:val="00640318"/>
    <w:rsid w:val="0064097A"/>
    <w:rsid w:val="00641CE0"/>
    <w:rsid w:val="00643BE2"/>
    <w:rsid w:val="00643E18"/>
    <w:rsid w:val="006442CC"/>
    <w:rsid w:val="0064480B"/>
    <w:rsid w:val="00644BCF"/>
    <w:rsid w:val="00644CCA"/>
    <w:rsid w:val="0064518B"/>
    <w:rsid w:val="006460A5"/>
    <w:rsid w:val="006469CC"/>
    <w:rsid w:val="00646AD1"/>
    <w:rsid w:val="00646D28"/>
    <w:rsid w:val="00646DC2"/>
    <w:rsid w:val="00646DE3"/>
    <w:rsid w:val="0064708A"/>
    <w:rsid w:val="00647992"/>
    <w:rsid w:val="00647A34"/>
    <w:rsid w:val="0065075F"/>
    <w:rsid w:val="00651199"/>
    <w:rsid w:val="006519FC"/>
    <w:rsid w:val="00651AAF"/>
    <w:rsid w:val="00651C53"/>
    <w:rsid w:val="00651D6C"/>
    <w:rsid w:val="00651F1C"/>
    <w:rsid w:val="00652C52"/>
    <w:rsid w:val="00653229"/>
    <w:rsid w:val="006533DD"/>
    <w:rsid w:val="00653809"/>
    <w:rsid w:val="00653E72"/>
    <w:rsid w:val="00654629"/>
    <w:rsid w:val="00654DE4"/>
    <w:rsid w:val="00655AD9"/>
    <w:rsid w:val="0066035E"/>
    <w:rsid w:val="0066046B"/>
    <w:rsid w:val="006607AC"/>
    <w:rsid w:val="0066105B"/>
    <w:rsid w:val="00661203"/>
    <w:rsid w:val="00661292"/>
    <w:rsid w:val="0066175B"/>
    <w:rsid w:val="00661792"/>
    <w:rsid w:val="00661FD8"/>
    <w:rsid w:val="00662375"/>
    <w:rsid w:val="00662B59"/>
    <w:rsid w:val="00662C71"/>
    <w:rsid w:val="00662FB6"/>
    <w:rsid w:val="0066321E"/>
    <w:rsid w:val="00663D73"/>
    <w:rsid w:val="00663DD5"/>
    <w:rsid w:val="006641E3"/>
    <w:rsid w:val="00664819"/>
    <w:rsid w:val="0066481A"/>
    <w:rsid w:val="0066525A"/>
    <w:rsid w:val="00665444"/>
    <w:rsid w:val="00665CAC"/>
    <w:rsid w:val="006660A2"/>
    <w:rsid w:val="00667D27"/>
    <w:rsid w:val="00670926"/>
    <w:rsid w:val="00670D6E"/>
    <w:rsid w:val="00672A4F"/>
    <w:rsid w:val="00672B5D"/>
    <w:rsid w:val="006739ED"/>
    <w:rsid w:val="00674235"/>
    <w:rsid w:val="006747E3"/>
    <w:rsid w:val="00675037"/>
    <w:rsid w:val="0067551C"/>
    <w:rsid w:val="00675791"/>
    <w:rsid w:val="00675FD9"/>
    <w:rsid w:val="0067601B"/>
    <w:rsid w:val="0067622C"/>
    <w:rsid w:val="00676C86"/>
    <w:rsid w:val="00677B30"/>
    <w:rsid w:val="00680234"/>
    <w:rsid w:val="00680402"/>
    <w:rsid w:val="006809AB"/>
    <w:rsid w:val="00680A51"/>
    <w:rsid w:val="00680D8B"/>
    <w:rsid w:val="00680F08"/>
    <w:rsid w:val="00681322"/>
    <w:rsid w:val="0068217F"/>
    <w:rsid w:val="00682249"/>
    <w:rsid w:val="006824AB"/>
    <w:rsid w:val="006826DA"/>
    <w:rsid w:val="00682C69"/>
    <w:rsid w:val="00683461"/>
    <w:rsid w:val="00684202"/>
    <w:rsid w:val="00684CAF"/>
    <w:rsid w:val="00684D63"/>
    <w:rsid w:val="00684E6E"/>
    <w:rsid w:val="0068507F"/>
    <w:rsid w:val="00685CF7"/>
    <w:rsid w:val="00685D35"/>
    <w:rsid w:val="00685FD2"/>
    <w:rsid w:val="00686133"/>
    <w:rsid w:val="00686165"/>
    <w:rsid w:val="00687065"/>
    <w:rsid w:val="00687DB8"/>
    <w:rsid w:val="0069035A"/>
    <w:rsid w:val="00690EEC"/>
    <w:rsid w:val="00691CB5"/>
    <w:rsid w:val="00691E3C"/>
    <w:rsid w:val="00691E47"/>
    <w:rsid w:val="00692226"/>
    <w:rsid w:val="006923DF"/>
    <w:rsid w:val="0069244E"/>
    <w:rsid w:val="00692F2E"/>
    <w:rsid w:val="00692FF1"/>
    <w:rsid w:val="00693312"/>
    <w:rsid w:val="006945AD"/>
    <w:rsid w:val="0069579E"/>
    <w:rsid w:val="006957F2"/>
    <w:rsid w:val="00695A8C"/>
    <w:rsid w:val="0069666C"/>
    <w:rsid w:val="006967D8"/>
    <w:rsid w:val="00696822"/>
    <w:rsid w:val="006A015B"/>
    <w:rsid w:val="006A05D2"/>
    <w:rsid w:val="006A1145"/>
    <w:rsid w:val="006A1565"/>
    <w:rsid w:val="006A27AE"/>
    <w:rsid w:val="006A2BAB"/>
    <w:rsid w:val="006A324C"/>
    <w:rsid w:val="006A3566"/>
    <w:rsid w:val="006A37F5"/>
    <w:rsid w:val="006A416F"/>
    <w:rsid w:val="006A422E"/>
    <w:rsid w:val="006A4BAD"/>
    <w:rsid w:val="006A4CD5"/>
    <w:rsid w:val="006A5229"/>
    <w:rsid w:val="006A5901"/>
    <w:rsid w:val="006A5BED"/>
    <w:rsid w:val="006A61BA"/>
    <w:rsid w:val="006A6284"/>
    <w:rsid w:val="006A7823"/>
    <w:rsid w:val="006A7D5A"/>
    <w:rsid w:val="006B002D"/>
    <w:rsid w:val="006B01CC"/>
    <w:rsid w:val="006B0365"/>
    <w:rsid w:val="006B1A03"/>
    <w:rsid w:val="006B2539"/>
    <w:rsid w:val="006B280E"/>
    <w:rsid w:val="006B2CEE"/>
    <w:rsid w:val="006B31BB"/>
    <w:rsid w:val="006B38B9"/>
    <w:rsid w:val="006B38FF"/>
    <w:rsid w:val="006B4A9E"/>
    <w:rsid w:val="006B4E99"/>
    <w:rsid w:val="006B4EC9"/>
    <w:rsid w:val="006B4FDA"/>
    <w:rsid w:val="006B523C"/>
    <w:rsid w:val="006B55AD"/>
    <w:rsid w:val="006B5E47"/>
    <w:rsid w:val="006B6E9A"/>
    <w:rsid w:val="006C0BD5"/>
    <w:rsid w:val="006C0C1B"/>
    <w:rsid w:val="006C124A"/>
    <w:rsid w:val="006C1892"/>
    <w:rsid w:val="006C1B38"/>
    <w:rsid w:val="006C1FBE"/>
    <w:rsid w:val="006C25DE"/>
    <w:rsid w:val="006C2B22"/>
    <w:rsid w:val="006C3A80"/>
    <w:rsid w:val="006C3C3F"/>
    <w:rsid w:val="006C4159"/>
    <w:rsid w:val="006C4951"/>
    <w:rsid w:val="006C499D"/>
    <w:rsid w:val="006C5A46"/>
    <w:rsid w:val="006C5B73"/>
    <w:rsid w:val="006C630B"/>
    <w:rsid w:val="006C645D"/>
    <w:rsid w:val="006C68D1"/>
    <w:rsid w:val="006C69CB"/>
    <w:rsid w:val="006C6A35"/>
    <w:rsid w:val="006C6AA5"/>
    <w:rsid w:val="006C73A3"/>
    <w:rsid w:val="006C79D5"/>
    <w:rsid w:val="006C7E39"/>
    <w:rsid w:val="006D014B"/>
    <w:rsid w:val="006D02F6"/>
    <w:rsid w:val="006D0CD5"/>
    <w:rsid w:val="006D1B4D"/>
    <w:rsid w:val="006D23F6"/>
    <w:rsid w:val="006D289D"/>
    <w:rsid w:val="006D2A73"/>
    <w:rsid w:val="006D2BA1"/>
    <w:rsid w:val="006D2CEE"/>
    <w:rsid w:val="006D2D89"/>
    <w:rsid w:val="006D36C0"/>
    <w:rsid w:val="006D3A2D"/>
    <w:rsid w:val="006D4B63"/>
    <w:rsid w:val="006D4C3A"/>
    <w:rsid w:val="006D4D0A"/>
    <w:rsid w:val="006D4DCD"/>
    <w:rsid w:val="006D52DF"/>
    <w:rsid w:val="006D5B37"/>
    <w:rsid w:val="006D5DEE"/>
    <w:rsid w:val="006D62C5"/>
    <w:rsid w:val="006D6552"/>
    <w:rsid w:val="006D6621"/>
    <w:rsid w:val="006E01B8"/>
    <w:rsid w:val="006E15E5"/>
    <w:rsid w:val="006E1994"/>
    <w:rsid w:val="006E1A81"/>
    <w:rsid w:val="006E27CE"/>
    <w:rsid w:val="006E2860"/>
    <w:rsid w:val="006E2D2A"/>
    <w:rsid w:val="006E2E10"/>
    <w:rsid w:val="006E3CC3"/>
    <w:rsid w:val="006E416B"/>
    <w:rsid w:val="006E4677"/>
    <w:rsid w:val="006E4A4E"/>
    <w:rsid w:val="006E4EE8"/>
    <w:rsid w:val="006E4FEC"/>
    <w:rsid w:val="006E505B"/>
    <w:rsid w:val="006E5854"/>
    <w:rsid w:val="006E5CEB"/>
    <w:rsid w:val="006E5DFA"/>
    <w:rsid w:val="006E5ED6"/>
    <w:rsid w:val="006E62ED"/>
    <w:rsid w:val="006E6314"/>
    <w:rsid w:val="006E7516"/>
    <w:rsid w:val="006E7C68"/>
    <w:rsid w:val="006E7FB4"/>
    <w:rsid w:val="006F0374"/>
    <w:rsid w:val="006F06B2"/>
    <w:rsid w:val="006F0C19"/>
    <w:rsid w:val="006F0D32"/>
    <w:rsid w:val="006F1867"/>
    <w:rsid w:val="006F2AF7"/>
    <w:rsid w:val="006F2F7A"/>
    <w:rsid w:val="006F3E90"/>
    <w:rsid w:val="006F47EA"/>
    <w:rsid w:val="006F5208"/>
    <w:rsid w:val="006F5C44"/>
    <w:rsid w:val="006F63EE"/>
    <w:rsid w:val="006F67B5"/>
    <w:rsid w:val="006F6FC3"/>
    <w:rsid w:val="006F6FF4"/>
    <w:rsid w:val="007000BB"/>
    <w:rsid w:val="007002DB"/>
    <w:rsid w:val="0070107B"/>
    <w:rsid w:val="0070192B"/>
    <w:rsid w:val="0070196E"/>
    <w:rsid w:val="007023DB"/>
    <w:rsid w:val="00702989"/>
    <w:rsid w:val="00702A32"/>
    <w:rsid w:val="00702B98"/>
    <w:rsid w:val="00702EE6"/>
    <w:rsid w:val="007032C1"/>
    <w:rsid w:val="00703458"/>
    <w:rsid w:val="00703B3E"/>
    <w:rsid w:val="00703ED1"/>
    <w:rsid w:val="00704266"/>
    <w:rsid w:val="00704BE5"/>
    <w:rsid w:val="00704D8C"/>
    <w:rsid w:val="00704F1C"/>
    <w:rsid w:val="00705750"/>
    <w:rsid w:val="00705905"/>
    <w:rsid w:val="00705F78"/>
    <w:rsid w:val="00706A6F"/>
    <w:rsid w:val="00706E8E"/>
    <w:rsid w:val="00707792"/>
    <w:rsid w:val="00707961"/>
    <w:rsid w:val="00710389"/>
    <w:rsid w:val="00710796"/>
    <w:rsid w:val="00710AD3"/>
    <w:rsid w:val="007113CB"/>
    <w:rsid w:val="0071144B"/>
    <w:rsid w:val="00711538"/>
    <w:rsid w:val="00711563"/>
    <w:rsid w:val="0071165B"/>
    <w:rsid w:val="00711C3B"/>
    <w:rsid w:val="007125B4"/>
    <w:rsid w:val="007134EC"/>
    <w:rsid w:val="00713DBA"/>
    <w:rsid w:val="00714295"/>
    <w:rsid w:val="0071464B"/>
    <w:rsid w:val="00714BF9"/>
    <w:rsid w:val="0071509C"/>
    <w:rsid w:val="00715CCD"/>
    <w:rsid w:val="007168E3"/>
    <w:rsid w:val="00716CCB"/>
    <w:rsid w:val="00716E98"/>
    <w:rsid w:val="00716EAF"/>
    <w:rsid w:val="00717172"/>
    <w:rsid w:val="00717237"/>
    <w:rsid w:val="00717A97"/>
    <w:rsid w:val="0072004A"/>
    <w:rsid w:val="00720526"/>
    <w:rsid w:val="007205AF"/>
    <w:rsid w:val="0072074F"/>
    <w:rsid w:val="00720AF7"/>
    <w:rsid w:val="007211B2"/>
    <w:rsid w:val="00721719"/>
    <w:rsid w:val="007218FA"/>
    <w:rsid w:val="00721A9D"/>
    <w:rsid w:val="00722395"/>
    <w:rsid w:val="00722B53"/>
    <w:rsid w:val="00722C81"/>
    <w:rsid w:val="00722F42"/>
    <w:rsid w:val="00723553"/>
    <w:rsid w:val="00723567"/>
    <w:rsid w:val="007237ED"/>
    <w:rsid w:val="0072442A"/>
    <w:rsid w:val="00724825"/>
    <w:rsid w:val="00724888"/>
    <w:rsid w:val="00724BBE"/>
    <w:rsid w:val="00724F52"/>
    <w:rsid w:val="0072538A"/>
    <w:rsid w:val="007305BC"/>
    <w:rsid w:val="0073070E"/>
    <w:rsid w:val="00730E47"/>
    <w:rsid w:val="00730F02"/>
    <w:rsid w:val="007311C9"/>
    <w:rsid w:val="00732238"/>
    <w:rsid w:val="00732559"/>
    <w:rsid w:val="00732F1A"/>
    <w:rsid w:val="00733341"/>
    <w:rsid w:val="00733361"/>
    <w:rsid w:val="00733C84"/>
    <w:rsid w:val="00733CFB"/>
    <w:rsid w:val="007344E4"/>
    <w:rsid w:val="007346BF"/>
    <w:rsid w:val="00735239"/>
    <w:rsid w:val="00736905"/>
    <w:rsid w:val="00736E8E"/>
    <w:rsid w:val="0073734C"/>
    <w:rsid w:val="007374BD"/>
    <w:rsid w:val="00740650"/>
    <w:rsid w:val="007406BA"/>
    <w:rsid w:val="00741227"/>
    <w:rsid w:val="00742366"/>
    <w:rsid w:val="007426A7"/>
    <w:rsid w:val="00744484"/>
    <w:rsid w:val="00744EEC"/>
    <w:rsid w:val="00746137"/>
    <w:rsid w:val="00746887"/>
    <w:rsid w:val="00747A2A"/>
    <w:rsid w:val="0075000E"/>
    <w:rsid w:val="007503E3"/>
    <w:rsid w:val="007507C2"/>
    <w:rsid w:val="007509DD"/>
    <w:rsid w:val="00750B11"/>
    <w:rsid w:val="00751496"/>
    <w:rsid w:val="00753E4B"/>
    <w:rsid w:val="00754117"/>
    <w:rsid w:val="007542FB"/>
    <w:rsid w:val="00754C9E"/>
    <w:rsid w:val="007556FF"/>
    <w:rsid w:val="00755BB7"/>
    <w:rsid w:val="00755D5D"/>
    <w:rsid w:val="00755F2E"/>
    <w:rsid w:val="0075637C"/>
    <w:rsid w:val="00756822"/>
    <w:rsid w:val="00756AA4"/>
    <w:rsid w:val="00757594"/>
    <w:rsid w:val="00757993"/>
    <w:rsid w:val="00760AA3"/>
    <w:rsid w:val="0076127B"/>
    <w:rsid w:val="007623C2"/>
    <w:rsid w:val="00762BAF"/>
    <w:rsid w:val="00762EEF"/>
    <w:rsid w:val="00762FD0"/>
    <w:rsid w:val="00763474"/>
    <w:rsid w:val="0076352B"/>
    <w:rsid w:val="00764244"/>
    <w:rsid w:val="007646BD"/>
    <w:rsid w:val="00764F2D"/>
    <w:rsid w:val="00765265"/>
    <w:rsid w:val="00765825"/>
    <w:rsid w:val="00766184"/>
    <w:rsid w:val="00766727"/>
    <w:rsid w:val="007672EF"/>
    <w:rsid w:val="007675F8"/>
    <w:rsid w:val="0076799A"/>
    <w:rsid w:val="00767CB3"/>
    <w:rsid w:val="00767D78"/>
    <w:rsid w:val="007705B6"/>
    <w:rsid w:val="00772277"/>
    <w:rsid w:val="007733D0"/>
    <w:rsid w:val="00773588"/>
    <w:rsid w:val="0077376B"/>
    <w:rsid w:val="00773A93"/>
    <w:rsid w:val="00773B55"/>
    <w:rsid w:val="00773EED"/>
    <w:rsid w:val="00774490"/>
    <w:rsid w:val="00774538"/>
    <w:rsid w:val="00774A9D"/>
    <w:rsid w:val="007766C9"/>
    <w:rsid w:val="00776A37"/>
    <w:rsid w:val="00777524"/>
    <w:rsid w:val="00777688"/>
    <w:rsid w:val="00780219"/>
    <w:rsid w:val="007808DA"/>
    <w:rsid w:val="00780BC6"/>
    <w:rsid w:val="0078110A"/>
    <w:rsid w:val="0078142C"/>
    <w:rsid w:val="007819D1"/>
    <w:rsid w:val="007819E6"/>
    <w:rsid w:val="00781C04"/>
    <w:rsid w:val="00782170"/>
    <w:rsid w:val="0078253D"/>
    <w:rsid w:val="0078257B"/>
    <w:rsid w:val="007829F4"/>
    <w:rsid w:val="00783898"/>
    <w:rsid w:val="00783D75"/>
    <w:rsid w:val="007840F9"/>
    <w:rsid w:val="007843BB"/>
    <w:rsid w:val="00784921"/>
    <w:rsid w:val="007849EB"/>
    <w:rsid w:val="00784C0A"/>
    <w:rsid w:val="00785681"/>
    <w:rsid w:val="00785AC3"/>
    <w:rsid w:val="00786269"/>
    <w:rsid w:val="007868B3"/>
    <w:rsid w:val="00786F13"/>
    <w:rsid w:val="00787B39"/>
    <w:rsid w:val="00787FB4"/>
    <w:rsid w:val="007903E6"/>
    <w:rsid w:val="00790C64"/>
    <w:rsid w:val="00791147"/>
    <w:rsid w:val="007923A3"/>
    <w:rsid w:val="007931FC"/>
    <w:rsid w:val="00793B32"/>
    <w:rsid w:val="00794625"/>
    <w:rsid w:val="00794B40"/>
    <w:rsid w:val="00794DCD"/>
    <w:rsid w:val="00795BE2"/>
    <w:rsid w:val="00796912"/>
    <w:rsid w:val="00796A7D"/>
    <w:rsid w:val="00796E26"/>
    <w:rsid w:val="00797D97"/>
    <w:rsid w:val="00797DB8"/>
    <w:rsid w:val="007A0365"/>
    <w:rsid w:val="007A0AAB"/>
    <w:rsid w:val="007A0D61"/>
    <w:rsid w:val="007A0FCD"/>
    <w:rsid w:val="007A1079"/>
    <w:rsid w:val="007A13D2"/>
    <w:rsid w:val="007A1833"/>
    <w:rsid w:val="007A19DF"/>
    <w:rsid w:val="007A1E98"/>
    <w:rsid w:val="007A1F39"/>
    <w:rsid w:val="007A25FC"/>
    <w:rsid w:val="007A29AA"/>
    <w:rsid w:val="007A2B8B"/>
    <w:rsid w:val="007A2BD7"/>
    <w:rsid w:val="007A2EBA"/>
    <w:rsid w:val="007A2F9E"/>
    <w:rsid w:val="007A3143"/>
    <w:rsid w:val="007A32EF"/>
    <w:rsid w:val="007A460D"/>
    <w:rsid w:val="007A486A"/>
    <w:rsid w:val="007A629F"/>
    <w:rsid w:val="007A64B1"/>
    <w:rsid w:val="007A6B85"/>
    <w:rsid w:val="007A6D72"/>
    <w:rsid w:val="007A7D73"/>
    <w:rsid w:val="007A7DA9"/>
    <w:rsid w:val="007A7F92"/>
    <w:rsid w:val="007B01DD"/>
    <w:rsid w:val="007B08A2"/>
    <w:rsid w:val="007B2677"/>
    <w:rsid w:val="007B29BA"/>
    <w:rsid w:val="007B2CCB"/>
    <w:rsid w:val="007B2D39"/>
    <w:rsid w:val="007B2FDB"/>
    <w:rsid w:val="007B33C5"/>
    <w:rsid w:val="007B39E4"/>
    <w:rsid w:val="007B4ACD"/>
    <w:rsid w:val="007B4C59"/>
    <w:rsid w:val="007B4D09"/>
    <w:rsid w:val="007B52A6"/>
    <w:rsid w:val="007B54AE"/>
    <w:rsid w:val="007B5726"/>
    <w:rsid w:val="007B6FD0"/>
    <w:rsid w:val="007B715B"/>
    <w:rsid w:val="007B76AB"/>
    <w:rsid w:val="007B76B2"/>
    <w:rsid w:val="007C044E"/>
    <w:rsid w:val="007C0AE0"/>
    <w:rsid w:val="007C26E7"/>
    <w:rsid w:val="007C311C"/>
    <w:rsid w:val="007C3363"/>
    <w:rsid w:val="007C3628"/>
    <w:rsid w:val="007C3A80"/>
    <w:rsid w:val="007C3DBE"/>
    <w:rsid w:val="007C477C"/>
    <w:rsid w:val="007C47BD"/>
    <w:rsid w:val="007C5176"/>
    <w:rsid w:val="007C5F06"/>
    <w:rsid w:val="007C72EB"/>
    <w:rsid w:val="007C74E6"/>
    <w:rsid w:val="007C7631"/>
    <w:rsid w:val="007C7DA8"/>
    <w:rsid w:val="007D08D4"/>
    <w:rsid w:val="007D0D69"/>
    <w:rsid w:val="007D1330"/>
    <w:rsid w:val="007D202F"/>
    <w:rsid w:val="007D279C"/>
    <w:rsid w:val="007D43A7"/>
    <w:rsid w:val="007D4860"/>
    <w:rsid w:val="007D4C52"/>
    <w:rsid w:val="007D5725"/>
    <w:rsid w:val="007D592B"/>
    <w:rsid w:val="007D59A9"/>
    <w:rsid w:val="007D5AA6"/>
    <w:rsid w:val="007D7A91"/>
    <w:rsid w:val="007E01D0"/>
    <w:rsid w:val="007E0B3A"/>
    <w:rsid w:val="007E0E65"/>
    <w:rsid w:val="007E16F6"/>
    <w:rsid w:val="007E20C8"/>
    <w:rsid w:val="007E32E2"/>
    <w:rsid w:val="007E3B41"/>
    <w:rsid w:val="007E470A"/>
    <w:rsid w:val="007E496B"/>
    <w:rsid w:val="007E55B9"/>
    <w:rsid w:val="007E5E21"/>
    <w:rsid w:val="007E6456"/>
    <w:rsid w:val="007E67EA"/>
    <w:rsid w:val="007E694F"/>
    <w:rsid w:val="007E6CB3"/>
    <w:rsid w:val="007E7509"/>
    <w:rsid w:val="007F02F2"/>
    <w:rsid w:val="007F0BAC"/>
    <w:rsid w:val="007F0F13"/>
    <w:rsid w:val="007F1A3D"/>
    <w:rsid w:val="007F1E91"/>
    <w:rsid w:val="007F213E"/>
    <w:rsid w:val="007F25F9"/>
    <w:rsid w:val="007F280A"/>
    <w:rsid w:val="007F343A"/>
    <w:rsid w:val="007F36F4"/>
    <w:rsid w:val="007F3FA1"/>
    <w:rsid w:val="007F4D16"/>
    <w:rsid w:val="007F5ABE"/>
    <w:rsid w:val="007F5B2D"/>
    <w:rsid w:val="007F610F"/>
    <w:rsid w:val="007F6BEA"/>
    <w:rsid w:val="007F7261"/>
    <w:rsid w:val="007F7B4B"/>
    <w:rsid w:val="00800DCA"/>
    <w:rsid w:val="0080190A"/>
    <w:rsid w:val="00801C47"/>
    <w:rsid w:val="00801FC4"/>
    <w:rsid w:val="0080261A"/>
    <w:rsid w:val="0080288D"/>
    <w:rsid w:val="00804C56"/>
    <w:rsid w:val="008051BF"/>
    <w:rsid w:val="00805360"/>
    <w:rsid w:val="008060F7"/>
    <w:rsid w:val="008062EE"/>
    <w:rsid w:val="00806F91"/>
    <w:rsid w:val="008070B1"/>
    <w:rsid w:val="008075DD"/>
    <w:rsid w:val="008075E1"/>
    <w:rsid w:val="0080794F"/>
    <w:rsid w:val="00807F89"/>
    <w:rsid w:val="008100C1"/>
    <w:rsid w:val="0081058F"/>
    <w:rsid w:val="00811633"/>
    <w:rsid w:val="00811736"/>
    <w:rsid w:val="00811943"/>
    <w:rsid w:val="00811BAF"/>
    <w:rsid w:val="008123C7"/>
    <w:rsid w:val="00813FCA"/>
    <w:rsid w:val="00814E54"/>
    <w:rsid w:val="0081515E"/>
    <w:rsid w:val="008154CC"/>
    <w:rsid w:val="00815C81"/>
    <w:rsid w:val="0081631A"/>
    <w:rsid w:val="00816B28"/>
    <w:rsid w:val="0081749C"/>
    <w:rsid w:val="008174E7"/>
    <w:rsid w:val="00820526"/>
    <w:rsid w:val="00820C03"/>
    <w:rsid w:val="00820C68"/>
    <w:rsid w:val="00820FB8"/>
    <w:rsid w:val="008210F0"/>
    <w:rsid w:val="008219C9"/>
    <w:rsid w:val="00822273"/>
    <w:rsid w:val="0082293F"/>
    <w:rsid w:val="00822F11"/>
    <w:rsid w:val="008230CA"/>
    <w:rsid w:val="00823207"/>
    <w:rsid w:val="00823839"/>
    <w:rsid w:val="00824A5A"/>
    <w:rsid w:val="00824C28"/>
    <w:rsid w:val="008266D7"/>
    <w:rsid w:val="00827B95"/>
    <w:rsid w:val="00827E28"/>
    <w:rsid w:val="0083102C"/>
    <w:rsid w:val="008311B8"/>
    <w:rsid w:val="008314C8"/>
    <w:rsid w:val="008319E7"/>
    <w:rsid w:val="00831C5F"/>
    <w:rsid w:val="00832791"/>
    <w:rsid w:val="00833753"/>
    <w:rsid w:val="00834243"/>
    <w:rsid w:val="0083427D"/>
    <w:rsid w:val="0083521E"/>
    <w:rsid w:val="0083545A"/>
    <w:rsid w:val="008356E0"/>
    <w:rsid w:val="0083673B"/>
    <w:rsid w:val="00836AD8"/>
    <w:rsid w:val="008370F0"/>
    <w:rsid w:val="00837327"/>
    <w:rsid w:val="008374C4"/>
    <w:rsid w:val="00837584"/>
    <w:rsid w:val="00837FCC"/>
    <w:rsid w:val="008409BC"/>
    <w:rsid w:val="00841097"/>
    <w:rsid w:val="008424F1"/>
    <w:rsid w:val="00842D99"/>
    <w:rsid w:val="008432EE"/>
    <w:rsid w:val="008434DA"/>
    <w:rsid w:val="0084382C"/>
    <w:rsid w:val="008441BA"/>
    <w:rsid w:val="008442C7"/>
    <w:rsid w:val="00844389"/>
    <w:rsid w:val="008449C6"/>
    <w:rsid w:val="00845051"/>
    <w:rsid w:val="008454CF"/>
    <w:rsid w:val="00845E2D"/>
    <w:rsid w:val="00845F60"/>
    <w:rsid w:val="00845F68"/>
    <w:rsid w:val="00846732"/>
    <w:rsid w:val="00846BE5"/>
    <w:rsid w:val="00846CB9"/>
    <w:rsid w:val="008471B1"/>
    <w:rsid w:val="00847677"/>
    <w:rsid w:val="00847798"/>
    <w:rsid w:val="008477F2"/>
    <w:rsid w:val="00847885"/>
    <w:rsid w:val="00847A72"/>
    <w:rsid w:val="00847CDE"/>
    <w:rsid w:val="00850016"/>
    <w:rsid w:val="008502F0"/>
    <w:rsid w:val="0085186B"/>
    <w:rsid w:val="008526D9"/>
    <w:rsid w:val="00853D76"/>
    <w:rsid w:val="00854B21"/>
    <w:rsid w:val="00854E25"/>
    <w:rsid w:val="0085513A"/>
    <w:rsid w:val="00855180"/>
    <w:rsid w:val="0085677E"/>
    <w:rsid w:val="00856A2D"/>
    <w:rsid w:val="00856A34"/>
    <w:rsid w:val="00857252"/>
    <w:rsid w:val="008572DD"/>
    <w:rsid w:val="008577E3"/>
    <w:rsid w:val="00857969"/>
    <w:rsid w:val="00857A46"/>
    <w:rsid w:val="008603E6"/>
    <w:rsid w:val="008607AA"/>
    <w:rsid w:val="00860CB0"/>
    <w:rsid w:val="00860DE5"/>
    <w:rsid w:val="00860E59"/>
    <w:rsid w:val="00861813"/>
    <w:rsid w:val="00862CF3"/>
    <w:rsid w:val="008630FE"/>
    <w:rsid w:val="00863203"/>
    <w:rsid w:val="00863C3B"/>
    <w:rsid w:val="00864067"/>
    <w:rsid w:val="00864120"/>
    <w:rsid w:val="00865B8B"/>
    <w:rsid w:val="00866EF8"/>
    <w:rsid w:val="00867B9F"/>
    <w:rsid w:val="00867E0F"/>
    <w:rsid w:val="00870387"/>
    <w:rsid w:val="00870493"/>
    <w:rsid w:val="00870894"/>
    <w:rsid w:val="00870CA9"/>
    <w:rsid w:val="00870D4D"/>
    <w:rsid w:val="00871AD4"/>
    <w:rsid w:val="008724D7"/>
    <w:rsid w:val="00872EDB"/>
    <w:rsid w:val="0087330E"/>
    <w:rsid w:val="00873519"/>
    <w:rsid w:val="00873726"/>
    <w:rsid w:val="008739E0"/>
    <w:rsid w:val="00873E0B"/>
    <w:rsid w:val="00874256"/>
    <w:rsid w:val="0087427E"/>
    <w:rsid w:val="00874AA3"/>
    <w:rsid w:val="008751EC"/>
    <w:rsid w:val="00875855"/>
    <w:rsid w:val="00875EAB"/>
    <w:rsid w:val="00876147"/>
    <w:rsid w:val="00876421"/>
    <w:rsid w:val="00876D82"/>
    <w:rsid w:val="00877868"/>
    <w:rsid w:val="00877925"/>
    <w:rsid w:val="00877CD3"/>
    <w:rsid w:val="008805A5"/>
    <w:rsid w:val="00881297"/>
    <w:rsid w:val="008815A2"/>
    <w:rsid w:val="00881911"/>
    <w:rsid w:val="00882CC4"/>
    <w:rsid w:val="008837A9"/>
    <w:rsid w:val="00883B2E"/>
    <w:rsid w:val="0088441B"/>
    <w:rsid w:val="008844AC"/>
    <w:rsid w:val="00884BD5"/>
    <w:rsid w:val="00884E0D"/>
    <w:rsid w:val="00885592"/>
    <w:rsid w:val="008861E6"/>
    <w:rsid w:val="008876E1"/>
    <w:rsid w:val="00887E7C"/>
    <w:rsid w:val="0089020D"/>
    <w:rsid w:val="0089031A"/>
    <w:rsid w:val="0089032C"/>
    <w:rsid w:val="008912CD"/>
    <w:rsid w:val="008913F9"/>
    <w:rsid w:val="00891664"/>
    <w:rsid w:val="00893045"/>
    <w:rsid w:val="008935A2"/>
    <w:rsid w:val="0089394D"/>
    <w:rsid w:val="00893D66"/>
    <w:rsid w:val="00894001"/>
    <w:rsid w:val="00894046"/>
    <w:rsid w:val="00894246"/>
    <w:rsid w:val="0089493C"/>
    <w:rsid w:val="00895514"/>
    <w:rsid w:val="00895939"/>
    <w:rsid w:val="00896BF3"/>
    <w:rsid w:val="008970B2"/>
    <w:rsid w:val="00897600"/>
    <w:rsid w:val="00897BD8"/>
    <w:rsid w:val="00897EF4"/>
    <w:rsid w:val="00897F46"/>
    <w:rsid w:val="008A01A1"/>
    <w:rsid w:val="008A0882"/>
    <w:rsid w:val="008A0AC4"/>
    <w:rsid w:val="008A0B8A"/>
    <w:rsid w:val="008A2876"/>
    <w:rsid w:val="008A2A6A"/>
    <w:rsid w:val="008A31F0"/>
    <w:rsid w:val="008A367E"/>
    <w:rsid w:val="008A3E12"/>
    <w:rsid w:val="008A3E91"/>
    <w:rsid w:val="008A4349"/>
    <w:rsid w:val="008A5294"/>
    <w:rsid w:val="008A5566"/>
    <w:rsid w:val="008A594C"/>
    <w:rsid w:val="008A5B8A"/>
    <w:rsid w:val="008A61AF"/>
    <w:rsid w:val="008A64D7"/>
    <w:rsid w:val="008A67DC"/>
    <w:rsid w:val="008A6A1E"/>
    <w:rsid w:val="008A7D7B"/>
    <w:rsid w:val="008B04A8"/>
    <w:rsid w:val="008B05B2"/>
    <w:rsid w:val="008B08AC"/>
    <w:rsid w:val="008B0C09"/>
    <w:rsid w:val="008B0CAD"/>
    <w:rsid w:val="008B1269"/>
    <w:rsid w:val="008B171B"/>
    <w:rsid w:val="008B183D"/>
    <w:rsid w:val="008B1F53"/>
    <w:rsid w:val="008B25A8"/>
    <w:rsid w:val="008B26F8"/>
    <w:rsid w:val="008B2703"/>
    <w:rsid w:val="008B2D32"/>
    <w:rsid w:val="008B3006"/>
    <w:rsid w:val="008B3333"/>
    <w:rsid w:val="008B34B5"/>
    <w:rsid w:val="008B3836"/>
    <w:rsid w:val="008B395C"/>
    <w:rsid w:val="008B3B43"/>
    <w:rsid w:val="008B40A1"/>
    <w:rsid w:val="008B4DCF"/>
    <w:rsid w:val="008B4DDB"/>
    <w:rsid w:val="008B6A05"/>
    <w:rsid w:val="008B6D1C"/>
    <w:rsid w:val="008B724F"/>
    <w:rsid w:val="008C06E6"/>
    <w:rsid w:val="008C19EC"/>
    <w:rsid w:val="008C1C00"/>
    <w:rsid w:val="008C1E88"/>
    <w:rsid w:val="008C3140"/>
    <w:rsid w:val="008C3774"/>
    <w:rsid w:val="008C3837"/>
    <w:rsid w:val="008C463C"/>
    <w:rsid w:val="008C4A8F"/>
    <w:rsid w:val="008C660B"/>
    <w:rsid w:val="008C6B76"/>
    <w:rsid w:val="008C6C88"/>
    <w:rsid w:val="008C7F71"/>
    <w:rsid w:val="008D07E5"/>
    <w:rsid w:val="008D1580"/>
    <w:rsid w:val="008D167C"/>
    <w:rsid w:val="008D20EA"/>
    <w:rsid w:val="008D21B3"/>
    <w:rsid w:val="008D2EAA"/>
    <w:rsid w:val="008D339F"/>
    <w:rsid w:val="008D4BC1"/>
    <w:rsid w:val="008D51A3"/>
    <w:rsid w:val="008D61A9"/>
    <w:rsid w:val="008D69EA"/>
    <w:rsid w:val="008D6A7F"/>
    <w:rsid w:val="008D6E7C"/>
    <w:rsid w:val="008D7DB0"/>
    <w:rsid w:val="008E0018"/>
    <w:rsid w:val="008E1938"/>
    <w:rsid w:val="008E1E95"/>
    <w:rsid w:val="008E205A"/>
    <w:rsid w:val="008E21C5"/>
    <w:rsid w:val="008E24D2"/>
    <w:rsid w:val="008E2C9F"/>
    <w:rsid w:val="008E4733"/>
    <w:rsid w:val="008E4F1E"/>
    <w:rsid w:val="008E5587"/>
    <w:rsid w:val="008E5744"/>
    <w:rsid w:val="008E5F57"/>
    <w:rsid w:val="008E61BA"/>
    <w:rsid w:val="008E6292"/>
    <w:rsid w:val="008E746E"/>
    <w:rsid w:val="008F01D7"/>
    <w:rsid w:val="008F04DE"/>
    <w:rsid w:val="008F0FA7"/>
    <w:rsid w:val="008F12A5"/>
    <w:rsid w:val="008F1A30"/>
    <w:rsid w:val="008F23EB"/>
    <w:rsid w:val="008F2546"/>
    <w:rsid w:val="008F28BB"/>
    <w:rsid w:val="008F2957"/>
    <w:rsid w:val="008F29DF"/>
    <w:rsid w:val="008F2A3E"/>
    <w:rsid w:val="008F2B48"/>
    <w:rsid w:val="008F2EA0"/>
    <w:rsid w:val="008F3B78"/>
    <w:rsid w:val="008F3D46"/>
    <w:rsid w:val="008F4304"/>
    <w:rsid w:val="008F4633"/>
    <w:rsid w:val="008F46C2"/>
    <w:rsid w:val="008F4801"/>
    <w:rsid w:val="008F4973"/>
    <w:rsid w:val="008F4B14"/>
    <w:rsid w:val="008F4C17"/>
    <w:rsid w:val="008F4C9F"/>
    <w:rsid w:val="008F5114"/>
    <w:rsid w:val="008F5445"/>
    <w:rsid w:val="008F5709"/>
    <w:rsid w:val="008F59ED"/>
    <w:rsid w:val="008F7910"/>
    <w:rsid w:val="008F7940"/>
    <w:rsid w:val="009003E4"/>
    <w:rsid w:val="00900AAA"/>
    <w:rsid w:val="00900CBF"/>
    <w:rsid w:val="00900D5F"/>
    <w:rsid w:val="009016A7"/>
    <w:rsid w:val="00901701"/>
    <w:rsid w:val="009022FF"/>
    <w:rsid w:val="009026B1"/>
    <w:rsid w:val="0090292B"/>
    <w:rsid w:val="00902BDF"/>
    <w:rsid w:val="009036CD"/>
    <w:rsid w:val="0090379B"/>
    <w:rsid w:val="00904473"/>
    <w:rsid w:val="00904B5D"/>
    <w:rsid w:val="009053E0"/>
    <w:rsid w:val="009063F0"/>
    <w:rsid w:val="00906448"/>
    <w:rsid w:val="00906E61"/>
    <w:rsid w:val="00910976"/>
    <w:rsid w:val="009113C2"/>
    <w:rsid w:val="00911BF6"/>
    <w:rsid w:val="009120E1"/>
    <w:rsid w:val="00912506"/>
    <w:rsid w:val="0091260A"/>
    <w:rsid w:val="00913D15"/>
    <w:rsid w:val="00913FF1"/>
    <w:rsid w:val="00915BF3"/>
    <w:rsid w:val="00915C4D"/>
    <w:rsid w:val="00915F6B"/>
    <w:rsid w:val="00916645"/>
    <w:rsid w:val="00916804"/>
    <w:rsid w:val="00916FEC"/>
    <w:rsid w:val="00917320"/>
    <w:rsid w:val="009179ED"/>
    <w:rsid w:val="00917B30"/>
    <w:rsid w:val="00917CB3"/>
    <w:rsid w:val="00917E28"/>
    <w:rsid w:val="009202D7"/>
    <w:rsid w:val="00920C4C"/>
    <w:rsid w:val="00920FB0"/>
    <w:rsid w:val="0092149A"/>
    <w:rsid w:val="00921899"/>
    <w:rsid w:val="0092261C"/>
    <w:rsid w:val="00923A5F"/>
    <w:rsid w:val="00923F28"/>
    <w:rsid w:val="00924318"/>
    <w:rsid w:val="00924E4C"/>
    <w:rsid w:val="00925AA5"/>
    <w:rsid w:val="00925E42"/>
    <w:rsid w:val="00925EAF"/>
    <w:rsid w:val="009263DC"/>
    <w:rsid w:val="00926A28"/>
    <w:rsid w:val="00926DE8"/>
    <w:rsid w:val="00926E86"/>
    <w:rsid w:val="0092707F"/>
    <w:rsid w:val="00927485"/>
    <w:rsid w:val="00927821"/>
    <w:rsid w:val="00927ED2"/>
    <w:rsid w:val="00930597"/>
    <w:rsid w:val="009316ED"/>
    <w:rsid w:val="00931A79"/>
    <w:rsid w:val="009325B8"/>
    <w:rsid w:val="00932895"/>
    <w:rsid w:val="00932D61"/>
    <w:rsid w:val="00932DB7"/>
    <w:rsid w:val="0093324A"/>
    <w:rsid w:val="00933284"/>
    <w:rsid w:val="00933391"/>
    <w:rsid w:val="00933A62"/>
    <w:rsid w:val="00933EE3"/>
    <w:rsid w:val="00933F39"/>
    <w:rsid w:val="00934943"/>
    <w:rsid w:val="00934CB0"/>
    <w:rsid w:val="00934CC3"/>
    <w:rsid w:val="009351C1"/>
    <w:rsid w:val="0093540D"/>
    <w:rsid w:val="00935752"/>
    <w:rsid w:val="00935E6E"/>
    <w:rsid w:val="00935EAE"/>
    <w:rsid w:val="00936303"/>
    <w:rsid w:val="00936340"/>
    <w:rsid w:val="00936947"/>
    <w:rsid w:val="0093698F"/>
    <w:rsid w:val="00937372"/>
    <w:rsid w:val="00937C60"/>
    <w:rsid w:val="0094019D"/>
    <w:rsid w:val="00940519"/>
    <w:rsid w:val="00940D6A"/>
    <w:rsid w:val="00941251"/>
    <w:rsid w:val="0094208E"/>
    <w:rsid w:val="009420A6"/>
    <w:rsid w:val="00942264"/>
    <w:rsid w:val="00942388"/>
    <w:rsid w:val="00942595"/>
    <w:rsid w:val="009425EC"/>
    <w:rsid w:val="00942635"/>
    <w:rsid w:val="00942715"/>
    <w:rsid w:val="00942C11"/>
    <w:rsid w:val="00943198"/>
    <w:rsid w:val="0094351F"/>
    <w:rsid w:val="00943D9D"/>
    <w:rsid w:val="00943FA5"/>
    <w:rsid w:val="00944338"/>
    <w:rsid w:val="00944895"/>
    <w:rsid w:val="009449C4"/>
    <w:rsid w:val="0094575F"/>
    <w:rsid w:val="009459B3"/>
    <w:rsid w:val="00945B67"/>
    <w:rsid w:val="00946185"/>
    <w:rsid w:val="009465FC"/>
    <w:rsid w:val="009466F2"/>
    <w:rsid w:val="00946A31"/>
    <w:rsid w:val="00947995"/>
    <w:rsid w:val="00947E8C"/>
    <w:rsid w:val="009502DD"/>
    <w:rsid w:val="00950323"/>
    <w:rsid w:val="0095051C"/>
    <w:rsid w:val="0095069C"/>
    <w:rsid w:val="00950749"/>
    <w:rsid w:val="00951104"/>
    <w:rsid w:val="00951141"/>
    <w:rsid w:val="00951199"/>
    <w:rsid w:val="00952718"/>
    <w:rsid w:val="00953184"/>
    <w:rsid w:val="00954488"/>
    <w:rsid w:val="009547F8"/>
    <w:rsid w:val="00955D88"/>
    <w:rsid w:val="00955FCA"/>
    <w:rsid w:val="00956383"/>
    <w:rsid w:val="00956A2D"/>
    <w:rsid w:val="009573F5"/>
    <w:rsid w:val="00957979"/>
    <w:rsid w:val="00960810"/>
    <w:rsid w:val="00961B60"/>
    <w:rsid w:val="0096219D"/>
    <w:rsid w:val="009622F1"/>
    <w:rsid w:val="00962963"/>
    <w:rsid w:val="00962ACF"/>
    <w:rsid w:val="00962BC5"/>
    <w:rsid w:val="00963218"/>
    <w:rsid w:val="00963548"/>
    <w:rsid w:val="00963D5A"/>
    <w:rsid w:val="00963E32"/>
    <w:rsid w:val="00963FBD"/>
    <w:rsid w:val="00964392"/>
    <w:rsid w:val="00964AA8"/>
    <w:rsid w:val="009653B5"/>
    <w:rsid w:val="009654C8"/>
    <w:rsid w:val="00966D17"/>
    <w:rsid w:val="00967784"/>
    <w:rsid w:val="00967997"/>
    <w:rsid w:val="00971093"/>
    <w:rsid w:val="00971166"/>
    <w:rsid w:val="009723A2"/>
    <w:rsid w:val="009723A4"/>
    <w:rsid w:val="009729D4"/>
    <w:rsid w:val="00973628"/>
    <w:rsid w:val="0097368F"/>
    <w:rsid w:val="009736D7"/>
    <w:rsid w:val="00973A8F"/>
    <w:rsid w:val="0097448A"/>
    <w:rsid w:val="00974E65"/>
    <w:rsid w:val="0097538C"/>
    <w:rsid w:val="009755D5"/>
    <w:rsid w:val="00975BCE"/>
    <w:rsid w:val="00977577"/>
    <w:rsid w:val="009778BB"/>
    <w:rsid w:val="00980759"/>
    <w:rsid w:val="00980C1B"/>
    <w:rsid w:val="009812CE"/>
    <w:rsid w:val="009817B0"/>
    <w:rsid w:val="0098180A"/>
    <w:rsid w:val="009821CE"/>
    <w:rsid w:val="00982A6C"/>
    <w:rsid w:val="00983098"/>
    <w:rsid w:val="00983460"/>
    <w:rsid w:val="00983F5B"/>
    <w:rsid w:val="00984C5F"/>
    <w:rsid w:val="009853F2"/>
    <w:rsid w:val="0098564D"/>
    <w:rsid w:val="00986065"/>
    <w:rsid w:val="00986603"/>
    <w:rsid w:val="00986DE5"/>
    <w:rsid w:val="009870A4"/>
    <w:rsid w:val="009905DD"/>
    <w:rsid w:val="00991496"/>
    <w:rsid w:val="0099209D"/>
    <w:rsid w:val="00992357"/>
    <w:rsid w:val="009931D4"/>
    <w:rsid w:val="009937DA"/>
    <w:rsid w:val="00994E4C"/>
    <w:rsid w:val="00995209"/>
    <w:rsid w:val="00995EC1"/>
    <w:rsid w:val="0099607C"/>
    <w:rsid w:val="009960D7"/>
    <w:rsid w:val="00996FE1"/>
    <w:rsid w:val="00997AD1"/>
    <w:rsid w:val="00997D41"/>
    <w:rsid w:val="009A020D"/>
    <w:rsid w:val="009A0224"/>
    <w:rsid w:val="009A0C64"/>
    <w:rsid w:val="009A13E5"/>
    <w:rsid w:val="009A1565"/>
    <w:rsid w:val="009A20D5"/>
    <w:rsid w:val="009A277C"/>
    <w:rsid w:val="009A2857"/>
    <w:rsid w:val="009A3CA8"/>
    <w:rsid w:val="009A3E66"/>
    <w:rsid w:val="009A587B"/>
    <w:rsid w:val="009A658F"/>
    <w:rsid w:val="009A68C4"/>
    <w:rsid w:val="009A6A35"/>
    <w:rsid w:val="009A72CC"/>
    <w:rsid w:val="009A7546"/>
    <w:rsid w:val="009B05C4"/>
    <w:rsid w:val="009B088F"/>
    <w:rsid w:val="009B1A63"/>
    <w:rsid w:val="009B1DC0"/>
    <w:rsid w:val="009B21F2"/>
    <w:rsid w:val="009B2249"/>
    <w:rsid w:val="009B258D"/>
    <w:rsid w:val="009B2B30"/>
    <w:rsid w:val="009B2DCE"/>
    <w:rsid w:val="009B3A44"/>
    <w:rsid w:val="009B3FD4"/>
    <w:rsid w:val="009B45BA"/>
    <w:rsid w:val="009B4A5F"/>
    <w:rsid w:val="009B4CC3"/>
    <w:rsid w:val="009B510A"/>
    <w:rsid w:val="009B5308"/>
    <w:rsid w:val="009B56F5"/>
    <w:rsid w:val="009B633C"/>
    <w:rsid w:val="009B667C"/>
    <w:rsid w:val="009B68D2"/>
    <w:rsid w:val="009B6C39"/>
    <w:rsid w:val="009B7847"/>
    <w:rsid w:val="009C02B8"/>
    <w:rsid w:val="009C113E"/>
    <w:rsid w:val="009C1510"/>
    <w:rsid w:val="009C15A5"/>
    <w:rsid w:val="009C2252"/>
    <w:rsid w:val="009C23CE"/>
    <w:rsid w:val="009C30EE"/>
    <w:rsid w:val="009C3E8B"/>
    <w:rsid w:val="009C46BC"/>
    <w:rsid w:val="009C55FF"/>
    <w:rsid w:val="009C5F14"/>
    <w:rsid w:val="009C6404"/>
    <w:rsid w:val="009C6674"/>
    <w:rsid w:val="009C6C13"/>
    <w:rsid w:val="009C7B40"/>
    <w:rsid w:val="009D0DB7"/>
    <w:rsid w:val="009D138D"/>
    <w:rsid w:val="009D1FA1"/>
    <w:rsid w:val="009D20DC"/>
    <w:rsid w:val="009D2127"/>
    <w:rsid w:val="009D24E2"/>
    <w:rsid w:val="009D28E2"/>
    <w:rsid w:val="009D2CFF"/>
    <w:rsid w:val="009D31E8"/>
    <w:rsid w:val="009D3777"/>
    <w:rsid w:val="009D4185"/>
    <w:rsid w:val="009D425A"/>
    <w:rsid w:val="009D4C6F"/>
    <w:rsid w:val="009D4EB8"/>
    <w:rsid w:val="009D5042"/>
    <w:rsid w:val="009D592E"/>
    <w:rsid w:val="009D676A"/>
    <w:rsid w:val="009D6787"/>
    <w:rsid w:val="009D683F"/>
    <w:rsid w:val="009D71A8"/>
    <w:rsid w:val="009D73DB"/>
    <w:rsid w:val="009D75D5"/>
    <w:rsid w:val="009E0318"/>
    <w:rsid w:val="009E0609"/>
    <w:rsid w:val="009E0792"/>
    <w:rsid w:val="009E0CA5"/>
    <w:rsid w:val="009E171B"/>
    <w:rsid w:val="009E1EB1"/>
    <w:rsid w:val="009E2504"/>
    <w:rsid w:val="009E2979"/>
    <w:rsid w:val="009E31D7"/>
    <w:rsid w:val="009E4B29"/>
    <w:rsid w:val="009E5650"/>
    <w:rsid w:val="009E5D95"/>
    <w:rsid w:val="009E5F9A"/>
    <w:rsid w:val="009E6ADF"/>
    <w:rsid w:val="009E6C7F"/>
    <w:rsid w:val="009E7C40"/>
    <w:rsid w:val="009E7F4E"/>
    <w:rsid w:val="009F02E7"/>
    <w:rsid w:val="009F071F"/>
    <w:rsid w:val="009F076B"/>
    <w:rsid w:val="009F08D1"/>
    <w:rsid w:val="009F114B"/>
    <w:rsid w:val="009F1D70"/>
    <w:rsid w:val="009F1E9D"/>
    <w:rsid w:val="009F24A2"/>
    <w:rsid w:val="009F25DB"/>
    <w:rsid w:val="009F26B0"/>
    <w:rsid w:val="009F3D0A"/>
    <w:rsid w:val="009F4404"/>
    <w:rsid w:val="009F4447"/>
    <w:rsid w:val="009F4774"/>
    <w:rsid w:val="009F4B39"/>
    <w:rsid w:val="009F5CB7"/>
    <w:rsid w:val="009F78B2"/>
    <w:rsid w:val="009F79FF"/>
    <w:rsid w:val="009F7E52"/>
    <w:rsid w:val="00A00366"/>
    <w:rsid w:val="00A01455"/>
    <w:rsid w:val="00A015E8"/>
    <w:rsid w:val="00A018F4"/>
    <w:rsid w:val="00A029E3"/>
    <w:rsid w:val="00A0374B"/>
    <w:rsid w:val="00A038A7"/>
    <w:rsid w:val="00A038D7"/>
    <w:rsid w:val="00A03EE4"/>
    <w:rsid w:val="00A04396"/>
    <w:rsid w:val="00A04401"/>
    <w:rsid w:val="00A049D9"/>
    <w:rsid w:val="00A04AE7"/>
    <w:rsid w:val="00A054CA"/>
    <w:rsid w:val="00A05F54"/>
    <w:rsid w:val="00A064E3"/>
    <w:rsid w:val="00A064FD"/>
    <w:rsid w:val="00A0662C"/>
    <w:rsid w:val="00A0667D"/>
    <w:rsid w:val="00A072C6"/>
    <w:rsid w:val="00A07466"/>
    <w:rsid w:val="00A074FE"/>
    <w:rsid w:val="00A07D47"/>
    <w:rsid w:val="00A10593"/>
    <w:rsid w:val="00A112A3"/>
    <w:rsid w:val="00A11421"/>
    <w:rsid w:val="00A1158A"/>
    <w:rsid w:val="00A11B03"/>
    <w:rsid w:val="00A11B15"/>
    <w:rsid w:val="00A11F9E"/>
    <w:rsid w:val="00A12B41"/>
    <w:rsid w:val="00A12E8A"/>
    <w:rsid w:val="00A12F62"/>
    <w:rsid w:val="00A130DA"/>
    <w:rsid w:val="00A14379"/>
    <w:rsid w:val="00A14EF5"/>
    <w:rsid w:val="00A14FE9"/>
    <w:rsid w:val="00A15401"/>
    <w:rsid w:val="00A155F0"/>
    <w:rsid w:val="00A1561D"/>
    <w:rsid w:val="00A15A0E"/>
    <w:rsid w:val="00A16627"/>
    <w:rsid w:val="00A16BC9"/>
    <w:rsid w:val="00A16CDE"/>
    <w:rsid w:val="00A16D5D"/>
    <w:rsid w:val="00A16ECB"/>
    <w:rsid w:val="00A171B9"/>
    <w:rsid w:val="00A174FC"/>
    <w:rsid w:val="00A17694"/>
    <w:rsid w:val="00A177B2"/>
    <w:rsid w:val="00A17972"/>
    <w:rsid w:val="00A17BE3"/>
    <w:rsid w:val="00A20573"/>
    <w:rsid w:val="00A20861"/>
    <w:rsid w:val="00A20E8E"/>
    <w:rsid w:val="00A20EF9"/>
    <w:rsid w:val="00A215C6"/>
    <w:rsid w:val="00A21B3D"/>
    <w:rsid w:val="00A24DFF"/>
    <w:rsid w:val="00A25EDA"/>
    <w:rsid w:val="00A2646E"/>
    <w:rsid w:val="00A27016"/>
    <w:rsid w:val="00A27A8E"/>
    <w:rsid w:val="00A30677"/>
    <w:rsid w:val="00A30DDD"/>
    <w:rsid w:val="00A319F2"/>
    <w:rsid w:val="00A325BA"/>
    <w:rsid w:val="00A32765"/>
    <w:rsid w:val="00A33722"/>
    <w:rsid w:val="00A34B88"/>
    <w:rsid w:val="00A34EB8"/>
    <w:rsid w:val="00A34FA3"/>
    <w:rsid w:val="00A3505F"/>
    <w:rsid w:val="00A3532F"/>
    <w:rsid w:val="00A3616C"/>
    <w:rsid w:val="00A36211"/>
    <w:rsid w:val="00A36392"/>
    <w:rsid w:val="00A365B6"/>
    <w:rsid w:val="00A36888"/>
    <w:rsid w:val="00A36906"/>
    <w:rsid w:val="00A36B00"/>
    <w:rsid w:val="00A36D08"/>
    <w:rsid w:val="00A3739C"/>
    <w:rsid w:val="00A3749B"/>
    <w:rsid w:val="00A37816"/>
    <w:rsid w:val="00A37A3F"/>
    <w:rsid w:val="00A37D25"/>
    <w:rsid w:val="00A37D87"/>
    <w:rsid w:val="00A37DB3"/>
    <w:rsid w:val="00A40203"/>
    <w:rsid w:val="00A41172"/>
    <w:rsid w:val="00A415F8"/>
    <w:rsid w:val="00A418C1"/>
    <w:rsid w:val="00A421C0"/>
    <w:rsid w:val="00A423F0"/>
    <w:rsid w:val="00A42F4E"/>
    <w:rsid w:val="00A432A2"/>
    <w:rsid w:val="00A437F6"/>
    <w:rsid w:val="00A439B4"/>
    <w:rsid w:val="00A4487C"/>
    <w:rsid w:val="00A44B2E"/>
    <w:rsid w:val="00A44BB5"/>
    <w:rsid w:val="00A44C4A"/>
    <w:rsid w:val="00A45D3B"/>
    <w:rsid w:val="00A4641F"/>
    <w:rsid w:val="00A4644B"/>
    <w:rsid w:val="00A47D0C"/>
    <w:rsid w:val="00A5088B"/>
    <w:rsid w:val="00A50A00"/>
    <w:rsid w:val="00A50C75"/>
    <w:rsid w:val="00A50D88"/>
    <w:rsid w:val="00A514B3"/>
    <w:rsid w:val="00A515FE"/>
    <w:rsid w:val="00A516B0"/>
    <w:rsid w:val="00A519D0"/>
    <w:rsid w:val="00A51B47"/>
    <w:rsid w:val="00A5201B"/>
    <w:rsid w:val="00A52189"/>
    <w:rsid w:val="00A53357"/>
    <w:rsid w:val="00A533C5"/>
    <w:rsid w:val="00A53669"/>
    <w:rsid w:val="00A543B4"/>
    <w:rsid w:val="00A54654"/>
    <w:rsid w:val="00A54DAF"/>
    <w:rsid w:val="00A553E6"/>
    <w:rsid w:val="00A55659"/>
    <w:rsid w:val="00A556AA"/>
    <w:rsid w:val="00A55DB4"/>
    <w:rsid w:val="00A55E54"/>
    <w:rsid w:val="00A562CB"/>
    <w:rsid w:val="00A5669A"/>
    <w:rsid w:val="00A568B7"/>
    <w:rsid w:val="00A56923"/>
    <w:rsid w:val="00A56BCF"/>
    <w:rsid w:val="00A56D07"/>
    <w:rsid w:val="00A56F17"/>
    <w:rsid w:val="00A600A6"/>
    <w:rsid w:val="00A60E37"/>
    <w:rsid w:val="00A615E1"/>
    <w:rsid w:val="00A61643"/>
    <w:rsid w:val="00A616FA"/>
    <w:rsid w:val="00A61A00"/>
    <w:rsid w:val="00A62E42"/>
    <w:rsid w:val="00A63C3F"/>
    <w:rsid w:val="00A6458E"/>
    <w:rsid w:val="00A645E6"/>
    <w:rsid w:val="00A647F5"/>
    <w:rsid w:val="00A64A71"/>
    <w:rsid w:val="00A64FC1"/>
    <w:rsid w:val="00A6512A"/>
    <w:rsid w:val="00A654B3"/>
    <w:rsid w:val="00A65970"/>
    <w:rsid w:val="00A67F0D"/>
    <w:rsid w:val="00A70101"/>
    <w:rsid w:val="00A70782"/>
    <w:rsid w:val="00A70CC1"/>
    <w:rsid w:val="00A711BC"/>
    <w:rsid w:val="00A7135A"/>
    <w:rsid w:val="00A71703"/>
    <w:rsid w:val="00A7236C"/>
    <w:rsid w:val="00A72506"/>
    <w:rsid w:val="00A72560"/>
    <w:rsid w:val="00A72960"/>
    <w:rsid w:val="00A72A71"/>
    <w:rsid w:val="00A72D8F"/>
    <w:rsid w:val="00A73B5C"/>
    <w:rsid w:val="00A74431"/>
    <w:rsid w:val="00A746FC"/>
    <w:rsid w:val="00A74771"/>
    <w:rsid w:val="00A747AA"/>
    <w:rsid w:val="00A74815"/>
    <w:rsid w:val="00A7521A"/>
    <w:rsid w:val="00A7556B"/>
    <w:rsid w:val="00A757A9"/>
    <w:rsid w:val="00A77885"/>
    <w:rsid w:val="00A77FB6"/>
    <w:rsid w:val="00A80083"/>
    <w:rsid w:val="00A802FD"/>
    <w:rsid w:val="00A80441"/>
    <w:rsid w:val="00A8187E"/>
    <w:rsid w:val="00A81F9E"/>
    <w:rsid w:val="00A81FF6"/>
    <w:rsid w:val="00A82180"/>
    <w:rsid w:val="00A8219E"/>
    <w:rsid w:val="00A825E9"/>
    <w:rsid w:val="00A8276C"/>
    <w:rsid w:val="00A84B6B"/>
    <w:rsid w:val="00A850A7"/>
    <w:rsid w:val="00A85697"/>
    <w:rsid w:val="00A86361"/>
    <w:rsid w:val="00A865EA"/>
    <w:rsid w:val="00A867CF"/>
    <w:rsid w:val="00A86D47"/>
    <w:rsid w:val="00A8737F"/>
    <w:rsid w:val="00A87ADC"/>
    <w:rsid w:val="00A902E9"/>
    <w:rsid w:val="00A9031D"/>
    <w:rsid w:val="00A90489"/>
    <w:rsid w:val="00A90919"/>
    <w:rsid w:val="00A9130C"/>
    <w:rsid w:val="00A91500"/>
    <w:rsid w:val="00A9175F"/>
    <w:rsid w:val="00A91765"/>
    <w:rsid w:val="00A929E3"/>
    <w:rsid w:val="00A92B2B"/>
    <w:rsid w:val="00A93401"/>
    <w:rsid w:val="00A93413"/>
    <w:rsid w:val="00A9479B"/>
    <w:rsid w:val="00A94C8B"/>
    <w:rsid w:val="00A95601"/>
    <w:rsid w:val="00A9571F"/>
    <w:rsid w:val="00A965AB"/>
    <w:rsid w:val="00A9675F"/>
    <w:rsid w:val="00A967D9"/>
    <w:rsid w:val="00A96F04"/>
    <w:rsid w:val="00A970DD"/>
    <w:rsid w:val="00A97160"/>
    <w:rsid w:val="00A97BB1"/>
    <w:rsid w:val="00AA0512"/>
    <w:rsid w:val="00AA1021"/>
    <w:rsid w:val="00AA14EE"/>
    <w:rsid w:val="00AA16A6"/>
    <w:rsid w:val="00AA240D"/>
    <w:rsid w:val="00AA2467"/>
    <w:rsid w:val="00AA2B41"/>
    <w:rsid w:val="00AA2B7C"/>
    <w:rsid w:val="00AA328B"/>
    <w:rsid w:val="00AA3F5E"/>
    <w:rsid w:val="00AA449F"/>
    <w:rsid w:val="00AA4556"/>
    <w:rsid w:val="00AA48AD"/>
    <w:rsid w:val="00AA5201"/>
    <w:rsid w:val="00AA52D6"/>
    <w:rsid w:val="00AA5B3F"/>
    <w:rsid w:val="00AA5E1F"/>
    <w:rsid w:val="00AA6244"/>
    <w:rsid w:val="00AA64B8"/>
    <w:rsid w:val="00AA6E2D"/>
    <w:rsid w:val="00AA7279"/>
    <w:rsid w:val="00AB0128"/>
    <w:rsid w:val="00AB0362"/>
    <w:rsid w:val="00AB037E"/>
    <w:rsid w:val="00AB1870"/>
    <w:rsid w:val="00AB2150"/>
    <w:rsid w:val="00AB22A2"/>
    <w:rsid w:val="00AB2577"/>
    <w:rsid w:val="00AB264A"/>
    <w:rsid w:val="00AB28CB"/>
    <w:rsid w:val="00AB2C6B"/>
    <w:rsid w:val="00AB2CB6"/>
    <w:rsid w:val="00AB38C0"/>
    <w:rsid w:val="00AB3EE5"/>
    <w:rsid w:val="00AB3F4B"/>
    <w:rsid w:val="00AB416D"/>
    <w:rsid w:val="00AB41F2"/>
    <w:rsid w:val="00AB48B8"/>
    <w:rsid w:val="00AB4BC3"/>
    <w:rsid w:val="00AB4D40"/>
    <w:rsid w:val="00AB557C"/>
    <w:rsid w:val="00AB5743"/>
    <w:rsid w:val="00AB61C8"/>
    <w:rsid w:val="00AB632A"/>
    <w:rsid w:val="00AB7C1F"/>
    <w:rsid w:val="00AB7E90"/>
    <w:rsid w:val="00AC0A42"/>
    <w:rsid w:val="00AC0C77"/>
    <w:rsid w:val="00AC1F74"/>
    <w:rsid w:val="00AC21A8"/>
    <w:rsid w:val="00AC3196"/>
    <w:rsid w:val="00AC3A74"/>
    <w:rsid w:val="00AC4065"/>
    <w:rsid w:val="00AC4A70"/>
    <w:rsid w:val="00AC4F4D"/>
    <w:rsid w:val="00AC6030"/>
    <w:rsid w:val="00AC647A"/>
    <w:rsid w:val="00AC64D4"/>
    <w:rsid w:val="00AC6DBB"/>
    <w:rsid w:val="00AC6F98"/>
    <w:rsid w:val="00AC75E2"/>
    <w:rsid w:val="00AC7C6B"/>
    <w:rsid w:val="00AD017B"/>
    <w:rsid w:val="00AD0A11"/>
    <w:rsid w:val="00AD0A30"/>
    <w:rsid w:val="00AD333C"/>
    <w:rsid w:val="00AD3E0B"/>
    <w:rsid w:val="00AD3E9D"/>
    <w:rsid w:val="00AD405F"/>
    <w:rsid w:val="00AD40E0"/>
    <w:rsid w:val="00AD479F"/>
    <w:rsid w:val="00AD4AAA"/>
    <w:rsid w:val="00AD5C24"/>
    <w:rsid w:val="00AD659D"/>
    <w:rsid w:val="00AD6786"/>
    <w:rsid w:val="00AD6D1E"/>
    <w:rsid w:val="00AD7133"/>
    <w:rsid w:val="00AD7861"/>
    <w:rsid w:val="00AD7BD3"/>
    <w:rsid w:val="00AD7D99"/>
    <w:rsid w:val="00AE0908"/>
    <w:rsid w:val="00AE0A35"/>
    <w:rsid w:val="00AE0C71"/>
    <w:rsid w:val="00AE1925"/>
    <w:rsid w:val="00AE20BA"/>
    <w:rsid w:val="00AE21CD"/>
    <w:rsid w:val="00AE2305"/>
    <w:rsid w:val="00AE24CB"/>
    <w:rsid w:val="00AE2528"/>
    <w:rsid w:val="00AE2EED"/>
    <w:rsid w:val="00AE2F90"/>
    <w:rsid w:val="00AE3612"/>
    <w:rsid w:val="00AE3616"/>
    <w:rsid w:val="00AE4074"/>
    <w:rsid w:val="00AE40EE"/>
    <w:rsid w:val="00AE4223"/>
    <w:rsid w:val="00AE4365"/>
    <w:rsid w:val="00AE44C5"/>
    <w:rsid w:val="00AE5581"/>
    <w:rsid w:val="00AE644A"/>
    <w:rsid w:val="00AE67EC"/>
    <w:rsid w:val="00AE6B58"/>
    <w:rsid w:val="00AE6B5C"/>
    <w:rsid w:val="00AE76FB"/>
    <w:rsid w:val="00AE7D1B"/>
    <w:rsid w:val="00AF0625"/>
    <w:rsid w:val="00AF0B34"/>
    <w:rsid w:val="00AF0F80"/>
    <w:rsid w:val="00AF1830"/>
    <w:rsid w:val="00AF183C"/>
    <w:rsid w:val="00AF2158"/>
    <w:rsid w:val="00AF34A6"/>
    <w:rsid w:val="00AF3672"/>
    <w:rsid w:val="00AF37E0"/>
    <w:rsid w:val="00AF3DC7"/>
    <w:rsid w:val="00AF3EEE"/>
    <w:rsid w:val="00AF427B"/>
    <w:rsid w:val="00AF43F6"/>
    <w:rsid w:val="00AF4608"/>
    <w:rsid w:val="00AF592F"/>
    <w:rsid w:val="00AF5EA9"/>
    <w:rsid w:val="00AF6513"/>
    <w:rsid w:val="00AF678A"/>
    <w:rsid w:val="00AF6D77"/>
    <w:rsid w:val="00AF6D9C"/>
    <w:rsid w:val="00AF6F66"/>
    <w:rsid w:val="00B00B2C"/>
    <w:rsid w:val="00B025DF"/>
    <w:rsid w:val="00B02E77"/>
    <w:rsid w:val="00B030C3"/>
    <w:rsid w:val="00B0388D"/>
    <w:rsid w:val="00B03955"/>
    <w:rsid w:val="00B03DD6"/>
    <w:rsid w:val="00B04183"/>
    <w:rsid w:val="00B04368"/>
    <w:rsid w:val="00B0460A"/>
    <w:rsid w:val="00B050AE"/>
    <w:rsid w:val="00B05233"/>
    <w:rsid w:val="00B0546C"/>
    <w:rsid w:val="00B05818"/>
    <w:rsid w:val="00B05B1B"/>
    <w:rsid w:val="00B05F3F"/>
    <w:rsid w:val="00B061F2"/>
    <w:rsid w:val="00B06ED3"/>
    <w:rsid w:val="00B076A8"/>
    <w:rsid w:val="00B07B45"/>
    <w:rsid w:val="00B109B6"/>
    <w:rsid w:val="00B11023"/>
    <w:rsid w:val="00B11935"/>
    <w:rsid w:val="00B11CF1"/>
    <w:rsid w:val="00B12285"/>
    <w:rsid w:val="00B1267F"/>
    <w:rsid w:val="00B13105"/>
    <w:rsid w:val="00B1354F"/>
    <w:rsid w:val="00B13AE7"/>
    <w:rsid w:val="00B13D00"/>
    <w:rsid w:val="00B14069"/>
    <w:rsid w:val="00B1455A"/>
    <w:rsid w:val="00B15642"/>
    <w:rsid w:val="00B15DB7"/>
    <w:rsid w:val="00B16086"/>
    <w:rsid w:val="00B16B8D"/>
    <w:rsid w:val="00B16CE0"/>
    <w:rsid w:val="00B16D54"/>
    <w:rsid w:val="00B16FB1"/>
    <w:rsid w:val="00B17A5B"/>
    <w:rsid w:val="00B2049B"/>
    <w:rsid w:val="00B2073F"/>
    <w:rsid w:val="00B20B23"/>
    <w:rsid w:val="00B20C2F"/>
    <w:rsid w:val="00B20FEC"/>
    <w:rsid w:val="00B212B7"/>
    <w:rsid w:val="00B214C6"/>
    <w:rsid w:val="00B21D49"/>
    <w:rsid w:val="00B24CE8"/>
    <w:rsid w:val="00B24F6A"/>
    <w:rsid w:val="00B2513B"/>
    <w:rsid w:val="00B25575"/>
    <w:rsid w:val="00B2567D"/>
    <w:rsid w:val="00B25AEF"/>
    <w:rsid w:val="00B26A2B"/>
    <w:rsid w:val="00B27B2F"/>
    <w:rsid w:val="00B27F45"/>
    <w:rsid w:val="00B30890"/>
    <w:rsid w:val="00B308D9"/>
    <w:rsid w:val="00B30B40"/>
    <w:rsid w:val="00B3117B"/>
    <w:rsid w:val="00B3154A"/>
    <w:rsid w:val="00B3197D"/>
    <w:rsid w:val="00B31ACB"/>
    <w:rsid w:val="00B31DFA"/>
    <w:rsid w:val="00B32182"/>
    <w:rsid w:val="00B322C4"/>
    <w:rsid w:val="00B3258E"/>
    <w:rsid w:val="00B328B3"/>
    <w:rsid w:val="00B32A6A"/>
    <w:rsid w:val="00B33025"/>
    <w:rsid w:val="00B33836"/>
    <w:rsid w:val="00B33855"/>
    <w:rsid w:val="00B338FB"/>
    <w:rsid w:val="00B33B71"/>
    <w:rsid w:val="00B33B8F"/>
    <w:rsid w:val="00B33D0C"/>
    <w:rsid w:val="00B33D66"/>
    <w:rsid w:val="00B348E8"/>
    <w:rsid w:val="00B3490C"/>
    <w:rsid w:val="00B34F0A"/>
    <w:rsid w:val="00B35314"/>
    <w:rsid w:val="00B3583B"/>
    <w:rsid w:val="00B361B3"/>
    <w:rsid w:val="00B36924"/>
    <w:rsid w:val="00B36F45"/>
    <w:rsid w:val="00B3759C"/>
    <w:rsid w:val="00B3768B"/>
    <w:rsid w:val="00B37A8F"/>
    <w:rsid w:val="00B40CCF"/>
    <w:rsid w:val="00B42634"/>
    <w:rsid w:val="00B427C6"/>
    <w:rsid w:val="00B42DF9"/>
    <w:rsid w:val="00B43147"/>
    <w:rsid w:val="00B43733"/>
    <w:rsid w:val="00B4388F"/>
    <w:rsid w:val="00B43B72"/>
    <w:rsid w:val="00B43FE1"/>
    <w:rsid w:val="00B44B34"/>
    <w:rsid w:val="00B44D93"/>
    <w:rsid w:val="00B45545"/>
    <w:rsid w:val="00B456FE"/>
    <w:rsid w:val="00B4630F"/>
    <w:rsid w:val="00B46C72"/>
    <w:rsid w:val="00B47649"/>
    <w:rsid w:val="00B504AC"/>
    <w:rsid w:val="00B5106D"/>
    <w:rsid w:val="00B5141E"/>
    <w:rsid w:val="00B52FE9"/>
    <w:rsid w:val="00B5348E"/>
    <w:rsid w:val="00B53588"/>
    <w:rsid w:val="00B549D8"/>
    <w:rsid w:val="00B55055"/>
    <w:rsid w:val="00B5521C"/>
    <w:rsid w:val="00B553E6"/>
    <w:rsid w:val="00B5549C"/>
    <w:rsid w:val="00B55B04"/>
    <w:rsid w:val="00B56BCD"/>
    <w:rsid w:val="00B571B9"/>
    <w:rsid w:val="00B577BF"/>
    <w:rsid w:val="00B57D2D"/>
    <w:rsid w:val="00B602F9"/>
    <w:rsid w:val="00B612C9"/>
    <w:rsid w:val="00B61501"/>
    <w:rsid w:val="00B62F66"/>
    <w:rsid w:val="00B63AB8"/>
    <w:rsid w:val="00B64158"/>
    <w:rsid w:val="00B6433B"/>
    <w:rsid w:val="00B645CC"/>
    <w:rsid w:val="00B6515A"/>
    <w:rsid w:val="00B65347"/>
    <w:rsid w:val="00B65C75"/>
    <w:rsid w:val="00B65DE1"/>
    <w:rsid w:val="00B65E28"/>
    <w:rsid w:val="00B66A92"/>
    <w:rsid w:val="00B66DC0"/>
    <w:rsid w:val="00B67381"/>
    <w:rsid w:val="00B7063C"/>
    <w:rsid w:val="00B7074E"/>
    <w:rsid w:val="00B70EB5"/>
    <w:rsid w:val="00B71180"/>
    <w:rsid w:val="00B72220"/>
    <w:rsid w:val="00B72416"/>
    <w:rsid w:val="00B72AF0"/>
    <w:rsid w:val="00B72CF3"/>
    <w:rsid w:val="00B7348B"/>
    <w:rsid w:val="00B737EB"/>
    <w:rsid w:val="00B73DCD"/>
    <w:rsid w:val="00B74870"/>
    <w:rsid w:val="00B74EDC"/>
    <w:rsid w:val="00B74FF0"/>
    <w:rsid w:val="00B7564A"/>
    <w:rsid w:val="00B763D3"/>
    <w:rsid w:val="00B770E2"/>
    <w:rsid w:val="00B775EE"/>
    <w:rsid w:val="00B8026A"/>
    <w:rsid w:val="00B802C7"/>
    <w:rsid w:val="00B80307"/>
    <w:rsid w:val="00B820DF"/>
    <w:rsid w:val="00B828E9"/>
    <w:rsid w:val="00B82B42"/>
    <w:rsid w:val="00B82B5B"/>
    <w:rsid w:val="00B8312B"/>
    <w:rsid w:val="00B8315E"/>
    <w:rsid w:val="00B832D1"/>
    <w:rsid w:val="00B83340"/>
    <w:rsid w:val="00B837AE"/>
    <w:rsid w:val="00B837C3"/>
    <w:rsid w:val="00B83BB6"/>
    <w:rsid w:val="00B84016"/>
    <w:rsid w:val="00B84E2C"/>
    <w:rsid w:val="00B84FEF"/>
    <w:rsid w:val="00B86AB3"/>
    <w:rsid w:val="00B87927"/>
    <w:rsid w:val="00B87CE7"/>
    <w:rsid w:val="00B900E7"/>
    <w:rsid w:val="00B90517"/>
    <w:rsid w:val="00B905FE"/>
    <w:rsid w:val="00B90715"/>
    <w:rsid w:val="00B90CDF"/>
    <w:rsid w:val="00B90FDD"/>
    <w:rsid w:val="00B910F7"/>
    <w:rsid w:val="00B9117B"/>
    <w:rsid w:val="00B915A0"/>
    <w:rsid w:val="00B91DCC"/>
    <w:rsid w:val="00B91F12"/>
    <w:rsid w:val="00B9220E"/>
    <w:rsid w:val="00B92236"/>
    <w:rsid w:val="00B92737"/>
    <w:rsid w:val="00B9336F"/>
    <w:rsid w:val="00B94206"/>
    <w:rsid w:val="00B94293"/>
    <w:rsid w:val="00B949D0"/>
    <w:rsid w:val="00B94EFF"/>
    <w:rsid w:val="00B954F8"/>
    <w:rsid w:val="00B9550B"/>
    <w:rsid w:val="00B9567C"/>
    <w:rsid w:val="00B9614E"/>
    <w:rsid w:val="00B9759F"/>
    <w:rsid w:val="00BA04E8"/>
    <w:rsid w:val="00BA0EA6"/>
    <w:rsid w:val="00BA11E4"/>
    <w:rsid w:val="00BA1440"/>
    <w:rsid w:val="00BA18EB"/>
    <w:rsid w:val="00BA1C91"/>
    <w:rsid w:val="00BA237E"/>
    <w:rsid w:val="00BA2884"/>
    <w:rsid w:val="00BA2A0A"/>
    <w:rsid w:val="00BA312F"/>
    <w:rsid w:val="00BA3297"/>
    <w:rsid w:val="00BA4148"/>
    <w:rsid w:val="00BA44B9"/>
    <w:rsid w:val="00BA5E34"/>
    <w:rsid w:val="00BA6094"/>
    <w:rsid w:val="00BA7437"/>
    <w:rsid w:val="00BA7644"/>
    <w:rsid w:val="00BA7C86"/>
    <w:rsid w:val="00BA7CFD"/>
    <w:rsid w:val="00BB0082"/>
    <w:rsid w:val="00BB00F3"/>
    <w:rsid w:val="00BB0604"/>
    <w:rsid w:val="00BB1188"/>
    <w:rsid w:val="00BB163E"/>
    <w:rsid w:val="00BB1A35"/>
    <w:rsid w:val="00BB202B"/>
    <w:rsid w:val="00BB2520"/>
    <w:rsid w:val="00BB2C97"/>
    <w:rsid w:val="00BB345D"/>
    <w:rsid w:val="00BB450C"/>
    <w:rsid w:val="00BB5080"/>
    <w:rsid w:val="00BB51A9"/>
    <w:rsid w:val="00BB51B8"/>
    <w:rsid w:val="00BB5284"/>
    <w:rsid w:val="00BB53B7"/>
    <w:rsid w:val="00BB544C"/>
    <w:rsid w:val="00BB5673"/>
    <w:rsid w:val="00BB67D1"/>
    <w:rsid w:val="00BB753E"/>
    <w:rsid w:val="00BB77FC"/>
    <w:rsid w:val="00BB7995"/>
    <w:rsid w:val="00BC0460"/>
    <w:rsid w:val="00BC051E"/>
    <w:rsid w:val="00BC097D"/>
    <w:rsid w:val="00BC0D86"/>
    <w:rsid w:val="00BC16C4"/>
    <w:rsid w:val="00BC16FD"/>
    <w:rsid w:val="00BC1D44"/>
    <w:rsid w:val="00BC2304"/>
    <w:rsid w:val="00BC2471"/>
    <w:rsid w:val="00BC271D"/>
    <w:rsid w:val="00BC38EE"/>
    <w:rsid w:val="00BC43C5"/>
    <w:rsid w:val="00BC44F0"/>
    <w:rsid w:val="00BC48DB"/>
    <w:rsid w:val="00BC5467"/>
    <w:rsid w:val="00BC5DC6"/>
    <w:rsid w:val="00BC6C19"/>
    <w:rsid w:val="00BC6E69"/>
    <w:rsid w:val="00BC7A98"/>
    <w:rsid w:val="00BD0216"/>
    <w:rsid w:val="00BD0289"/>
    <w:rsid w:val="00BD0943"/>
    <w:rsid w:val="00BD1369"/>
    <w:rsid w:val="00BD203D"/>
    <w:rsid w:val="00BD2239"/>
    <w:rsid w:val="00BD26AA"/>
    <w:rsid w:val="00BD28D8"/>
    <w:rsid w:val="00BD2B12"/>
    <w:rsid w:val="00BD2E2B"/>
    <w:rsid w:val="00BD3482"/>
    <w:rsid w:val="00BD41B2"/>
    <w:rsid w:val="00BD454F"/>
    <w:rsid w:val="00BD473A"/>
    <w:rsid w:val="00BD524B"/>
    <w:rsid w:val="00BD5377"/>
    <w:rsid w:val="00BD53E9"/>
    <w:rsid w:val="00BD6318"/>
    <w:rsid w:val="00BD6F98"/>
    <w:rsid w:val="00BD7443"/>
    <w:rsid w:val="00BD78AC"/>
    <w:rsid w:val="00BD78F9"/>
    <w:rsid w:val="00BD7B32"/>
    <w:rsid w:val="00BE002D"/>
    <w:rsid w:val="00BE0A90"/>
    <w:rsid w:val="00BE12BC"/>
    <w:rsid w:val="00BE1705"/>
    <w:rsid w:val="00BE18E6"/>
    <w:rsid w:val="00BE1DCE"/>
    <w:rsid w:val="00BE2635"/>
    <w:rsid w:val="00BE2B22"/>
    <w:rsid w:val="00BE35FA"/>
    <w:rsid w:val="00BE3B78"/>
    <w:rsid w:val="00BE3D94"/>
    <w:rsid w:val="00BE472A"/>
    <w:rsid w:val="00BE4ABA"/>
    <w:rsid w:val="00BE4D3A"/>
    <w:rsid w:val="00BE5505"/>
    <w:rsid w:val="00BE5AA9"/>
    <w:rsid w:val="00BE5DB6"/>
    <w:rsid w:val="00BE62E8"/>
    <w:rsid w:val="00BE669F"/>
    <w:rsid w:val="00BE678F"/>
    <w:rsid w:val="00BE719F"/>
    <w:rsid w:val="00BE7238"/>
    <w:rsid w:val="00BE7A36"/>
    <w:rsid w:val="00BE7B96"/>
    <w:rsid w:val="00BE7EA5"/>
    <w:rsid w:val="00BF040E"/>
    <w:rsid w:val="00BF042A"/>
    <w:rsid w:val="00BF06A4"/>
    <w:rsid w:val="00BF0C9D"/>
    <w:rsid w:val="00BF1753"/>
    <w:rsid w:val="00BF3129"/>
    <w:rsid w:val="00BF3F99"/>
    <w:rsid w:val="00BF419A"/>
    <w:rsid w:val="00BF51F0"/>
    <w:rsid w:val="00BF55E1"/>
    <w:rsid w:val="00BF59F8"/>
    <w:rsid w:val="00BF5DC7"/>
    <w:rsid w:val="00BF6421"/>
    <w:rsid w:val="00BF6482"/>
    <w:rsid w:val="00BF6E7E"/>
    <w:rsid w:val="00BF7678"/>
    <w:rsid w:val="00BF7B6E"/>
    <w:rsid w:val="00C0015D"/>
    <w:rsid w:val="00C01285"/>
    <w:rsid w:val="00C01DCC"/>
    <w:rsid w:val="00C02DCA"/>
    <w:rsid w:val="00C02F9D"/>
    <w:rsid w:val="00C030D8"/>
    <w:rsid w:val="00C0354B"/>
    <w:rsid w:val="00C0393D"/>
    <w:rsid w:val="00C03C94"/>
    <w:rsid w:val="00C04198"/>
    <w:rsid w:val="00C04220"/>
    <w:rsid w:val="00C04A12"/>
    <w:rsid w:val="00C04B8B"/>
    <w:rsid w:val="00C04D14"/>
    <w:rsid w:val="00C04D44"/>
    <w:rsid w:val="00C053AE"/>
    <w:rsid w:val="00C05774"/>
    <w:rsid w:val="00C059EC"/>
    <w:rsid w:val="00C06D95"/>
    <w:rsid w:val="00C07094"/>
    <w:rsid w:val="00C07E24"/>
    <w:rsid w:val="00C10262"/>
    <w:rsid w:val="00C10427"/>
    <w:rsid w:val="00C10A15"/>
    <w:rsid w:val="00C11070"/>
    <w:rsid w:val="00C11447"/>
    <w:rsid w:val="00C128EC"/>
    <w:rsid w:val="00C12F2C"/>
    <w:rsid w:val="00C135AD"/>
    <w:rsid w:val="00C13807"/>
    <w:rsid w:val="00C13917"/>
    <w:rsid w:val="00C1415F"/>
    <w:rsid w:val="00C1448C"/>
    <w:rsid w:val="00C14494"/>
    <w:rsid w:val="00C14812"/>
    <w:rsid w:val="00C14F1B"/>
    <w:rsid w:val="00C15CE3"/>
    <w:rsid w:val="00C160C9"/>
    <w:rsid w:val="00C16CA4"/>
    <w:rsid w:val="00C16F44"/>
    <w:rsid w:val="00C1729C"/>
    <w:rsid w:val="00C17B08"/>
    <w:rsid w:val="00C20262"/>
    <w:rsid w:val="00C202B3"/>
    <w:rsid w:val="00C20302"/>
    <w:rsid w:val="00C208CB"/>
    <w:rsid w:val="00C21C60"/>
    <w:rsid w:val="00C21EE0"/>
    <w:rsid w:val="00C22B2C"/>
    <w:rsid w:val="00C234E4"/>
    <w:rsid w:val="00C23C5E"/>
    <w:rsid w:val="00C23D36"/>
    <w:rsid w:val="00C2455E"/>
    <w:rsid w:val="00C24CB1"/>
    <w:rsid w:val="00C25686"/>
    <w:rsid w:val="00C25F1E"/>
    <w:rsid w:val="00C263C2"/>
    <w:rsid w:val="00C26C99"/>
    <w:rsid w:val="00C271D7"/>
    <w:rsid w:val="00C27B0C"/>
    <w:rsid w:val="00C30250"/>
    <w:rsid w:val="00C30297"/>
    <w:rsid w:val="00C30A7C"/>
    <w:rsid w:val="00C31021"/>
    <w:rsid w:val="00C31373"/>
    <w:rsid w:val="00C315CC"/>
    <w:rsid w:val="00C31C31"/>
    <w:rsid w:val="00C33B20"/>
    <w:rsid w:val="00C33D03"/>
    <w:rsid w:val="00C33FC9"/>
    <w:rsid w:val="00C340EA"/>
    <w:rsid w:val="00C349ED"/>
    <w:rsid w:val="00C34A1E"/>
    <w:rsid w:val="00C34B8E"/>
    <w:rsid w:val="00C352E0"/>
    <w:rsid w:val="00C35C5E"/>
    <w:rsid w:val="00C3601B"/>
    <w:rsid w:val="00C36068"/>
    <w:rsid w:val="00C3676C"/>
    <w:rsid w:val="00C367D0"/>
    <w:rsid w:val="00C3698F"/>
    <w:rsid w:val="00C370DF"/>
    <w:rsid w:val="00C3711C"/>
    <w:rsid w:val="00C4129F"/>
    <w:rsid w:val="00C4185E"/>
    <w:rsid w:val="00C422C0"/>
    <w:rsid w:val="00C42544"/>
    <w:rsid w:val="00C433F6"/>
    <w:rsid w:val="00C4361C"/>
    <w:rsid w:val="00C43950"/>
    <w:rsid w:val="00C43A47"/>
    <w:rsid w:val="00C43B85"/>
    <w:rsid w:val="00C44360"/>
    <w:rsid w:val="00C445CB"/>
    <w:rsid w:val="00C44E19"/>
    <w:rsid w:val="00C451AA"/>
    <w:rsid w:val="00C45333"/>
    <w:rsid w:val="00C45B7F"/>
    <w:rsid w:val="00C4635B"/>
    <w:rsid w:val="00C4640E"/>
    <w:rsid w:val="00C464AB"/>
    <w:rsid w:val="00C46E56"/>
    <w:rsid w:val="00C470BA"/>
    <w:rsid w:val="00C47D73"/>
    <w:rsid w:val="00C50150"/>
    <w:rsid w:val="00C50155"/>
    <w:rsid w:val="00C50613"/>
    <w:rsid w:val="00C50B48"/>
    <w:rsid w:val="00C50BFF"/>
    <w:rsid w:val="00C50D4A"/>
    <w:rsid w:val="00C516E5"/>
    <w:rsid w:val="00C51FE1"/>
    <w:rsid w:val="00C52063"/>
    <w:rsid w:val="00C524D4"/>
    <w:rsid w:val="00C52786"/>
    <w:rsid w:val="00C52C91"/>
    <w:rsid w:val="00C5364F"/>
    <w:rsid w:val="00C53EE8"/>
    <w:rsid w:val="00C54688"/>
    <w:rsid w:val="00C54BF4"/>
    <w:rsid w:val="00C54EC4"/>
    <w:rsid w:val="00C552AF"/>
    <w:rsid w:val="00C55402"/>
    <w:rsid w:val="00C555AC"/>
    <w:rsid w:val="00C556A9"/>
    <w:rsid w:val="00C55883"/>
    <w:rsid w:val="00C560C2"/>
    <w:rsid w:val="00C56D0D"/>
    <w:rsid w:val="00C57A1E"/>
    <w:rsid w:val="00C57E0D"/>
    <w:rsid w:val="00C604CA"/>
    <w:rsid w:val="00C609B0"/>
    <w:rsid w:val="00C60BE1"/>
    <w:rsid w:val="00C60E39"/>
    <w:rsid w:val="00C6140C"/>
    <w:rsid w:val="00C61715"/>
    <w:rsid w:val="00C61867"/>
    <w:rsid w:val="00C629E8"/>
    <w:rsid w:val="00C62A3D"/>
    <w:rsid w:val="00C63331"/>
    <w:rsid w:val="00C645E2"/>
    <w:rsid w:val="00C648F6"/>
    <w:rsid w:val="00C64BDF"/>
    <w:rsid w:val="00C64E66"/>
    <w:rsid w:val="00C65003"/>
    <w:rsid w:val="00C653F0"/>
    <w:rsid w:val="00C653F3"/>
    <w:rsid w:val="00C65826"/>
    <w:rsid w:val="00C65B25"/>
    <w:rsid w:val="00C65C74"/>
    <w:rsid w:val="00C6629E"/>
    <w:rsid w:val="00C67185"/>
    <w:rsid w:val="00C676BA"/>
    <w:rsid w:val="00C67B30"/>
    <w:rsid w:val="00C70272"/>
    <w:rsid w:val="00C70AC6"/>
    <w:rsid w:val="00C710E9"/>
    <w:rsid w:val="00C713ED"/>
    <w:rsid w:val="00C72003"/>
    <w:rsid w:val="00C72318"/>
    <w:rsid w:val="00C724E6"/>
    <w:rsid w:val="00C725C8"/>
    <w:rsid w:val="00C72D86"/>
    <w:rsid w:val="00C72EDE"/>
    <w:rsid w:val="00C732FA"/>
    <w:rsid w:val="00C747A5"/>
    <w:rsid w:val="00C74BC3"/>
    <w:rsid w:val="00C74D0F"/>
    <w:rsid w:val="00C76037"/>
    <w:rsid w:val="00C76A7D"/>
    <w:rsid w:val="00C76AC1"/>
    <w:rsid w:val="00C77493"/>
    <w:rsid w:val="00C77D58"/>
    <w:rsid w:val="00C77D67"/>
    <w:rsid w:val="00C808F3"/>
    <w:rsid w:val="00C812D9"/>
    <w:rsid w:val="00C8151C"/>
    <w:rsid w:val="00C819A4"/>
    <w:rsid w:val="00C8208D"/>
    <w:rsid w:val="00C82E5D"/>
    <w:rsid w:val="00C83163"/>
    <w:rsid w:val="00C83885"/>
    <w:rsid w:val="00C85314"/>
    <w:rsid w:val="00C863BA"/>
    <w:rsid w:val="00C86AE6"/>
    <w:rsid w:val="00C87515"/>
    <w:rsid w:val="00C87BFE"/>
    <w:rsid w:val="00C904B4"/>
    <w:rsid w:val="00C9085F"/>
    <w:rsid w:val="00C90AA8"/>
    <w:rsid w:val="00C917D9"/>
    <w:rsid w:val="00C9185C"/>
    <w:rsid w:val="00C91C55"/>
    <w:rsid w:val="00C91DE7"/>
    <w:rsid w:val="00C926F1"/>
    <w:rsid w:val="00C92ED1"/>
    <w:rsid w:val="00C940AE"/>
    <w:rsid w:val="00C95735"/>
    <w:rsid w:val="00C9616D"/>
    <w:rsid w:val="00C96180"/>
    <w:rsid w:val="00C964E0"/>
    <w:rsid w:val="00C9666A"/>
    <w:rsid w:val="00C969E0"/>
    <w:rsid w:val="00C969EA"/>
    <w:rsid w:val="00C96F7D"/>
    <w:rsid w:val="00C97677"/>
    <w:rsid w:val="00C9773C"/>
    <w:rsid w:val="00CA0116"/>
    <w:rsid w:val="00CA0D08"/>
    <w:rsid w:val="00CA1241"/>
    <w:rsid w:val="00CA1CC7"/>
    <w:rsid w:val="00CA22A2"/>
    <w:rsid w:val="00CA2915"/>
    <w:rsid w:val="00CA2A75"/>
    <w:rsid w:val="00CA2C12"/>
    <w:rsid w:val="00CA2E9B"/>
    <w:rsid w:val="00CA2EA1"/>
    <w:rsid w:val="00CA35D4"/>
    <w:rsid w:val="00CA4214"/>
    <w:rsid w:val="00CA487E"/>
    <w:rsid w:val="00CA4BC0"/>
    <w:rsid w:val="00CA5392"/>
    <w:rsid w:val="00CA54F6"/>
    <w:rsid w:val="00CA56C5"/>
    <w:rsid w:val="00CA5CA8"/>
    <w:rsid w:val="00CA5EE3"/>
    <w:rsid w:val="00CA64A9"/>
    <w:rsid w:val="00CA6803"/>
    <w:rsid w:val="00CA6D79"/>
    <w:rsid w:val="00CA7054"/>
    <w:rsid w:val="00CA70FE"/>
    <w:rsid w:val="00CB0157"/>
    <w:rsid w:val="00CB02E4"/>
    <w:rsid w:val="00CB0E1A"/>
    <w:rsid w:val="00CB1A45"/>
    <w:rsid w:val="00CB28E9"/>
    <w:rsid w:val="00CB3561"/>
    <w:rsid w:val="00CB5145"/>
    <w:rsid w:val="00CB5205"/>
    <w:rsid w:val="00CB54AB"/>
    <w:rsid w:val="00CB6428"/>
    <w:rsid w:val="00CB65BC"/>
    <w:rsid w:val="00CB7049"/>
    <w:rsid w:val="00CB763D"/>
    <w:rsid w:val="00CB7C06"/>
    <w:rsid w:val="00CC09F6"/>
    <w:rsid w:val="00CC0A93"/>
    <w:rsid w:val="00CC0E56"/>
    <w:rsid w:val="00CC1234"/>
    <w:rsid w:val="00CC129B"/>
    <w:rsid w:val="00CC38AC"/>
    <w:rsid w:val="00CC38EA"/>
    <w:rsid w:val="00CC3A46"/>
    <w:rsid w:val="00CC3C73"/>
    <w:rsid w:val="00CC48D1"/>
    <w:rsid w:val="00CC51FC"/>
    <w:rsid w:val="00CC559D"/>
    <w:rsid w:val="00CC55D8"/>
    <w:rsid w:val="00CC57D9"/>
    <w:rsid w:val="00CC58EB"/>
    <w:rsid w:val="00CC7BB0"/>
    <w:rsid w:val="00CD0C13"/>
    <w:rsid w:val="00CD0F06"/>
    <w:rsid w:val="00CD300D"/>
    <w:rsid w:val="00CD31F9"/>
    <w:rsid w:val="00CD3922"/>
    <w:rsid w:val="00CD42F0"/>
    <w:rsid w:val="00CD4AE0"/>
    <w:rsid w:val="00CD5503"/>
    <w:rsid w:val="00CD5AFC"/>
    <w:rsid w:val="00CD6019"/>
    <w:rsid w:val="00CD654B"/>
    <w:rsid w:val="00CD739B"/>
    <w:rsid w:val="00CD7949"/>
    <w:rsid w:val="00CE0E48"/>
    <w:rsid w:val="00CE1AE1"/>
    <w:rsid w:val="00CE1BEC"/>
    <w:rsid w:val="00CE223E"/>
    <w:rsid w:val="00CE2295"/>
    <w:rsid w:val="00CE2DF3"/>
    <w:rsid w:val="00CE2E80"/>
    <w:rsid w:val="00CE328B"/>
    <w:rsid w:val="00CE3D14"/>
    <w:rsid w:val="00CE431E"/>
    <w:rsid w:val="00CE43AC"/>
    <w:rsid w:val="00CE4545"/>
    <w:rsid w:val="00CE5733"/>
    <w:rsid w:val="00CE5BF1"/>
    <w:rsid w:val="00CE5E87"/>
    <w:rsid w:val="00CE5F33"/>
    <w:rsid w:val="00CE6D10"/>
    <w:rsid w:val="00CE7D2C"/>
    <w:rsid w:val="00CE7DF3"/>
    <w:rsid w:val="00CF0058"/>
    <w:rsid w:val="00CF0189"/>
    <w:rsid w:val="00CF1660"/>
    <w:rsid w:val="00CF1E3E"/>
    <w:rsid w:val="00CF21A7"/>
    <w:rsid w:val="00CF2A00"/>
    <w:rsid w:val="00CF3D55"/>
    <w:rsid w:val="00CF3E30"/>
    <w:rsid w:val="00CF3F0D"/>
    <w:rsid w:val="00CF40D8"/>
    <w:rsid w:val="00CF412B"/>
    <w:rsid w:val="00CF421D"/>
    <w:rsid w:val="00CF4DA3"/>
    <w:rsid w:val="00CF50C0"/>
    <w:rsid w:val="00CF50C5"/>
    <w:rsid w:val="00CF53D7"/>
    <w:rsid w:val="00CF5677"/>
    <w:rsid w:val="00CF73EC"/>
    <w:rsid w:val="00CF779B"/>
    <w:rsid w:val="00CF7E9D"/>
    <w:rsid w:val="00CF7FA5"/>
    <w:rsid w:val="00D00220"/>
    <w:rsid w:val="00D0094E"/>
    <w:rsid w:val="00D00D0D"/>
    <w:rsid w:val="00D01D05"/>
    <w:rsid w:val="00D01F1A"/>
    <w:rsid w:val="00D024AA"/>
    <w:rsid w:val="00D0264C"/>
    <w:rsid w:val="00D02E96"/>
    <w:rsid w:val="00D0384A"/>
    <w:rsid w:val="00D04D5B"/>
    <w:rsid w:val="00D052C5"/>
    <w:rsid w:val="00D0561D"/>
    <w:rsid w:val="00D05AC3"/>
    <w:rsid w:val="00D0608F"/>
    <w:rsid w:val="00D068DF"/>
    <w:rsid w:val="00D06F66"/>
    <w:rsid w:val="00D072BF"/>
    <w:rsid w:val="00D074D3"/>
    <w:rsid w:val="00D07A3F"/>
    <w:rsid w:val="00D101F7"/>
    <w:rsid w:val="00D103A6"/>
    <w:rsid w:val="00D11988"/>
    <w:rsid w:val="00D11A71"/>
    <w:rsid w:val="00D11B34"/>
    <w:rsid w:val="00D12953"/>
    <w:rsid w:val="00D12E09"/>
    <w:rsid w:val="00D13A45"/>
    <w:rsid w:val="00D13DED"/>
    <w:rsid w:val="00D14324"/>
    <w:rsid w:val="00D145F5"/>
    <w:rsid w:val="00D15109"/>
    <w:rsid w:val="00D1546F"/>
    <w:rsid w:val="00D15723"/>
    <w:rsid w:val="00D15E4F"/>
    <w:rsid w:val="00D166C8"/>
    <w:rsid w:val="00D169D8"/>
    <w:rsid w:val="00D16B61"/>
    <w:rsid w:val="00D171BC"/>
    <w:rsid w:val="00D17633"/>
    <w:rsid w:val="00D17906"/>
    <w:rsid w:val="00D17E8D"/>
    <w:rsid w:val="00D22841"/>
    <w:rsid w:val="00D22863"/>
    <w:rsid w:val="00D22A13"/>
    <w:rsid w:val="00D22E0D"/>
    <w:rsid w:val="00D24244"/>
    <w:rsid w:val="00D24934"/>
    <w:rsid w:val="00D2589C"/>
    <w:rsid w:val="00D263CC"/>
    <w:rsid w:val="00D26ADA"/>
    <w:rsid w:val="00D26DA7"/>
    <w:rsid w:val="00D2797B"/>
    <w:rsid w:val="00D27F25"/>
    <w:rsid w:val="00D301EF"/>
    <w:rsid w:val="00D307F2"/>
    <w:rsid w:val="00D30F01"/>
    <w:rsid w:val="00D31085"/>
    <w:rsid w:val="00D316A1"/>
    <w:rsid w:val="00D3177F"/>
    <w:rsid w:val="00D319D7"/>
    <w:rsid w:val="00D323DC"/>
    <w:rsid w:val="00D324EA"/>
    <w:rsid w:val="00D329F1"/>
    <w:rsid w:val="00D32A7D"/>
    <w:rsid w:val="00D32C5A"/>
    <w:rsid w:val="00D32CE4"/>
    <w:rsid w:val="00D33B20"/>
    <w:rsid w:val="00D344BD"/>
    <w:rsid w:val="00D355F0"/>
    <w:rsid w:val="00D3570E"/>
    <w:rsid w:val="00D35DB3"/>
    <w:rsid w:val="00D36130"/>
    <w:rsid w:val="00D36807"/>
    <w:rsid w:val="00D3705B"/>
    <w:rsid w:val="00D372FF"/>
    <w:rsid w:val="00D376E2"/>
    <w:rsid w:val="00D37B74"/>
    <w:rsid w:val="00D37CE8"/>
    <w:rsid w:val="00D406AA"/>
    <w:rsid w:val="00D40832"/>
    <w:rsid w:val="00D410E9"/>
    <w:rsid w:val="00D4151B"/>
    <w:rsid w:val="00D41EE0"/>
    <w:rsid w:val="00D4251F"/>
    <w:rsid w:val="00D42F2F"/>
    <w:rsid w:val="00D4303E"/>
    <w:rsid w:val="00D4312F"/>
    <w:rsid w:val="00D43AC8"/>
    <w:rsid w:val="00D43BF6"/>
    <w:rsid w:val="00D443AA"/>
    <w:rsid w:val="00D44BDE"/>
    <w:rsid w:val="00D44BF4"/>
    <w:rsid w:val="00D44DE5"/>
    <w:rsid w:val="00D45411"/>
    <w:rsid w:val="00D45BA4"/>
    <w:rsid w:val="00D45EB1"/>
    <w:rsid w:val="00D45F65"/>
    <w:rsid w:val="00D46568"/>
    <w:rsid w:val="00D46683"/>
    <w:rsid w:val="00D4669B"/>
    <w:rsid w:val="00D46BF5"/>
    <w:rsid w:val="00D50879"/>
    <w:rsid w:val="00D50DB1"/>
    <w:rsid w:val="00D51610"/>
    <w:rsid w:val="00D51CA0"/>
    <w:rsid w:val="00D521EF"/>
    <w:rsid w:val="00D526C2"/>
    <w:rsid w:val="00D533F6"/>
    <w:rsid w:val="00D535AB"/>
    <w:rsid w:val="00D539BD"/>
    <w:rsid w:val="00D54F4C"/>
    <w:rsid w:val="00D559D1"/>
    <w:rsid w:val="00D55F69"/>
    <w:rsid w:val="00D56113"/>
    <w:rsid w:val="00D562D8"/>
    <w:rsid w:val="00D568A2"/>
    <w:rsid w:val="00D56F49"/>
    <w:rsid w:val="00D600AE"/>
    <w:rsid w:val="00D6024E"/>
    <w:rsid w:val="00D6055A"/>
    <w:rsid w:val="00D6078D"/>
    <w:rsid w:val="00D609B5"/>
    <w:rsid w:val="00D6252E"/>
    <w:rsid w:val="00D62B8E"/>
    <w:rsid w:val="00D63833"/>
    <w:rsid w:val="00D643F4"/>
    <w:rsid w:val="00D64CB6"/>
    <w:rsid w:val="00D64CEC"/>
    <w:rsid w:val="00D6508A"/>
    <w:rsid w:val="00D650E6"/>
    <w:rsid w:val="00D65732"/>
    <w:rsid w:val="00D65901"/>
    <w:rsid w:val="00D66396"/>
    <w:rsid w:val="00D66424"/>
    <w:rsid w:val="00D673DC"/>
    <w:rsid w:val="00D7032E"/>
    <w:rsid w:val="00D70695"/>
    <w:rsid w:val="00D70D37"/>
    <w:rsid w:val="00D70DF5"/>
    <w:rsid w:val="00D7278E"/>
    <w:rsid w:val="00D727C3"/>
    <w:rsid w:val="00D72E70"/>
    <w:rsid w:val="00D73283"/>
    <w:rsid w:val="00D74679"/>
    <w:rsid w:val="00D74968"/>
    <w:rsid w:val="00D75348"/>
    <w:rsid w:val="00D75CBB"/>
    <w:rsid w:val="00D76143"/>
    <w:rsid w:val="00D764E5"/>
    <w:rsid w:val="00D76586"/>
    <w:rsid w:val="00D77366"/>
    <w:rsid w:val="00D8051D"/>
    <w:rsid w:val="00D81345"/>
    <w:rsid w:val="00D814B0"/>
    <w:rsid w:val="00D81F77"/>
    <w:rsid w:val="00D8209C"/>
    <w:rsid w:val="00D820EB"/>
    <w:rsid w:val="00D82ACF"/>
    <w:rsid w:val="00D82E6C"/>
    <w:rsid w:val="00D82ED9"/>
    <w:rsid w:val="00D833D9"/>
    <w:rsid w:val="00D83BD9"/>
    <w:rsid w:val="00D846C4"/>
    <w:rsid w:val="00D84E2C"/>
    <w:rsid w:val="00D85473"/>
    <w:rsid w:val="00D857E6"/>
    <w:rsid w:val="00D867B0"/>
    <w:rsid w:val="00D867CD"/>
    <w:rsid w:val="00D868C0"/>
    <w:rsid w:val="00D86DA2"/>
    <w:rsid w:val="00D90B3A"/>
    <w:rsid w:val="00D91DCC"/>
    <w:rsid w:val="00D92050"/>
    <w:rsid w:val="00D9229C"/>
    <w:rsid w:val="00D93F2C"/>
    <w:rsid w:val="00D9485A"/>
    <w:rsid w:val="00D94BE8"/>
    <w:rsid w:val="00D94DCF"/>
    <w:rsid w:val="00D94EAE"/>
    <w:rsid w:val="00D953E5"/>
    <w:rsid w:val="00D955E6"/>
    <w:rsid w:val="00D95A8E"/>
    <w:rsid w:val="00D95FDE"/>
    <w:rsid w:val="00D9711D"/>
    <w:rsid w:val="00D97BF0"/>
    <w:rsid w:val="00DA0382"/>
    <w:rsid w:val="00DA131E"/>
    <w:rsid w:val="00DA1663"/>
    <w:rsid w:val="00DA18AC"/>
    <w:rsid w:val="00DA1B51"/>
    <w:rsid w:val="00DA3B77"/>
    <w:rsid w:val="00DA4044"/>
    <w:rsid w:val="00DA4245"/>
    <w:rsid w:val="00DA4868"/>
    <w:rsid w:val="00DA4907"/>
    <w:rsid w:val="00DA5278"/>
    <w:rsid w:val="00DA54E6"/>
    <w:rsid w:val="00DA5556"/>
    <w:rsid w:val="00DA586F"/>
    <w:rsid w:val="00DA5BFF"/>
    <w:rsid w:val="00DA5CDF"/>
    <w:rsid w:val="00DA6F78"/>
    <w:rsid w:val="00DA70EE"/>
    <w:rsid w:val="00DA71EE"/>
    <w:rsid w:val="00DA7420"/>
    <w:rsid w:val="00DA7430"/>
    <w:rsid w:val="00DA7518"/>
    <w:rsid w:val="00DA7581"/>
    <w:rsid w:val="00DA75FA"/>
    <w:rsid w:val="00DA77B4"/>
    <w:rsid w:val="00DA7861"/>
    <w:rsid w:val="00DA7986"/>
    <w:rsid w:val="00DA7AEF"/>
    <w:rsid w:val="00DA7B48"/>
    <w:rsid w:val="00DA7F7C"/>
    <w:rsid w:val="00DB0050"/>
    <w:rsid w:val="00DB01BC"/>
    <w:rsid w:val="00DB0215"/>
    <w:rsid w:val="00DB0542"/>
    <w:rsid w:val="00DB08DA"/>
    <w:rsid w:val="00DB0DA2"/>
    <w:rsid w:val="00DB0DC6"/>
    <w:rsid w:val="00DB15E7"/>
    <w:rsid w:val="00DB1D0A"/>
    <w:rsid w:val="00DB211B"/>
    <w:rsid w:val="00DB22A9"/>
    <w:rsid w:val="00DB2614"/>
    <w:rsid w:val="00DB3A13"/>
    <w:rsid w:val="00DB56A8"/>
    <w:rsid w:val="00DB5A93"/>
    <w:rsid w:val="00DB5D46"/>
    <w:rsid w:val="00DB64D9"/>
    <w:rsid w:val="00DB6700"/>
    <w:rsid w:val="00DB6C4F"/>
    <w:rsid w:val="00DB6CD2"/>
    <w:rsid w:val="00DB7867"/>
    <w:rsid w:val="00DB7F09"/>
    <w:rsid w:val="00DC00E8"/>
    <w:rsid w:val="00DC0D0E"/>
    <w:rsid w:val="00DC0EE4"/>
    <w:rsid w:val="00DC187D"/>
    <w:rsid w:val="00DC1B7B"/>
    <w:rsid w:val="00DC1C56"/>
    <w:rsid w:val="00DC2326"/>
    <w:rsid w:val="00DC336F"/>
    <w:rsid w:val="00DC3C46"/>
    <w:rsid w:val="00DC3DC4"/>
    <w:rsid w:val="00DC4756"/>
    <w:rsid w:val="00DC4B65"/>
    <w:rsid w:val="00DC625C"/>
    <w:rsid w:val="00DC6379"/>
    <w:rsid w:val="00DC6954"/>
    <w:rsid w:val="00DC6AAD"/>
    <w:rsid w:val="00DC70E6"/>
    <w:rsid w:val="00DC7400"/>
    <w:rsid w:val="00DD019D"/>
    <w:rsid w:val="00DD132C"/>
    <w:rsid w:val="00DD1767"/>
    <w:rsid w:val="00DD1CD4"/>
    <w:rsid w:val="00DD1E4E"/>
    <w:rsid w:val="00DD1EE5"/>
    <w:rsid w:val="00DD3514"/>
    <w:rsid w:val="00DD38F2"/>
    <w:rsid w:val="00DD3AB0"/>
    <w:rsid w:val="00DD49A3"/>
    <w:rsid w:val="00DD4E7C"/>
    <w:rsid w:val="00DD5732"/>
    <w:rsid w:val="00DD600F"/>
    <w:rsid w:val="00DD6530"/>
    <w:rsid w:val="00DD6AB6"/>
    <w:rsid w:val="00DD7589"/>
    <w:rsid w:val="00DD7B34"/>
    <w:rsid w:val="00DE07B3"/>
    <w:rsid w:val="00DE07E2"/>
    <w:rsid w:val="00DE07F0"/>
    <w:rsid w:val="00DE14CA"/>
    <w:rsid w:val="00DE2763"/>
    <w:rsid w:val="00DE2B50"/>
    <w:rsid w:val="00DE2BA2"/>
    <w:rsid w:val="00DE2E2D"/>
    <w:rsid w:val="00DE2F2B"/>
    <w:rsid w:val="00DE3395"/>
    <w:rsid w:val="00DE359B"/>
    <w:rsid w:val="00DE35F8"/>
    <w:rsid w:val="00DE3A53"/>
    <w:rsid w:val="00DE3C77"/>
    <w:rsid w:val="00DE49E1"/>
    <w:rsid w:val="00DE4A92"/>
    <w:rsid w:val="00DE4DDA"/>
    <w:rsid w:val="00DE54D1"/>
    <w:rsid w:val="00DE5708"/>
    <w:rsid w:val="00DE571D"/>
    <w:rsid w:val="00DE58F1"/>
    <w:rsid w:val="00DE5F42"/>
    <w:rsid w:val="00DE61FC"/>
    <w:rsid w:val="00DE6B23"/>
    <w:rsid w:val="00DE70F1"/>
    <w:rsid w:val="00DE7432"/>
    <w:rsid w:val="00DE759B"/>
    <w:rsid w:val="00DE7C88"/>
    <w:rsid w:val="00DE7CA0"/>
    <w:rsid w:val="00DF0045"/>
    <w:rsid w:val="00DF04EC"/>
    <w:rsid w:val="00DF07A4"/>
    <w:rsid w:val="00DF0F0E"/>
    <w:rsid w:val="00DF1204"/>
    <w:rsid w:val="00DF1579"/>
    <w:rsid w:val="00DF1F1D"/>
    <w:rsid w:val="00DF2700"/>
    <w:rsid w:val="00DF28B9"/>
    <w:rsid w:val="00DF2BFF"/>
    <w:rsid w:val="00DF3547"/>
    <w:rsid w:val="00DF3662"/>
    <w:rsid w:val="00DF37AD"/>
    <w:rsid w:val="00DF37E6"/>
    <w:rsid w:val="00DF395E"/>
    <w:rsid w:val="00DF47C8"/>
    <w:rsid w:val="00DF4FC3"/>
    <w:rsid w:val="00DF5D47"/>
    <w:rsid w:val="00DF69B2"/>
    <w:rsid w:val="00DF69D0"/>
    <w:rsid w:val="00DF6A06"/>
    <w:rsid w:val="00DF6E76"/>
    <w:rsid w:val="00DF6F61"/>
    <w:rsid w:val="00DF74E3"/>
    <w:rsid w:val="00DF7F18"/>
    <w:rsid w:val="00E00087"/>
    <w:rsid w:val="00E00B7A"/>
    <w:rsid w:val="00E011B5"/>
    <w:rsid w:val="00E02B2C"/>
    <w:rsid w:val="00E030F2"/>
    <w:rsid w:val="00E032EC"/>
    <w:rsid w:val="00E0354A"/>
    <w:rsid w:val="00E03ABE"/>
    <w:rsid w:val="00E03B5D"/>
    <w:rsid w:val="00E03D02"/>
    <w:rsid w:val="00E044A6"/>
    <w:rsid w:val="00E04D8F"/>
    <w:rsid w:val="00E0566B"/>
    <w:rsid w:val="00E05986"/>
    <w:rsid w:val="00E062EA"/>
    <w:rsid w:val="00E06FA0"/>
    <w:rsid w:val="00E0763B"/>
    <w:rsid w:val="00E07669"/>
    <w:rsid w:val="00E10149"/>
    <w:rsid w:val="00E101C6"/>
    <w:rsid w:val="00E111A8"/>
    <w:rsid w:val="00E111DD"/>
    <w:rsid w:val="00E113A6"/>
    <w:rsid w:val="00E11AFE"/>
    <w:rsid w:val="00E11E81"/>
    <w:rsid w:val="00E11FCB"/>
    <w:rsid w:val="00E121B8"/>
    <w:rsid w:val="00E1260F"/>
    <w:rsid w:val="00E13BF0"/>
    <w:rsid w:val="00E13CFE"/>
    <w:rsid w:val="00E14120"/>
    <w:rsid w:val="00E143AA"/>
    <w:rsid w:val="00E15135"/>
    <w:rsid w:val="00E151A8"/>
    <w:rsid w:val="00E158AB"/>
    <w:rsid w:val="00E15996"/>
    <w:rsid w:val="00E15C4C"/>
    <w:rsid w:val="00E15CD4"/>
    <w:rsid w:val="00E15E74"/>
    <w:rsid w:val="00E1641C"/>
    <w:rsid w:val="00E16BD0"/>
    <w:rsid w:val="00E16CBA"/>
    <w:rsid w:val="00E17401"/>
    <w:rsid w:val="00E1792A"/>
    <w:rsid w:val="00E20CF2"/>
    <w:rsid w:val="00E21B87"/>
    <w:rsid w:val="00E21DCF"/>
    <w:rsid w:val="00E22536"/>
    <w:rsid w:val="00E22D51"/>
    <w:rsid w:val="00E2332C"/>
    <w:rsid w:val="00E23929"/>
    <w:rsid w:val="00E2482E"/>
    <w:rsid w:val="00E25E23"/>
    <w:rsid w:val="00E26542"/>
    <w:rsid w:val="00E267C0"/>
    <w:rsid w:val="00E27111"/>
    <w:rsid w:val="00E27241"/>
    <w:rsid w:val="00E27A4D"/>
    <w:rsid w:val="00E27EA2"/>
    <w:rsid w:val="00E31053"/>
    <w:rsid w:val="00E311ED"/>
    <w:rsid w:val="00E31BA8"/>
    <w:rsid w:val="00E327DA"/>
    <w:rsid w:val="00E32910"/>
    <w:rsid w:val="00E329E4"/>
    <w:rsid w:val="00E33AAC"/>
    <w:rsid w:val="00E34781"/>
    <w:rsid w:val="00E349A7"/>
    <w:rsid w:val="00E34B7E"/>
    <w:rsid w:val="00E350A3"/>
    <w:rsid w:val="00E35837"/>
    <w:rsid w:val="00E35939"/>
    <w:rsid w:val="00E3646C"/>
    <w:rsid w:val="00E364C8"/>
    <w:rsid w:val="00E37730"/>
    <w:rsid w:val="00E4050F"/>
    <w:rsid w:val="00E406A9"/>
    <w:rsid w:val="00E414A7"/>
    <w:rsid w:val="00E420B5"/>
    <w:rsid w:val="00E422CB"/>
    <w:rsid w:val="00E428D9"/>
    <w:rsid w:val="00E42A2B"/>
    <w:rsid w:val="00E42E06"/>
    <w:rsid w:val="00E43164"/>
    <w:rsid w:val="00E432EB"/>
    <w:rsid w:val="00E43572"/>
    <w:rsid w:val="00E43C50"/>
    <w:rsid w:val="00E43EDA"/>
    <w:rsid w:val="00E448DE"/>
    <w:rsid w:val="00E4558B"/>
    <w:rsid w:val="00E459D3"/>
    <w:rsid w:val="00E45AA5"/>
    <w:rsid w:val="00E45CF4"/>
    <w:rsid w:val="00E45F0C"/>
    <w:rsid w:val="00E460F3"/>
    <w:rsid w:val="00E46C33"/>
    <w:rsid w:val="00E47663"/>
    <w:rsid w:val="00E47C49"/>
    <w:rsid w:val="00E50068"/>
    <w:rsid w:val="00E503CC"/>
    <w:rsid w:val="00E5047A"/>
    <w:rsid w:val="00E50483"/>
    <w:rsid w:val="00E50E7C"/>
    <w:rsid w:val="00E51545"/>
    <w:rsid w:val="00E51B93"/>
    <w:rsid w:val="00E51D9E"/>
    <w:rsid w:val="00E530FE"/>
    <w:rsid w:val="00E5318F"/>
    <w:rsid w:val="00E537D1"/>
    <w:rsid w:val="00E537D4"/>
    <w:rsid w:val="00E5446C"/>
    <w:rsid w:val="00E567E6"/>
    <w:rsid w:val="00E56971"/>
    <w:rsid w:val="00E56AAB"/>
    <w:rsid w:val="00E56CB1"/>
    <w:rsid w:val="00E56D96"/>
    <w:rsid w:val="00E57836"/>
    <w:rsid w:val="00E605FE"/>
    <w:rsid w:val="00E60CA3"/>
    <w:rsid w:val="00E61484"/>
    <w:rsid w:val="00E616F1"/>
    <w:rsid w:val="00E61A3E"/>
    <w:rsid w:val="00E62814"/>
    <w:rsid w:val="00E62915"/>
    <w:rsid w:val="00E62A6E"/>
    <w:rsid w:val="00E62DC2"/>
    <w:rsid w:val="00E63425"/>
    <w:rsid w:val="00E641DE"/>
    <w:rsid w:val="00E643B4"/>
    <w:rsid w:val="00E64B90"/>
    <w:rsid w:val="00E64EA3"/>
    <w:rsid w:val="00E657DE"/>
    <w:rsid w:val="00E65C84"/>
    <w:rsid w:val="00E65D81"/>
    <w:rsid w:val="00E6653A"/>
    <w:rsid w:val="00E66BBA"/>
    <w:rsid w:val="00E67640"/>
    <w:rsid w:val="00E67732"/>
    <w:rsid w:val="00E7017C"/>
    <w:rsid w:val="00E7044D"/>
    <w:rsid w:val="00E711D7"/>
    <w:rsid w:val="00E71D3C"/>
    <w:rsid w:val="00E71E42"/>
    <w:rsid w:val="00E7214E"/>
    <w:rsid w:val="00E73346"/>
    <w:rsid w:val="00E73952"/>
    <w:rsid w:val="00E73CEE"/>
    <w:rsid w:val="00E74332"/>
    <w:rsid w:val="00E74397"/>
    <w:rsid w:val="00E74B62"/>
    <w:rsid w:val="00E74C3A"/>
    <w:rsid w:val="00E74E03"/>
    <w:rsid w:val="00E75165"/>
    <w:rsid w:val="00E751FA"/>
    <w:rsid w:val="00E7525D"/>
    <w:rsid w:val="00E7583B"/>
    <w:rsid w:val="00E75874"/>
    <w:rsid w:val="00E75DAD"/>
    <w:rsid w:val="00E771CD"/>
    <w:rsid w:val="00E77C4D"/>
    <w:rsid w:val="00E80C02"/>
    <w:rsid w:val="00E80C22"/>
    <w:rsid w:val="00E81482"/>
    <w:rsid w:val="00E814C9"/>
    <w:rsid w:val="00E81552"/>
    <w:rsid w:val="00E815E1"/>
    <w:rsid w:val="00E81B41"/>
    <w:rsid w:val="00E81E80"/>
    <w:rsid w:val="00E81F10"/>
    <w:rsid w:val="00E820E2"/>
    <w:rsid w:val="00E8221A"/>
    <w:rsid w:val="00E82B99"/>
    <w:rsid w:val="00E833A9"/>
    <w:rsid w:val="00E83DA5"/>
    <w:rsid w:val="00E83F92"/>
    <w:rsid w:val="00E8438B"/>
    <w:rsid w:val="00E84719"/>
    <w:rsid w:val="00E84DE3"/>
    <w:rsid w:val="00E84F7F"/>
    <w:rsid w:val="00E85737"/>
    <w:rsid w:val="00E861C6"/>
    <w:rsid w:val="00E86BAD"/>
    <w:rsid w:val="00E87388"/>
    <w:rsid w:val="00E87738"/>
    <w:rsid w:val="00E877B9"/>
    <w:rsid w:val="00E87881"/>
    <w:rsid w:val="00E8790F"/>
    <w:rsid w:val="00E902B0"/>
    <w:rsid w:val="00E902E8"/>
    <w:rsid w:val="00E906E9"/>
    <w:rsid w:val="00E91336"/>
    <w:rsid w:val="00E916FE"/>
    <w:rsid w:val="00E91FB2"/>
    <w:rsid w:val="00E92173"/>
    <w:rsid w:val="00E921AE"/>
    <w:rsid w:val="00E92449"/>
    <w:rsid w:val="00E9296B"/>
    <w:rsid w:val="00E9330C"/>
    <w:rsid w:val="00E93441"/>
    <w:rsid w:val="00E93486"/>
    <w:rsid w:val="00E93B93"/>
    <w:rsid w:val="00E93FA3"/>
    <w:rsid w:val="00E94D30"/>
    <w:rsid w:val="00E94E28"/>
    <w:rsid w:val="00E94FD4"/>
    <w:rsid w:val="00E95150"/>
    <w:rsid w:val="00E95260"/>
    <w:rsid w:val="00E95D82"/>
    <w:rsid w:val="00E95F81"/>
    <w:rsid w:val="00E962C2"/>
    <w:rsid w:val="00E97520"/>
    <w:rsid w:val="00E97695"/>
    <w:rsid w:val="00E97C19"/>
    <w:rsid w:val="00E97D11"/>
    <w:rsid w:val="00EA0226"/>
    <w:rsid w:val="00EA07D0"/>
    <w:rsid w:val="00EA0E45"/>
    <w:rsid w:val="00EA159A"/>
    <w:rsid w:val="00EA1996"/>
    <w:rsid w:val="00EA19AB"/>
    <w:rsid w:val="00EA19C6"/>
    <w:rsid w:val="00EA1B9C"/>
    <w:rsid w:val="00EA1E6C"/>
    <w:rsid w:val="00EA2259"/>
    <w:rsid w:val="00EA23AC"/>
    <w:rsid w:val="00EA398F"/>
    <w:rsid w:val="00EA4984"/>
    <w:rsid w:val="00EA53CC"/>
    <w:rsid w:val="00EA5C5A"/>
    <w:rsid w:val="00EA5C73"/>
    <w:rsid w:val="00EA6058"/>
    <w:rsid w:val="00EA632A"/>
    <w:rsid w:val="00EA63CB"/>
    <w:rsid w:val="00EA686A"/>
    <w:rsid w:val="00EA6FBB"/>
    <w:rsid w:val="00EA7BDD"/>
    <w:rsid w:val="00EA7C3D"/>
    <w:rsid w:val="00EB0DE6"/>
    <w:rsid w:val="00EB1962"/>
    <w:rsid w:val="00EB1C93"/>
    <w:rsid w:val="00EB1F46"/>
    <w:rsid w:val="00EB24B6"/>
    <w:rsid w:val="00EB2A89"/>
    <w:rsid w:val="00EB3180"/>
    <w:rsid w:val="00EB321C"/>
    <w:rsid w:val="00EB358F"/>
    <w:rsid w:val="00EB381D"/>
    <w:rsid w:val="00EB437B"/>
    <w:rsid w:val="00EB4B0B"/>
    <w:rsid w:val="00EB503B"/>
    <w:rsid w:val="00EB6083"/>
    <w:rsid w:val="00EB6279"/>
    <w:rsid w:val="00EB6784"/>
    <w:rsid w:val="00EB6878"/>
    <w:rsid w:val="00EB7328"/>
    <w:rsid w:val="00EB73AB"/>
    <w:rsid w:val="00EB74C6"/>
    <w:rsid w:val="00EB78B9"/>
    <w:rsid w:val="00EB7E48"/>
    <w:rsid w:val="00EB7F5B"/>
    <w:rsid w:val="00EC108C"/>
    <w:rsid w:val="00EC1D58"/>
    <w:rsid w:val="00EC1E0E"/>
    <w:rsid w:val="00EC236D"/>
    <w:rsid w:val="00EC26B4"/>
    <w:rsid w:val="00EC2BA6"/>
    <w:rsid w:val="00EC2F66"/>
    <w:rsid w:val="00EC3BD1"/>
    <w:rsid w:val="00EC4CF6"/>
    <w:rsid w:val="00EC5272"/>
    <w:rsid w:val="00EC5597"/>
    <w:rsid w:val="00EC57A1"/>
    <w:rsid w:val="00EC5F75"/>
    <w:rsid w:val="00EC6596"/>
    <w:rsid w:val="00EC66F5"/>
    <w:rsid w:val="00EC6B16"/>
    <w:rsid w:val="00EC6CB6"/>
    <w:rsid w:val="00EC70F1"/>
    <w:rsid w:val="00EC7379"/>
    <w:rsid w:val="00EC7409"/>
    <w:rsid w:val="00ED06C4"/>
    <w:rsid w:val="00ED09B0"/>
    <w:rsid w:val="00ED0BE8"/>
    <w:rsid w:val="00ED10EB"/>
    <w:rsid w:val="00ED126C"/>
    <w:rsid w:val="00ED13C8"/>
    <w:rsid w:val="00ED1C38"/>
    <w:rsid w:val="00ED22A7"/>
    <w:rsid w:val="00ED3A03"/>
    <w:rsid w:val="00ED3AF9"/>
    <w:rsid w:val="00ED3C60"/>
    <w:rsid w:val="00ED3DF0"/>
    <w:rsid w:val="00ED4307"/>
    <w:rsid w:val="00ED432B"/>
    <w:rsid w:val="00ED4C7D"/>
    <w:rsid w:val="00ED521B"/>
    <w:rsid w:val="00ED53BA"/>
    <w:rsid w:val="00ED5A20"/>
    <w:rsid w:val="00ED6AFC"/>
    <w:rsid w:val="00ED743D"/>
    <w:rsid w:val="00ED7727"/>
    <w:rsid w:val="00ED77FA"/>
    <w:rsid w:val="00ED78E1"/>
    <w:rsid w:val="00ED78E5"/>
    <w:rsid w:val="00ED7C57"/>
    <w:rsid w:val="00ED7EFA"/>
    <w:rsid w:val="00EE0446"/>
    <w:rsid w:val="00EE1447"/>
    <w:rsid w:val="00EE1BF1"/>
    <w:rsid w:val="00EE1D24"/>
    <w:rsid w:val="00EE26E1"/>
    <w:rsid w:val="00EE2B63"/>
    <w:rsid w:val="00EE2E43"/>
    <w:rsid w:val="00EE4864"/>
    <w:rsid w:val="00EE50BC"/>
    <w:rsid w:val="00EE5508"/>
    <w:rsid w:val="00EE5A33"/>
    <w:rsid w:val="00EE5EA2"/>
    <w:rsid w:val="00EE668B"/>
    <w:rsid w:val="00EE712B"/>
    <w:rsid w:val="00EE71D4"/>
    <w:rsid w:val="00EE7744"/>
    <w:rsid w:val="00EE7BB3"/>
    <w:rsid w:val="00EF03E1"/>
    <w:rsid w:val="00EF04D2"/>
    <w:rsid w:val="00EF0536"/>
    <w:rsid w:val="00EF112D"/>
    <w:rsid w:val="00EF12C6"/>
    <w:rsid w:val="00EF145E"/>
    <w:rsid w:val="00EF173F"/>
    <w:rsid w:val="00EF190D"/>
    <w:rsid w:val="00EF1FD4"/>
    <w:rsid w:val="00EF2797"/>
    <w:rsid w:val="00EF2ABE"/>
    <w:rsid w:val="00EF2BBB"/>
    <w:rsid w:val="00EF2BE9"/>
    <w:rsid w:val="00EF3095"/>
    <w:rsid w:val="00EF37D5"/>
    <w:rsid w:val="00EF419D"/>
    <w:rsid w:val="00EF4CAC"/>
    <w:rsid w:val="00EF5282"/>
    <w:rsid w:val="00EF563E"/>
    <w:rsid w:val="00EF56FB"/>
    <w:rsid w:val="00EF5CAE"/>
    <w:rsid w:val="00EF6658"/>
    <w:rsid w:val="00EF66BF"/>
    <w:rsid w:val="00EF7163"/>
    <w:rsid w:val="00EF7518"/>
    <w:rsid w:val="00EF7F28"/>
    <w:rsid w:val="00F00569"/>
    <w:rsid w:val="00F00635"/>
    <w:rsid w:val="00F0082D"/>
    <w:rsid w:val="00F01338"/>
    <w:rsid w:val="00F015AB"/>
    <w:rsid w:val="00F0189B"/>
    <w:rsid w:val="00F01963"/>
    <w:rsid w:val="00F02159"/>
    <w:rsid w:val="00F02A31"/>
    <w:rsid w:val="00F02D15"/>
    <w:rsid w:val="00F03610"/>
    <w:rsid w:val="00F0371B"/>
    <w:rsid w:val="00F03A6D"/>
    <w:rsid w:val="00F03BF5"/>
    <w:rsid w:val="00F03EBE"/>
    <w:rsid w:val="00F04018"/>
    <w:rsid w:val="00F0404E"/>
    <w:rsid w:val="00F040B1"/>
    <w:rsid w:val="00F043B3"/>
    <w:rsid w:val="00F045E0"/>
    <w:rsid w:val="00F0470A"/>
    <w:rsid w:val="00F048BA"/>
    <w:rsid w:val="00F04916"/>
    <w:rsid w:val="00F04942"/>
    <w:rsid w:val="00F0521D"/>
    <w:rsid w:val="00F05879"/>
    <w:rsid w:val="00F05A01"/>
    <w:rsid w:val="00F05A02"/>
    <w:rsid w:val="00F05A12"/>
    <w:rsid w:val="00F05CE2"/>
    <w:rsid w:val="00F0675A"/>
    <w:rsid w:val="00F06B1B"/>
    <w:rsid w:val="00F06D45"/>
    <w:rsid w:val="00F07C90"/>
    <w:rsid w:val="00F07D2E"/>
    <w:rsid w:val="00F10188"/>
    <w:rsid w:val="00F103C1"/>
    <w:rsid w:val="00F10A89"/>
    <w:rsid w:val="00F11921"/>
    <w:rsid w:val="00F11B3F"/>
    <w:rsid w:val="00F12EB3"/>
    <w:rsid w:val="00F13425"/>
    <w:rsid w:val="00F13A8C"/>
    <w:rsid w:val="00F15428"/>
    <w:rsid w:val="00F15892"/>
    <w:rsid w:val="00F168F8"/>
    <w:rsid w:val="00F16F26"/>
    <w:rsid w:val="00F17302"/>
    <w:rsid w:val="00F176D7"/>
    <w:rsid w:val="00F17B5A"/>
    <w:rsid w:val="00F20414"/>
    <w:rsid w:val="00F2093E"/>
    <w:rsid w:val="00F20F5D"/>
    <w:rsid w:val="00F20F8A"/>
    <w:rsid w:val="00F20FD1"/>
    <w:rsid w:val="00F2164B"/>
    <w:rsid w:val="00F21DF9"/>
    <w:rsid w:val="00F21FA8"/>
    <w:rsid w:val="00F22C54"/>
    <w:rsid w:val="00F23E89"/>
    <w:rsid w:val="00F24105"/>
    <w:rsid w:val="00F25249"/>
    <w:rsid w:val="00F25534"/>
    <w:rsid w:val="00F2596F"/>
    <w:rsid w:val="00F2599A"/>
    <w:rsid w:val="00F26026"/>
    <w:rsid w:val="00F26C25"/>
    <w:rsid w:val="00F3011E"/>
    <w:rsid w:val="00F304A4"/>
    <w:rsid w:val="00F304DD"/>
    <w:rsid w:val="00F32172"/>
    <w:rsid w:val="00F32307"/>
    <w:rsid w:val="00F32F8B"/>
    <w:rsid w:val="00F33332"/>
    <w:rsid w:val="00F33DB8"/>
    <w:rsid w:val="00F3499F"/>
    <w:rsid w:val="00F34BAC"/>
    <w:rsid w:val="00F34C92"/>
    <w:rsid w:val="00F368FF"/>
    <w:rsid w:val="00F369DB"/>
    <w:rsid w:val="00F370E0"/>
    <w:rsid w:val="00F37AC2"/>
    <w:rsid w:val="00F40700"/>
    <w:rsid w:val="00F40860"/>
    <w:rsid w:val="00F40A38"/>
    <w:rsid w:val="00F40DDB"/>
    <w:rsid w:val="00F40F7E"/>
    <w:rsid w:val="00F4160F"/>
    <w:rsid w:val="00F41862"/>
    <w:rsid w:val="00F4283E"/>
    <w:rsid w:val="00F42AB1"/>
    <w:rsid w:val="00F43458"/>
    <w:rsid w:val="00F4349B"/>
    <w:rsid w:val="00F436FF"/>
    <w:rsid w:val="00F43716"/>
    <w:rsid w:val="00F4404B"/>
    <w:rsid w:val="00F444FF"/>
    <w:rsid w:val="00F445E4"/>
    <w:rsid w:val="00F44D83"/>
    <w:rsid w:val="00F45302"/>
    <w:rsid w:val="00F4577A"/>
    <w:rsid w:val="00F46D98"/>
    <w:rsid w:val="00F473C9"/>
    <w:rsid w:val="00F47BBB"/>
    <w:rsid w:val="00F50271"/>
    <w:rsid w:val="00F506D3"/>
    <w:rsid w:val="00F50726"/>
    <w:rsid w:val="00F5081D"/>
    <w:rsid w:val="00F509D0"/>
    <w:rsid w:val="00F50D3B"/>
    <w:rsid w:val="00F51093"/>
    <w:rsid w:val="00F510B0"/>
    <w:rsid w:val="00F5117D"/>
    <w:rsid w:val="00F513D3"/>
    <w:rsid w:val="00F516B7"/>
    <w:rsid w:val="00F51855"/>
    <w:rsid w:val="00F51D7F"/>
    <w:rsid w:val="00F5267D"/>
    <w:rsid w:val="00F52D0A"/>
    <w:rsid w:val="00F5365A"/>
    <w:rsid w:val="00F54DA2"/>
    <w:rsid w:val="00F55514"/>
    <w:rsid w:val="00F55C72"/>
    <w:rsid w:val="00F55F63"/>
    <w:rsid w:val="00F56937"/>
    <w:rsid w:val="00F57BED"/>
    <w:rsid w:val="00F60083"/>
    <w:rsid w:val="00F60198"/>
    <w:rsid w:val="00F60899"/>
    <w:rsid w:val="00F611B1"/>
    <w:rsid w:val="00F61649"/>
    <w:rsid w:val="00F62178"/>
    <w:rsid w:val="00F635FB"/>
    <w:rsid w:val="00F63688"/>
    <w:rsid w:val="00F6378B"/>
    <w:rsid w:val="00F63EFA"/>
    <w:rsid w:val="00F64257"/>
    <w:rsid w:val="00F643B6"/>
    <w:rsid w:val="00F64904"/>
    <w:rsid w:val="00F64F4A"/>
    <w:rsid w:val="00F651CF"/>
    <w:rsid w:val="00F6585F"/>
    <w:rsid w:val="00F65E7B"/>
    <w:rsid w:val="00F65EFB"/>
    <w:rsid w:val="00F66081"/>
    <w:rsid w:val="00F6641A"/>
    <w:rsid w:val="00F6658C"/>
    <w:rsid w:val="00F66615"/>
    <w:rsid w:val="00F669CD"/>
    <w:rsid w:val="00F66D11"/>
    <w:rsid w:val="00F66F85"/>
    <w:rsid w:val="00F672BB"/>
    <w:rsid w:val="00F6751D"/>
    <w:rsid w:val="00F678C5"/>
    <w:rsid w:val="00F67E9A"/>
    <w:rsid w:val="00F715EA"/>
    <w:rsid w:val="00F71A86"/>
    <w:rsid w:val="00F72720"/>
    <w:rsid w:val="00F72D7A"/>
    <w:rsid w:val="00F72DEF"/>
    <w:rsid w:val="00F737DB"/>
    <w:rsid w:val="00F73EC0"/>
    <w:rsid w:val="00F74183"/>
    <w:rsid w:val="00F74C3D"/>
    <w:rsid w:val="00F758A6"/>
    <w:rsid w:val="00F75CAE"/>
    <w:rsid w:val="00F75F2D"/>
    <w:rsid w:val="00F7613A"/>
    <w:rsid w:val="00F7642C"/>
    <w:rsid w:val="00F76634"/>
    <w:rsid w:val="00F7670B"/>
    <w:rsid w:val="00F76715"/>
    <w:rsid w:val="00F76D0C"/>
    <w:rsid w:val="00F77B8E"/>
    <w:rsid w:val="00F801D9"/>
    <w:rsid w:val="00F80D32"/>
    <w:rsid w:val="00F810D0"/>
    <w:rsid w:val="00F8128D"/>
    <w:rsid w:val="00F81741"/>
    <w:rsid w:val="00F824EC"/>
    <w:rsid w:val="00F82746"/>
    <w:rsid w:val="00F827FA"/>
    <w:rsid w:val="00F82954"/>
    <w:rsid w:val="00F82AB4"/>
    <w:rsid w:val="00F82DE1"/>
    <w:rsid w:val="00F82F3D"/>
    <w:rsid w:val="00F83096"/>
    <w:rsid w:val="00F833BA"/>
    <w:rsid w:val="00F8351D"/>
    <w:rsid w:val="00F836F9"/>
    <w:rsid w:val="00F83774"/>
    <w:rsid w:val="00F83861"/>
    <w:rsid w:val="00F845D7"/>
    <w:rsid w:val="00F84607"/>
    <w:rsid w:val="00F84865"/>
    <w:rsid w:val="00F84939"/>
    <w:rsid w:val="00F85197"/>
    <w:rsid w:val="00F85CAB"/>
    <w:rsid w:val="00F86F17"/>
    <w:rsid w:val="00F8734D"/>
    <w:rsid w:val="00F90C2F"/>
    <w:rsid w:val="00F910FF"/>
    <w:rsid w:val="00F9114E"/>
    <w:rsid w:val="00F91214"/>
    <w:rsid w:val="00F91526"/>
    <w:rsid w:val="00F917CF"/>
    <w:rsid w:val="00F91975"/>
    <w:rsid w:val="00F92279"/>
    <w:rsid w:val="00F92B3D"/>
    <w:rsid w:val="00F93A58"/>
    <w:rsid w:val="00F93F8B"/>
    <w:rsid w:val="00F94682"/>
    <w:rsid w:val="00F95566"/>
    <w:rsid w:val="00F955D0"/>
    <w:rsid w:val="00F957C3"/>
    <w:rsid w:val="00F95E9F"/>
    <w:rsid w:val="00F96A8F"/>
    <w:rsid w:val="00F96F48"/>
    <w:rsid w:val="00F9780C"/>
    <w:rsid w:val="00F97A40"/>
    <w:rsid w:val="00F97FB2"/>
    <w:rsid w:val="00FA07BE"/>
    <w:rsid w:val="00FA191B"/>
    <w:rsid w:val="00FA1EB2"/>
    <w:rsid w:val="00FA2277"/>
    <w:rsid w:val="00FA22BE"/>
    <w:rsid w:val="00FA2C82"/>
    <w:rsid w:val="00FA315C"/>
    <w:rsid w:val="00FA34F3"/>
    <w:rsid w:val="00FA372A"/>
    <w:rsid w:val="00FA3FA1"/>
    <w:rsid w:val="00FA421E"/>
    <w:rsid w:val="00FA4B6A"/>
    <w:rsid w:val="00FA4BA2"/>
    <w:rsid w:val="00FA4BB7"/>
    <w:rsid w:val="00FA5F29"/>
    <w:rsid w:val="00FA60B4"/>
    <w:rsid w:val="00FA6962"/>
    <w:rsid w:val="00FA6B06"/>
    <w:rsid w:val="00FA6B43"/>
    <w:rsid w:val="00FA7ED2"/>
    <w:rsid w:val="00FB03DF"/>
    <w:rsid w:val="00FB1590"/>
    <w:rsid w:val="00FB15D9"/>
    <w:rsid w:val="00FB25AB"/>
    <w:rsid w:val="00FB3AA2"/>
    <w:rsid w:val="00FB3D68"/>
    <w:rsid w:val="00FB3E4C"/>
    <w:rsid w:val="00FB439B"/>
    <w:rsid w:val="00FB4D21"/>
    <w:rsid w:val="00FB583A"/>
    <w:rsid w:val="00FB5CCA"/>
    <w:rsid w:val="00FB762B"/>
    <w:rsid w:val="00FB7C7D"/>
    <w:rsid w:val="00FC08E6"/>
    <w:rsid w:val="00FC11AB"/>
    <w:rsid w:val="00FC14CF"/>
    <w:rsid w:val="00FC1837"/>
    <w:rsid w:val="00FC190E"/>
    <w:rsid w:val="00FC277B"/>
    <w:rsid w:val="00FC3105"/>
    <w:rsid w:val="00FC3B6C"/>
    <w:rsid w:val="00FC3C1F"/>
    <w:rsid w:val="00FC3E12"/>
    <w:rsid w:val="00FC48BE"/>
    <w:rsid w:val="00FC496C"/>
    <w:rsid w:val="00FC646A"/>
    <w:rsid w:val="00FC6ADA"/>
    <w:rsid w:val="00FC7220"/>
    <w:rsid w:val="00FC7316"/>
    <w:rsid w:val="00FC7BC2"/>
    <w:rsid w:val="00FD0D95"/>
    <w:rsid w:val="00FD19D6"/>
    <w:rsid w:val="00FD36D3"/>
    <w:rsid w:val="00FD3E9D"/>
    <w:rsid w:val="00FD4B74"/>
    <w:rsid w:val="00FD4FB3"/>
    <w:rsid w:val="00FD5417"/>
    <w:rsid w:val="00FD54E5"/>
    <w:rsid w:val="00FD5DD6"/>
    <w:rsid w:val="00FD679E"/>
    <w:rsid w:val="00FD6BDD"/>
    <w:rsid w:val="00FD6E89"/>
    <w:rsid w:val="00FD6EDF"/>
    <w:rsid w:val="00FD78DC"/>
    <w:rsid w:val="00FE030B"/>
    <w:rsid w:val="00FE0E76"/>
    <w:rsid w:val="00FE1250"/>
    <w:rsid w:val="00FE162A"/>
    <w:rsid w:val="00FE17D5"/>
    <w:rsid w:val="00FE18DD"/>
    <w:rsid w:val="00FE1912"/>
    <w:rsid w:val="00FE1EAE"/>
    <w:rsid w:val="00FE208C"/>
    <w:rsid w:val="00FE240B"/>
    <w:rsid w:val="00FE2415"/>
    <w:rsid w:val="00FE2765"/>
    <w:rsid w:val="00FE2AA2"/>
    <w:rsid w:val="00FE2EAD"/>
    <w:rsid w:val="00FE413B"/>
    <w:rsid w:val="00FE4A7F"/>
    <w:rsid w:val="00FE4DB4"/>
    <w:rsid w:val="00FE4FBE"/>
    <w:rsid w:val="00FE54DA"/>
    <w:rsid w:val="00FE6F97"/>
    <w:rsid w:val="00FE73B7"/>
    <w:rsid w:val="00FE7581"/>
    <w:rsid w:val="00FE7699"/>
    <w:rsid w:val="00FE775A"/>
    <w:rsid w:val="00FF0137"/>
    <w:rsid w:val="00FF029D"/>
    <w:rsid w:val="00FF03C9"/>
    <w:rsid w:val="00FF1F92"/>
    <w:rsid w:val="00FF2231"/>
    <w:rsid w:val="00FF2766"/>
    <w:rsid w:val="00FF375F"/>
    <w:rsid w:val="00FF3A1A"/>
    <w:rsid w:val="00FF42E9"/>
    <w:rsid w:val="00FF4733"/>
    <w:rsid w:val="00FF5157"/>
    <w:rsid w:val="00FF575F"/>
    <w:rsid w:val="00FF5BC8"/>
    <w:rsid w:val="00FF5D18"/>
    <w:rsid w:val="00FF5F6D"/>
    <w:rsid w:val="00FF734B"/>
    <w:rsid w:val="00FF7434"/>
    <w:rsid w:val="00FF7437"/>
    <w:rsid w:val="276A9326"/>
    <w:rsid w:val="38412B17"/>
    <w:rsid w:val="473B77A1"/>
    <w:rsid w:val="784E6A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7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A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ED5A20"/>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386297"/>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ED5A2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ED5A2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349A7"/>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2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386297"/>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ED5A2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ED5A2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uiPriority w:val="99"/>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E349A7"/>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9E0CA5"/>
    <w:rPr>
      <w:rFonts w:ascii="Calibri Light" w:eastAsia="Times New Roman" w:hAnsi="Calibri Light" w:cs="Times New Roman"/>
      <w:szCs w:val="20"/>
      <w:lang w:eastAsia="en-AU"/>
    </w:rPr>
  </w:style>
  <w:style w:type="paragraph" w:customStyle="1" w:styleId="BoxHeading">
    <w:name w:val="Box Heading"/>
    <w:basedOn w:val="Normal"/>
    <w:next w:val="Normal"/>
    <w:qFormat/>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basedOn w:val="Normal"/>
    <w:link w:val="BulletChar"/>
    <w:qFormat/>
    <w:rsid w:val="009E0CA5"/>
    <w:pPr>
      <w:numPr>
        <w:numId w:val="24"/>
      </w:numPr>
      <w:tabs>
        <w:tab w:val="left" w:pos="720"/>
      </w:tabs>
      <w:spacing w:before="0" w:line="276" w:lineRule="auto"/>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E97C19"/>
    <w:pPr>
      <w:jc w:val="center"/>
    </w:pPr>
  </w:style>
  <w:style w:type="paragraph" w:customStyle="1" w:styleId="ChartorTableNote">
    <w:name w:val="Chart or Table Note"/>
    <w:next w:val="Normal"/>
    <w:qFormat/>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023B06"/>
    <w:pPr>
      <w:keepNext/>
      <w:spacing w:before="0" w:after="360"/>
    </w:pPr>
    <w:rPr>
      <w:color w:val="455875" w:themeColor="accent3" w:themeShade="BF"/>
      <w:sz w:val="32"/>
    </w:rPr>
  </w:style>
  <w:style w:type="paragraph" w:customStyle="1" w:styleId="Dash">
    <w:name w:val="Dash"/>
    <w:basedOn w:val="Normal"/>
    <w:link w:val="DashChar"/>
    <w:qFormat/>
    <w:rsid w:val="000E0B74"/>
    <w:pPr>
      <w:numPr>
        <w:ilvl w:val="1"/>
        <w:numId w:val="24"/>
      </w:numPr>
      <w:spacing w:before="0"/>
    </w:pPr>
  </w:style>
  <w:style w:type="paragraph" w:customStyle="1" w:styleId="DoubleDot">
    <w:name w:val="Double Dot"/>
    <w:basedOn w:val="Normal"/>
    <w:link w:val="DoubleDotChar"/>
    <w:qFormat/>
    <w:rsid w:val="000E0B74"/>
    <w:pPr>
      <w:numPr>
        <w:ilvl w:val="2"/>
        <w:numId w:val="24"/>
      </w:numPr>
      <w:spacing w:before="0"/>
    </w:pPr>
  </w:style>
  <w:style w:type="paragraph" w:customStyle="1" w:styleId="TableMainHeading">
    <w:name w:val="Table Main Heading"/>
    <w:basedOn w:val="Heading3"/>
    <w:next w:val="Normal"/>
    <w:qFormat/>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next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uiPriority w:val="59"/>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023B06"/>
    <w:pPr>
      <w:spacing w:before="0" w:after="30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23B06"/>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23B06"/>
    <w:rPr>
      <w:rFonts w:ascii="Calibri Light" w:eastAsia="Times New Roman" w:hAnsi="Calibri Light" w:cs="Times New Roman"/>
      <w:color w:val="455875" w:themeColor="accent3" w:themeShade="BF"/>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link w:val="ListParagraphChar"/>
    <w:uiPriority w:val="34"/>
    <w:qFormat/>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22"/>
      </w:numPr>
      <w:tabs>
        <w:tab w:val="clear" w:pos="283"/>
        <w:tab w:val="num" w:pos="284"/>
        <w:tab w:val="num" w:pos="520"/>
      </w:tabs>
      <w:spacing w:before="60"/>
    </w:pPr>
    <w:rPr>
      <w:color w:val="0D0D0D" w:themeColor="text1" w:themeTint="F2"/>
    </w:rPr>
  </w:style>
  <w:style w:type="paragraph" w:customStyle="1" w:styleId="Boxdash">
    <w:name w:val="Box dash"/>
    <w:basedOn w:val="Dash"/>
    <w:rsid w:val="00E349A7"/>
    <w:pPr>
      <w:numPr>
        <w:numId w:val="22"/>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22"/>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table" w:styleId="TableGridLight">
    <w:name w:val="Grid Table Light"/>
    <w:basedOn w:val="TableNormal"/>
    <w:uiPriority w:val="40"/>
    <w:rsid w:val="00A519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OneLevelNumberedParagraph">
    <w:name w:val="One Level Numbered Paragraph"/>
    <w:basedOn w:val="Normal"/>
    <w:rsid w:val="00A519D0"/>
    <w:pPr>
      <w:tabs>
        <w:tab w:val="num" w:pos="360"/>
      </w:tabs>
      <w:spacing w:before="0"/>
      <w:ind w:left="284" w:hanging="284"/>
    </w:pPr>
  </w:style>
  <w:style w:type="paragraph" w:customStyle="1" w:styleId="Heading3noTOC">
    <w:name w:val="Heading 3 no TOC"/>
    <w:basedOn w:val="Heading3"/>
    <w:rsid w:val="00A519D0"/>
    <w:rPr>
      <w:rFonts w:cs="Calibri"/>
    </w:rPr>
  </w:style>
  <w:style w:type="character" w:styleId="Strong">
    <w:name w:val="Strong"/>
    <w:basedOn w:val="DefaultParagraphFont"/>
    <w:rsid w:val="00A519D0"/>
    <w:rPr>
      <w:b/>
      <w:bCs/>
    </w:rPr>
  </w:style>
  <w:style w:type="character" w:styleId="UnresolvedMention">
    <w:name w:val="Unresolved Mention"/>
    <w:basedOn w:val="DefaultParagraphFont"/>
    <w:uiPriority w:val="99"/>
    <w:semiHidden/>
    <w:unhideWhenUsed/>
    <w:rsid w:val="00A519D0"/>
    <w:rPr>
      <w:color w:val="605E5C"/>
      <w:shd w:val="clear" w:color="auto" w:fill="E1DFDD"/>
    </w:rPr>
  </w:style>
  <w:style w:type="character" w:styleId="Emphasis">
    <w:name w:val="Emphasis"/>
    <w:basedOn w:val="DefaultParagraphFont"/>
    <w:uiPriority w:val="20"/>
    <w:rsid w:val="00A519D0"/>
    <w:rPr>
      <w:i/>
      <w:iCs/>
    </w:rPr>
  </w:style>
  <w:style w:type="character" w:customStyle="1" w:styleId="ListParagraphChar">
    <w:name w:val="List Paragraph Char"/>
    <w:basedOn w:val="DefaultParagraphFont"/>
    <w:link w:val="ListParagraph"/>
    <w:uiPriority w:val="34"/>
    <w:rsid w:val="00A519D0"/>
    <w:rPr>
      <w:rFonts w:ascii="Calibri Light" w:eastAsia="Times New Roman" w:hAnsi="Calibri Light" w:cs="Times New Roman"/>
      <w:szCs w:val="20"/>
      <w:lang w:eastAsia="en-AU"/>
    </w:rPr>
  </w:style>
  <w:style w:type="character" w:styleId="FollowedHyperlink">
    <w:name w:val="FollowedHyperlink"/>
    <w:basedOn w:val="DefaultParagraphFont"/>
    <w:uiPriority w:val="99"/>
    <w:semiHidden/>
    <w:unhideWhenUsed/>
    <w:rsid w:val="00A519D0"/>
    <w:rPr>
      <w:color w:val="844D9E" w:themeColor="followedHyperlink"/>
      <w:u w:val="single"/>
    </w:rPr>
  </w:style>
  <w:style w:type="paragraph" w:styleId="Revision">
    <w:name w:val="Revision"/>
    <w:hidden/>
    <w:uiPriority w:val="99"/>
    <w:semiHidden/>
    <w:rsid w:val="00A519D0"/>
    <w:pPr>
      <w:spacing w:after="0" w:line="240" w:lineRule="auto"/>
    </w:pPr>
    <w:rPr>
      <w:rFonts w:ascii="Calibri Light" w:eastAsia="Times New Roman" w:hAnsi="Calibri Light" w:cs="Times New Roman"/>
      <w:szCs w:val="20"/>
      <w:lang w:eastAsia="en-AU"/>
    </w:rPr>
  </w:style>
  <w:style w:type="paragraph" w:styleId="CommentSubject">
    <w:name w:val="annotation subject"/>
    <w:basedOn w:val="CommentText"/>
    <w:next w:val="CommentText"/>
    <w:link w:val="CommentSubjectChar"/>
    <w:uiPriority w:val="99"/>
    <w:semiHidden/>
    <w:unhideWhenUsed/>
    <w:rsid w:val="00A519D0"/>
    <w:rPr>
      <w:rFonts w:ascii="Calibri Light" w:hAnsi="Calibri Light"/>
      <w:b/>
      <w:bCs/>
    </w:rPr>
  </w:style>
  <w:style w:type="character" w:customStyle="1" w:styleId="CommentSubjectChar">
    <w:name w:val="Comment Subject Char"/>
    <w:basedOn w:val="CommentTextChar"/>
    <w:link w:val="CommentSubject"/>
    <w:uiPriority w:val="99"/>
    <w:semiHidden/>
    <w:rsid w:val="00A519D0"/>
    <w:rPr>
      <w:rFonts w:ascii="Calibri Light" w:eastAsia="Times New Roman" w:hAnsi="Calibri Light" w:cs="Times New Roman"/>
      <w:b/>
      <w:bCs/>
      <w:sz w:val="20"/>
      <w:szCs w:val="20"/>
      <w:lang w:eastAsia="en-AU"/>
    </w:rPr>
  </w:style>
  <w:style w:type="paragraph" w:styleId="EndnoteText">
    <w:name w:val="endnote text"/>
    <w:basedOn w:val="Normal"/>
    <w:link w:val="EndnoteTextChar"/>
    <w:uiPriority w:val="99"/>
    <w:semiHidden/>
    <w:unhideWhenUsed/>
    <w:rsid w:val="008D21B3"/>
    <w:pPr>
      <w:spacing w:before="0" w:after="0"/>
    </w:pPr>
    <w:rPr>
      <w:sz w:val="20"/>
    </w:rPr>
  </w:style>
  <w:style w:type="character" w:customStyle="1" w:styleId="EndnoteTextChar">
    <w:name w:val="Endnote Text Char"/>
    <w:basedOn w:val="DefaultParagraphFont"/>
    <w:link w:val="EndnoteText"/>
    <w:uiPriority w:val="99"/>
    <w:semiHidden/>
    <w:rsid w:val="008D21B3"/>
    <w:rPr>
      <w:rFonts w:ascii="Calibri Light" w:eastAsia="Times New Roman" w:hAnsi="Calibri Light" w:cs="Times New Roman"/>
      <w:sz w:val="20"/>
      <w:szCs w:val="20"/>
      <w:lang w:eastAsia="en-AU"/>
    </w:rPr>
  </w:style>
  <w:style w:type="character" w:styleId="EndnoteReference">
    <w:name w:val="endnote reference"/>
    <w:basedOn w:val="DefaultParagraphFont"/>
    <w:uiPriority w:val="99"/>
    <w:semiHidden/>
    <w:unhideWhenUsed/>
    <w:rsid w:val="008D21B3"/>
    <w:rPr>
      <w:vertAlign w:val="superscript"/>
    </w:rPr>
  </w:style>
  <w:style w:type="character" w:styleId="Mention">
    <w:name w:val="Mention"/>
    <w:basedOn w:val="DefaultParagraphFont"/>
    <w:uiPriority w:val="99"/>
    <w:unhideWhenUsed/>
    <w:rsid w:val="005065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au/deed.en" TargetMode="External"/><Relationship Id="rId13" Type="http://schemas.openxmlformats.org/officeDocument/2006/relationships/hyperlink" Target="mailto:media@treasury.gov.au" TargetMode="External"/><Relationship Id="rId18" Type="http://schemas.openxmlformats.org/officeDocument/2006/relationships/hyperlink" Target="mailto:CompetitionTaskforce@treasury.gov.au"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pmc.gov.au/honours-and-symbols/commonwealth-coat-arms"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3.0/au/deed.en"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mailto:CompetitionTaskforce@treasury.gov.au" TargetMode="External"/><Relationship Id="rId4" Type="http://schemas.openxmlformats.org/officeDocument/2006/relationships/webSettings" Target="webSettings.xml"/><Relationship Id="rId9" Type="http://schemas.openxmlformats.org/officeDocument/2006/relationships/hyperlink" Target="http://creativecommons.org/licenses/by/3.0/au/legalcode"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red-seal.ca/eng/about/program.shtml" TargetMode="External"/><Relationship Id="rId18" Type="http://schemas.openxmlformats.org/officeDocument/2006/relationships/hyperlink" Target="https://www.pc.gov.au/__data/assets/pdf_file/0018/134064/subdr053-labour-mobility.pdf" TargetMode="External"/><Relationship Id="rId26" Type="http://schemas.openxmlformats.org/officeDocument/2006/relationships/hyperlink" Target="https://www.nsw.gov.au/business-and-economy/licences-and-credentials/building-and-trade-licences-and-registrations/working-interstate-and-mutual-recognition/east-coast-electricians-scheme" TargetMode="External"/><Relationship Id="rId39" Type="http://schemas.openxmlformats.org/officeDocument/2006/relationships/hyperlink" Target="https://www.aihw.gov.au/reports/injury/electricity-and-air-pressure" TargetMode="External"/><Relationship Id="rId21" Type="http://schemas.openxmlformats.org/officeDocument/2006/relationships/hyperlink" Target="https://www.aph.gov.au/-/media/Committees/redtape_ctte/OccupationalLicensing/Interim_report/report.pdf" TargetMode="External"/><Relationship Id="rId34" Type="http://schemas.openxmlformats.org/officeDocument/2006/relationships/hyperlink" Target="https://www.legislation.qld.gov.au/view/html/inforce/current/sl-2013-0213" TargetMode="External"/><Relationship Id="rId42" Type="http://schemas.openxmlformats.org/officeDocument/2006/relationships/hyperlink" Target="https://www.health.gov.au/our-work/national-registration-and-accreditation-scheme" TargetMode="External"/><Relationship Id="rId47" Type="http://schemas.openxmlformats.org/officeDocument/2006/relationships/hyperlink" Target="https://avbc.asn.au/about/" TargetMode="External"/><Relationship Id="rId7" Type="http://schemas.openxmlformats.org/officeDocument/2006/relationships/hyperlink" Target="https://ministers.treasury.gov.au/ministers/jim-chalmers-2022/media-releases/national-licensing-electrical-trades" TargetMode="External"/><Relationship Id="rId2" Type="http://schemas.openxmlformats.org/officeDocument/2006/relationships/hyperlink" Target="https://www.neca.asn.au/getmedia/1227827f-27c6-442d-ad68-570341155a1a/NECA-Productivity-Commission-Pillar-1.pdf" TargetMode="External"/><Relationship Id="rId16" Type="http://schemas.openxmlformats.org/officeDocument/2006/relationships/hyperlink" Target="https://www.oecd.org/content/dam/oecd/en/publications/reports/2020/03/measuring-occupational-entry-regulations-a-new-oecd-approach_fdd72a54/296dae6b-en.pdf" TargetMode="External"/><Relationship Id="rId29" Type="http://schemas.openxmlformats.org/officeDocument/2006/relationships/hyperlink" Target="https://www.abs.gov.au/statistics/labour/employment-and-unemployment/labour-force-australia-detailed/latest-release" TargetMode="External"/><Relationship Id="rId1" Type="http://schemas.openxmlformats.org/officeDocument/2006/relationships/hyperlink" Target="https://www.rba.gov.au/publications/rdp/2024/pdf/rdp2024-06.pdf" TargetMode="External"/><Relationship Id="rId6" Type="http://schemas.openxmlformats.org/officeDocument/2006/relationships/hyperlink" Target="https://hia.com.au/our-industry/advocacy/workforce-requirements?srsltid=AfmBOooD0MnD_WnvWkCoyyc4CxUNM5gFtqEYEMPEotwU10Z0dGy5TI8V" TargetMode="External"/><Relationship Id="rId11" Type="http://schemas.openxmlformats.org/officeDocument/2006/relationships/hyperlink" Target="https://workersmobility.ca/faq-for-workers/" TargetMode="External"/><Relationship Id="rId24" Type="http://schemas.openxmlformats.org/officeDocument/2006/relationships/hyperlink" Target="https://anzsog.edu.au/research-insights-and-resources/research/national-occupational-licensing-project-the-nola-a-2016-177-1/" TargetMode="External"/><Relationship Id="rId32" Type="http://schemas.openxmlformats.org/officeDocument/2006/relationships/hyperlink" Target="https://www.regulatoryreform.gov.au/sites/default/files/amr-info-business-workers.pdf" TargetMode="External"/><Relationship Id="rId37" Type="http://schemas.openxmlformats.org/officeDocument/2006/relationships/hyperlink" Target="https://data.safeworkaustralia.gov.au/interactive-data/topic/work-related-fatalities" TargetMode="External"/><Relationship Id="rId40" Type="http://schemas.openxmlformats.org/officeDocument/2006/relationships/hyperlink" Target="https://data.safeworkaustralia.gov.au/profile/whs-profile-electricians" TargetMode="External"/><Relationship Id="rId45" Type="http://schemas.openxmlformats.org/officeDocument/2006/relationships/hyperlink" Target="https://www.agriculture.gov.au/agriculture-land/animal/health/system/vets" TargetMode="External"/><Relationship Id="rId5" Type="http://schemas.openxmlformats.org/officeDocument/2006/relationships/hyperlink" Target="https://www.jobsandskills.gov.au/research/studies/clean-energy-capacity-study" TargetMode="External"/><Relationship Id="rId15" Type="http://schemas.openxmlformats.org/officeDocument/2006/relationships/hyperlink" Target="https://www.pc.gov.au/inquiries/completed/mutual-recognition-schemes/report" TargetMode="External"/><Relationship Id="rId23" Type="http://schemas.openxmlformats.org/officeDocument/2006/relationships/hyperlink" Target="https://www.theadviser.com.au/lender/29532-national-licensing-dumped" TargetMode="External"/><Relationship Id="rId28" Type="http://schemas.openxmlformats.org/officeDocument/2006/relationships/hyperlink" Target="https://www.regulatoryreform.gov.au/sites/default/files/improving-occupational-mobility.pdf" TargetMode="External"/><Relationship Id="rId36" Type="http://schemas.openxmlformats.org/officeDocument/2006/relationships/hyperlink" Target="https://www.erac.gov.au/wp-content/uploads/2025/03/ERAC-Electrical-fatality-report-2023-2024.pdf" TargetMode="External"/><Relationship Id="rId10" Type="http://schemas.openxmlformats.org/officeDocument/2006/relationships/hyperlink" Target="https://www.regulatoryreform.gov.au/sites/default/files/improving-occupational-mobility.pdf" TargetMode="External"/><Relationship Id="rId19" Type="http://schemas.openxmlformats.org/officeDocument/2006/relationships/hyperlink" Target="https://federation.gov.au/sites/default/files/about/agreements/National_Licensing_System_IGA_.pdf" TargetMode="External"/><Relationship Id="rId31" Type="http://schemas.openxmlformats.org/officeDocument/2006/relationships/hyperlink" Target="https://www.regulatoryreform.gov.au/sites/default/files/improving-occupational-mobility.pdf" TargetMode="External"/><Relationship Id="rId44" Type="http://schemas.openxmlformats.org/officeDocument/2006/relationships/hyperlink" Target="https://www.regulatoryreform.gov.au/sites/default/files/improving-occupational-mobility.pdf" TargetMode="External"/><Relationship Id="rId4" Type="http://schemas.openxmlformats.org/officeDocument/2006/relationships/hyperlink" Target="https://www.jobsandskills.gov.au/data/occupation-shortages-analysis" TargetMode="External"/><Relationship Id="rId9" Type="http://schemas.openxmlformats.org/officeDocument/2006/relationships/hyperlink" Target="https://www.pc.gov.au/inquiries/current/competition-analysis-2025" TargetMode="External"/><Relationship Id="rId14" Type="http://schemas.openxmlformats.org/officeDocument/2006/relationships/hyperlink" Target="https://www.carloalberto.org/wp-content/uploads/2019/11/no.525.pdf" TargetMode="External"/><Relationship Id="rId22" Type="http://schemas.openxmlformats.org/officeDocument/2006/relationships/hyperlink" Target="https://www.smh.com.au/national/coag-ditches-national-licensing-scheme-20131213-2zc1s.html" TargetMode="External"/><Relationship Id="rId27" Type="http://schemas.openxmlformats.org/officeDocument/2006/relationships/hyperlink" Target="https://www.pc.gov.au/inquiries/completed/mutual-recognition-schemes/report" TargetMode="External"/><Relationship Id="rId30" Type="http://schemas.openxmlformats.org/officeDocument/2006/relationships/hyperlink" Target="https://www.abs.gov.au/statistics/labour/employment-and-unemployment/labour-force-australia-detailed/latest-release" TargetMode="External"/><Relationship Id="rId35" Type="http://schemas.openxmlformats.org/officeDocument/2006/relationships/hyperlink" Target="https://www.erac.gov.au/wp-content/uploads/2025/03/ERAC-Electrical-fatality-report-2023-2024.pdf" TargetMode="External"/><Relationship Id="rId43" Type="http://schemas.openxmlformats.org/officeDocument/2006/relationships/hyperlink" Target="https://www.pc.gov.au/inquiries/completed/mutual-recognition-schemes/report" TargetMode="External"/><Relationship Id="rId8" Type="http://schemas.openxmlformats.org/officeDocument/2006/relationships/hyperlink" Target="https://www.pc.gov.au/inquiries/current/competition-analysis-2025/request-advice" TargetMode="External"/><Relationship Id="rId3" Type="http://schemas.openxmlformats.org/officeDocument/2006/relationships/hyperlink" Target="https://www.jobsandskills.gov.au/data/occupation-and-industry-profiles/occupations/3411-electricians" TargetMode="External"/><Relationship Id="rId12" Type="http://schemas.openxmlformats.org/officeDocument/2006/relationships/hyperlink" Target="https://www.canada.ca/en/intergovernmental-affairs/news/2025/06/implementation-of-bill-c-5-one-canadian-economy.html" TargetMode="External"/><Relationship Id="rId17" Type="http://schemas.openxmlformats.org/officeDocument/2006/relationships/hyperlink" Target="https://www.jadelearning.com/reciprocity-plan/" TargetMode="External"/><Relationship Id="rId25" Type="http://schemas.openxmlformats.org/officeDocument/2006/relationships/hyperlink" Target="https://www.pc.gov.au/__data/assets/pdf_file/0009/187335/sub026-mutual-recognition.pdf" TargetMode="External"/><Relationship Id="rId33" Type="http://schemas.openxmlformats.org/officeDocument/2006/relationships/hyperlink" Target="https://www.regulatoryreform.gov.au/sites/default/files/amr-info-business-workers.pdf" TargetMode="External"/><Relationship Id="rId38" Type="http://schemas.openxmlformats.org/officeDocument/2006/relationships/hyperlink" Target="https://data.safeworkaustralia.gov.au/interactive-data/topic/workers-compensation" TargetMode="External"/><Relationship Id="rId46" Type="http://schemas.openxmlformats.org/officeDocument/2006/relationships/hyperlink" Target="https://www.pc.gov.au/inquiries/completed/mutual-recognition-schemes/report" TargetMode="External"/><Relationship Id="rId20" Type="http://schemas.openxmlformats.org/officeDocument/2006/relationships/hyperlink" Target="https://anzsog.edu.au/research-insights-and-resources/research/national-occupational-licensing-project-the-nola-a-2016-177-1/" TargetMode="External"/><Relationship Id="rId41" Type="http://schemas.openxmlformats.org/officeDocument/2006/relationships/hyperlink" Target="https://www.aph.gov.au/Parliamentary_Business/Committees/Senate/Red_Tape/OccupationalLicensing/Submission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8375</Words>
  <Characters>50818</Characters>
  <Application>Microsoft Office Word</Application>
  <DocSecurity>0</DocSecurity>
  <Lines>1002</Lines>
  <Paragraphs>420</Paragraphs>
  <ScaleCrop>false</ScaleCrop>
  <HeadingPairs>
    <vt:vector size="2" baseType="variant">
      <vt:variant>
        <vt:lpstr>Title</vt:lpstr>
      </vt:variant>
      <vt:variant>
        <vt:i4>1</vt:i4>
      </vt:variant>
    </vt:vector>
  </HeadingPairs>
  <TitlesOfParts>
    <vt:vector size="1" baseType="lpstr">
      <vt:lpstr>Issues paper: National licensing for electrical occupations</vt:lpstr>
    </vt:vector>
  </TitlesOfParts>
  <Company/>
  <LinksUpToDate>false</LinksUpToDate>
  <CharactersWithSpaces>58910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 National licensing for electrical occupations</dc:title>
  <dc:subject/>
  <dc:creator>Treasury</dc:creator>
  <cp:keywords/>
  <cp:lastModifiedBy/>
  <cp:revision>1</cp:revision>
  <dcterms:created xsi:type="dcterms:W3CDTF">2025-08-25T01:12:00Z</dcterms:created>
  <dcterms:modified xsi:type="dcterms:W3CDTF">2025-08-25T01:12:00Z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2025-08-25T01:12:26Z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90f58249-ef6e-4cef-8956-a8ce5db9cebc</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