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E02C" w14:textId="210B4F0B" w:rsidR="00E24AA1" w:rsidRDefault="007001FC"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2025</w:t>
      </w:r>
    </w:p>
    <w:p w14:paraId="34B1B2E1" w14:textId="77777777" w:rsidR="00E24AA1" w:rsidRDefault="00E24AA1" w:rsidP="00E24AA1">
      <w:pPr>
        <w:pStyle w:val="Baseparagraphcentred"/>
      </w:pPr>
    </w:p>
    <w:p w14:paraId="202832BD" w14:textId="77777777" w:rsidR="00E24AA1" w:rsidRDefault="00E24AA1" w:rsidP="00E24AA1">
      <w:pPr>
        <w:pStyle w:val="Baseparagraphcentred"/>
      </w:pPr>
      <w:r>
        <w:t>THE PARLIAMENT OF THE COMMONWEALTH OF AUSTRALIA</w:t>
      </w:r>
    </w:p>
    <w:p w14:paraId="412F3DB3" w14:textId="77777777" w:rsidR="00E24AA1" w:rsidRDefault="00E24AA1" w:rsidP="00E24AA1">
      <w:pPr>
        <w:pStyle w:val="Baseparagraphcentred"/>
      </w:pPr>
    </w:p>
    <w:p w14:paraId="4C5EC8FA" w14:textId="77777777" w:rsidR="00E24AA1" w:rsidRDefault="00E24AA1" w:rsidP="00E24AA1">
      <w:pPr>
        <w:pStyle w:val="Baseparagraphcentred"/>
      </w:pPr>
    </w:p>
    <w:p w14:paraId="6B510D90" w14:textId="77777777" w:rsidR="00E24AA1" w:rsidRDefault="00E24AA1" w:rsidP="00E24AA1">
      <w:pPr>
        <w:pStyle w:val="Baseparagraphcentred"/>
      </w:pPr>
    </w:p>
    <w:sdt>
      <w:sdtPr>
        <w:id w:val="803427954"/>
        <w:placeholder>
          <w:docPart w:val="16F10C4B6CC44DA29B3A46F7C796FF2C"/>
        </w:placeholder>
        <w:temporary/>
        <w:showingPlcHdr/>
        <w:comboBox>
          <w:listItem w:value="Choose an item."/>
          <w:listItem w:displayText="HOUSE OF REPRESENTATIVES" w:value="HOUSE OF REPRESENTATIVES"/>
          <w:listItem w:displayText="SENATE" w:value="SENATE"/>
          <w:listItem w:displayText="EXPOSURE DRAFT EXPLANATORY MATERIALS" w:value="EXPOSURE DRAFT EXPLANATORY MATERIALS"/>
        </w:comboBox>
      </w:sdtPr>
      <w:sdtEndPr/>
      <w:sdtContent>
        <w:p w14:paraId="1F8238FD" w14:textId="77777777" w:rsidR="000A4EB2" w:rsidRDefault="000A4EB2" w:rsidP="000A4EB2">
          <w:pPr>
            <w:pStyle w:val="Baseparagraphcentred"/>
          </w:pPr>
          <w:r w:rsidRPr="002F5302">
            <w:rPr>
              <w:rStyle w:val="PlaceholderText"/>
            </w:rPr>
            <w:t>[HOUSE OF REPRESEN</w:t>
          </w:r>
          <w:r>
            <w:rPr>
              <w:rStyle w:val="PlaceholderText"/>
            </w:rPr>
            <w:t>T</w:t>
          </w:r>
          <w:r w:rsidRPr="002F5302">
            <w:rPr>
              <w:rStyle w:val="PlaceholderText"/>
            </w:rPr>
            <w:t>ATIVES/SENATE]</w:t>
          </w:r>
        </w:p>
      </w:sdtContent>
    </w:sdt>
    <w:p w14:paraId="61D0F622" w14:textId="77777777" w:rsidR="00E24AA1" w:rsidRDefault="00E24AA1" w:rsidP="00E24AA1">
      <w:pPr>
        <w:pStyle w:val="Baseparagraphcentred"/>
      </w:pPr>
    </w:p>
    <w:p w14:paraId="287F6758" w14:textId="77777777" w:rsidR="00E24AA1" w:rsidRDefault="00E24AA1" w:rsidP="00E24AA1">
      <w:pPr>
        <w:pStyle w:val="Baseparagraphcentred"/>
      </w:pPr>
    </w:p>
    <w:p w14:paraId="3AAC7183" w14:textId="77777777" w:rsidR="00E24AA1" w:rsidRDefault="00E24AA1" w:rsidP="00E24AA1">
      <w:pPr>
        <w:pStyle w:val="Baseparagraphcentred"/>
        <w:pBdr>
          <w:bottom w:val="single" w:sz="4" w:space="1" w:color="auto"/>
        </w:pBdr>
      </w:pPr>
    </w:p>
    <w:p w14:paraId="048B8091" w14:textId="31C3B49E" w:rsidR="00E24AA1" w:rsidRPr="00E24AA1" w:rsidRDefault="00C955EA" w:rsidP="00E24AA1">
      <w:pPr>
        <w:pStyle w:val="BillName"/>
      </w:pPr>
      <w:bookmarkStart w:id="6" w:name="BillName"/>
      <w:bookmarkEnd w:id="6"/>
      <w:r w:rsidRPr="00C955EA">
        <w:t>Treasury Laws Amendment Bill 2025: Increased Wine Equalisation Tax producer rebate</w:t>
      </w:r>
    </w:p>
    <w:p w14:paraId="76CFE335" w14:textId="77777777" w:rsidR="00E24AA1" w:rsidRDefault="00E24AA1" w:rsidP="00E24AA1">
      <w:pPr>
        <w:pStyle w:val="Baseparagraphcentred"/>
        <w:pBdr>
          <w:top w:val="single" w:sz="4" w:space="1" w:color="auto"/>
        </w:pBdr>
      </w:pPr>
    </w:p>
    <w:p w14:paraId="204C72B9" w14:textId="77777777" w:rsidR="00E24AA1" w:rsidRDefault="00E24AA1" w:rsidP="00E24AA1">
      <w:pPr>
        <w:pStyle w:val="Baseparagraphcentred"/>
      </w:pPr>
    </w:p>
    <w:p w14:paraId="2FD9F076" w14:textId="77777777" w:rsidR="00E24AA1" w:rsidRDefault="00E24AA1" w:rsidP="00E24AA1">
      <w:pPr>
        <w:pStyle w:val="Baseparagraphcentred"/>
      </w:pPr>
    </w:p>
    <w:p w14:paraId="56EA9CC2" w14:textId="77777777" w:rsidR="00E24AA1" w:rsidRDefault="00E24AA1" w:rsidP="00E24AA1">
      <w:pPr>
        <w:pStyle w:val="Baseparagraphcentred"/>
      </w:pPr>
    </w:p>
    <w:p w14:paraId="0A81A57A" w14:textId="77777777" w:rsidR="0079011E" w:rsidRDefault="0079011E" w:rsidP="00E24AA1">
      <w:pPr>
        <w:pStyle w:val="Baseparagraphcentred"/>
      </w:pPr>
      <w:r>
        <w:t>EXPOSURE DRAFT EXPLANATORY MATERIALS</w:t>
      </w:r>
    </w:p>
    <w:p w14:paraId="09EFEAC6" w14:textId="77777777" w:rsidR="00E24AA1" w:rsidRDefault="00E24AA1" w:rsidP="00E24AA1">
      <w:pPr>
        <w:pStyle w:val="Baseparagraphcentred"/>
      </w:pPr>
    </w:p>
    <w:p w14:paraId="540E6381" w14:textId="77777777" w:rsidR="00E24AA1" w:rsidRDefault="00E24AA1" w:rsidP="00E24AA1">
      <w:pPr>
        <w:pStyle w:val="Baseparagraphcentred"/>
      </w:pPr>
    </w:p>
    <w:p w14:paraId="470C2C55" w14:textId="77777777" w:rsidR="00E24AA1" w:rsidRDefault="00E24AA1" w:rsidP="00E24AA1">
      <w:pPr>
        <w:pStyle w:val="ParaCentredNoSpacing"/>
      </w:pPr>
    </w:p>
    <w:p w14:paraId="390DA095" w14:textId="77777777" w:rsidR="00E24AA1" w:rsidRPr="00967273" w:rsidRDefault="00E24AA1" w:rsidP="00E24AA1">
      <w:pPr>
        <w:pStyle w:val="Normalparatextnonumbers"/>
        <w:jc w:val="center"/>
        <w:rPr>
          <w:rFonts w:cs="Calibri"/>
          <w:color w:val="000000" w:themeColor="text1"/>
        </w:rPr>
      </w:pPr>
    </w:p>
    <w:p w14:paraId="66F91D1D" w14:textId="77777777" w:rsidR="008A3B5F" w:rsidRPr="00020288" w:rsidRDefault="008A3B5F" w:rsidP="008A3B5F">
      <w:pPr>
        <w:pStyle w:val="Normalparatextnonumbers"/>
      </w:pPr>
    </w:p>
    <w:p w14:paraId="3A1DBD1D" w14:textId="77777777" w:rsidR="0079011E" w:rsidRPr="0090171F" w:rsidRDefault="0079011E" w:rsidP="0090171F">
      <w:pPr>
        <w:pStyle w:val="Normalparatextnonumbers"/>
      </w:pPr>
      <w:bookmarkStart w:id="7" w:name="ConsultPreamble"/>
      <w:bookmarkEnd w:id="7"/>
      <w:r w:rsidRPr="0090171F">
        <w:br w:type="page"/>
      </w:r>
    </w:p>
    <w:p w14:paraId="21ECC7D2" w14:textId="77777777" w:rsidR="0079011E" w:rsidRPr="0090171F" w:rsidRDefault="0079011E" w:rsidP="0079011E">
      <w:pPr>
        <w:pStyle w:val="Normalparatextnonumbers"/>
        <w:numPr>
          <w:ilvl w:val="4"/>
          <w:numId w:val="2"/>
        </w:numPr>
        <w:rPr>
          <w:b/>
        </w:rPr>
      </w:pPr>
      <w:r w:rsidRPr="0090171F">
        <w:rPr>
          <w:b/>
        </w:rPr>
        <w:lastRenderedPageBreak/>
        <w:t>Consultation preamble</w:t>
      </w:r>
    </w:p>
    <w:p w14:paraId="13BA854E" w14:textId="77777777" w:rsidR="0079011E" w:rsidRPr="0090171F" w:rsidRDefault="0079011E"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7598B5C8" w14:textId="77777777" w:rsidR="0079011E" w:rsidRPr="0090171F" w:rsidRDefault="0079011E" w:rsidP="0090171F">
      <w:pPr>
        <w:pStyle w:val="Normalparatextnonumbers"/>
      </w:pPr>
      <w:r w:rsidRPr="0090171F">
        <w:t>•</w:t>
      </w:r>
      <w:r w:rsidRPr="0090171F">
        <w:tab/>
        <w:t xml:space="preserve">how the new law is intended to </w:t>
      </w:r>
      <w:proofErr w:type="gramStart"/>
      <w:r w:rsidRPr="0090171F">
        <w:t>operate;</w:t>
      </w:r>
      <w:proofErr w:type="gramEnd"/>
    </w:p>
    <w:p w14:paraId="7E82BF8D" w14:textId="77777777" w:rsidR="0079011E" w:rsidRPr="0090171F" w:rsidRDefault="0079011E"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78FB74D6" w14:textId="77777777" w:rsidR="0079011E" w:rsidRPr="0090171F" w:rsidRDefault="0079011E" w:rsidP="0090171F">
      <w:pPr>
        <w:pStyle w:val="Normalparatextnonumbers"/>
        <w:ind w:left="709" w:hanging="709"/>
      </w:pPr>
      <w:r w:rsidRPr="0090171F">
        <w:t>•</w:t>
      </w:r>
      <w:r w:rsidRPr="0090171F">
        <w:tab/>
        <w:t>the use of relevant examples, illustrations or diagrams as explanatory aids;</w:t>
      </w:r>
      <w:r w:rsidRPr="0090171F">
        <w:br/>
        <w:t>and</w:t>
      </w:r>
    </w:p>
    <w:p w14:paraId="61BE363E" w14:textId="77777777" w:rsidR="0079011E" w:rsidRPr="0090171F" w:rsidRDefault="0079011E" w:rsidP="0090171F">
      <w:pPr>
        <w:pStyle w:val="Normalparatextnonumbers"/>
        <w:ind w:left="709" w:hanging="709"/>
      </w:pPr>
      <w:r w:rsidRPr="0090171F">
        <w:t>•</w:t>
      </w:r>
      <w:r w:rsidRPr="0090171F">
        <w:tab/>
        <w:t>any other matters affecting the readability or presentation of the explanatory material.</w:t>
      </w:r>
    </w:p>
    <w:p w14:paraId="5933D624" w14:textId="77777777" w:rsidR="0079011E" w:rsidRPr="0090171F" w:rsidRDefault="0079011E"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4AB1951" w14:textId="2B639518" w:rsidR="0079011E" w:rsidRPr="0090171F" w:rsidRDefault="0079011E" w:rsidP="0090171F">
      <w:pPr>
        <w:pStyle w:val="Normalparatextnonumbers"/>
      </w:pPr>
      <w:r w:rsidRPr="00B072FD">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67ACC22E" w14:textId="77777777" w:rsidR="00924E28" w:rsidRPr="00020288" w:rsidRDefault="00924E28" w:rsidP="00873094">
      <w:pPr>
        <w:pStyle w:val="Normalparatextnonumbers"/>
      </w:pPr>
    </w:p>
    <w:p w14:paraId="69A2430A" w14:textId="77777777" w:rsidR="00873094" w:rsidRPr="00020288" w:rsidRDefault="00873094" w:rsidP="00873094">
      <w:pPr>
        <w:pStyle w:val="TOC1"/>
        <w:sectPr w:rsidR="00873094" w:rsidRPr="00020288" w:rsidSect="00000BFC">
          <w:headerReference w:type="first" r:id="rId7"/>
          <w:footerReference w:type="first" r:id="rId8"/>
          <w:type w:val="oddPage"/>
          <w:pgSz w:w="9979" w:h="14175" w:code="138"/>
          <w:pgMar w:top="567" w:right="1134" w:bottom="567" w:left="1134" w:header="709" w:footer="709" w:gutter="0"/>
          <w:cols w:space="708"/>
          <w:titlePg/>
          <w:docGrid w:linePitch="360"/>
        </w:sectPr>
      </w:pPr>
    </w:p>
    <w:p w14:paraId="10F2B8CB"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8020A0B" w14:textId="701F4FA1" w:rsidR="0079011E" w:rsidRDefault="00873094" w:rsidP="0079011E">
      <w:pPr>
        <w:pStyle w:val="TOC1"/>
        <w:tabs>
          <w:tab w:val="clear" w:pos="7655"/>
          <w:tab w:val="right" w:leader="dot" w:pos="7654"/>
        </w:tabs>
        <w:ind w:left="0" w:firstLine="0"/>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79011E">
        <w:rPr>
          <w:noProof/>
        </w:rPr>
        <w:t>Glossary</w:t>
      </w:r>
      <w:r w:rsidR="0079011E">
        <w:rPr>
          <w:noProof/>
        </w:rPr>
        <w:tab/>
      </w:r>
      <w:r w:rsidR="0079011E">
        <w:rPr>
          <w:noProof/>
        </w:rPr>
        <w:fldChar w:fldCharType="begin"/>
      </w:r>
      <w:r w:rsidR="0079011E">
        <w:rPr>
          <w:noProof/>
        </w:rPr>
        <w:instrText xml:space="preserve"> PAGEREF _Toc206139437 \h </w:instrText>
      </w:r>
      <w:r w:rsidR="0079011E">
        <w:rPr>
          <w:noProof/>
        </w:rPr>
      </w:r>
      <w:r w:rsidR="0079011E">
        <w:rPr>
          <w:noProof/>
        </w:rPr>
        <w:fldChar w:fldCharType="separate"/>
      </w:r>
      <w:r w:rsidR="0079011E">
        <w:rPr>
          <w:noProof/>
        </w:rPr>
        <w:t>iii</w:t>
      </w:r>
      <w:r w:rsidR="0079011E">
        <w:rPr>
          <w:noProof/>
        </w:rPr>
        <w:fldChar w:fldCharType="end"/>
      </w:r>
    </w:p>
    <w:p w14:paraId="41481EEA" w14:textId="2D8D30D6" w:rsidR="0079011E" w:rsidRDefault="0079011E" w:rsidP="0079011E">
      <w:pPr>
        <w:pStyle w:val="TOC1"/>
        <w:tabs>
          <w:tab w:val="clear" w:pos="7655"/>
          <w:tab w:val="left" w:pos="1757"/>
          <w:tab w:val="right" w:leader="dot" w:pos="7654"/>
        </w:tabs>
        <w:rPr>
          <w:rFonts w:asciiTheme="minorHAnsi" w:eastAsiaTheme="minorEastAsia" w:hAnsiTheme="minorHAnsi" w:cstheme="minorBidi"/>
          <w:bCs w:val="0"/>
          <w:noProof/>
          <w:kern w:val="2"/>
          <w:szCs w:val="24"/>
          <w:lang w:eastAsia="en-AU"/>
          <w14:ligatures w14:val="standardContextual"/>
        </w:rPr>
      </w:pPr>
      <w:r w:rsidRPr="0076120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Increase of the Wine Equalisation Tax Producer Rebate</w:t>
      </w:r>
      <w:r>
        <w:rPr>
          <w:noProof/>
        </w:rPr>
        <w:tab/>
      </w:r>
      <w:r>
        <w:rPr>
          <w:noProof/>
        </w:rPr>
        <w:fldChar w:fldCharType="begin"/>
      </w:r>
      <w:r>
        <w:rPr>
          <w:noProof/>
        </w:rPr>
        <w:instrText xml:space="preserve"> PAGEREF _Toc206139438 \h </w:instrText>
      </w:r>
      <w:r>
        <w:rPr>
          <w:noProof/>
        </w:rPr>
      </w:r>
      <w:r>
        <w:rPr>
          <w:noProof/>
        </w:rPr>
        <w:fldChar w:fldCharType="separate"/>
      </w:r>
      <w:r>
        <w:rPr>
          <w:noProof/>
        </w:rPr>
        <w:t>3</w:t>
      </w:r>
      <w:r>
        <w:rPr>
          <w:noProof/>
        </w:rPr>
        <w:fldChar w:fldCharType="end"/>
      </w:r>
    </w:p>
    <w:p w14:paraId="7BC4E534" w14:textId="1AC29E3C" w:rsidR="00873094" w:rsidRPr="00020288" w:rsidRDefault="00873094" w:rsidP="00BC2E4A">
      <w:pPr>
        <w:pStyle w:val="TOC1"/>
      </w:pPr>
      <w:r w:rsidRPr="00BC2E4A">
        <w:fldChar w:fldCharType="end"/>
      </w:r>
    </w:p>
    <w:p w14:paraId="51F9025C" w14:textId="77777777" w:rsidR="00873094" w:rsidRPr="00020288" w:rsidRDefault="00873094" w:rsidP="00873094"/>
    <w:p w14:paraId="58DC6D25" w14:textId="77777777" w:rsidR="00873094" w:rsidRPr="00020288" w:rsidRDefault="00873094" w:rsidP="00873094">
      <w:pPr>
        <w:sectPr w:rsidR="00873094" w:rsidRPr="00020288" w:rsidSect="00000BFC">
          <w:headerReference w:type="even" r:id="rId9"/>
          <w:headerReference w:type="default" r:id="rId10"/>
          <w:footerReference w:type="even" r:id="rId11"/>
          <w:foot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1B540999"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206139437"/>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0200EE4E"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5114FF33" w14:textId="77777777" w:rsidTr="002425D9">
        <w:tc>
          <w:tcPr>
            <w:tcW w:w="3776" w:type="dxa"/>
          </w:tcPr>
          <w:p w14:paraId="78C2D0E4" w14:textId="77777777" w:rsidR="00873094" w:rsidRPr="002E7A73" w:rsidRDefault="00873094" w:rsidP="00B7393A">
            <w:pPr>
              <w:pStyle w:val="Tableheaderrowtext"/>
            </w:pPr>
            <w:bookmarkStart w:id="30" w:name="GlossaryTableStart"/>
            <w:bookmarkEnd w:id="30"/>
            <w:r w:rsidRPr="002E7A73">
              <w:t>Abbreviation</w:t>
            </w:r>
          </w:p>
        </w:tc>
        <w:tc>
          <w:tcPr>
            <w:tcW w:w="3874" w:type="dxa"/>
          </w:tcPr>
          <w:p w14:paraId="64D4C1A0" w14:textId="77777777" w:rsidR="00873094" w:rsidRPr="002E7A73" w:rsidRDefault="00873094" w:rsidP="00B7393A">
            <w:pPr>
              <w:pStyle w:val="Tableheaderrowtext"/>
            </w:pPr>
            <w:r w:rsidRPr="002E7A73">
              <w:t>Definition</w:t>
            </w:r>
          </w:p>
        </w:tc>
      </w:tr>
      <w:tr w:rsidR="006A567A" w:rsidRPr="00020288" w14:paraId="579840D6" w14:textId="77777777" w:rsidTr="002425D9">
        <w:tc>
          <w:tcPr>
            <w:tcW w:w="3776" w:type="dxa"/>
          </w:tcPr>
          <w:p w14:paraId="1EE1B104" w14:textId="2DDB8F63" w:rsidR="006A567A" w:rsidRDefault="006A567A" w:rsidP="002425D9">
            <w:pPr>
              <w:pStyle w:val="Normalparatextnonumbers"/>
            </w:pPr>
            <w:r>
              <w:t>GST</w:t>
            </w:r>
          </w:p>
        </w:tc>
        <w:tc>
          <w:tcPr>
            <w:tcW w:w="3874" w:type="dxa"/>
          </w:tcPr>
          <w:p w14:paraId="5350A35E" w14:textId="722D93B3" w:rsidR="006A567A" w:rsidRDefault="006A567A" w:rsidP="00387CB7">
            <w:r>
              <w:t>Goods and Services Tax</w:t>
            </w:r>
          </w:p>
        </w:tc>
      </w:tr>
      <w:tr w:rsidR="00387CB7" w:rsidRPr="00020288" w14:paraId="0AF794E6" w14:textId="77777777" w:rsidTr="002425D9">
        <w:tc>
          <w:tcPr>
            <w:tcW w:w="3776" w:type="dxa"/>
          </w:tcPr>
          <w:p w14:paraId="65CAA972" w14:textId="47A64723" w:rsidR="00387CB7" w:rsidRDefault="00387CB7" w:rsidP="002425D9">
            <w:pPr>
              <w:pStyle w:val="Normalparatextnonumbers"/>
            </w:pPr>
            <w:r>
              <w:t>WET</w:t>
            </w:r>
          </w:p>
        </w:tc>
        <w:tc>
          <w:tcPr>
            <w:tcW w:w="3874" w:type="dxa"/>
          </w:tcPr>
          <w:p w14:paraId="2AD365DD" w14:textId="1C7E18B0" w:rsidR="00387CB7" w:rsidRPr="00387CB7" w:rsidRDefault="00387CB7" w:rsidP="00387CB7">
            <w:r>
              <w:t>Wine Equalisation Tax</w:t>
            </w:r>
          </w:p>
        </w:tc>
      </w:tr>
      <w:tr w:rsidR="00873094" w:rsidRPr="00020288" w14:paraId="6A0F6EF3" w14:textId="77777777" w:rsidTr="002425D9">
        <w:tc>
          <w:tcPr>
            <w:tcW w:w="3776" w:type="dxa"/>
          </w:tcPr>
          <w:p w14:paraId="2D8F2CD5" w14:textId="181B31DC" w:rsidR="00873094" w:rsidRPr="00020288" w:rsidRDefault="00387CB7" w:rsidP="002425D9">
            <w:pPr>
              <w:pStyle w:val="Normalparatextnonumbers"/>
            </w:pPr>
            <w:r>
              <w:t>WET Act</w:t>
            </w:r>
          </w:p>
        </w:tc>
        <w:tc>
          <w:tcPr>
            <w:tcW w:w="3874" w:type="dxa"/>
          </w:tcPr>
          <w:p w14:paraId="68B7B108" w14:textId="69225836" w:rsidR="00873094" w:rsidRPr="00387CB7" w:rsidRDefault="00387CB7" w:rsidP="00387CB7">
            <w:pPr>
              <w:rPr>
                <w:i/>
                <w:iCs/>
              </w:rPr>
            </w:pPr>
            <w:r w:rsidRPr="00387CB7">
              <w:rPr>
                <w:i/>
                <w:iCs/>
              </w:rPr>
              <w:t>A New Tax System (Wine Equalisation Tax) Act 1999</w:t>
            </w:r>
          </w:p>
        </w:tc>
      </w:tr>
    </w:tbl>
    <w:p w14:paraId="7338CE8E" w14:textId="77777777" w:rsidR="00873094" w:rsidRPr="00020288" w:rsidRDefault="00873094" w:rsidP="00873094"/>
    <w:p w14:paraId="126CDFF9" w14:textId="77777777" w:rsidR="00873094" w:rsidRPr="00020288" w:rsidRDefault="00873094" w:rsidP="00873094"/>
    <w:p w14:paraId="75D9085A" w14:textId="77777777" w:rsidR="00873094" w:rsidRPr="00020288" w:rsidRDefault="00873094" w:rsidP="00873094">
      <w:pPr>
        <w:pStyle w:val="Heading1"/>
        <w:rPr>
          <w:rFonts w:hint="eastAsia"/>
        </w:rPr>
        <w:sectPr w:rsidR="00873094" w:rsidRPr="00020288" w:rsidSect="00000BFC">
          <w:headerReference w:type="even" r:id="rId15"/>
          <w:headerReference w:type="default" r:id="rId16"/>
          <w:footerReference w:type="even" r:id="rId17"/>
          <w:footerReference w:type="default" r:id="rId18"/>
          <w:headerReference w:type="first" r:id="rId19"/>
          <w:footerReference w:type="first" r:id="rId20"/>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7C7A5519" w14:textId="4E8D191A" w:rsidR="00873094" w:rsidRPr="0073326A" w:rsidRDefault="00F91625" w:rsidP="00777A92">
      <w:pPr>
        <w:pStyle w:val="Chapterheading"/>
        <w:rPr>
          <w:rFonts w:hint="eastAsia"/>
        </w:rPr>
      </w:pPr>
      <w:bookmarkStart w:id="41" w:name="GeneralOutline"/>
      <w:bookmarkStart w:id="42" w:name="_Toc206139405"/>
      <w:bookmarkStart w:id="43" w:name="_Toc206139406"/>
      <w:bookmarkStart w:id="44" w:name="_Toc206139407"/>
      <w:bookmarkStart w:id="45" w:name="_Toc206139408"/>
      <w:bookmarkStart w:id="46" w:name="_Toc206139409"/>
      <w:bookmarkStart w:id="47" w:name="_Toc206139410"/>
      <w:bookmarkStart w:id="48" w:name="_Toc206139411"/>
      <w:bookmarkStart w:id="49" w:name="_Toc206139412"/>
      <w:bookmarkStart w:id="50" w:name="_Toc206139413"/>
      <w:bookmarkStart w:id="51" w:name="_Toc206139414"/>
      <w:bookmarkStart w:id="52" w:name="_Toc206139415"/>
      <w:bookmarkStart w:id="53" w:name="_Toc206139416"/>
      <w:bookmarkStart w:id="54" w:name="_Toc206139429"/>
      <w:bookmarkStart w:id="55" w:name="_Toc206139430"/>
      <w:bookmarkStart w:id="56" w:name="_Toc206139431"/>
      <w:bookmarkStart w:id="57" w:name="_Toc206139432"/>
      <w:bookmarkStart w:id="58" w:name="_Toc206139433"/>
      <w:bookmarkStart w:id="59" w:name="_Toc206139434"/>
      <w:bookmarkStart w:id="60" w:name="_Toc206139435"/>
      <w:bookmarkStart w:id="61" w:name="_Toc206139438"/>
      <w:bookmarkEnd w:id="27"/>
      <w:bookmarkEnd w:id="28"/>
      <w:bookmarkEnd w:id="2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lastRenderedPageBreak/>
        <w:t>Increa</w:t>
      </w:r>
      <w:r w:rsidR="00AC729E">
        <w:t>s</w:t>
      </w:r>
      <w:r w:rsidR="008535D4">
        <w:t>e of</w:t>
      </w:r>
      <w:r>
        <w:t xml:space="preserve"> </w:t>
      </w:r>
      <w:r w:rsidR="00AC729E">
        <w:t xml:space="preserve">the </w:t>
      </w:r>
      <w:r w:rsidR="00373C9B">
        <w:t>Wine Equalisation Tax Producer Rebate</w:t>
      </w:r>
      <w:bookmarkEnd w:id="61"/>
      <w:r w:rsidR="00373C9B">
        <w:t xml:space="preserve"> </w:t>
      </w:r>
    </w:p>
    <w:p w14:paraId="299AD8E6" w14:textId="77777777"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347FC3B3" w14:textId="47A64C61" w:rsidR="00873094" w:rsidRPr="000E521B" w:rsidRDefault="00A36A87" w:rsidP="000E521B">
      <w:pPr>
        <w:pStyle w:val="Normalparatextwithnumbers"/>
      </w:pPr>
      <w:r>
        <w:t xml:space="preserve">Schedule </w:t>
      </w:r>
      <w:r w:rsidR="0006587F">
        <w:t>1</w:t>
      </w:r>
      <w:r>
        <w:t xml:space="preserve"> </w:t>
      </w:r>
      <w:r w:rsidR="00113417">
        <w:t>to</w:t>
      </w:r>
      <w:r>
        <w:t xml:space="preserve"> the Bill increases the maximum amount of WET producer rebates an eligible wine producer, or a group o</w:t>
      </w:r>
      <w:r w:rsidR="005666B5">
        <w:t xml:space="preserve">f </w:t>
      </w:r>
      <w:r w:rsidR="000B367B">
        <w:t xml:space="preserve">associated </w:t>
      </w:r>
      <w:r w:rsidR="005666B5">
        <w:t>wine</w:t>
      </w:r>
      <w:r>
        <w:t xml:space="preserve"> producers, can claim in each financial year. From 1 July 2026, this cap is increased from $350,000 to $400,</w:t>
      </w:r>
      <w:r w:rsidR="00E013A1">
        <w:t>0</w:t>
      </w:r>
      <w:r>
        <w:t>00.</w:t>
      </w:r>
    </w:p>
    <w:p w14:paraId="22B19E80" w14:textId="3A2D9B09" w:rsidR="006632DC" w:rsidRPr="000E521B" w:rsidRDefault="006632DC" w:rsidP="000E521B">
      <w:pPr>
        <w:pStyle w:val="Normalparatextwithnumbers"/>
      </w:pPr>
      <w:r>
        <w:t>Legislative references in this Chapter are to the WET Act unless otherwise specified.</w:t>
      </w:r>
    </w:p>
    <w:p w14:paraId="1D579AB4" w14:textId="77777777" w:rsidR="00873094" w:rsidRPr="00020288" w:rsidRDefault="00873094" w:rsidP="005D0844">
      <w:pPr>
        <w:pStyle w:val="Heading2"/>
        <w:rPr>
          <w:rFonts w:hint="eastAsia"/>
        </w:rPr>
      </w:pPr>
      <w:r w:rsidRPr="00020288">
        <w:t xml:space="preserve">Context of </w:t>
      </w:r>
      <w:r w:rsidRPr="005D0844">
        <w:t>amendments</w:t>
      </w:r>
    </w:p>
    <w:p w14:paraId="2D0FC4B8" w14:textId="46F11AFE" w:rsidR="002E2E1D" w:rsidRDefault="003D1AA0" w:rsidP="002224AE">
      <w:pPr>
        <w:pStyle w:val="Normalparatextwithnumbers"/>
      </w:pPr>
      <w:r w:rsidRPr="003D1AA0">
        <w:t xml:space="preserve">The WET Act imposes </w:t>
      </w:r>
      <w:r>
        <w:t>WET</w:t>
      </w:r>
      <w:r w:rsidRPr="003D1AA0">
        <w:t xml:space="preserve"> liabilities on certain dealings </w:t>
      </w:r>
      <w:r w:rsidR="001170E9">
        <w:t>in</w:t>
      </w:r>
      <w:r w:rsidR="001170E9" w:rsidRPr="003D1AA0">
        <w:t xml:space="preserve"> </w:t>
      </w:r>
      <w:r w:rsidRPr="003D1AA0">
        <w:t>wine</w:t>
      </w:r>
      <w:r w:rsidR="00ED6FE4">
        <w:t xml:space="preserve"> such as </w:t>
      </w:r>
      <w:r w:rsidR="0006328D">
        <w:t xml:space="preserve">the </w:t>
      </w:r>
      <w:r w:rsidR="00ED6FE4">
        <w:t>importation or wholesale sale of wine</w:t>
      </w:r>
      <w:r w:rsidRPr="003D1AA0">
        <w:t>, usually payable by the seller</w:t>
      </w:r>
      <w:r w:rsidR="00656199">
        <w:t xml:space="preserve"> through their </w:t>
      </w:r>
      <w:r w:rsidR="00582281">
        <w:t>business activity statement</w:t>
      </w:r>
      <w:r w:rsidRPr="003D1AA0">
        <w:t>.</w:t>
      </w:r>
    </w:p>
    <w:p w14:paraId="0ECC34A6" w14:textId="0F4033CC" w:rsidR="00FF2053" w:rsidRPr="00FF2053" w:rsidRDefault="00FF2053" w:rsidP="002224AE">
      <w:pPr>
        <w:pStyle w:val="Normalparatextwithnumbers"/>
      </w:pPr>
      <w:r>
        <w:t>On</w:t>
      </w:r>
      <w:r w:rsidR="00C123DF">
        <w:t xml:space="preserve"> 1 October 2004, the </w:t>
      </w:r>
      <w:r w:rsidRPr="00FF2053">
        <w:rPr>
          <w:i/>
          <w:iCs/>
        </w:rPr>
        <w:t>Tax Laws Amendment (Wine Producer Rebate and Other Measures) Act 2004</w:t>
      </w:r>
      <w:r w:rsidRPr="00FF2053">
        <w:t xml:space="preserve"> amended the WET Act </w:t>
      </w:r>
      <w:r w:rsidR="002224AE">
        <w:t>so eligible wine producers could claim up to $290,000 of WET producer rebates each financial year</w:t>
      </w:r>
      <w:r w:rsidR="00513DEC">
        <w:t xml:space="preserve">. </w:t>
      </w:r>
      <w:r>
        <w:t xml:space="preserve"> </w:t>
      </w:r>
    </w:p>
    <w:p w14:paraId="44D6B9FE" w14:textId="086B813E" w:rsidR="00873094" w:rsidRDefault="007B5EA0" w:rsidP="00873094">
      <w:pPr>
        <w:pStyle w:val="Normalparatextwithnumbers"/>
        <w:numPr>
          <w:ilvl w:val="1"/>
          <w:numId w:val="3"/>
        </w:numPr>
      </w:pPr>
      <w:r>
        <w:t>From 1 July 2006</w:t>
      </w:r>
      <w:r w:rsidR="006C06AC">
        <w:t xml:space="preserve">, the </w:t>
      </w:r>
      <w:r w:rsidR="00EE1708">
        <w:t xml:space="preserve">maximum amount of producer rebates which producers could claim was increased to </w:t>
      </w:r>
      <w:r w:rsidR="00710768">
        <w:t>$500,000 and</w:t>
      </w:r>
      <w:r>
        <w:t xml:space="preserve"> then decreased to the current $350,000 </w:t>
      </w:r>
      <w:r w:rsidR="003874D5">
        <w:t xml:space="preserve">from 1 </w:t>
      </w:r>
      <w:r w:rsidR="008D647C">
        <w:t>July 2018</w:t>
      </w:r>
      <w:r w:rsidR="003874D5">
        <w:t xml:space="preserve">. </w:t>
      </w:r>
    </w:p>
    <w:p w14:paraId="7219A6C0" w14:textId="5B18058F" w:rsidR="003874D5" w:rsidRPr="00020288" w:rsidRDefault="003874D5" w:rsidP="00873094">
      <w:pPr>
        <w:pStyle w:val="Normalparatextwithnumbers"/>
        <w:numPr>
          <w:ilvl w:val="1"/>
          <w:numId w:val="3"/>
        </w:numPr>
      </w:pPr>
      <w:r>
        <w:t xml:space="preserve">In the 2025-26 Budget, the Government announced that </w:t>
      </w:r>
      <w:r w:rsidR="00AA7A07">
        <w:t>it would increase its support for wine producers through changes to the alcohol tax settings in Australia</w:t>
      </w:r>
      <w:r w:rsidR="008D647C">
        <w:t>, by</w:t>
      </w:r>
      <w:r w:rsidR="009C2565">
        <w:t xml:space="preserve"> </w:t>
      </w:r>
      <w:r w:rsidR="00AA7A07">
        <w:t>increasing the WET producer rebate cap from $350,000 to $400,000</w:t>
      </w:r>
      <w:r w:rsidR="00EE6847">
        <w:t xml:space="preserve"> </w:t>
      </w:r>
      <w:r w:rsidR="00582281">
        <w:t>per</w:t>
      </w:r>
      <w:r w:rsidR="00EE6847">
        <w:t xml:space="preserve"> financial year</w:t>
      </w:r>
      <w:r w:rsidR="00414C75">
        <w:t xml:space="preserve">, from 1 July 2026. </w:t>
      </w:r>
      <w:r w:rsidR="00EE6847">
        <w:t xml:space="preserve"> </w:t>
      </w:r>
    </w:p>
    <w:p w14:paraId="5C7D168D" w14:textId="77777777" w:rsidR="00873094" w:rsidRPr="00020288" w:rsidRDefault="00873094" w:rsidP="005D0844">
      <w:pPr>
        <w:pStyle w:val="Heading2"/>
        <w:rPr>
          <w:rFonts w:hint="eastAsia"/>
        </w:rPr>
      </w:pPr>
      <w:r w:rsidRPr="00020288">
        <w:t xml:space="preserve">Summary of </w:t>
      </w:r>
      <w:r w:rsidRPr="005D0844">
        <w:t>new</w:t>
      </w:r>
      <w:r w:rsidRPr="00020288">
        <w:t xml:space="preserve"> law</w:t>
      </w:r>
    </w:p>
    <w:p w14:paraId="45D6F40B" w14:textId="47947D34" w:rsidR="00873094" w:rsidRPr="00020288" w:rsidRDefault="005F351A" w:rsidP="00873094">
      <w:pPr>
        <w:pStyle w:val="Normalparatextwithnumbers"/>
        <w:numPr>
          <w:ilvl w:val="1"/>
          <w:numId w:val="3"/>
        </w:numPr>
      </w:pPr>
      <w:r>
        <w:t xml:space="preserve">From 1 July 2026, eligible producers, or groups of </w:t>
      </w:r>
      <w:r w:rsidR="00582281">
        <w:t xml:space="preserve">associated </w:t>
      </w:r>
      <w:r w:rsidR="008318A0">
        <w:t xml:space="preserve">wine </w:t>
      </w:r>
      <w:r>
        <w:t xml:space="preserve">producers, can claim </w:t>
      </w:r>
      <w:r w:rsidR="00F57032">
        <w:t>a maximum of</w:t>
      </w:r>
      <w:r>
        <w:t xml:space="preserve"> $400,000 in WET producer rebates for each financial year. </w:t>
      </w:r>
    </w:p>
    <w:p w14:paraId="5E5449DE" w14:textId="77777777" w:rsidR="00873094" w:rsidRPr="00020288" w:rsidRDefault="00873094" w:rsidP="00AF50CE">
      <w:pPr>
        <w:pStyle w:val="Heading2"/>
        <w:rPr>
          <w:rFonts w:hint="eastAsia"/>
        </w:rPr>
      </w:pPr>
      <w:r w:rsidRPr="00AF50CE">
        <w:lastRenderedPageBreak/>
        <w:t>Comparison</w:t>
      </w:r>
      <w:r w:rsidRPr="00020288">
        <w:t xml:space="preserve"> of key features of new law and current law</w:t>
      </w:r>
    </w:p>
    <w:p w14:paraId="0A1F2358"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3A7FF6ED"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679B907A"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56028A49"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5C30E5FC" w14:textId="77777777" w:rsidTr="002425D9">
        <w:tc>
          <w:tcPr>
            <w:tcW w:w="3776" w:type="dxa"/>
          </w:tcPr>
          <w:p w14:paraId="5A30A4DC" w14:textId="27D91130" w:rsidR="00873094" w:rsidRPr="00020288" w:rsidRDefault="005666B5" w:rsidP="002425D9">
            <w:pPr>
              <w:pStyle w:val="Tabletext"/>
            </w:pPr>
            <w:r>
              <w:t xml:space="preserve">Eligible wine producers, or a group of </w:t>
            </w:r>
            <w:r w:rsidR="00582281">
              <w:t xml:space="preserve">associated </w:t>
            </w:r>
            <w:r>
              <w:t>wine producers</w:t>
            </w:r>
            <w:r w:rsidR="00D11D65">
              <w:t xml:space="preserve">, </w:t>
            </w:r>
            <w:proofErr w:type="gramStart"/>
            <w:r w:rsidR="00D11D65">
              <w:t>are able to</w:t>
            </w:r>
            <w:proofErr w:type="gramEnd"/>
            <w:r w:rsidR="00D11D65">
              <w:t xml:space="preserve"> claim up to $400,000 of WET producer rebates each financial year. </w:t>
            </w:r>
            <w:r>
              <w:t xml:space="preserve"> </w:t>
            </w:r>
            <w:r w:rsidR="00CF3BBA">
              <w:t xml:space="preserve"> </w:t>
            </w:r>
          </w:p>
        </w:tc>
        <w:tc>
          <w:tcPr>
            <w:tcW w:w="3874" w:type="dxa"/>
          </w:tcPr>
          <w:p w14:paraId="17315FB2" w14:textId="36DB0F63" w:rsidR="00873094" w:rsidRPr="00020288" w:rsidRDefault="00D11D65" w:rsidP="002425D9">
            <w:pPr>
              <w:pStyle w:val="Tabletext"/>
            </w:pPr>
            <w:r>
              <w:t xml:space="preserve">Eligible wine producers, or a group of </w:t>
            </w:r>
            <w:r w:rsidR="00582281">
              <w:t xml:space="preserve">associated </w:t>
            </w:r>
            <w:r>
              <w:t xml:space="preserve">wine producers, </w:t>
            </w:r>
            <w:proofErr w:type="gramStart"/>
            <w:r>
              <w:t>are able to</w:t>
            </w:r>
            <w:proofErr w:type="gramEnd"/>
            <w:r>
              <w:t xml:space="preserve"> claim up to $350,000 of WET producer rebates each financial year.   </w:t>
            </w:r>
          </w:p>
        </w:tc>
      </w:tr>
      <w:tr w:rsidR="00424BFF" w:rsidRPr="00020288" w14:paraId="1B554B8E" w14:textId="77777777" w:rsidTr="002425D9">
        <w:tc>
          <w:tcPr>
            <w:tcW w:w="3776" w:type="dxa"/>
          </w:tcPr>
          <w:p w14:paraId="1E91E038" w14:textId="4D268DEF" w:rsidR="00DA7A68" w:rsidRDefault="00DA7A68" w:rsidP="002425D9">
            <w:pPr>
              <w:pStyle w:val="Tabletext"/>
            </w:pPr>
            <w:r>
              <w:t xml:space="preserve">Individual </w:t>
            </w:r>
            <w:r w:rsidR="001466C1">
              <w:t>eligible wine producer</w:t>
            </w:r>
            <w:r>
              <w:t xml:space="preserve">s must </w:t>
            </w:r>
            <w:r w:rsidR="00D06482">
              <w:t>repay any excess amounts of WET producer rebate that exceeds the $400,000 cap, claimed for a financial year.</w:t>
            </w:r>
          </w:p>
          <w:p w14:paraId="04794C01" w14:textId="7F1F74A0" w:rsidR="00424BFF" w:rsidRDefault="00D06482" w:rsidP="00624E72">
            <w:pPr>
              <w:pStyle w:val="Tabletext"/>
              <w:ind w:left="0"/>
            </w:pPr>
            <w:r>
              <w:t>M</w:t>
            </w:r>
            <w:r w:rsidR="001466C1">
              <w:t>ember</w:t>
            </w:r>
            <w:r w:rsidR="00DA7A68">
              <w:t>s</w:t>
            </w:r>
            <w:r w:rsidR="001466C1">
              <w:t xml:space="preserve"> of a group </w:t>
            </w:r>
            <w:r w:rsidR="00582281">
              <w:t xml:space="preserve">of associated wine </w:t>
            </w:r>
            <w:r w:rsidR="00BF3AF8">
              <w:t>producers</w:t>
            </w:r>
            <w:r w:rsidR="001466C1">
              <w:t xml:space="preserve"> </w:t>
            </w:r>
            <w:r>
              <w:t>are</w:t>
            </w:r>
            <w:r w:rsidR="001466C1">
              <w:t xml:space="preserve"> jointly and severally liable to pay </w:t>
            </w:r>
            <w:r w:rsidR="00FE64ED">
              <w:t>an amount that exceeds the $</w:t>
            </w:r>
            <w:r w:rsidR="00137DF0">
              <w:t>40</w:t>
            </w:r>
            <w:r w:rsidR="00FE64ED">
              <w:t>0,000 WET producer rebate cap</w:t>
            </w:r>
            <w:r w:rsidR="00EF4609">
              <w:t xml:space="preserve">, as claimed by the </w:t>
            </w:r>
            <w:r w:rsidR="00EA0775">
              <w:t xml:space="preserve">group </w:t>
            </w:r>
            <w:r>
              <w:t>for a</w:t>
            </w:r>
            <w:r w:rsidR="00EA0775">
              <w:t xml:space="preserve"> financial year. </w:t>
            </w:r>
          </w:p>
        </w:tc>
        <w:tc>
          <w:tcPr>
            <w:tcW w:w="3874" w:type="dxa"/>
          </w:tcPr>
          <w:p w14:paraId="5745C543" w14:textId="6D9EE772" w:rsidR="00D06482" w:rsidRDefault="00D06482" w:rsidP="002425D9">
            <w:pPr>
              <w:pStyle w:val="Tabletext"/>
            </w:pPr>
            <w:r>
              <w:t xml:space="preserve">Individual </w:t>
            </w:r>
            <w:r w:rsidR="00EF4609">
              <w:t>eligible wine producer</w:t>
            </w:r>
            <w:r>
              <w:t>s</w:t>
            </w:r>
            <w:r w:rsidR="00F41E7C">
              <w:t xml:space="preserve"> </w:t>
            </w:r>
            <w:r>
              <w:t xml:space="preserve">must repay any excess amounts of WET producer rebate that exceeds the $350,000 cap, claimed for a financial year. </w:t>
            </w:r>
          </w:p>
          <w:p w14:paraId="3C657564" w14:textId="06DC4CC2" w:rsidR="00424BFF" w:rsidRDefault="00D06482" w:rsidP="004530BD">
            <w:pPr>
              <w:pStyle w:val="Tabletext"/>
              <w:ind w:left="0"/>
            </w:pPr>
            <w:r>
              <w:t>M</w:t>
            </w:r>
            <w:r w:rsidR="00EF4609">
              <w:t>ember</w:t>
            </w:r>
            <w:r w:rsidR="00DA7A68">
              <w:t>s</w:t>
            </w:r>
            <w:r w:rsidR="00EF4609">
              <w:t xml:space="preserve"> of a group </w:t>
            </w:r>
            <w:r w:rsidR="00582281">
              <w:t>of associated wine producers</w:t>
            </w:r>
            <w:r w:rsidR="00EF4609">
              <w:t xml:space="preserve"> </w:t>
            </w:r>
            <w:r>
              <w:t>are</w:t>
            </w:r>
            <w:r w:rsidR="00EF4609">
              <w:t xml:space="preserve"> jointly and severally liable to pay an amount that exceeds the $350,000 WET producer rebate cap</w:t>
            </w:r>
            <w:r w:rsidR="00EA0775">
              <w:t xml:space="preserve">, as claimed by group </w:t>
            </w:r>
            <w:r>
              <w:t xml:space="preserve">for a </w:t>
            </w:r>
            <w:r w:rsidR="00EA0775">
              <w:t>financial year.</w:t>
            </w:r>
          </w:p>
        </w:tc>
      </w:tr>
    </w:tbl>
    <w:p w14:paraId="0AE77EE6" w14:textId="77777777" w:rsidR="00873094" w:rsidRPr="00020288" w:rsidRDefault="00873094" w:rsidP="00873094">
      <w:pPr>
        <w:pStyle w:val="Heading2"/>
        <w:numPr>
          <w:ilvl w:val="1"/>
          <w:numId w:val="2"/>
        </w:numPr>
        <w:tabs>
          <w:tab w:val="num" w:pos="567"/>
        </w:tabs>
        <w:ind w:left="567" w:hanging="567"/>
        <w:rPr>
          <w:rFonts w:hint="eastAsia"/>
        </w:rPr>
      </w:pPr>
      <w:r w:rsidRPr="00020288">
        <w:t>Detailed explanation of new law</w:t>
      </w:r>
    </w:p>
    <w:p w14:paraId="6DFC058F" w14:textId="7CFED51F" w:rsidR="00873094" w:rsidRDefault="00CA0975" w:rsidP="00CA0975">
      <w:pPr>
        <w:pStyle w:val="Normalparatextwithnumbers"/>
      </w:pPr>
      <w:r>
        <w:t>Division 19 of the WET Act governs entitlement to a WET producer rebate.</w:t>
      </w:r>
    </w:p>
    <w:p w14:paraId="6B595064" w14:textId="2A7C708D" w:rsidR="00CA0975" w:rsidRDefault="00516AAA" w:rsidP="00CA0975">
      <w:pPr>
        <w:pStyle w:val="Normalparatextwithnumbers"/>
      </w:pPr>
      <w:r>
        <w:t>Subsection 19-15(</w:t>
      </w:r>
      <w:r w:rsidR="00517688">
        <w:t>2) stipulates that the maximum amount of WET producer rebates to which eligible wine producers are entitled to each financial year is $400,000. Subsection 19-15(</w:t>
      </w:r>
      <w:r w:rsidR="001E327D">
        <w:t xml:space="preserve">3) applies this cap to the amount of WET producer rebates claimed by a group of </w:t>
      </w:r>
      <w:r w:rsidR="00E03A9C">
        <w:t xml:space="preserve">associated </w:t>
      </w:r>
      <w:r w:rsidR="001E327D">
        <w:t xml:space="preserve">wine producers each financial year. </w:t>
      </w:r>
      <w:r w:rsidR="002065A0">
        <w:t xml:space="preserve">The method to determine whether eligible wine producers are associated and therefore </w:t>
      </w:r>
      <w:r w:rsidR="00F57032">
        <w:t xml:space="preserve">form </w:t>
      </w:r>
      <w:r w:rsidR="002065A0">
        <w:t xml:space="preserve">groups, for the purposes of claiming WET producer rebates, remains the same. </w:t>
      </w:r>
    </w:p>
    <w:p w14:paraId="59957AEC" w14:textId="69694479" w:rsidR="00DE01D0" w:rsidRDefault="00853ADB" w:rsidP="0094446C">
      <w:pPr>
        <w:pStyle w:val="Normalparatextwithnumbers"/>
        <w:rPr>
          <w:rStyle w:val="References"/>
          <w:b w:val="0"/>
          <w:bCs w:val="0"/>
          <w:i w:val="0"/>
          <w:iCs w:val="0"/>
        </w:rPr>
      </w:pPr>
      <w:r>
        <w:rPr>
          <w:rStyle w:val="References"/>
          <w:b w:val="0"/>
          <w:bCs w:val="0"/>
          <w:i w:val="0"/>
          <w:iCs w:val="0"/>
        </w:rPr>
        <w:t>Subsections 19-25(</w:t>
      </w:r>
      <w:r w:rsidR="00116FD5">
        <w:rPr>
          <w:rStyle w:val="References"/>
          <w:b w:val="0"/>
          <w:bCs w:val="0"/>
          <w:i w:val="0"/>
          <w:iCs w:val="0"/>
        </w:rPr>
        <w:t xml:space="preserve">2) and (3) impose </w:t>
      </w:r>
      <w:r w:rsidR="0094446C" w:rsidRPr="0094446C">
        <w:rPr>
          <w:rStyle w:val="References"/>
          <w:b w:val="0"/>
          <w:bCs w:val="0"/>
          <w:i w:val="0"/>
          <w:iCs w:val="0"/>
        </w:rPr>
        <w:t>a liability for the repayment of claims</w:t>
      </w:r>
      <w:r w:rsidR="00CA671D">
        <w:rPr>
          <w:rStyle w:val="References"/>
          <w:b w:val="0"/>
          <w:bCs w:val="0"/>
          <w:i w:val="0"/>
          <w:iCs w:val="0"/>
        </w:rPr>
        <w:t>,</w:t>
      </w:r>
      <w:r w:rsidR="0094446C" w:rsidRPr="0094446C">
        <w:rPr>
          <w:rStyle w:val="References"/>
          <w:b w:val="0"/>
          <w:bCs w:val="0"/>
          <w:i w:val="0"/>
          <w:iCs w:val="0"/>
        </w:rPr>
        <w:t xml:space="preserve"> </w:t>
      </w:r>
      <w:proofErr w:type="gramStart"/>
      <w:r w:rsidR="0094446C" w:rsidRPr="0094446C">
        <w:rPr>
          <w:rStyle w:val="References"/>
          <w:b w:val="0"/>
          <w:bCs w:val="0"/>
          <w:i w:val="0"/>
          <w:iCs w:val="0"/>
        </w:rPr>
        <w:t>in excess of</w:t>
      </w:r>
      <w:proofErr w:type="gramEnd"/>
      <w:r w:rsidR="0094446C" w:rsidRPr="0094446C">
        <w:rPr>
          <w:rStyle w:val="References"/>
          <w:b w:val="0"/>
          <w:bCs w:val="0"/>
          <w:i w:val="0"/>
          <w:iCs w:val="0"/>
        </w:rPr>
        <w:t xml:space="preserve"> the amount to which the group was entitled</w:t>
      </w:r>
      <w:r w:rsidR="00B1172B">
        <w:rPr>
          <w:rStyle w:val="References"/>
          <w:b w:val="0"/>
          <w:bCs w:val="0"/>
          <w:i w:val="0"/>
          <w:iCs w:val="0"/>
        </w:rPr>
        <w:t xml:space="preserve"> </w:t>
      </w:r>
      <w:r w:rsidR="00B1172B" w:rsidRPr="0094446C">
        <w:rPr>
          <w:rStyle w:val="References"/>
          <w:b w:val="0"/>
          <w:bCs w:val="0"/>
          <w:i w:val="0"/>
          <w:iCs w:val="0"/>
        </w:rPr>
        <w:t xml:space="preserve">on each producer that is a member of a group of </w:t>
      </w:r>
      <w:r w:rsidR="00E03A9C">
        <w:rPr>
          <w:rStyle w:val="References"/>
          <w:b w:val="0"/>
          <w:bCs w:val="0"/>
          <w:i w:val="0"/>
          <w:iCs w:val="0"/>
        </w:rPr>
        <w:t xml:space="preserve">associated </w:t>
      </w:r>
      <w:r w:rsidR="00B1172B">
        <w:rPr>
          <w:rStyle w:val="References"/>
          <w:b w:val="0"/>
          <w:bCs w:val="0"/>
          <w:i w:val="0"/>
          <w:iCs w:val="0"/>
        </w:rPr>
        <w:t xml:space="preserve">wine </w:t>
      </w:r>
      <w:r w:rsidR="00B1172B" w:rsidRPr="0094446C">
        <w:rPr>
          <w:rStyle w:val="References"/>
          <w:b w:val="0"/>
          <w:bCs w:val="0"/>
          <w:i w:val="0"/>
          <w:iCs w:val="0"/>
        </w:rPr>
        <w:t>producers</w:t>
      </w:r>
      <w:r w:rsidR="00030A73">
        <w:rPr>
          <w:rStyle w:val="References"/>
          <w:b w:val="0"/>
          <w:bCs w:val="0"/>
          <w:i w:val="0"/>
          <w:iCs w:val="0"/>
        </w:rPr>
        <w:t>. This amount</w:t>
      </w:r>
      <w:r w:rsidR="003C5218">
        <w:rPr>
          <w:rStyle w:val="References"/>
          <w:b w:val="0"/>
          <w:bCs w:val="0"/>
          <w:i w:val="0"/>
          <w:iCs w:val="0"/>
        </w:rPr>
        <w:t xml:space="preserve"> is </w:t>
      </w:r>
      <w:r w:rsidR="0094446C" w:rsidRPr="0094446C">
        <w:rPr>
          <w:rStyle w:val="References"/>
          <w:b w:val="0"/>
          <w:bCs w:val="0"/>
          <w:i w:val="0"/>
          <w:iCs w:val="0"/>
        </w:rPr>
        <w:t>$</w:t>
      </w:r>
      <w:r w:rsidR="0094446C">
        <w:rPr>
          <w:rStyle w:val="References"/>
          <w:b w:val="0"/>
          <w:bCs w:val="0"/>
          <w:i w:val="0"/>
          <w:iCs w:val="0"/>
        </w:rPr>
        <w:t>4</w:t>
      </w:r>
      <w:r w:rsidR="0094446C" w:rsidRPr="0094446C">
        <w:rPr>
          <w:rStyle w:val="References"/>
          <w:b w:val="0"/>
          <w:bCs w:val="0"/>
          <w:i w:val="0"/>
          <w:iCs w:val="0"/>
        </w:rPr>
        <w:t>00,000</w:t>
      </w:r>
      <w:r w:rsidR="003C5218">
        <w:rPr>
          <w:rStyle w:val="References"/>
          <w:b w:val="0"/>
          <w:bCs w:val="0"/>
          <w:i w:val="0"/>
          <w:iCs w:val="0"/>
        </w:rPr>
        <w:t xml:space="preserve"> (</w:t>
      </w:r>
      <w:r w:rsidR="00254601">
        <w:rPr>
          <w:rStyle w:val="References"/>
          <w:b w:val="0"/>
          <w:bCs w:val="0"/>
          <w:i w:val="0"/>
          <w:iCs w:val="0"/>
        </w:rPr>
        <w:t>as stipulated by</w:t>
      </w:r>
      <w:r w:rsidR="003C5218">
        <w:rPr>
          <w:rStyle w:val="References"/>
          <w:b w:val="0"/>
          <w:bCs w:val="0"/>
          <w:i w:val="0"/>
          <w:iCs w:val="0"/>
        </w:rPr>
        <w:t xml:space="preserve"> subsection 19-</w:t>
      </w:r>
      <w:r w:rsidR="00254601">
        <w:rPr>
          <w:rStyle w:val="References"/>
          <w:b w:val="0"/>
          <w:bCs w:val="0"/>
          <w:i w:val="0"/>
          <w:iCs w:val="0"/>
        </w:rPr>
        <w:t>15(3))</w:t>
      </w:r>
      <w:r w:rsidR="0094446C" w:rsidRPr="0094446C">
        <w:rPr>
          <w:rStyle w:val="References"/>
          <w:b w:val="0"/>
          <w:bCs w:val="0"/>
          <w:i w:val="0"/>
          <w:iCs w:val="0"/>
        </w:rPr>
        <w:t>.</w:t>
      </w:r>
      <w:r w:rsidR="00CE3400">
        <w:rPr>
          <w:rStyle w:val="References"/>
          <w:b w:val="0"/>
          <w:bCs w:val="0"/>
          <w:i w:val="0"/>
          <w:iCs w:val="0"/>
        </w:rPr>
        <w:t xml:space="preserve"> </w:t>
      </w:r>
      <w:r w:rsidR="002227DB">
        <w:rPr>
          <w:rStyle w:val="References"/>
          <w:b w:val="0"/>
          <w:bCs w:val="0"/>
          <w:i w:val="0"/>
          <w:iCs w:val="0"/>
        </w:rPr>
        <w:t xml:space="preserve">Individual eligible wine producers are also liable to </w:t>
      </w:r>
      <w:r w:rsidR="008E1CD2">
        <w:rPr>
          <w:rStyle w:val="References"/>
          <w:b w:val="0"/>
          <w:bCs w:val="0"/>
          <w:i w:val="0"/>
          <w:iCs w:val="0"/>
        </w:rPr>
        <w:t>re</w:t>
      </w:r>
      <w:r w:rsidR="002227DB">
        <w:rPr>
          <w:rStyle w:val="References"/>
          <w:b w:val="0"/>
          <w:bCs w:val="0"/>
          <w:i w:val="0"/>
          <w:iCs w:val="0"/>
        </w:rPr>
        <w:t xml:space="preserve">pay any amounts exceeding </w:t>
      </w:r>
      <w:r w:rsidR="008E1CD2">
        <w:rPr>
          <w:rStyle w:val="References"/>
          <w:b w:val="0"/>
          <w:bCs w:val="0"/>
          <w:i w:val="0"/>
          <w:iCs w:val="0"/>
        </w:rPr>
        <w:t xml:space="preserve">this increased $400,000 </w:t>
      </w:r>
      <w:r w:rsidR="00CA671D">
        <w:rPr>
          <w:rStyle w:val="References"/>
          <w:b w:val="0"/>
          <w:bCs w:val="0"/>
          <w:i w:val="0"/>
          <w:iCs w:val="0"/>
        </w:rPr>
        <w:t xml:space="preserve">WET producer rebate, </w:t>
      </w:r>
      <w:r w:rsidR="008E1CD2">
        <w:rPr>
          <w:rStyle w:val="References"/>
          <w:b w:val="0"/>
          <w:bCs w:val="0"/>
          <w:i w:val="0"/>
          <w:iCs w:val="0"/>
        </w:rPr>
        <w:t>cap</w:t>
      </w:r>
      <w:r w:rsidR="00CA671D">
        <w:rPr>
          <w:rStyle w:val="References"/>
          <w:b w:val="0"/>
          <w:bCs w:val="0"/>
          <w:i w:val="0"/>
          <w:iCs w:val="0"/>
        </w:rPr>
        <w:t xml:space="preserve"> claimed for a financial year</w:t>
      </w:r>
      <w:r w:rsidR="008E1CD2">
        <w:rPr>
          <w:rStyle w:val="References"/>
          <w:b w:val="0"/>
          <w:bCs w:val="0"/>
          <w:i w:val="0"/>
          <w:iCs w:val="0"/>
        </w:rPr>
        <w:t>.</w:t>
      </w:r>
      <w:r w:rsidR="002227DB">
        <w:rPr>
          <w:rStyle w:val="References"/>
          <w:b w:val="0"/>
          <w:bCs w:val="0"/>
          <w:i w:val="0"/>
          <w:iCs w:val="0"/>
        </w:rPr>
        <w:t xml:space="preserve"> </w:t>
      </w:r>
      <w:r w:rsidR="00CE3400">
        <w:rPr>
          <w:rStyle w:val="References"/>
          <w:b w:val="0"/>
          <w:bCs w:val="0"/>
          <w:i w:val="0"/>
          <w:iCs w:val="0"/>
        </w:rPr>
        <w:t xml:space="preserve"> </w:t>
      </w:r>
      <w:r w:rsidR="00CE3400">
        <w:rPr>
          <w:rStyle w:val="References"/>
        </w:rPr>
        <w:t>[</w:t>
      </w:r>
      <w:r w:rsidR="00CE3400" w:rsidRPr="0006587F">
        <w:rPr>
          <w:rStyle w:val="References"/>
        </w:rPr>
        <w:t xml:space="preserve">Schedule </w:t>
      </w:r>
      <w:r w:rsidR="0006587F" w:rsidRPr="0006587F">
        <w:rPr>
          <w:rStyle w:val="References"/>
        </w:rPr>
        <w:t>1</w:t>
      </w:r>
      <w:r w:rsidR="00CE3400">
        <w:rPr>
          <w:rStyle w:val="References"/>
        </w:rPr>
        <w:t xml:space="preserve">, item </w:t>
      </w:r>
      <w:r w:rsidR="00BE4066">
        <w:rPr>
          <w:rStyle w:val="References"/>
        </w:rPr>
        <w:t>1</w:t>
      </w:r>
      <w:r w:rsidR="00CE3400">
        <w:rPr>
          <w:rStyle w:val="References"/>
        </w:rPr>
        <w:t>, subsection</w:t>
      </w:r>
      <w:r w:rsidR="00BE4066">
        <w:rPr>
          <w:rStyle w:val="References"/>
        </w:rPr>
        <w:t>s 19-15(2), (3) and</w:t>
      </w:r>
      <w:r w:rsidR="00CE3400">
        <w:rPr>
          <w:rStyle w:val="References"/>
        </w:rPr>
        <w:t xml:space="preserve"> 19-25(2)] </w:t>
      </w:r>
    </w:p>
    <w:p w14:paraId="60EC11D6" w14:textId="6CF049B3" w:rsidR="001331CC" w:rsidRPr="00D46790" w:rsidRDefault="00D84F73" w:rsidP="00D46790">
      <w:pPr>
        <w:pStyle w:val="Normalparatextwithnumbers"/>
        <w:rPr>
          <w:rStyle w:val="References"/>
          <w:b w:val="0"/>
          <w:bCs w:val="0"/>
          <w:i w:val="0"/>
          <w:iCs w:val="0"/>
        </w:rPr>
      </w:pPr>
      <w:r w:rsidRPr="00D84F73">
        <w:rPr>
          <w:rStyle w:val="References"/>
          <w:b w:val="0"/>
          <w:bCs w:val="0"/>
          <w:i w:val="0"/>
          <w:iCs w:val="0"/>
        </w:rPr>
        <w:t>The increase to $</w:t>
      </w:r>
      <w:r>
        <w:rPr>
          <w:rStyle w:val="References"/>
          <w:b w:val="0"/>
          <w:bCs w:val="0"/>
          <w:i w:val="0"/>
          <w:iCs w:val="0"/>
        </w:rPr>
        <w:t>4</w:t>
      </w:r>
      <w:r w:rsidRPr="00D84F73">
        <w:rPr>
          <w:rStyle w:val="References"/>
          <w:b w:val="0"/>
          <w:bCs w:val="0"/>
          <w:i w:val="0"/>
          <w:iCs w:val="0"/>
        </w:rPr>
        <w:t xml:space="preserve">00,000 </w:t>
      </w:r>
      <w:r w:rsidR="00183DBC">
        <w:rPr>
          <w:rStyle w:val="References"/>
          <w:b w:val="0"/>
          <w:bCs w:val="0"/>
          <w:i w:val="0"/>
          <w:iCs w:val="0"/>
        </w:rPr>
        <w:t>to</w:t>
      </w:r>
      <w:r w:rsidR="00183DBC" w:rsidRPr="00D84F73">
        <w:rPr>
          <w:rStyle w:val="References"/>
          <w:b w:val="0"/>
          <w:bCs w:val="0"/>
          <w:i w:val="0"/>
          <w:iCs w:val="0"/>
        </w:rPr>
        <w:t xml:space="preserve"> </w:t>
      </w:r>
      <w:r w:rsidRPr="00D84F73">
        <w:rPr>
          <w:rStyle w:val="References"/>
          <w:b w:val="0"/>
          <w:bCs w:val="0"/>
          <w:i w:val="0"/>
          <w:iCs w:val="0"/>
        </w:rPr>
        <w:t xml:space="preserve">the maximum amount of </w:t>
      </w:r>
      <w:r w:rsidR="00D46790">
        <w:rPr>
          <w:rStyle w:val="References"/>
          <w:b w:val="0"/>
          <w:bCs w:val="0"/>
          <w:i w:val="0"/>
          <w:iCs w:val="0"/>
        </w:rPr>
        <w:t xml:space="preserve">WET </w:t>
      </w:r>
      <w:r w:rsidRPr="00D84F73">
        <w:rPr>
          <w:rStyle w:val="References"/>
          <w:b w:val="0"/>
          <w:bCs w:val="0"/>
          <w:i w:val="0"/>
          <w:iCs w:val="0"/>
        </w:rPr>
        <w:t xml:space="preserve">producer rebates </w:t>
      </w:r>
      <w:r>
        <w:rPr>
          <w:rStyle w:val="References"/>
          <w:b w:val="0"/>
          <w:bCs w:val="0"/>
          <w:i w:val="0"/>
          <w:iCs w:val="0"/>
        </w:rPr>
        <w:t xml:space="preserve">eligible wine </w:t>
      </w:r>
      <w:r w:rsidRPr="00D84F73">
        <w:rPr>
          <w:rStyle w:val="References"/>
          <w:b w:val="0"/>
          <w:bCs w:val="0"/>
          <w:i w:val="0"/>
          <w:iCs w:val="0"/>
        </w:rPr>
        <w:t>producer</w:t>
      </w:r>
      <w:r>
        <w:rPr>
          <w:rStyle w:val="References"/>
          <w:b w:val="0"/>
          <w:bCs w:val="0"/>
          <w:i w:val="0"/>
          <w:iCs w:val="0"/>
        </w:rPr>
        <w:t xml:space="preserve">s, </w:t>
      </w:r>
      <w:r w:rsidRPr="00D84F73">
        <w:rPr>
          <w:rStyle w:val="References"/>
          <w:b w:val="0"/>
          <w:bCs w:val="0"/>
          <w:i w:val="0"/>
          <w:iCs w:val="0"/>
        </w:rPr>
        <w:t>or group</w:t>
      </w:r>
      <w:r w:rsidR="007201C1">
        <w:rPr>
          <w:rStyle w:val="References"/>
          <w:b w:val="0"/>
          <w:bCs w:val="0"/>
          <w:i w:val="0"/>
          <w:iCs w:val="0"/>
        </w:rPr>
        <w:t>s</w:t>
      </w:r>
      <w:r w:rsidRPr="00D84F73">
        <w:rPr>
          <w:rStyle w:val="References"/>
          <w:b w:val="0"/>
          <w:bCs w:val="0"/>
          <w:i w:val="0"/>
          <w:iCs w:val="0"/>
        </w:rPr>
        <w:t xml:space="preserve"> of </w:t>
      </w:r>
      <w:r w:rsidR="007201C1">
        <w:rPr>
          <w:rStyle w:val="References"/>
          <w:b w:val="0"/>
          <w:bCs w:val="0"/>
          <w:i w:val="0"/>
          <w:iCs w:val="0"/>
        </w:rPr>
        <w:t xml:space="preserve">associated </w:t>
      </w:r>
      <w:r>
        <w:rPr>
          <w:rStyle w:val="References"/>
          <w:b w:val="0"/>
          <w:bCs w:val="0"/>
          <w:i w:val="0"/>
          <w:iCs w:val="0"/>
        </w:rPr>
        <w:t xml:space="preserve">wine </w:t>
      </w:r>
      <w:r w:rsidRPr="00D84F73">
        <w:rPr>
          <w:rStyle w:val="References"/>
          <w:b w:val="0"/>
          <w:bCs w:val="0"/>
          <w:i w:val="0"/>
          <w:iCs w:val="0"/>
        </w:rPr>
        <w:t>producers</w:t>
      </w:r>
      <w:r>
        <w:rPr>
          <w:rStyle w:val="References"/>
          <w:b w:val="0"/>
          <w:bCs w:val="0"/>
          <w:i w:val="0"/>
          <w:iCs w:val="0"/>
        </w:rPr>
        <w:t>,</w:t>
      </w:r>
      <w:r w:rsidRPr="00D84F73">
        <w:rPr>
          <w:rStyle w:val="References"/>
          <w:b w:val="0"/>
          <w:bCs w:val="0"/>
          <w:i w:val="0"/>
          <w:iCs w:val="0"/>
        </w:rPr>
        <w:t xml:space="preserve"> can claim in each financial year will not affect </w:t>
      </w:r>
      <w:r w:rsidR="00D46790">
        <w:rPr>
          <w:rStyle w:val="References"/>
          <w:b w:val="0"/>
          <w:bCs w:val="0"/>
          <w:i w:val="0"/>
          <w:iCs w:val="0"/>
        </w:rPr>
        <w:t xml:space="preserve">any other aspect of the WET framework. </w:t>
      </w:r>
      <w:r w:rsidR="00D46790">
        <w:rPr>
          <w:rStyle w:val="References"/>
          <w:b w:val="0"/>
          <w:bCs w:val="0"/>
          <w:i w:val="0"/>
          <w:iCs w:val="0"/>
        </w:rPr>
        <w:lastRenderedPageBreak/>
        <w:t xml:space="preserve">Therefore, </w:t>
      </w:r>
      <w:r w:rsidRPr="00D46790">
        <w:rPr>
          <w:rStyle w:val="References"/>
          <w:b w:val="0"/>
          <w:bCs w:val="0"/>
          <w:i w:val="0"/>
          <w:iCs w:val="0"/>
        </w:rPr>
        <w:t xml:space="preserve">the current eligibility </w:t>
      </w:r>
      <w:r w:rsidR="007201C1">
        <w:rPr>
          <w:rStyle w:val="References"/>
          <w:b w:val="0"/>
          <w:bCs w:val="0"/>
          <w:i w:val="0"/>
          <w:iCs w:val="0"/>
        </w:rPr>
        <w:t xml:space="preserve">criteria, </w:t>
      </w:r>
      <w:r w:rsidRPr="00D46790">
        <w:rPr>
          <w:rStyle w:val="References"/>
          <w:b w:val="0"/>
          <w:bCs w:val="0"/>
          <w:i w:val="0"/>
          <w:iCs w:val="0"/>
        </w:rPr>
        <w:t>or claiming rules</w:t>
      </w:r>
      <w:r w:rsidR="007201C1">
        <w:rPr>
          <w:rStyle w:val="References"/>
          <w:b w:val="0"/>
          <w:bCs w:val="0"/>
          <w:i w:val="0"/>
          <w:iCs w:val="0"/>
        </w:rPr>
        <w:t>,</w:t>
      </w:r>
      <w:r w:rsidRPr="00D46790">
        <w:rPr>
          <w:rStyle w:val="References"/>
          <w:b w:val="0"/>
          <w:bCs w:val="0"/>
          <w:i w:val="0"/>
          <w:iCs w:val="0"/>
        </w:rPr>
        <w:t xml:space="preserve"> for WET </w:t>
      </w:r>
      <w:r w:rsidR="007201C1">
        <w:rPr>
          <w:rStyle w:val="References"/>
          <w:b w:val="0"/>
          <w:bCs w:val="0"/>
          <w:i w:val="0"/>
          <w:iCs w:val="0"/>
        </w:rPr>
        <w:t xml:space="preserve">producer </w:t>
      </w:r>
      <w:r w:rsidRPr="00D46790">
        <w:rPr>
          <w:rStyle w:val="References"/>
          <w:b w:val="0"/>
          <w:bCs w:val="0"/>
          <w:i w:val="0"/>
          <w:iCs w:val="0"/>
        </w:rPr>
        <w:t>rebate claimants, and the administration of a WET producer rebate as a wine tax credit continue.</w:t>
      </w:r>
    </w:p>
    <w:p w14:paraId="72882D7D" w14:textId="77777777" w:rsidR="00873094" w:rsidRPr="00020288" w:rsidRDefault="00873094" w:rsidP="00AF50CE">
      <w:pPr>
        <w:pStyle w:val="Heading2"/>
        <w:rPr>
          <w:rFonts w:hint="eastAsia"/>
        </w:rPr>
      </w:pPr>
      <w:bookmarkStart w:id="62" w:name="_Toc78193246"/>
      <w:bookmarkStart w:id="63" w:name="_Toc78193403"/>
      <w:bookmarkStart w:id="64" w:name="_Toc78548476"/>
      <w:bookmarkStart w:id="65" w:name="_Toc78549747"/>
      <w:bookmarkStart w:id="66" w:name="_Toc78549791"/>
      <w:r w:rsidRPr="00020288">
        <w:t xml:space="preserve">Commencement, </w:t>
      </w:r>
      <w:r w:rsidRPr="00AF50CE">
        <w:t>application</w:t>
      </w:r>
      <w:r w:rsidRPr="00020288">
        <w:t>, and transitional provisions</w:t>
      </w:r>
    </w:p>
    <w:p w14:paraId="427901F8" w14:textId="52B834D9" w:rsidR="006C7BF5" w:rsidRDefault="003C614A" w:rsidP="006C7BF5">
      <w:pPr>
        <w:pStyle w:val="Normalparatextwithnumbers"/>
      </w:pPr>
      <w:r w:rsidRPr="00CC1558">
        <w:t xml:space="preserve">Schedule </w:t>
      </w:r>
      <w:r w:rsidR="0006587F">
        <w:t>1</w:t>
      </w:r>
      <w:r w:rsidRPr="00CC1558">
        <w:t xml:space="preserve"> to the Bill commences on the first 1 January, 1 April, 1 July or 1</w:t>
      </w:r>
      <w:r w:rsidR="00B05EB6">
        <w:t> </w:t>
      </w:r>
      <w:r w:rsidR="007211F7" w:rsidRPr="00CC1558">
        <w:t>October</w:t>
      </w:r>
      <w:r w:rsidRPr="00CC1558">
        <w:t xml:space="preserve"> to occur after the day the Bill receives Royal Assent</w:t>
      </w:r>
      <w:r w:rsidR="006C7BF5">
        <w:t>.</w:t>
      </w:r>
    </w:p>
    <w:p w14:paraId="6DBD7469" w14:textId="2605E26E" w:rsidR="006C7BF5" w:rsidRPr="006C7BF5" w:rsidRDefault="007B2264" w:rsidP="00F20747">
      <w:pPr>
        <w:pStyle w:val="Normalparatextwithnumbers"/>
        <w:sectPr w:rsidR="006C7BF5" w:rsidRPr="006C7BF5" w:rsidSect="00250844">
          <w:headerReference w:type="even" r:id="rId21"/>
          <w:headerReference w:type="default" r:id="rId22"/>
          <w:footerReference w:type="even" r:id="rId23"/>
          <w:footerReference w:type="default" r:id="rId24"/>
          <w:headerReference w:type="first" r:id="rId25"/>
          <w:footerReference w:type="first" r:id="rId26"/>
          <w:type w:val="oddPage"/>
          <w:pgSz w:w="9979" w:h="14175" w:code="9"/>
          <w:pgMar w:top="567" w:right="1134" w:bottom="567" w:left="1134" w:header="709" w:footer="709" w:gutter="0"/>
          <w:cols w:space="708"/>
          <w:titlePg/>
          <w:docGrid w:linePitch="360"/>
        </w:sectPr>
      </w:pPr>
      <w:r>
        <w:t xml:space="preserve">The increased maximum amount of WET producer rebate applies to assessable dealings </w:t>
      </w:r>
      <w:r w:rsidR="008D2441">
        <w:t xml:space="preserve">in wine </w:t>
      </w:r>
      <w:r>
        <w:t xml:space="preserve">made on or after 1 July 2026. </w:t>
      </w:r>
      <w:r>
        <w:rPr>
          <w:rStyle w:val="References"/>
        </w:rPr>
        <w:t xml:space="preserve">[Schedule </w:t>
      </w:r>
      <w:r w:rsidR="0006587F">
        <w:rPr>
          <w:rStyle w:val="References"/>
        </w:rPr>
        <w:t>1</w:t>
      </w:r>
      <w:r>
        <w:rPr>
          <w:rStyle w:val="References"/>
        </w:rPr>
        <w:t xml:space="preserve">, item </w:t>
      </w:r>
      <w:r w:rsidR="00355707">
        <w:rPr>
          <w:rStyle w:val="References"/>
        </w:rPr>
        <w:t>2</w:t>
      </w:r>
      <w:r>
        <w:rPr>
          <w:rStyle w:val="References"/>
        </w:rPr>
        <w:t xml:space="preserve">] </w:t>
      </w:r>
      <w:bookmarkStart w:id="67" w:name="_Hlk83390738"/>
    </w:p>
    <w:bookmarkEnd w:id="5"/>
    <w:bookmarkEnd w:id="62"/>
    <w:bookmarkEnd w:id="63"/>
    <w:bookmarkEnd w:id="64"/>
    <w:bookmarkEnd w:id="65"/>
    <w:bookmarkEnd w:id="66"/>
    <w:bookmarkEnd w:id="67"/>
    <w:p w14:paraId="78EFDDA8" w14:textId="77777777" w:rsidR="00B77D03" w:rsidRDefault="00B77D03" w:rsidP="00F20747"/>
    <w:sectPr w:rsidR="00B77D03" w:rsidSect="00000BFC">
      <w:headerReference w:type="even" r:id="rId27"/>
      <w:headerReference w:type="default" r:id="rId28"/>
      <w:footerReference w:type="even" r:id="rId29"/>
      <w:footerReference w:type="default" r:id="rId30"/>
      <w:headerReference w:type="firs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39E1" w14:textId="77777777" w:rsidR="00235132" w:rsidRDefault="00235132">
      <w:pPr>
        <w:spacing w:before="0" w:after="0"/>
      </w:pPr>
      <w:r>
        <w:separator/>
      </w:r>
    </w:p>
  </w:endnote>
  <w:endnote w:type="continuationSeparator" w:id="0">
    <w:p w14:paraId="08B46240" w14:textId="77777777" w:rsidR="00235132" w:rsidRDefault="00235132">
      <w:pPr>
        <w:spacing w:before="0" w:after="0"/>
      </w:pPr>
      <w:r>
        <w:continuationSeparator/>
      </w:r>
    </w:p>
  </w:endnote>
  <w:endnote w:type="continuationNotice" w:id="1">
    <w:p w14:paraId="5F35FC64" w14:textId="77777777" w:rsidR="00235132" w:rsidRDefault="002351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4921F" w14:textId="72206C32" w:rsidR="007A2DBD" w:rsidRDefault="007A2DBD" w:rsidP="002425D9">
    <w:pPr>
      <w:pStyle w:val="Footer"/>
      <w:ind w:right="360" w:firstLine="360"/>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77AB" w14:textId="66C0E576" w:rsidR="007A2DBD" w:rsidRPr="00091474" w:rsidRDefault="007A2DBD" w:rsidP="0079011E">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388E" w14:textId="076076FC" w:rsidR="00387CB7" w:rsidRDefault="0079011E" w:rsidP="0079011E">
    <w:pPr>
      <w:pStyle w:val="leftfooter"/>
    </w:pP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3EDD" w14:textId="30B26EA2" w:rsidR="00387CB7" w:rsidRDefault="0079011E" w:rsidP="0079011E">
    <w:pPr>
      <w:pStyle w:val="rightfooter"/>
    </w:pPr>
    <w:r>
      <w:fldChar w:fldCharType="begin"/>
    </w:r>
    <w:r>
      <w:instrText xml:space="preserve"> PAGE  \* MERGEFORMAT </w:instrText>
    </w:r>
    <w:r>
      <w:fldChar w:fldCharType="separate"/>
    </w:r>
    <w:r>
      <w:rPr>
        <w:noProof/>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41D6" w14:textId="20909C17" w:rsidR="00387CB7" w:rsidRDefault="00387CB7" w:rsidP="0079011E">
    <w:pPr>
      <w:pStyle w:val="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46C9" w14:textId="55492515" w:rsidR="00387CB7" w:rsidRDefault="00387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7735" w14:textId="28AB78E1" w:rsidR="00387CB7" w:rsidRDefault="00387C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0845" w14:textId="72971271"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E4FB" w14:textId="646ADC6C" w:rsidR="00387CB7" w:rsidRDefault="00387C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B9FB" w14:textId="7DE8BB6A" w:rsidR="00387CB7" w:rsidRDefault="00387C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82E5" w14:textId="4A88D1E3"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940F" w14:textId="711EED77" w:rsidR="007A2DBD" w:rsidRPr="006208CF" w:rsidRDefault="007A2DBD" w:rsidP="0079011E">
    <w:pPr>
      <w:pStyle w:val="left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B82A" w14:textId="112FC82C" w:rsidR="007A2DBD" w:rsidRDefault="007A2DBD" w:rsidP="0079011E">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947B4" w14:textId="77777777" w:rsidR="00235132" w:rsidRDefault="00235132">
      <w:pPr>
        <w:spacing w:before="0" w:after="0"/>
      </w:pPr>
      <w:r>
        <w:separator/>
      </w:r>
    </w:p>
  </w:footnote>
  <w:footnote w:type="continuationSeparator" w:id="0">
    <w:p w14:paraId="1BA609EF" w14:textId="77777777" w:rsidR="00235132" w:rsidRDefault="00235132">
      <w:pPr>
        <w:spacing w:before="0" w:after="0"/>
      </w:pPr>
      <w:r>
        <w:continuationSeparator/>
      </w:r>
    </w:p>
  </w:footnote>
  <w:footnote w:type="continuationNotice" w:id="1">
    <w:p w14:paraId="344BF2DD" w14:textId="77777777" w:rsidR="00235132" w:rsidRDefault="002351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76FF" w14:textId="31AD433E" w:rsidR="007A2DBD" w:rsidRDefault="007A2DBD">
    <w:pPr>
      <w:pStyle w:val="Header"/>
    </w:pPr>
  </w:p>
  <w:sdt>
    <w:sdtPr>
      <w:id w:val="-2071182601"/>
      <w:docPartObj>
        <w:docPartGallery w:val="Watermarks"/>
      </w:docPartObj>
    </w:sdtPr>
    <w:sdtEndPr/>
    <w:sdtContent>
      <w:p w14:paraId="50073E97" w14:textId="77777777" w:rsidR="007A2DBD" w:rsidRDefault="00363FE2">
        <w:pPr>
          <w:pStyle w:val="Header"/>
        </w:pPr>
        <w:r>
          <w:rPr>
            <w:noProof/>
          </w:rPr>
          <w:pict w14:anchorId="3B4E9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4F55" w14:textId="09F089ED" w:rsidR="007A2DBD" w:rsidRPr="00E50554" w:rsidRDefault="007A2DBD" w:rsidP="00E50554">
    <w:pPr>
      <w:pStyle w:val="righ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7791" w14:textId="6ACC06B4" w:rsidR="007A2DBD" w:rsidRPr="0079011E" w:rsidRDefault="003C40A3" w:rsidP="0079011E">
    <w:pPr>
      <w:pStyle w:val="leftheader"/>
    </w:pPr>
    <w:fldSimple w:instr=" STYLEREF &quot;Chapter heading&quot; \* MERGEFORMAT ">
      <w:r>
        <w:rPr>
          <w:noProof/>
        </w:rPr>
        <w:t>Increase of the Wine Equalisation Tax Producer Rebate</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98BA" w14:textId="4B91319E" w:rsidR="007A2DBD" w:rsidRPr="00A74B1A" w:rsidRDefault="00387CB7" w:rsidP="00A74B1A">
    <w:pPr>
      <w:pStyle w:val="rightheader"/>
    </w:pPr>
    <w:fldSimple w:instr=" STYLEREF &quot;Bill Name&quot; \* MERGEFORMAT ">
      <w:r>
        <w:rPr>
          <w:noProof/>
        </w:rPr>
        <w:t>[Insert name of Bill here]</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9409" w14:textId="1506CD25"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92D3" w14:textId="00EA2580"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B357" w14:textId="1E35618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387CB7">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4C85" w14:textId="21AA52C0"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1C2E" w14:textId="1B449A87" w:rsidR="007A2DBD" w:rsidRPr="00816825" w:rsidRDefault="007E4F17" w:rsidP="002425D9">
    <w:pPr>
      <w:pStyle w:val="leftheader"/>
    </w:pPr>
    <w:fldSimple w:instr=" STYLEREF  &quot;Heading 1&quot;  \* MERGEFORMAT ">
      <w:r w:rsidR="00363FE2" w:rsidRPr="00363FE2">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81D5" w14:textId="1D7BFF96"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A413" w14:textId="78CAF73E"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A75F" w14:textId="7FDC484A" w:rsidR="007A2DBD" w:rsidRPr="0079011E" w:rsidRDefault="007E4F17" w:rsidP="0079011E">
    <w:pPr>
      <w:pStyle w:val="leftheader"/>
    </w:pPr>
    <w:fldSimple w:instr=" STYLEREF &quot;Chapter heading&quot; \* MERGEFORMAT ">
      <w:r w:rsidR="00363FE2">
        <w:rPr>
          <w:noProof/>
        </w:rPr>
        <w:t>Increase of the Wine Equalisation Tax Producer Rebate</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23B2" w14:textId="44804EC1" w:rsidR="007A2DBD" w:rsidRPr="00A74B1A" w:rsidRDefault="007E4F17" w:rsidP="00A74B1A">
    <w:pPr>
      <w:pStyle w:val="rightheader"/>
    </w:pPr>
    <w:fldSimple w:instr=" STYLEREF &quot;Bill Name&quot; \* MERGEFORMAT ">
      <w:r w:rsidR="00363FE2">
        <w:rPr>
          <w:noProof/>
        </w:rPr>
        <w:t>Treasury Laws Amendment Bill 2025: Increased Wine Equalisation Tax producer rebate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B7"/>
    <w:rsid w:val="00000BFC"/>
    <w:rsid w:val="000017AE"/>
    <w:rsid w:val="00001AFE"/>
    <w:rsid w:val="00004F82"/>
    <w:rsid w:val="00006034"/>
    <w:rsid w:val="00013473"/>
    <w:rsid w:val="00013C1A"/>
    <w:rsid w:val="00017715"/>
    <w:rsid w:val="00017B8A"/>
    <w:rsid w:val="00021DAA"/>
    <w:rsid w:val="000232E7"/>
    <w:rsid w:val="00030A73"/>
    <w:rsid w:val="00040058"/>
    <w:rsid w:val="00041348"/>
    <w:rsid w:val="00043E8E"/>
    <w:rsid w:val="000469D5"/>
    <w:rsid w:val="00047FF2"/>
    <w:rsid w:val="00057253"/>
    <w:rsid w:val="0006328D"/>
    <w:rsid w:val="0006587F"/>
    <w:rsid w:val="00065A9F"/>
    <w:rsid w:val="00072DD1"/>
    <w:rsid w:val="0007397A"/>
    <w:rsid w:val="000813BD"/>
    <w:rsid w:val="00087F47"/>
    <w:rsid w:val="00087FE9"/>
    <w:rsid w:val="00090A2C"/>
    <w:rsid w:val="00093FD4"/>
    <w:rsid w:val="000A3230"/>
    <w:rsid w:val="000A4EB2"/>
    <w:rsid w:val="000B0897"/>
    <w:rsid w:val="000B0F3F"/>
    <w:rsid w:val="000B367B"/>
    <w:rsid w:val="000B6B3E"/>
    <w:rsid w:val="000B7D6E"/>
    <w:rsid w:val="000B7FCD"/>
    <w:rsid w:val="000C4F7E"/>
    <w:rsid w:val="000C7B29"/>
    <w:rsid w:val="000D4CC3"/>
    <w:rsid w:val="000E09AB"/>
    <w:rsid w:val="000E4D39"/>
    <w:rsid w:val="000E521B"/>
    <w:rsid w:val="00105E85"/>
    <w:rsid w:val="001064C7"/>
    <w:rsid w:val="00106FDC"/>
    <w:rsid w:val="00112387"/>
    <w:rsid w:val="00113417"/>
    <w:rsid w:val="00115509"/>
    <w:rsid w:val="00116FD5"/>
    <w:rsid w:val="001170E9"/>
    <w:rsid w:val="001227A2"/>
    <w:rsid w:val="0012475D"/>
    <w:rsid w:val="00125283"/>
    <w:rsid w:val="0013311F"/>
    <w:rsid w:val="001331CC"/>
    <w:rsid w:val="00136376"/>
    <w:rsid w:val="00137DF0"/>
    <w:rsid w:val="00141701"/>
    <w:rsid w:val="001466C1"/>
    <w:rsid w:val="00151EEC"/>
    <w:rsid w:val="00157FCF"/>
    <w:rsid w:val="00163457"/>
    <w:rsid w:val="00170C78"/>
    <w:rsid w:val="001741A2"/>
    <w:rsid w:val="00183DBC"/>
    <w:rsid w:val="00190EBA"/>
    <w:rsid w:val="00191B10"/>
    <w:rsid w:val="00194BF2"/>
    <w:rsid w:val="00195CB7"/>
    <w:rsid w:val="00195D1C"/>
    <w:rsid w:val="001B07FA"/>
    <w:rsid w:val="001B1306"/>
    <w:rsid w:val="001B415A"/>
    <w:rsid w:val="001C1EB8"/>
    <w:rsid w:val="001C5CBF"/>
    <w:rsid w:val="001D3037"/>
    <w:rsid w:val="001E01BF"/>
    <w:rsid w:val="001E327D"/>
    <w:rsid w:val="001E5093"/>
    <w:rsid w:val="001F366A"/>
    <w:rsid w:val="001F670B"/>
    <w:rsid w:val="002065A0"/>
    <w:rsid w:val="00217802"/>
    <w:rsid w:val="002224AE"/>
    <w:rsid w:val="002227DB"/>
    <w:rsid w:val="002274AB"/>
    <w:rsid w:val="00230C17"/>
    <w:rsid w:val="0023409D"/>
    <w:rsid w:val="00235132"/>
    <w:rsid w:val="002425D9"/>
    <w:rsid w:val="00242B2A"/>
    <w:rsid w:val="0024784F"/>
    <w:rsid w:val="00250844"/>
    <w:rsid w:val="00254601"/>
    <w:rsid w:val="00257C01"/>
    <w:rsid w:val="00260B8B"/>
    <w:rsid w:val="0027000D"/>
    <w:rsid w:val="002704BC"/>
    <w:rsid w:val="0027322A"/>
    <w:rsid w:val="00274D5C"/>
    <w:rsid w:val="00276753"/>
    <w:rsid w:val="00277C99"/>
    <w:rsid w:val="002806E0"/>
    <w:rsid w:val="00280FA9"/>
    <w:rsid w:val="002872AB"/>
    <w:rsid w:val="002935AC"/>
    <w:rsid w:val="00297081"/>
    <w:rsid w:val="00297DAC"/>
    <w:rsid w:val="002A2137"/>
    <w:rsid w:val="002A52E5"/>
    <w:rsid w:val="002B0B67"/>
    <w:rsid w:val="002B13DC"/>
    <w:rsid w:val="002B1D9E"/>
    <w:rsid w:val="002B623C"/>
    <w:rsid w:val="002B6F60"/>
    <w:rsid w:val="002C78D6"/>
    <w:rsid w:val="002D080A"/>
    <w:rsid w:val="002E0813"/>
    <w:rsid w:val="002E2E1D"/>
    <w:rsid w:val="002E4021"/>
    <w:rsid w:val="002E69DA"/>
    <w:rsid w:val="002F1CB0"/>
    <w:rsid w:val="002F4B60"/>
    <w:rsid w:val="002F5302"/>
    <w:rsid w:val="00301391"/>
    <w:rsid w:val="00314217"/>
    <w:rsid w:val="00315D81"/>
    <w:rsid w:val="00320AED"/>
    <w:rsid w:val="00321D20"/>
    <w:rsid w:val="00324452"/>
    <w:rsid w:val="00340EE1"/>
    <w:rsid w:val="00346E13"/>
    <w:rsid w:val="003510A8"/>
    <w:rsid w:val="00351274"/>
    <w:rsid w:val="00351D4D"/>
    <w:rsid w:val="003556BF"/>
    <w:rsid w:val="00355707"/>
    <w:rsid w:val="00363FE2"/>
    <w:rsid w:val="0036790F"/>
    <w:rsid w:val="00371693"/>
    <w:rsid w:val="00373C9B"/>
    <w:rsid w:val="00380E4D"/>
    <w:rsid w:val="0038260C"/>
    <w:rsid w:val="00387402"/>
    <w:rsid w:val="003874D5"/>
    <w:rsid w:val="00387CB7"/>
    <w:rsid w:val="0039391C"/>
    <w:rsid w:val="003971ED"/>
    <w:rsid w:val="003A0372"/>
    <w:rsid w:val="003A68AA"/>
    <w:rsid w:val="003B000E"/>
    <w:rsid w:val="003B3A3E"/>
    <w:rsid w:val="003B6190"/>
    <w:rsid w:val="003C40A3"/>
    <w:rsid w:val="003C5218"/>
    <w:rsid w:val="003C614A"/>
    <w:rsid w:val="003C6932"/>
    <w:rsid w:val="003D159B"/>
    <w:rsid w:val="003D1AA0"/>
    <w:rsid w:val="003D2761"/>
    <w:rsid w:val="003F1AD7"/>
    <w:rsid w:val="003F2DF2"/>
    <w:rsid w:val="003F3B0A"/>
    <w:rsid w:val="00413672"/>
    <w:rsid w:val="00414017"/>
    <w:rsid w:val="00414C75"/>
    <w:rsid w:val="00424BFF"/>
    <w:rsid w:val="00426E9E"/>
    <w:rsid w:val="00427EDF"/>
    <w:rsid w:val="00430A32"/>
    <w:rsid w:val="0043722C"/>
    <w:rsid w:val="004411F1"/>
    <w:rsid w:val="00450951"/>
    <w:rsid w:val="004513B9"/>
    <w:rsid w:val="00452E77"/>
    <w:rsid w:val="004530BD"/>
    <w:rsid w:val="004603EF"/>
    <w:rsid w:val="00464961"/>
    <w:rsid w:val="0047593B"/>
    <w:rsid w:val="00477C04"/>
    <w:rsid w:val="00482D65"/>
    <w:rsid w:val="00485FD0"/>
    <w:rsid w:val="00492729"/>
    <w:rsid w:val="00496642"/>
    <w:rsid w:val="00496C21"/>
    <w:rsid w:val="004971E2"/>
    <w:rsid w:val="004B1C70"/>
    <w:rsid w:val="004B1F33"/>
    <w:rsid w:val="004C1AE1"/>
    <w:rsid w:val="004D09EF"/>
    <w:rsid w:val="004D3F25"/>
    <w:rsid w:val="004D4965"/>
    <w:rsid w:val="004D717B"/>
    <w:rsid w:val="004F23C3"/>
    <w:rsid w:val="004F4A6C"/>
    <w:rsid w:val="004F70AC"/>
    <w:rsid w:val="004F7C15"/>
    <w:rsid w:val="00505347"/>
    <w:rsid w:val="005066F5"/>
    <w:rsid w:val="00513DEC"/>
    <w:rsid w:val="00515CEA"/>
    <w:rsid w:val="00516AAA"/>
    <w:rsid w:val="00517688"/>
    <w:rsid w:val="00517D6E"/>
    <w:rsid w:val="005206B5"/>
    <w:rsid w:val="005226DE"/>
    <w:rsid w:val="00531C67"/>
    <w:rsid w:val="00534874"/>
    <w:rsid w:val="005356CB"/>
    <w:rsid w:val="00542299"/>
    <w:rsid w:val="005515C0"/>
    <w:rsid w:val="00556123"/>
    <w:rsid w:val="005666B5"/>
    <w:rsid w:val="0056675C"/>
    <w:rsid w:val="0057163B"/>
    <w:rsid w:val="005754CC"/>
    <w:rsid w:val="005811FF"/>
    <w:rsid w:val="00582281"/>
    <w:rsid w:val="0059200B"/>
    <w:rsid w:val="00592DA4"/>
    <w:rsid w:val="005A11B4"/>
    <w:rsid w:val="005A3AA3"/>
    <w:rsid w:val="005A67C7"/>
    <w:rsid w:val="005C2BD1"/>
    <w:rsid w:val="005C3B20"/>
    <w:rsid w:val="005D0844"/>
    <w:rsid w:val="005D169F"/>
    <w:rsid w:val="005D3874"/>
    <w:rsid w:val="005D5F12"/>
    <w:rsid w:val="005E1542"/>
    <w:rsid w:val="005E4D91"/>
    <w:rsid w:val="005F2E44"/>
    <w:rsid w:val="005F351A"/>
    <w:rsid w:val="006023D0"/>
    <w:rsid w:val="006042C2"/>
    <w:rsid w:val="00612DE1"/>
    <w:rsid w:val="00615608"/>
    <w:rsid w:val="00621D38"/>
    <w:rsid w:val="00622763"/>
    <w:rsid w:val="006235C8"/>
    <w:rsid w:val="00624905"/>
    <w:rsid w:val="00624E72"/>
    <w:rsid w:val="00630725"/>
    <w:rsid w:val="00632534"/>
    <w:rsid w:val="00632886"/>
    <w:rsid w:val="00641F33"/>
    <w:rsid w:val="00642420"/>
    <w:rsid w:val="00644F78"/>
    <w:rsid w:val="006479AC"/>
    <w:rsid w:val="00651BB4"/>
    <w:rsid w:val="00656199"/>
    <w:rsid w:val="006632DC"/>
    <w:rsid w:val="00671B8C"/>
    <w:rsid w:val="00681E01"/>
    <w:rsid w:val="00683847"/>
    <w:rsid w:val="00685F87"/>
    <w:rsid w:val="006A2BC6"/>
    <w:rsid w:val="006A567A"/>
    <w:rsid w:val="006B413F"/>
    <w:rsid w:val="006B58A7"/>
    <w:rsid w:val="006B71A9"/>
    <w:rsid w:val="006C06AC"/>
    <w:rsid w:val="006C192F"/>
    <w:rsid w:val="006C40A4"/>
    <w:rsid w:val="006C67F6"/>
    <w:rsid w:val="006C7BF5"/>
    <w:rsid w:val="006D7950"/>
    <w:rsid w:val="006E0237"/>
    <w:rsid w:val="006E699E"/>
    <w:rsid w:val="007001FC"/>
    <w:rsid w:val="00704E0D"/>
    <w:rsid w:val="00710768"/>
    <w:rsid w:val="007145E8"/>
    <w:rsid w:val="007201C1"/>
    <w:rsid w:val="007211F7"/>
    <w:rsid w:val="0072426B"/>
    <w:rsid w:val="007316F6"/>
    <w:rsid w:val="00731BE4"/>
    <w:rsid w:val="0073238F"/>
    <w:rsid w:val="0073326A"/>
    <w:rsid w:val="00734238"/>
    <w:rsid w:val="00741C9E"/>
    <w:rsid w:val="00742222"/>
    <w:rsid w:val="007426A8"/>
    <w:rsid w:val="00743E6C"/>
    <w:rsid w:val="007479A1"/>
    <w:rsid w:val="007503D4"/>
    <w:rsid w:val="00752137"/>
    <w:rsid w:val="00752190"/>
    <w:rsid w:val="00753693"/>
    <w:rsid w:val="00763484"/>
    <w:rsid w:val="00764392"/>
    <w:rsid w:val="00766321"/>
    <w:rsid w:val="00766AE2"/>
    <w:rsid w:val="00766B37"/>
    <w:rsid w:val="00774313"/>
    <w:rsid w:val="00777A92"/>
    <w:rsid w:val="00777E20"/>
    <w:rsid w:val="007850A3"/>
    <w:rsid w:val="0079011E"/>
    <w:rsid w:val="00790D74"/>
    <w:rsid w:val="0079189F"/>
    <w:rsid w:val="0079222E"/>
    <w:rsid w:val="007A2DBD"/>
    <w:rsid w:val="007A68E9"/>
    <w:rsid w:val="007B08D8"/>
    <w:rsid w:val="007B1509"/>
    <w:rsid w:val="007B2104"/>
    <w:rsid w:val="007B2264"/>
    <w:rsid w:val="007B3CF4"/>
    <w:rsid w:val="007B3FA2"/>
    <w:rsid w:val="007B4AEC"/>
    <w:rsid w:val="007B5EA0"/>
    <w:rsid w:val="007B6304"/>
    <w:rsid w:val="007C1F94"/>
    <w:rsid w:val="007C34C3"/>
    <w:rsid w:val="007C35B3"/>
    <w:rsid w:val="007C6371"/>
    <w:rsid w:val="007D0737"/>
    <w:rsid w:val="007D4E67"/>
    <w:rsid w:val="007E1ED8"/>
    <w:rsid w:val="007E4F17"/>
    <w:rsid w:val="007E5DAF"/>
    <w:rsid w:val="007E62B0"/>
    <w:rsid w:val="007F3B53"/>
    <w:rsid w:val="00806DC6"/>
    <w:rsid w:val="008111C7"/>
    <w:rsid w:val="008132B7"/>
    <w:rsid w:val="0082284C"/>
    <w:rsid w:val="008318A0"/>
    <w:rsid w:val="00832B2C"/>
    <w:rsid w:val="00834EC5"/>
    <w:rsid w:val="00834F61"/>
    <w:rsid w:val="00840462"/>
    <w:rsid w:val="00840882"/>
    <w:rsid w:val="008470DA"/>
    <w:rsid w:val="00847508"/>
    <w:rsid w:val="008535D4"/>
    <w:rsid w:val="00853ADB"/>
    <w:rsid w:val="00856B2B"/>
    <w:rsid w:val="00857108"/>
    <w:rsid w:val="008574A7"/>
    <w:rsid w:val="00870071"/>
    <w:rsid w:val="00872060"/>
    <w:rsid w:val="00873094"/>
    <w:rsid w:val="00883A1C"/>
    <w:rsid w:val="0088688E"/>
    <w:rsid w:val="008914E0"/>
    <w:rsid w:val="00897D48"/>
    <w:rsid w:val="008A3455"/>
    <w:rsid w:val="008A3B5F"/>
    <w:rsid w:val="008A4656"/>
    <w:rsid w:val="008A5222"/>
    <w:rsid w:val="008A5A27"/>
    <w:rsid w:val="008C36D3"/>
    <w:rsid w:val="008C5717"/>
    <w:rsid w:val="008D2441"/>
    <w:rsid w:val="008D647C"/>
    <w:rsid w:val="008E1CD2"/>
    <w:rsid w:val="008E3DC9"/>
    <w:rsid w:val="0090171F"/>
    <w:rsid w:val="00903941"/>
    <w:rsid w:val="00907EB9"/>
    <w:rsid w:val="00911F41"/>
    <w:rsid w:val="009201B7"/>
    <w:rsid w:val="00924E28"/>
    <w:rsid w:val="009275EE"/>
    <w:rsid w:val="00937718"/>
    <w:rsid w:val="00943383"/>
    <w:rsid w:val="00943861"/>
    <w:rsid w:val="0094446C"/>
    <w:rsid w:val="00945DEC"/>
    <w:rsid w:val="00946AE1"/>
    <w:rsid w:val="0095600D"/>
    <w:rsid w:val="00966650"/>
    <w:rsid w:val="009673E0"/>
    <w:rsid w:val="009701D3"/>
    <w:rsid w:val="009732E4"/>
    <w:rsid w:val="0097378A"/>
    <w:rsid w:val="009747C3"/>
    <w:rsid w:val="009775C5"/>
    <w:rsid w:val="00977D82"/>
    <w:rsid w:val="00982BF8"/>
    <w:rsid w:val="00985AC7"/>
    <w:rsid w:val="009861F3"/>
    <w:rsid w:val="0099381D"/>
    <w:rsid w:val="009A1994"/>
    <w:rsid w:val="009A5A85"/>
    <w:rsid w:val="009B1E82"/>
    <w:rsid w:val="009C2565"/>
    <w:rsid w:val="009C2E02"/>
    <w:rsid w:val="009D095E"/>
    <w:rsid w:val="009D2B4D"/>
    <w:rsid w:val="009D61B5"/>
    <w:rsid w:val="009E64FE"/>
    <w:rsid w:val="009F1715"/>
    <w:rsid w:val="009F3FA5"/>
    <w:rsid w:val="009F5D38"/>
    <w:rsid w:val="00A04BF2"/>
    <w:rsid w:val="00A07C8D"/>
    <w:rsid w:val="00A12654"/>
    <w:rsid w:val="00A12BAA"/>
    <w:rsid w:val="00A13BEA"/>
    <w:rsid w:val="00A14B48"/>
    <w:rsid w:val="00A15EA5"/>
    <w:rsid w:val="00A23399"/>
    <w:rsid w:val="00A26C75"/>
    <w:rsid w:val="00A362A2"/>
    <w:rsid w:val="00A36A87"/>
    <w:rsid w:val="00A444AF"/>
    <w:rsid w:val="00A4770F"/>
    <w:rsid w:val="00A50270"/>
    <w:rsid w:val="00A5614F"/>
    <w:rsid w:val="00A63A51"/>
    <w:rsid w:val="00A70F09"/>
    <w:rsid w:val="00A7111A"/>
    <w:rsid w:val="00A74B1A"/>
    <w:rsid w:val="00A849C8"/>
    <w:rsid w:val="00A855B9"/>
    <w:rsid w:val="00A85CDE"/>
    <w:rsid w:val="00A9588A"/>
    <w:rsid w:val="00AA2654"/>
    <w:rsid w:val="00AA72B7"/>
    <w:rsid w:val="00AA7386"/>
    <w:rsid w:val="00AA7A07"/>
    <w:rsid w:val="00AB6509"/>
    <w:rsid w:val="00AC0C2B"/>
    <w:rsid w:val="00AC0E87"/>
    <w:rsid w:val="00AC2CA6"/>
    <w:rsid w:val="00AC3AD8"/>
    <w:rsid w:val="00AC729E"/>
    <w:rsid w:val="00AD1DF6"/>
    <w:rsid w:val="00AD55EA"/>
    <w:rsid w:val="00AE1C2C"/>
    <w:rsid w:val="00AE66AC"/>
    <w:rsid w:val="00AF2F5B"/>
    <w:rsid w:val="00AF50CE"/>
    <w:rsid w:val="00AF7CC4"/>
    <w:rsid w:val="00B02C7B"/>
    <w:rsid w:val="00B05EB6"/>
    <w:rsid w:val="00B06C7A"/>
    <w:rsid w:val="00B07271"/>
    <w:rsid w:val="00B072FD"/>
    <w:rsid w:val="00B11328"/>
    <w:rsid w:val="00B1172B"/>
    <w:rsid w:val="00B142CD"/>
    <w:rsid w:val="00B17E44"/>
    <w:rsid w:val="00B255C5"/>
    <w:rsid w:val="00B36649"/>
    <w:rsid w:val="00B40FFA"/>
    <w:rsid w:val="00B51F92"/>
    <w:rsid w:val="00B52ECA"/>
    <w:rsid w:val="00B6003A"/>
    <w:rsid w:val="00B61EF2"/>
    <w:rsid w:val="00B6311E"/>
    <w:rsid w:val="00B65CF9"/>
    <w:rsid w:val="00B67261"/>
    <w:rsid w:val="00B706EC"/>
    <w:rsid w:val="00B7393A"/>
    <w:rsid w:val="00B74B57"/>
    <w:rsid w:val="00B7590D"/>
    <w:rsid w:val="00B77D03"/>
    <w:rsid w:val="00B8187E"/>
    <w:rsid w:val="00B85452"/>
    <w:rsid w:val="00B93385"/>
    <w:rsid w:val="00B96412"/>
    <w:rsid w:val="00B96479"/>
    <w:rsid w:val="00BA0494"/>
    <w:rsid w:val="00BA1F4A"/>
    <w:rsid w:val="00BA54C2"/>
    <w:rsid w:val="00BA61DF"/>
    <w:rsid w:val="00BC2E4A"/>
    <w:rsid w:val="00BC3F1E"/>
    <w:rsid w:val="00BC473B"/>
    <w:rsid w:val="00BD0751"/>
    <w:rsid w:val="00BD38FF"/>
    <w:rsid w:val="00BD6FE1"/>
    <w:rsid w:val="00BE4066"/>
    <w:rsid w:val="00BE5BC9"/>
    <w:rsid w:val="00BE6382"/>
    <w:rsid w:val="00BF3AF8"/>
    <w:rsid w:val="00C017BF"/>
    <w:rsid w:val="00C019E0"/>
    <w:rsid w:val="00C123DF"/>
    <w:rsid w:val="00C2087B"/>
    <w:rsid w:val="00C2649F"/>
    <w:rsid w:val="00C34BDA"/>
    <w:rsid w:val="00C36BA1"/>
    <w:rsid w:val="00C47670"/>
    <w:rsid w:val="00C520A6"/>
    <w:rsid w:val="00C52FBF"/>
    <w:rsid w:val="00C57052"/>
    <w:rsid w:val="00C63525"/>
    <w:rsid w:val="00C85D05"/>
    <w:rsid w:val="00C93E28"/>
    <w:rsid w:val="00C955EA"/>
    <w:rsid w:val="00CA0011"/>
    <w:rsid w:val="00CA0975"/>
    <w:rsid w:val="00CA671D"/>
    <w:rsid w:val="00CB2C93"/>
    <w:rsid w:val="00CB3CB6"/>
    <w:rsid w:val="00CB4F57"/>
    <w:rsid w:val="00CB6ADB"/>
    <w:rsid w:val="00CC0025"/>
    <w:rsid w:val="00CC096E"/>
    <w:rsid w:val="00CC1558"/>
    <w:rsid w:val="00CD3358"/>
    <w:rsid w:val="00CD5226"/>
    <w:rsid w:val="00CE13A0"/>
    <w:rsid w:val="00CE2639"/>
    <w:rsid w:val="00CE3400"/>
    <w:rsid w:val="00CE5B6B"/>
    <w:rsid w:val="00CE67C4"/>
    <w:rsid w:val="00CF04CD"/>
    <w:rsid w:val="00CF0E45"/>
    <w:rsid w:val="00CF16E1"/>
    <w:rsid w:val="00CF3BBA"/>
    <w:rsid w:val="00CF6524"/>
    <w:rsid w:val="00D02601"/>
    <w:rsid w:val="00D04320"/>
    <w:rsid w:val="00D04933"/>
    <w:rsid w:val="00D04F4D"/>
    <w:rsid w:val="00D06482"/>
    <w:rsid w:val="00D11D65"/>
    <w:rsid w:val="00D21B7A"/>
    <w:rsid w:val="00D318FB"/>
    <w:rsid w:val="00D327C1"/>
    <w:rsid w:val="00D33AF3"/>
    <w:rsid w:val="00D34E72"/>
    <w:rsid w:val="00D366DF"/>
    <w:rsid w:val="00D4083B"/>
    <w:rsid w:val="00D408AF"/>
    <w:rsid w:val="00D46790"/>
    <w:rsid w:val="00D55F59"/>
    <w:rsid w:val="00D62D5A"/>
    <w:rsid w:val="00D638A7"/>
    <w:rsid w:val="00D656B5"/>
    <w:rsid w:val="00D7166A"/>
    <w:rsid w:val="00D71A86"/>
    <w:rsid w:val="00D72893"/>
    <w:rsid w:val="00D750C3"/>
    <w:rsid w:val="00D77305"/>
    <w:rsid w:val="00D84F73"/>
    <w:rsid w:val="00D85918"/>
    <w:rsid w:val="00D85956"/>
    <w:rsid w:val="00D85D04"/>
    <w:rsid w:val="00D92D54"/>
    <w:rsid w:val="00D9421F"/>
    <w:rsid w:val="00D95507"/>
    <w:rsid w:val="00DA118E"/>
    <w:rsid w:val="00DA3496"/>
    <w:rsid w:val="00DA7A68"/>
    <w:rsid w:val="00DB0A95"/>
    <w:rsid w:val="00DB4B59"/>
    <w:rsid w:val="00DB6AAE"/>
    <w:rsid w:val="00DC40C7"/>
    <w:rsid w:val="00DC72C0"/>
    <w:rsid w:val="00DC73A5"/>
    <w:rsid w:val="00DD330C"/>
    <w:rsid w:val="00DD6655"/>
    <w:rsid w:val="00DD6CB7"/>
    <w:rsid w:val="00DE01D0"/>
    <w:rsid w:val="00DE3855"/>
    <w:rsid w:val="00DE6EBD"/>
    <w:rsid w:val="00DF1AF3"/>
    <w:rsid w:val="00DF506F"/>
    <w:rsid w:val="00DF5D0C"/>
    <w:rsid w:val="00DF647C"/>
    <w:rsid w:val="00E013A1"/>
    <w:rsid w:val="00E020D6"/>
    <w:rsid w:val="00E03A9C"/>
    <w:rsid w:val="00E10D67"/>
    <w:rsid w:val="00E1142A"/>
    <w:rsid w:val="00E17D90"/>
    <w:rsid w:val="00E207EC"/>
    <w:rsid w:val="00E224E8"/>
    <w:rsid w:val="00E2336E"/>
    <w:rsid w:val="00E24AA1"/>
    <w:rsid w:val="00E26B56"/>
    <w:rsid w:val="00E27D54"/>
    <w:rsid w:val="00E326A8"/>
    <w:rsid w:val="00E4061F"/>
    <w:rsid w:val="00E43DAF"/>
    <w:rsid w:val="00E50554"/>
    <w:rsid w:val="00E542D8"/>
    <w:rsid w:val="00E57971"/>
    <w:rsid w:val="00E666DD"/>
    <w:rsid w:val="00E72862"/>
    <w:rsid w:val="00E7751B"/>
    <w:rsid w:val="00E77C45"/>
    <w:rsid w:val="00E92E7C"/>
    <w:rsid w:val="00E93DEB"/>
    <w:rsid w:val="00E95EB2"/>
    <w:rsid w:val="00EA0775"/>
    <w:rsid w:val="00ED2FE6"/>
    <w:rsid w:val="00ED4591"/>
    <w:rsid w:val="00ED5E39"/>
    <w:rsid w:val="00ED6FE4"/>
    <w:rsid w:val="00EE1708"/>
    <w:rsid w:val="00EE1AE3"/>
    <w:rsid w:val="00EE3420"/>
    <w:rsid w:val="00EE6847"/>
    <w:rsid w:val="00EF0E5B"/>
    <w:rsid w:val="00EF4609"/>
    <w:rsid w:val="00EF5A98"/>
    <w:rsid w:val="00EF6DB8"/>
    <w:rsid w:val="00F04C67"/>
    <w:rsid w:val="00F07C44"/>
    <w:rsid w:val="00F125DB"/>
    <w:rsid w:val="00F16C15"/>
    <w:rsid w:val="00F178FF"/>
    <w:rsid w:val="00F20747"/>
    <w:rsid w:val="00F209F8"/>
    <w:rsid w:val="00F22F58"/>
    <w:rsid w:val="00F254C2"/>
    <w:rsid w:val="00F26399"/>
    <w:rsid w:val="00F417B5"/>
    <w:rsid w:val="00F41E7C"/>
    <w:rsid w:val="00F426D8"/>
    <w:rsid w:val="00F46076"/>
    <w:rsid w:val="00F554CF"/>
    <w:rsid w:val="00F57032"/>
    <w:rsid w:val="00F61840"/>
    <w:rsid w:val="00F62519"/>
    <w:rsid w:val="00F71310"/>
    <w:rsid w:val="00F72AEE"/>
    <w:rsid w:val="00F76029"/>
    <w:rsid w:val="00F83DEA"/>
    <w:rsid w:val="00F91625"/>
    <w:rsid w:val="00F917FF"/>
    <w:rsid w:val="00F939E8"/>
    <w:rsid w:val="00FA30AA"/>
    <w:rsid w:val="00FA3C0F"/>
    <w:rsid w:val="00FB7B79"/>
    <w:rsid w:val="00FC3218"/>
    <w:rsid w:val="00FC46C7"/>
    <w:rsid w:val="00FE2322"/>
    <w:rsid w:val="00FE64ED"/>
    <w:rsid w:val="00FF14EB"/>
    <w:rsid w:val="00FF2053"/>
    <w:rsid w:val="1218A3F2"/>
    <w:rsid w:val="1610F618"/>
    <w:rsid w:val="64A8E464"/>
    <w:rsid w:val="72B901FA"/>
    <w:rsid w:val="7C746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0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0469D5"/>
    <w:rPr>
      <w:sz w:val="16"/>
      <w:szCs w:val="16"/>
    </w:rPr>
  </w:style>
  <w:style w:type="paragraph" w:styleId="CommentText">
    <w:name w:val="annotation text"/>
    <w:basedOn w:val="Normal"/>
    <w:link w:val="CommentTextChar"/>
    <w:uiPriority w:val="99"/>
    <w:unhideWhenUsed/>
    <w:rsid w:val="000469D5"/>
    <w:rPr>
      <w:sz w:val="20"/>
      <w:szCs w:val="20"/>
    </w:rPr>
  </w:style>
  <w:style w:type="character" w:customStyle="1" w:styleId="CommentTextChar">
    <w:name w:val="Comment Text Char"/>
    <w:basedOn w:val="DefaultParagraphFont"/>
    <w:link w:val="CommentText"/>
    <w:uiPriority w:val="99"/>
    <w:rsid w:val="000469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69D5"/>
    <w:rPr>
      <w:b/>
      <w:bCs/>
    </w:rPr>
  </w:style>
  <w:style w:type="character" w:customStyle="1" w:styleId="CommentSubjectChar">
    <w:name w:val="Comment Subject Char"/>
    <w:basedOn w:val="CommentTextChar"/>
    <w:link w:val="CommentSubject"/>
    <w:uiPriority w:val="99"/>
    <w:semiHidden/>
    <w:rsid w:val="000469D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80516">
      <w:bodyDiv w:val="1"/>
      <w:marLeft w:val="0"/>
      <w:marRight w:val="0"/>
      <w:marTop w:val="0"/>
      <w:marBottom w:val="0"/>
      <w:divBdr>
        <w:top w:val="none" w:sz="0" w:space="0" w:color="auto"/>
        <w:left w:val="none" w:sz="0" w:space="0" w:color="auto"/>
        <w:bottom w:val="none" w:sz="0" w:space="0" w:color="auto"/>
        <w:right w:val="none" w:sz="0" w:space="0" w:color="auto"/>
      </w:divBdr>
    </w:div>
    <w:div w:id="417874615">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10C4B6CC44DA29B3A46F7C796FF2C"/>
        <w:category>
          <w:name w:val="General"/>
          <w:gallery w:val="placeholder"/>
        </w:category>
        <w:types>
          <w:type w:val="bbPlcHdr"/>
        </w:types>
        <w:behaviors>
          <w:behavior w:val="content"/>
        </w:behaviors>
        <w:guid w:val="{5F4F8195-0008-4A10-B2B2-F56B80F796F4}"/>
      </w:docPartPr>
      <w:docPartBody>
        <w:p w:rsidR="00FC3218" w:rsidRDefault="00FC3218">
          <w:pPr>
            <w:pStyle w:val="16F10C4B6CC44DA29B3A46F7C796FF2C"/>
          </w:pPr>
          <w:r w:rsidRPr="002F5302">
            <w:rPr>
              <w:rStyle w:val="PlaceholderText"/>
            </w:rPr>
            <w:t>[insert name and title of approving Minister]</w:t>
          </w:r>
          <w:r w:rsidRPr="00D808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18"/>
    <w:rsid w:val="000017AE"/>
    <w:rsid w:val="00013473"/>
    <w:rsid w:val="003433FC"/>
    <w:rsid w:val="0035028D"/>
    <w:rsid w:val="00452E77"/>
    <w:rsid w:val="004D3F25"/>
    <w:rsid w:val="005811FF"/>
    <w:rsid w:val="005E303B"/>
    <w:rsid w:val="00644F78"/>
    <w:rsid w:val="00872060"/>
    <w:rsid w:val="00937718"/>
    <w:rsid w:val="009D4D14"/>
    <w:rsid w:val="00A15A57"/>
    <w:rsid w:val="00A72DCC"/>
    <w:rsid w:val="00AF2F5B"/>
    <w:rsid w:val="00B42174"/>
    <w:rsid w:val="00B9595E"/>
    <w:rsid w:val="00CC1F73"/>
    <w:rsid w:val="00DF506F"/>
    <w:rsid w:val="00E76866"/>
    <w:rsid w:val="00FC3218"/>
    <w:rsid w:val="00FF14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F10C4B6CC44DA29B3A46F7C796FF2C">
    <w:name w:val="16F10C4B6CC44DA29B3A46F7C796F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976</Words>
  <Characters>5073</Characters>
  <Application>Microsoft Office Word</Application>
  <DocSecurity>0</DocSecurity>
  <Lines>152</Lines>
  <Paragraphs>55</Paragraphs>
  <ScaleCrop>false</ScaleCrop>
  <HeadingPairs>
    <vt:vector size="2" baseType="variant">
      <vt:variant>
        <vt:lpstr>Title</vt:lpstr>
      </vt:variant>
      <vt:variant>
        <vt:i4>1</vt:i4>
      </vt:variant>
    </vt:vector>
  </HeadingPairs>
  <TitlesOfParts>
    <vt:vector size="1" baseType="lpstr">
      <vt:lpstr>Explanatory memorandum: Treasury Laws Amendment Bill 2025: Increased Wine Equalisation Tax Producer Rebate</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2025: Increased Wine Equalisation Tax Producer Rebate</dc:title>
  <dc:subject/>
  <dc:creator>Treasury</dc:creator>
  <cp:keywords/>
  <dc:description/>
  <cp:lastModifiedBy/>
  <cp:revision>1</cp:revision>
  <dcterms:created xsi:type="dcterms:W3CDTF">2025-09-04T00:58:00Z</dcterms:created>
  <dcterms:modified xsi:type="dcterms:W3CDTF">2025-09-04T00:59:00Z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2025-09-04T00:59:23Z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8bd09c10-c153-45f0-a26a-96df83bc253b</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