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C716" w14:textId="0242B1E6" w:rsidR="00F109D4" w:rsidRPr="003C5719" w:rsidRDefault="00235EFD"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31626B4A" w14:textId="7C494AEB"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370D5965F3D54572AFA8A062A364AF11"/>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086AA9">
            <w:rPr>
              <w:rStyle w:val="DefaultChar"/>
            </w:rPr>
            <w:t>the Minister for Housing and Minister for Homelessness</w:t>
          </w:r>
        </w:sdtContent>
      </w:sdt>
      <w:r w:rsidR="00076178" w:rsidRPr="003C5719">
        <w:rPr>
          <w:sz w:val="24"/>
          <w:szCs w:val="24"/>
        </w:rPr>
        <w:t xml:space="preserve"> </w:t>
      </w:r>
    </w:p>
    <w:p w14:paraId="27BAB69F" w14:textId="01E086D5" w:rsidR="00F109D4" w:rsidRPr="003C5719" w:rsidRDefault="00086AA9" w:rsidP="004A27A8">
      <w:pPr>
        <w:spacing w:before="240" w:after="240"/>
        <w:jc w:val="center"/>
        <w:rPr>
          <w:i/>
        </w:rPr>
      </w:pPr>
      <w:bookmarkStart w:id="0" w:name="_Hlk193274050"/>
      <w:r>
        <w:rPr>
          <w:i/>
        </w:rPr>
        <w:t>Help to Buy Act 2024</w:t>
      </w:r>
    </w:p>
    <w:p w14:paraId="40FCC934" w14:textId="104FA99E" w:rsidR="00F109D4" w:rsidRPr="003C5719" w:rsidRDefault="00276395" w:rsidP="004A27A8">
      <w:pPr>
        <w:tabs>
          <w:tab w:val="left" w:pos="1418"/>
        </w:tabs>
        <w:spacing w:before="0" w:after="240"/>
        <w:jc w:val="center"/>
        <w:rPr>
          <w:i/>
        </w:rPr>
      </w:pPr>
      <w:bookmarkStart w:id="1" w:name="_Hlk193716806"/>
      <w:bookmarkStart w:id="2" w:name="_Hlk193278938"/>
      <w:bookmarkEnd w:id="0"/>
      <w:r w:rsidRPr="00276395">
        <w:rPr>
          <w:i/>
        </w:rPr>
        <w:t xml:space="preserve">Help </w:t>
      </w:r>
      <w:r w:rsidR="00B446EE">
        <w:rPr>
          <w:i/>
        </w:rPr>
        <w:t>t</w:t>
      </w:r>
      <w:r w:rsidRPr="00276395">
        <w:rPr>
          <w:i/>
        </w:rPr>
        <w:t>o Buy Regulations 2025</w:t>
      </w:r>
      <w:bookmarkEnd w:id="1"/>
    </w:p>
    <w:bookmarkEnd w:id="2"/>
    <w:p w14:paraId="6C2A298C" w14:textId="0F965509" w:rsidR="00D60EC0" w:rsidRDefault="00C55D29" w:rsidP="004A27A8">
      <w:pPr>
        <w:spacing w:before="240"/>
      </w:pPr>
      <w:r w:rsidRPr="003C5719">
        <w:t xml:space="preserve">Section </w:t>
      </w:r>
      <w:r w:rsidR="002F61D0">
        <w:t>4</w:t>
      </w:r>
      <w:r w:rsidR="005701FF">
        <w:t>7</w:t>
      </w:r>
      <w:r w:rsidR="005E4BAC" w:rsidRPr="003C5719">
        <w:t xml:space="preserve"> </w:t>
      </w:r>
      <w:r w:rsidR="00F109D4" w:rsidRPr="003C5719">
        <w:t xml:space="preserve">of the </w:t>
      </w:r>
      <w:r w:rsidR="002F61D0" w:rsidRPr="00F53631">
        <w:rPr>
          <w:i/>
          <w:iCs/>
        </w:rPr>
        <w:t>Help to Buy Act 202</w:t>
      </w:r>
      <w:r w:rsidR="00472418">
        <w:rPr>
          <w:i/>
          <w:iCs/>
        </w:rPr>
        <w:t>4</w:t>
      </w:r>
      <w:r w:rsidR="00F109D4" w:rsidRPr="003C5719">
        <w:t xml:space="preserve"> (Act) provides that the Governor</w:t>
      </w:r>
      <w:r w:rsidR="63999AEA" w:rsidRPr="003C5719">
        <w:t>-</w:t>
      </w:r>
      <w:r w:rsidR="00F109D4" w:rsidRPr="003C5719">
        <w:t>General may make regulations prescribing matters required or permitted by the Act to be prescribed, or necessary or convenient to be prescribed for carrying out or giving effect to the Act.</w:t>
      </w:r>
      <w:r w:rsidR="00B25E88">
        <w:t xml:space="preserve"> </w:t>
      </w:r>
    </w:p>
    <w:p w14:paraId="3CBFA8C2" w14:textId="6D722526" w:rsidR="00892D3B" w:rsidRDefault="00B25E88" w:rsidP="004A27A8">
      <w:pPr>
        <w:spacing w:before="240"/>
      </w:pPr>
      <w:r>
        <w:t xml:space="preserve">Section 43 of the </w:t>
      </w:r>
      <w:r w:rsidR="00097F1A">
        <w:t>Act</w:t>
      </w:r>
      <w:r w:rsidR="008B1BB1">
        <w:t xml:space="preserve"> enables identified decisions of Housing Australia</w:t>
      </w:r>
      <w:r w:rsidR="00700DF7">
        <w:t xml:space="preserve"> </w:t>
      </w:r>
      <w:r w:rsidR="005C1B73">
        <w:t xml:space="preserve">made in the performance of its functions under </w:t>
      </w:r>
      <w:r w:rsidR="00A80BD6">
        <w:t>section</w:t>
      </w:r>
      <w:r w:rsidR="00ED0275">
        <w:t>s</w:t>
      </w:r>
      <w:r w:rsidR="00A80BD6">
        <w:t xml:space="preserve"> 10 </w:t>
      </w:r>
      <w:r w:rsidR="00ED0275">
        <w:t xml:space="preserve">and 15 </w:t>
      </w:r>
      <w:r w:rsidR="00A80BD6">
        <w:t xml:space="preserve">of </w:t>
      </w:r>
      <w:r w:rsidR="005C1B73">
        <w:t>the Act</w:t>
      </w:r>
      <w:r w:rsidR="008B1BB1">
        <w:t xml:space="preserve"> to be prescribed as qualifying for </w:t>
      </w:r>
      <w:r w:rsidR="0094613D">
        <w:t>review by the Administrative Review Tribunal</w:t>
      </w:r>
      <w:r w:rsidR="00220333">
        <w:t xml:space="preserve"> </w:t>
      </w:r>
      <w:r w:rsidR="001638C7">
        <w:t>(</w:t>
      </w:r>
      <w:r w:rsidR="00220333">
        <w:t>ART)</w:t>
      </w:r>
      <w:r w:rsidR="0094613D">
        <w:t>.</w:t>
      </w:r>
    </w:p>
    <w:p w14:paraId="6C46F7B6" w14:textId="5A6141F3" w:rsidR="0071583F" w:rsidRDefault="004F03F4" w:rsidP="004A27A8">
      <w:pPr>
        <w:spacing w:before="240"/>
      </w:pPr>
      <w:r w:rsidRPr="003C5719">
        <w:t xml:space="preserve">The purpose of the </w:t>
      </w:r>
      <w:r w:rsidR="00BB06E9" w:rsidRPr="00BB06E9">
        <w:rPr>
          <w:i/>
        </w:rPr>
        <w:t xml:space="preserve">Help </w:t>
      </w:r>
      <w:r w:rsidR="00AB6C4A">
        <w:rPr>
          <w:i/>
        </w:rPr>
        <w:t>t</w:t>
      </w:r>
      <w:r w:rsidR="00BB06E9" w:rsidRPr="00BB06E9">
        <w:rPr>
          <w:i/>
        </w:rPr>
        <w:t>o Buy Regulations 2025</w:t>
      </w:r>
      <w:r w:rsidR="00BB06E9">
        <w:rPr>
          <w:i/>
        </w:rPr>
        <w:t xml:space="preserve"> </w:t>
      </w:r>
      <w:r w:rsidR="0071583F">
        <w:rPr>
          <w:iCs/>
        </w:rPr>
        <w:t>(</w:t>
      </w:r>
      <w:r w:rsidR="0012686F">
        <w:rPr>
          <w:iCs/>
        </w:rPr>
        <w:t>Regulations</w:t>
      </w:r>
      <w:r w:rsidR="0071583F">
        <w:rPr>
          <w:iCs/>
        </w:rPr>
        <w:t xml:space="preserve">) </w:t>
      </w:r>
      <w:r w:rsidRPr="003C5719">
        <w:t>is to</w:t>
      </w:r>
      <w:r w:rsidR="002246B6">
        <w:t xml:space="preserve"> identify the decisions</w:t>
      </w:r>
      <w:r w:rsidRPr="003C5719">
        <w:t xml:space="preserve"> </w:t>
      </w:r>
      <w:r w:rsidR="00410825" w:rsidRPr="00410825">
        <w:t xml:space="preserve">of Housing Australia </w:t>
      </w:r>
      <w:r w:rsidR="005D097A">
        <w:t xml:space="preserve">that are </w:t>
      </w:r>
      <w:r w:rsidR="00E81593">
        <w:t xml:space="preserve">subject </w:t>
      </w:r>
      <w:r w:rsidR="00C361C5">
        <w:t xml:space="preserve">to </w:t>
      </w:r>
      <w:r w:rsidR="00E81593">
        <w:t xml:space="preserve">review by the </w:t>
      </w:r>
      <w:r w:rsidR="00220333">
        <w:t>ART</w:t>
      </w:r>
      <w:r w:rsidR="00C361C5">
        <w:t xml:space="preserve"> upon application</w:t>
      </w:r>
      <w:r w:rsidR="004C3010">
        <w:t xml:space="preserve"> by an applicant</w:t>
      </w:r>
      <w:r w:rsidR="00E81593">
        <w:t>.</w:t>
      </w:r>
      <w:r w:rsidR="006E5B97">
        <w:t xml:space="preserve"> </w:t>
      </w:r>
      <w:r w:rsidR="0071583F">
        <w:t xml:space="preserve">The </w:t>
      </w:r>
      <w:r w:rsidR="0012686F">
        <w:t>Regulations</w:t>
      </w:r>
      <w:r w:rsidR="001C7D19">
        <w:t xml:space="preserve"> </w:t>
      </w:r>
      <w:r w:rsidR="00C86F22">
        <w:t>specif</w:t>
      </w:r>
      <w:r w:rsidR="0012686F">
        <w:t>y</w:t>
      </w:r>
      <w:r w:rsidR="00C86F22">
        <w:t xml:space="preserve"> </w:t>
      </w:r>
      <w:r w:rsidR="006E5B97">
        <w:t>15</w:t>
      </w:r>
      <w:r w:rsidR="00C86F22">
        <w:t xml:space="preserve"> decisions made by Housing Australia </w:t>
      </w:r>
      <w:r w:rsidR="005A0628">
        <w:t xml:space="preserve">under the </w:t>
      </w:r>
      <w:r w:rsidR="00CA5BDA">
        <w:rPr>
          <w:i/>
          <w:iCs/>
        </w:rPr>
        <w:t xml:space="preserve">Help to Buy Program Directions 2025 </w:t>
      </w:r>
      <w:r w:rsidR="00CA5BDA">
        <w:t xml:space="preserve">(Program Directions) </w:t>
      </w:r>
      <w:r w:rsidR="00A85EB1">
        <w:t xml:space="preserve">in </w:t>
      </w:r>
      <w:r w:rsidR="002950CC">
        <w:t>performing</w:t>
      </w:r>
      <w:r w:rsidR="00A85EB1">
        <w:t xml:space="preserve"> its functions </w:t>
      </w:r>
      <w:r w:rsidR="00A32143">
        <w:t xml:space="preserve">that are subject to merits review by the </w:t>
      </w:r>
      <w:r w:rsidR="0056497A">
        <w:t>ART</w:t>
      </w:r>
      <w:r w:rsidR="00A32143">
        <w:t>.</w:t>
      </w:r>
      <w:r w:rsidR="00532E30">
        <w:t xml:space="preserve"> These</w:t>
      </w:r>
      <w:r w:rsidR="0012686F">
        <w:t xml:space="preserve"> reviewable decisions</w:t>
      </w:r>
      <w:r w:rsidR="00532E30">
        <w:t xml:space="preserve"> </w:t>
      </w:r>
      <w:r w:rsidR="005A0628">
        <w:t>are a decision</w:t>
      </w:r>
      <w:r w:rsidR="00810F6B">
        <w:t xml:space="preserve">: </w:t>
      </w:r>
    </w:p>
    <w:p w14:paraId="119D30DB" w14:textId="24DBCBA3" w:rsidR="005A0628" w:rsidRDefault="00F65807" w:rsidP="00402FB4">
      <w:pPr>
        <w:pStyle w:val="Bullet"/>
      </w:pPr>
      <w:r>
        <w:t xml:space="preserve">to </w:t>
      </w:r>
      <w:r w:rsidR="00DE20C7">
        <w:t>revoke an approval of a Help to Buy arrangement</w:t>
      </w:r>
      <w:r w:rsidR="00FF0540">
        <w:t xml:space="preserve"> (defined in section 5 of the </w:t>
      </w:r>
      <w:r w:rsidR="005E69D5">
        <w:t>Act by reference to section 6 of the Act)</w:t>
      </w:r>
      <w:r>
        <w:t xml:space="preserve"> under </w:t>
      </w:r>
      <w:r w:rsidR="006851C4">
        <w:t>subsection 15(1) of the Program Directions</w:t>
      </w:r>
      <w:r w:rsidR="005E69D5">
        <w:t>;</w:t>
      </w:r>
    </w:p>
    <w:p w14:paraId="7BC6D4DA" w14:textId="1B02ACDF" w:rsidR="00CB3532" w:rsidRDefault="00CB3532" w:rsidP="00402FB4">
      <w:pPr>
        <w:pStyle w:val="Bullet"/>
      </w:pPr>
      <w:r>
        <w:t xml:space="preserve">regarding the percentage the Commonwealth will contribute to the purchase price of the property under </w:t>
      </w:r>
      <w:r w:rsidR="009C3691">
        <w:t>subsection 16(3) of the Program Directions;</w:t>
      </w:r>
    </w:p>
    <w:p w14:paraId="2B2D1E5F" w14:textId="4D4582A5" w:rsidR="00E27455" w:rsidRDefault="00E27455" w:rsidP="00402FB4">
      <w:pPr>
        <w:pStyle w:val="Bullet"/>
      </w:pPr>
      <w:r>
        <w:t>to increase the Commonwealth share percentage</w:t>
      </w:r>
      <w:r w:rsidR="0070265D">
        <w:t xml:space="preserve"> (defined in section 5 of the Program Directions</w:t>
      </w:r>
      <w:r w:rsidR="00E6433C">
        <w:t>)</w:t>
      </w:r>
      <w:r>
        <w:t xml:space="preserve"> </w:t>
      </w:r>
      <w:r w:rsidR="00D252DA">
        <w:t xml:space="preserve">in the property under subsection </w:t>
      </w:r>
      <w:r w:rsidR="00452917">
        <w:t>25(3) of the Program Directions</w:t>
      </w:r>
      <w:r w:rsidR="001C0321">
        <w:t>;</w:t>
      </w:r>
    </w:p>
    <w:p w14:paraId="3C7266FD" w14:textId="105570A0" w:rsidR="00483A1F" w:rsidRDefault="00483A1F" w:rsidP="00402FB4">
      <w:pPr>
        <w:pStyle w:val="Bullet"/>
      </w:pPr>
      <w:r>
        <w:t xml:space="preserve">to refuse </w:t>
      </w:r>
      <w:r w:rsidR="00EB6B10">
        <w:t xml:space="preserve">to </w:t>
      </w:r>
      <w:r w:rsidR="00D1105E">
        <w:t>allow</w:t>
      </w:r>
      <w:r w:rsidR="00EB6B10">
        <w:t xml:space="preserve"> a participant (defined in section 5 of the Program Directions by reference </w:t>
      </w:r>
      <w:r w:rsidR="0070265D">
        <w:t>to section 10 of the Program Directions)</w:t>
      </w:r>
      <w:r w:rsidR="00EB6B10">
        <w:t xml:space="preserve"> </w:t>
      </w:r>
      <w:r w:rsidR="00CE1A89">
        <w:t xml:space="preserve">to </w:t>
      </w:r>
      <w:r w:rsidR="00B8703F">
        <w:t>not comply with the sale of existing property requirement for a period under paragraph 29(2)(a) of the Program Directions</w:t>
      </w:r>
      <w:r w:rsidR="002D6A2C">
        <w:t>;</w:t>
      </w:r>
    </w:p>
    <w:p w14:paraId="40EB8B41" w14:textId="097710A3" w:rsidR="002D6A2C" w:rsidRDefault="002D6A2C" w:rsidP="00402FB4">
      <w:pPr>
        <w:pStyle w:val="Bullet"/>
      </w:pPr>
      <w:r>
        <w:t xml:space="preserve">to refuse to extend a period for which a participant </w:t>
      </w:r>
      <w:r w:rsidR="003B3CDE">
        <w:t>was allowed to not comply with the sale of existing property requirement under paragraph 29(2)(b) of the Program Directions;</w:t>
      </w:r>
    </w:p>
    <w:p w14:paraId="4028428B" w14:textId="7066E693" w:rsidR="003B3CDE" w:rsidRDefault="00E31544" w:rsidP="00402FB4">
      <w:pPr>
        <w:pStyle w:val="Bullet"/>
      </w:pPr>
      <w:r>
        <w:t>to require a participant to repay an amount under a Help to Buy arrangement under subsection 37(5) of the Program Directions;</w:t>
      </w:r>
    </w:p>
    <w:p w14:paraId="7A6F44D9" w14:textId="6406B5CB" w:rsidR="00E31544" w:rsidRDefault="00E308C2" w:rsidP="00402FB4">
      <w:pPr>
        <w:pStyle w:val="Bullet"/>
      </w:pPr>
      <w:r>
        <w:t>to require a participant to repay in full a Commonwealth share under a Help to Buy arrangement under subsection 37(8) of the Program Directions;</w:t>
      </w:r>
    </w:p>
    <w:p w14:paraId="71AD4FBE" w14:textId="470936DC" w:rsidR="00E308C2" w:rsidRDefault="00155027" w:rsidP="00402FB4">
      <w:pPr>
        <w:pStyle w:val="Bullet"/>
      </w:pPr>
      <w:r>
        <w:t>to refuse to vary a Help to Buy arrangement by adding a participant in circumstances mentioned subsection 38(2) of the Program Directions</w:t>
      </w:r>
      <w:r w:rsidR="00CE1A89">
        <w:t>;</w:t>
      </w:r>
    </w:p>
    <w:p w14:paraId="6EF8712D" w14:textId="189858AA" w:rsidR="004A6467" w:rsidRDefault="004A6467" w:rsidP="00402FB4">
      <w:pPr>
        <w:pStyle w:val="Bullet"/>
      </w:pPr>
      <w:r>
        <w:lastRenderedPageBreak/>
        <w:t xml:space="preserve">to refuse to vary a Help to Buy arrangement by removing a participant </w:t>
      </w:r>
      <w:r w:rsidR="006C3EB4">
        <w:t>in the circumstances mentioned in subsection 38(3) of the Program Directions;</w:t>
      </w:r>
    </w:p>
    <w:p w14:paraId="123A62DB" w14:textId="3B14CD73" w:rsidR="006C3EB4" w:rsidRDefault="006C3EB4" w:rsidP="00402FB4">
      <w:pPr>
        <w:pStyle w:val="Bullet"/>
      </w:pPr>
      <w:r>
        <w:t>to terminate a Help to Buy arrangement before the settlement date for the purchase of the property</w:t>
      </w:r>
      <w:r w:rsidR="00C62585">
        <w:t xml:space="preserve"> subject to the arrangement in </w:t>
      </w:r>
      <w:r w:rsidR="00FA7C58">
        <w:t xml:space="preserve">either of </w:t>
      </w:r>
      <w:r w:rsidR="00C62585">
        <w:t xml:space="preserve">the circumstances mentioned in </w:t>
      </w:r>
      <w:r w:rsidR="00FA7C58">
        <w:t xml:space="preserve">subsection </w:t>
      </w:r>
      <w:r w:rsidR="00C62585">
        <w:t>40(1)</w:t>
      </w:r>
      <w:r w:rsidR="00C81758">
        <w:t xml:space="preserve"> of the Program Directions;</w:t>
      </w:r>
    </w:p>
    <w:p w14:paraId="089C6CFD" w14:textId="1D87D8F4" w:rsidR="00C81758" w:rsidRDefault="00C81758" w:rsidP="00402FB4">
      <w:pPr>
        <w:pStyle w:val="Bullet"/>
      </w:pPr>
      <w:r>
        <w:t xml:space="preserve">to terminate a Help to Buy arrangement in </w:t>
      </w:r>
      <w:r w:rsidR="0021134F">
        <w:t xml:space="preserve">any of </w:t>
      </w:r>
      <w:r>
        <w:t xml:space="preserve">the circumstances mentioned in </w:t>
      </w:r>
      <w:r w:rsidR="0021134F">
        <w:t xml:space="preserve">subsection </w:t>
      </w:r>
      <w:r>
        <w:t>40(2) of the Program Directions;</w:t>
      </w:r>
    </w:p>
    <w:p w14:paraId="467B0FA1" w14:textId="6F660E9A" w:rsidR="00C81758" w:rsidRDefault="00294388" w:rsidP="00402FB4">
      <w:pPr>
        <w:pStyle w:val="Bullet"/>
      </w:pPr>
      <w:r>
        <w:t>to recover the Commonwealth share under a Help to Buy arrangement in</w:t>
      </w:r>
      <w:r w:rsidR="0021134F">
        <w:t xml:space="preserve"> either of</w:t>
      </w:r>
      <w:r>
        <w:t xml:space="preserve"> the circumstances mentioned in </w:t>
      </w:r>
      <w:r w:rsidR="003F4D86">
        <w:t xml:space="preserve">subsection </w:t>
      </w:r>
      <w:r>
        <w:t>45(1) of the Program Directions;</w:t>
      </w:r>
    </w:p>
    <w:p w14:paraId="09477CAD" w14:textId="1D3FEAA5" w:rsidR="00294388" w:rsidRDefault="005C225A" w:rsidP="00402FB4">
      <w:pPr>
        <w:pStyle w:val="Bullet"/>
      </w:pPr>
      <w:r>
        <w:t>to recover the Commonwealth share under a Help to Buy arrangement in the circumstances mentioned in subsection 45(3) of the Program Directions;</w:t>
      </w:r>
    </w:p>
    <w:p w14:paraId="44F3751A" w14:textId="101BEDE8" w:rsidR="005C225A" w:rsidRDefault="00D73447" w:rsidP="00402FB4">
      <w:pPr>
        <w:pStyle w:val="Bullet"/>
      </w:pPr>
      <w:r>
        <w:t xml:space="preserve">regarding the period </w:t>
      </w:r>
      <w:r w:rsidR="00282D4A">
        <w:t>in</w:t>
      </w:r>
      <w:r>
        <w:t xml:space="preserve"> which Housing </w:t>
      </w:r>
      <w:r w:rsidR="00071098">
        <w:t xml:space="preserve">Australia must recover a Commonwealth share under a provision of a Help to Buy arrangement </w:t>
      </w:r>
      <w:r w:rsidR="00CD7EC3">
        <w:t xml:space="preserve">pursuant to </w:t>
      </w:r>
      <w:r w:rsidR="00071098">
        <w:t xml:space="preserve">paragraph 45(5)(b) of the Program Directions; and </w:t>
      </w:r>
    </w:p>
    <w:p w14:paraId="1ACCEDE4" w14:textId="1C93EF02" w:rsidR="00071098" w:rsidRDefault="00071098" w:rsidP="00402FB4">
      <w:pPr>
        <w:pStyle w:val="Bullet"/>
      </w:pPr>
      <w:r>
        <w:t>to terminate a Help to Buy arrangement under paragraph 53(2)(d)</w:t>
      </w:r>
      <w:r w:rsidR="008E1F5C">
        <w:t xml:space="preserve"> of the Program Directions.</w:t>
      </w:r>
    </w:p>
    <w:p w14:paraId="17CE1EF8" w14:textId="59E83D4E" w:rsidR="00D84B44" w:rsidRDefault="00681DDB" w:rsidP="007C66E5">
      <w:pPr>
        <w:pStyle w:val="Bullet"/>
        <w:numPr>
          <w:ilvl w:val="0"/>
          <w:numId w:val="0"/>
        </w:numPr>
        <w:rPr>
          <w:rStyle w:val="normaltextrun"/>
        </w:rPr>
      </w:pPr>
      <w:r>
        <w:rPr>
          <w:rStyle w:val="normaltextrun"/>
        </w:rPr>
        <w:t xml:space="preserve">A </w:t>
      </w:r>
      <w:r w:rsidR="00D84B44">
        <w:rPr>
          <w:rStyle w:val="normaltextrun"/>
        </w:rPr>
        <w:t xml:space="preserve">note below </w:t>
      </w:r>
      <w:r w:rsidR="00220333">
        <w:rPr>
          <w:rStyle w:val="normaltextrun"/>
        </w:rPr>
        <w:t xml:space="preserve">these provisions </w:t>
      </w:r>
      <w:r w:rsidR="0097031C">
        <w:rPr>
          <w:rStyle w:val="normaltextrun"/>
        </w:rPr>
        <w:t xml:space="preserve">provides </w:t>
      </w:r>
      <w:r w:rsidR="00220333">
        <w:rPr>
          <w:rStyle w:val="normaltextrun"/>
        </w:rPr>
        <w:t xml:space="preserve">that, generally, an application for review of a decision by the </w:t>
      </w:r>
      <w:r w:rsidR="0056497A">
        <w:rPr>
          <w:rStyle w:val="normaltextrun"/>
        </w:rPr>
        <w:t xml:space="preserve">ART must be made within 28 days after the applicant is notified of the decision (pursuant to section 18 of the </w:t>
      </w:r>
      <w:r w:rsidR="0056497A">
        <w:rPr>
          <w:rStyle w:val="normaltextrun"/>
          <w:i/>
          <w:iCs/>
        </w:rPr>
        <w:t xml:space="preserve">Administrative Review Tribunal Act 2024 </w:t>
      </w:r>
      <w:r w:rsidR="0056497A">
        <w:rPr>
          <w:rStyle w:val="normaltextrun"/>
        </w:rPr>
        <w:t xml:space="preserve">(ART Act) and rule 5 of the </w:t>
      </w:r>
      <w:r w:rsidR="0056497A">
        <w:rPr>
          <w:rStyle w:val="normaltextrun"/>
          <w:i/>
          <w:iCs/>
        </w:rPr>
        <w:t>Administrative Review Tribunal Rules 2024</w:t>
      </w:r>
      <w:r w:rsidR="0056497A">
        <w:rPr>
          <w:rStyle w:val="normaltextrun"/>
        </w:rPr>
        <w:t xml:space="preserve">). </w:t>
      </w:r>
      <w:r w:rsidR="0097031C">
        <w:rPr>
          <w:rStyle w:val="normaltextrun"/>
        </w:rPr>
        <w:t>It also</w:t>
      </w:r>
      <w:r w:rsidR="0056497A">
        <w:rPr>
          <w:rStyle w:val="normaltextrun"/>
        </w:rPr>
        <w:t xml:space="preserve"> note</w:t>
      </w:r>
      <w:r w:rsidR="0097031C">
        <w:rPr>
          <w:rStyle w:val="normaltextrun"/>
        </w:rPr>
        <w:t>s</w:t>
      </w:r>
      <w:r w:rsidR="0056497A">
        <w:rPr>
          <w:rStyle w:val="normaltextrun"/>
        </w:rPr>
        <w:t xml:space="preserve"> that a person may, under section 19 of the ART Act</w:t>
      </w:r>
      <w:r w:rsidR="00581E3E">
        <w:rPr>
          <w:rStyle w:val="normaltextrun"/>
        </w:rPr>
        <w:t xml:space="preserve">, apply to the ART to allow an application to be </w:t>
      </w:r>
      <w:proofErr w:type="gramStart"/>
      <w:r w:rsidR="00581E3E">
        <w:rPr>
          <w:rStyle w:val="normaltextrun"/>
        </w:rPr>
        <w:t>made out of</w:t>
      </w:r>
      <w:proofErr w:type="gramEnd"/>
      <w:r w:rsidR="00581E3E">
        <w:rPr>
          <w:rStyle w:val="normaltextrun"/>
        </w:rPr>
        <w:t xml:space="preserve"> time.</w:t>
      </w:r>
    </w:p>
    <w:p w14:paraId="022CCC3C" w14:textId="50639814" w:rsidR="007C66E5" w:rsidRDefault="007C66E5" w:rsidP="007C66E5">
      <w:pPr>
        <w:pStyle w:val="Bullet"/>
        <w:numPr>
          <w:ilvl w:val="0"/>
          <w:numId w:val="0"/>
        </w:numPr>
        <w:rPr>
          <w:rStyle w:val="eop"/>
        </w:rPr>
      </w:pPr>
      <w:r>
        <w:rPr>
          <w:rStyle w:val="normaltextrun"/>
        </w:rPr>
        <w:t xml:space="preserve">The </w:t>
      </w:r>
      <w:r>
        <w:rPr>
          <w:rStyle w:val="normaltextrun"/>
          <w:i/>
          <w:iCs/>
        </w:rPr>
        <w:t>Housing Australia Act 2018</w:t>
      </w:r>
      <w:r>
        <w:rPr>
          <w:rStyle w:val="normaltextrun"/>
        </w:rPr>
        <w:t xml:space="preserve"> established Housing Australia to improve housing outcomes for Australians. Housing Australia is a corporate Commonwealth entity in the Treasury portfolio and is governed by an independent board. Housing Australia (previously, the National Housing Finance and Investment Corporation) commenced operation on 30 June 2018.</w:t>
      </w:r>
      <w:r>
        <w:rPr>
          <w:rStyle w:val="eop"/>
        </w:rPr>
        <w:t> </w:t>
      </w:r>
    </w:p>
    <w:p w14:paraId="574A37B1" w14:textId="6AE00092" w:rsidR="00AD1D9F" w:rsidRPr="00BF7CF2" w:rsidRDefault="007C66E5" w:rsidP="00AD1D9F">
      <w:pPr>
        <w:pStyle w:val="Bullet"/>
        <w:numPr>
          <w:ilvl w:val="0"/>
          <w:numId w:val="0"/>
        </w:numPr>
        <w:rPr>
          <w:rFonts w:ascii="Segoe UI" w:hAnsi="Segoe UI" w:cs="Segoe UI"/>
          <w:sz w:val="18"/>
          <w:szCs w:val="18"/>
        </w:rPr>
      </w:pPr>
      <w:r>
        <w:rPr>
          <w:rStyle w:val="normaltextrun"/>
        </w:rPr>
        <w:t xml:space="preserve">The Act established Help to Buy as a Commonwealth shared equity scheme administered by Housing Australia. Help to Buy assists low and middle income earners to purchase new or existing homes by accessing an equity contribution from the Commonwealth. The Act enables Housing Australia, on behalf of the Commonwealth, to, among other things, administer Help to Buy in States that have referred </w:t>
      </w:r>
      <w:r w:rsidR="00AF0970">
        <w:rPr>
          <w:rStyle w:val="normaltextrun"/>
        </w:rPr>
        <w:t xml:space="preserve">legislative </w:t>
      </w:r>
      <w:r>
        <w:rPr>
          <w:rStyle w:val="normaltextrun"/>
        </w:rPr>
        <w:t>power for the program, as well as in the Territories.</w:t>
      </w:r>
      <w:r>
        <w:rPr>
          <w:rStyle w:val="eop"/>
        </w:rPr>
        <w:t> </w:t>
      </w:r>
    </w:p>
    <w:p w14:paraId="2764902B" w14:textId="43C963CF" w:rsidR="000026BE" w:rsidRPr="003C6EED" w:rsidRDefault="00D14FD3" w:rsidP="001610DF">
      <w:pPr>
        <w:pStyle w:val="Bullet"/>
        <w:keepNext/>
        <w:numPr>
          <w:ilvl w:val="0"/>
          <w:numId w:val="0"/>
        </w:numPr>
      </w:pPr>
      <w:r w:rsidRPr="003C6EED">
        <w:t>Subsection</w:t>
      </w:r>
      <w:r w:rsidR="00246216" w:rsidRPr="003C6EED">
        <w:t xml:space="preserve"> 46</w:t>
      </w:r>
      <w:r w:rsidRPr="003C6EED">
        <w:t>(1)</w:t>
      </w:r>
      <w:r w:rsidR="00246216" w:rsidRPr="003C6EED">
        <w:t xml:space="preserve"> of the Act </w:t>
      </w:r>
      <w:r w:rsidR="00696F89" w:rsidRPr="003C6EED">
        <w:t xml:space="preserve">requires the </w:t>
      </w:r>
      <w:r w:rsidR="00AF0970">
        <w:t xml:space="preserve">Minister be satisfied that the </w:t>
      </w:r>
      <w:r w:rsidR="00696F89" w:rsidRPr="003C6EED">
        <w:t xml:space="preserve">Commonwealth </w:t>
      </w:r>
      <w:r w:rsidR="00AF0970">
        <w:t xml:space="preserve">has </w:t>
      </w:r>
      <w:r w:rsidR="00696F89" w:rsidRPr="003C6EED">
        <w:t>consult</w:t>
      </w:r>
      <w:r w:rsidR="00AF0970">
        <w:t>ed</w:t>
      </w:r>
      <w:r w:rsidR="00696F89" w:rsidRPr="003C6EED">
        <w:t xml:space="preserve"> with participating and cooperating </w:t>
      </w:r>
      <w:r w:rsidR="00415DA6" w:rsidRPr="003C6EED">
        <w:t xml:space="preserve">states as well as the Australian Capital Territory </w:t>
      </w:r>
      <w:r w:rsidR="11EDD544">
        <w:t>(ACT)</w:t>
      </w:r>
      <w:r w:rsidR="00415DA6">
        <w:t xml:space="preserve"> </w:t>
      </w:r>
      <w:r w:rsidR="00415DA6" w:rsidRPr="003C6EED">
        <w:t xml:space="preserve">and the Northern Territory </w:t>
      </w:r>
      <w:r w:rsidR="55113886">
        <w:t>(NT)</w:t>
      </w:r>
      <w:r w:rsidR="00415DA6">
        <w:t xml:space="preserve"> </w:t>
      </w:r>
      <w:r w:rsidR="00415DA6" w:rsidRPr="003C6EED">
        <w:t xml:space="preserve">on </w:t>
      </w:r>
      <w:r w:rsidR="0012686F">
        <w:t>the Regulations</w:t>
      </w:r>
      <w:r w:rsidR="00415DA6" w:rsidRPr="003C6EED">
        <w:t xml:space="preserve"> before the Governor-General </w:t>
      </w:r>
      <w:r w:rsidR="0012686F">
        <w:t>can</w:t>
      </w:r>
      <w:r w:rsidR="00415DA6" w:rsidRPr="003C6EED">
        <w:t xml:space="preserve"> make </w:t>
      </w:r>
      <w:r w:rsidR="0012686F">
        <w:t>the</w:t>
      </w:r>
      <w:r w:rsidR="0012686F" w:rsidRPr="003C6EED">
        <w:t xml:space="preserve"> </w:t>
      </w:r>
      <w:r w:rsidR="0012686F">
        <w:t>R</w:t>
      </w:r>
      <w:r w:rsidR="0012686F" w:rsidRPr="003C6EED">
        <w:t>egulations</w:t>
      </w:r>
      <w:r w:rsidR="00415DA6" w:rsidRPr="003C6EED">
        <w:t xml:space="preserve">. </w:t>
      </w:r>
      <w:r w:rsidRPr="003C6EED">
        <w:t xml:space="preserve">The consultation process is set out in subsections 46(3) to </w:t>
      </w:r>
      <w:r w:rsidR="001610DF" w:rsidRPr="003C6EED">
        <w:t>(6)</w:t>
      </w:r>
      <w:r w:rsidR="00187048">
        <w:t xml:space="preserve"> of the Act</w:t>
      </w:r>
      <w:r w:rsidR="001610DF" w:rsidRPr="003C6EED">
        <w:t xml:space="preserve">. </w:t>
      </w:r>
    </w:p>
    <w:p w14:paraId="6C17CEF3" w14:textId="2541648A" w:rsidR="00F679B1" w:rsidRPr="00B30639" w:rsidRDefault="00097EC0" w:rsidP="00097EC0">
      <w:pPr>
        <w:pStyle w:val="Bullet"/>
        <w:numPr>
          <w:ilvl w:val="0"/>
          <w:numId w:val="0"/>
        </w:numPr>
        <w:rPr>
          <w:rStyle w:val="normaltextrun"/>
          <w:rFonts w:ascii="Segoe UI" w:hAnsi="Segoe UI" w:cs="Segoe UI"/>
          <w:sz w:val="18"/>
          <w:szCs w:val="18"/>
        </w:rPr>
      </w:pPr>
      <w:r>
        <w:rPr>
          <w:rStyle w:val="normaltextrun"/>
        </w:rPr>
        <w:t xml:space="preserve">The </w:t>
      </w:r>
      <w:r w:rsidR="0012686F">
        <w:rPr>
          <w:rStyle w:val="normaltextrun"/>
        </w:rPr>
        <w:t xml:space="preserve">Regulations are </w:t>
      </w:r>
      <w:r w:rsidR="00F679B1">
        <w:rPr>
          <w:rStyle w:val="normaltextrun"/>
        </w:rPr>
        <w:t xml:space="preserve">not </w:t>
      </w:r>
      <w:r>
        <w:rPr>
          <w:rStyle w:val="normaltextrun"/>
        </w:rPr>
        <w:t>subject to disallowance</w:t>
      </w:r>
      <w:r w:rsidR="00F679B1">
        <w:rPr>
          <w:rStyle w:val="normaltextrun"/>
        </w:rPr>
        <w:t xml:space="preserve"> or sunsetting</w:t>
      </w:r>
      <w:r w:rsidR="00DD5121">
        <w:rPr>
          <w:rStyle w:val="normaltextrun"/>
        </w:rPr>
        <w:t xml:space="preserve">. </w:t>
      </w:r>
      <w:r>
        <w:rPr>
          <w:rStyle w:val="normaltextrun"/>
        </w:rPr>
        <w:t xml:space="preserve">The </w:t>
      </w:r>
      <w:r w:rsidR="00CA7716">
        <w:rPr>
          <w:rStyle w:val="normaltextrun"/>
        </w:rPr>
        <w:t>Regulations</w:t>
      </w:r>
      <w:r w:rsidR="00B30639">
        <w:rPr>
          <w:rStyle w:val="normaltextrun"/>
        </w:rPr>
        <w:t xml:space="preserve"> </w:t>
      </w:r>
      <w:r w:rsidR="00B30639">
        <w:t>facilitate</w:t>
      </w:r>
      <w:r w:rsidR="00B30639" w:rsidRPr="00B30639">
        <w:t xml:space="preserve"> the operation of an intergovernmental scheme</w:t>
      </w:r>
      <w:r w:rsidR="00B3389C">
        <w:t>, namely Help to Buy</w:t>
      </w:r>
      <w:r w:rsidR="00207154">
        <w:t xml:space="preserve"> which is </w:t>
      </w:r>
      <w:r w:rsidR="00DA6218">
        <w:t xml:space="preserve">supported </w:t>
      </w:r>
      <w:r w:rsidR="0045677A">
        <w:t xml:space="preserve">by a referral of power </w:t>
      </w:r>
      <w:r w:rsidR="00DA6218">
        <w:t xml:space="preserve">from </w:t>
      </w:r>
      <w:r w:rsidR="000A3015">
        <w:t>participating States</w:t>
      </w:r>
      <w:r w:rsidR="00B30639" w:rsidRPr="00B30639">
        <w:t xml:space="preserve"> </w:t>
      </w:r>
      <w:r w:rsidR="0045677A">
        <w:t xml:space="preserve">as well as an </w:t>
      </w:r>
      <w:r w:rsidR="00E5397B">
        <w:t>Intergovernmental Agreement</w:t>
      </w:r>
      <w:r w:rsidR="00C40C4E">
        <w:t xml:space="preserve">, </w:t>
      </w:r>
      <w:r w:rsidR="00C40C4E">
        <w:lastRenderedPageBreak/>
        <w:t>thereby</w:t>
      </w:r>
      <w:r w:rsidR="003A4A7D">
        <w:t xml:space="preserve"> triggering the exemption provided</w:t>
      </w:r>
      <w:r w:rsidR="00E5397B">
        <w:t xml:space="preserve"> </w:t>
      </w:r>
      <w:r w:rsidR="00B30639" w:rsidRPr="00B30639">
        <w:t xml:space="preserve">in </w:t>
      </w:r>
      <w:r w:rsidR="00B96E9A">
        <w:t>sub</w:t>
      </w:r>
      <w:r w:rsidR="00B30639" w:rsidRPr="00B30639">
        <w:t>section</w:t>
      </w:r>
      <w:r w:rsidR="007B7884">
        <w:t>s 44(1) and</w:t>
      </w:r>
      <w:r w:rsidR="00B30639" w:rsidRPr="00B30639">
        <w:t xml:space="preserve"> 54(1) of the </w:t>
      </w:r>
      <w:r w:rsidR="00B30639" w:rsidRPr="006861F5">
        <w:rPr>
          <w:i/>
          <w:iCs/>
        </w:rPr>
        <w:t>Legislation Act</w:t>
      </w:r>
      <w:r w:rsidR="006861F5" w:rsidRPr="006861F5">
        <w:rPr>
          <w:i/>
          <w:iCs/>
        </w:rPr>
        <w:t xml:space="preserve"> 2003</w:t>
      </w:r>
      <w:r w:rsidR="006861F5">
        <w:t>.</w:t>
      </w:r>
      <w:r>
        <w:rPr>
          <w:rStyle w:val="normaltextrun"/>
        </w:rPr>
        <w:t xml:space="preserve"> </w:t>
      </w:r>
      <w:r w:rsidR="00D256C4">
        <w:rPr>
          <w:rStyle w:val="normaltextrun"/>
        </w:rPr>
        <w:t xml:space="preserve">It is important </w:t>
      </w:r>
      <w:r w:rsidR="00187048">
        <w:rPr>
          <w:rStyle w:val="normaltextrun"/>
        </w:rPr>
        <w:t xml:space="preserve">for the Commonwealth </w:t>
      </w:r>
      <w:r w:rsidR="00D256C4">
        <w:rPr>
          <w:rStyle w:val="normaltextrun"/>
        </w:rPr>
        <w:t>to provide certainty about the operation of the merits review rights of participants in</w:t>
      </w:r>
      <w:r w:rsidR="00A420CE">
        <w:rPr>
          <w:rStyle w:val="normaltextrun"/>
        </w:rPr>
        <w:t xml:space="preserve"> Help to Buy given the long</w:t>
      </w:r>
      <w:r w:rsidR="00966C6E">
        <w:rPr>
          <w:rStyle w:val="normaltextrun"/>
        </w:rPr>
        <w:t>-</w:t>
      </w:r>
      <w:r w:rsidR="00A420CE">
        <w:rPr>
          <w:rStyle w:val="normaltextrun"/>
        </w:rPr>
        <w:t>term nature of the program.</w:t>
      </w:r>
    </w:p>
    <w:p w14:paraId="6F06DBF4" w14:textId="220E314C"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753122FD" w14:textId="45EC10EA" w:rsidR="0000628C" w:rsidRDefault="00F109D4" w:rsidP="008874D2">
      <w:pPr>
        <w:spacing w:before="240"/>
      </w:pPr>
      <w:r w:rsidRPr="003C5719">
        <w:t xml:space="preserve">The Regulations commence on </w:t>
      </w:r>
      <w:r w:rsidR="008874D2">
        <w:t xml:space="preserve">the day after the instrument </w:t>
      </w:r>
      <w:r w:rsidR="000A3E06">
        <w:t>i</w:t>
      </w:r>
      <w:r w:rsidR="00A80D8C">
        <w:t>s</w:t>
      </w:r>
      <w:r w:rsidR="008874D2">
        <w:t xml:space="preserve"> registered.</w:t>
      </w:r>
    </w:p>
    <w:p w14:paraId="2FA144D3" w14:textId="3A12FD0D" w:rsidR="0011527C" w:rsidRPr="003C5719" w:rsidRDefault="0011527C" w:rsidP="004A27A8">
      <w:pPr>
        <w:spacing w:before="240"/>
      </w:pPr>
      <w:r w:rsidRPr="003C5719">
        <w:t xml:space="preserve">Details of the Regulations are set out in </w:t>
      </w:r>
      <w:r w:rsidRPr="003C5719">
        <w:rPr>
          <w:u w:val="single"/>
        </w:rPr>
        <w:t xml:space="preserve">Attachment </w:t>
      </w:r>
      <w:r w:rsidR="00505E5F">
        <w:rPr>
          <w:u w:val="single"/>
        </w:rPr>
        <w:t>A</w:t>
      </w:r>
      <w:r w:rsidRPr="003C5719">
        <w:t xml:space="preserve">. </w:t>
      </w:r>
    </w:p>
    <w:p w14:paraId="58DA0D2C" w14:textId="646A04F8" w:rsidR="0000628C" w:rsidRDefault="0000628C" w:rsidP="004A27A8">
      <w:pPr>
        <w:spacing w:before="240"/>
      </w:pPr>
    </w:p>
    <w:p w14:paraId="3E79AB53" w14:textId="77777777" w:rsidR="00EB2AEF" w:rsidRPr="003C5719" w:rsidRDefault="00EB2AEF" w:rsidP="004A27A8">
      <w:pPr>
        <w:spacing w:before="240"/>
      </w:pPr>
    </w:p>
    <w:p w14:paraId="5CAE6EC2" w14:textId="737ADBEB" w:rsidR="00EA4DD8" w:rsidRPr="003C5719" w:rsidRDefault="00EA4DD8" w:rsidP="004A27A8">
      <w:pPr>
        <w:pageBreakBefore/>
        <w:spacing w:before="240"/>
        <w:jc w:val="right"/>
        <w:rPr>
          <w:b/>
          <w:u w:val="single"/>
        </w:rPr>
      </w:pPr>
      <w:r w:rsidRPr="003C5719">
        <w:rPr>
          <w:b/>
          <w:u w:val="single"/>
        </w:rPr>
        <w:lastRenderedPageBreak/>
        <w:t xml:space="preserve">ATTACHMENT </w:t>
      </w:r>
      <w:r w:rsidR="00AB42DC">
        <w:rPr>
          <w:b/>
          <w:u w:val="single"/>
        </w:rPr>
        <w:t>A</w:t>
      </w:r>
    </w:p>
    <w:p w14:paraId="2ADBFFFD" w14:textId="20DF88DB" w:rsidR="00EA4DD8" w:rsidRPr="003C5719" w:rsidRDefault="00EA4DD8" w:rsidP="004A27A8">
      <w:pPr>
        <w:spacing w:before="240"/>
        <w:rPr>
          <w:b/>
          <w:bCs/>
          <w:szCs w:val="24"/>
          <w:u w:val="single"/>
        </w:rPr>
      </w:pPr>
      <w:r w:rsidRPr="003C5719">
        <w:rPr>
          <w:b/>
          <w:bCs/>
          <w:u w:val="single"/>
        </w:rPr>
        <w:t xml:space="preserve">Details of the </w:t>
      </w:r>
      <w:r w:rsidR="001844F8" w:rsidRPr="001844F8">
        <w:rPr>
          <w:b/>
          <w:i/>
          <w:u w:val="single"/>
        </w:rPr>
        <w:t xml:space="preserve">Help </w:t>
      </w:r>
      <w:r w:rsidR="00B446EE" w:rsidRPr="001844F8">
        <w:rPr>
          <w:b/>
          <w:i/>
          <w:u w:val="single"/>
        </w:rPr>
        <w:t>to</w:t>
      </w:r>
      <w:r w:rsidR="001844F8" w:rsidRPr="001844F8">
        <w:rPr>
          <w:b/>
          <w:i/>
          <w:u w:val="single"/>
        </w:rPr>
        <w:t xml:space="preserve"> Buy Regulations 2025</w:t>
      </w:r>
      <w:r w:rsidRPr="003C5719">
        <w:rPr>
          <w:b/>
          <w:bCs/>
          <w:u w:val="single"/>
        </w:rPr>
        <w:t xml:space="preserve"> </w:t>
      </w:r>
    </w:p>
    <w:p w14:paraId="54F85BE2"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6E9D82C" w14:textId="5F2081A1"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3414DE" w:rsidRPr="003414DE">
        <w:rPr>
          <w:i/>
          <w:iCs/>
        </w:rPr>
        <w:t xml:space="preserve">Help </w:t>
      </w:r>
      <w:r w:rsidR="007F4AF4">
        <w:rPr>
          <w:i/>
          <w:iCs/>
        </w:rPr>
        <w:t>t</w:t>
      </w:r>
      <w:r w:rsidR="003414DE" w:rsidRPr="003414DE">
        <w:rPr>
          <w:i/>
          <w:iCs/>
        </w:rPr>
        <w:t>o Buy Regulations 2025</w:t>
      </w:r>
      <w:r w:rsidRPr="003C5719">
        <w:t xml:space="preserve"> (Regulations).</w:t>
      </w:r>
    </w:p>
    <w:p w14:paraId="6416FF7A" w14:textId="77777777" w:rsidR="00EA4DD8" w:rsidRPr="003C5719" w:rsidRDefault="00EA4DD8" w:rsidP="004A27A8">
      <w:pPr>
        <w:spacing w:before="240"/>
        <w:rPr>
          <w:u w:val="single"/>
        </w:rPr>
      </w:pPr>
      <w:r w:rsidRPr="003C5719">
        <w:rPr>
          <w:u w:val="single"/>
        </w:rPr>
        <w:t>Section 2 – Commencement</w:t>
      </w:r>
    </w:p>
    <w:p w14:paraId="6153CFF3" w14:textId="35277974" w:rsidR="00EA4DD8" w:rsidRPr="003C5719" w:rsidRDefault="001F00CC" w:rsidP="00E64FDA">
      <w:pPr>
        <w:spacing w:before="240"/>
      </w:pPr>
      <w:r>
        <w:t>T</w:t>
      </w:r>
      <w:r w:rsidR="00EA4DD8" w:rsidRPr="003C5719">
        <w:t>he Regulations commence on</w:t>
      </w:r>
      <w:r w:rsidR="00F81EC0">
        <w:t xml:space="preserve"> </w:t>
      </w:r>
      <w:r w:rsidR="00EA4DD8" w:rsidRPr="006F683C">
        <w:t xml:space="preserve">the day after </w:t>
      </w:r>
      <w:r w:rsidR="002734D5">
        <w:t>they</w:t>
      </w:r>
      <w:r w:rsidR="00EA4DD8" w:rsidRPr="006F683C">
        <w:t xml:space="preserve"> </w:t>
      </w:r>
      <w:r w:rsidR="0027620C">
        <w:t xml:space="preserve">are </w:t>
      </w:r>
      <w:r w:rsidR="00EA4DD8" w:rsidRPr="006F683C">
        <w:t xml:space="preserve">registered </w:t>
      </w:r>
      <w:r w:rsidR="00EA4DD8" w:rsidRPr="003C5719">
        <w:t>on the Federal Register of Legislation.</w:t>
      </w:r>
      <w:r w:rsidR="005858FB">
        <w:t xml:space="preserve"> </w:t>
      </w:r>
    </w:p>
    <w:p w14:paraId="675D74F1" w14:textId="77777777" w:rsidR="00EA4DD8" w:rsidRPr="003C5719" w:rsidRDefault="00EA4DD8" w:rsidP="004A27A8">
      <w:pPr>
        <w:spacing w:before="240"/>
        <w:rPr>
          <w:u w:val="single"/>
        </w:rPr>
      </w:pPr>
      <w:r w:rsidRPr="003C5719">
        <w:rPr>
          <w:u w:val="single"/>
        </w:rPr>
        <w:t>Section 3 – Authority</w:t>
      </w:r>
    </w:p>
    <w:p w14:paraId="075C2F53" w14:textId="11F5B83B" w:rsidR="00EA4DD8" w:rsidRPr="003C5719" w:rsidRDefault="00EA4DD8" w:rsidP="004A27A8">
      <w:pPr>
        <w:spacing w:before="240"/>
      </w:pPr>
      <w:r w:rsidRPr="003C5719">
        <w:t xml:space="preserve">The Regulations are made under the </w:t>
      </w:r>
      <w:r w:rsidR="00F81EC0" w:rsidRPr="00F81EC0">
        <w:rPr>
          <w:i/>
        </w:rPr>
        <w:t>Help to Buy Act 2024</w:t>
      </w:r>
      <w:r w:rsidRPr="003C5719">
        <w:t xml:space="preserve"> (Act).</w:t>
      </w:r>
    </w:p>
    <w:p w14:paraId="76903A99" w14:textId="767D9FC6" w:rsidR="00EA4DD8" w:rsidRPr="003C5719" w:rsidRDefault="00EA4DD8" w:rsidP="004A27A8">
      <w:pPr>
        <w:spacing w:before="240"/>
        <w:rPr>
          <w:u w:val="single"/>
        </w:rPr>
      </w:pPr>
      <w:r w:rsidRPr="003C5719">
        <w:rPr>
          <w:u w:val="single"/>
        </w:rPr>
        <w:t xml:space="preserve">Section 4 – </w:t>
      </w:r>
      <w:r w:rsidR="001364C7">
        <w:rPr>
          <w:u w:val="single"/>
        </w:rPr>
        <w:t>Definitions</w:t>
      </w:r>
    </w:p>
    <w:p w14:paraId="7E0401EF" w14:textId="3B6BB7A5" w:rsidR="001F00CC" w:rsidRDefault="00682FD0" w:rsidP="00466DD5">
      <w:pPr>
        <w:spacing w:before="240" w:after="200"/>
      </w:pPr>
      <w:r w:rsidRPr="00E94949">
        <w:t xml:space="preserve">This section provides that the Act means the </w:t>
      </w:r>
      <w:r w:rsidRPr="00E94949">
        <w:rPr>
          <w:i/>
          <w:iCs/>
        </w:rPr>
        <w:t>Help to Buy Act 2024</w:t>
      </w:r>
      <w:r w:rsidRPr="00E94949">
        <w:t xml:space="preserve">. </w:t>
      </w:r>
      <w:r w:rsidR="000A772C" w:rsidRPr="00E94949">
        <w:t xml:space="preserve">The other defined terms have the same meaning as they have in the </w:t>
      </w:r>
      <w:r w:rsidR="000A772C" w:rsidRPr="00E94949">
        <w:rPr>
          <w:i/>
          <w:iCs/>
        </w:rPr>
        <w:t>Help to Buy Program Directions 2025</w:t>
      </w:r>
      <w:r w:rsidR="000A772C" w:rsidRPr="00E94949">
        <w:t xml:space="preserve"> (Program Directions). These terms are ‘Commonwealth share’, ‘Commonwealth share percentage’, ‘participant’,</w:t>
      </w:r>
      <w:r w:rsidR="006D4234">
        <w:t xml:space="preserve"> ‘purchase </w:t>
      </w:r>
      <w:r w:rsidR="006E2D2B">
        <w:t>price’</w:t>
      </w:r>
      <w:r w:rsidR="00BB58B4">
        <w:t>,</w:t>
      </w:r>
      <w:r w:rsidR="000A772C" w:rsidRPr="00E94949">
        <w:t xml:space="preserve"> </w:t>
      </w:r>
      <w:r w:rsidR="00B77172" w:rsidRPr="00E94949">
        <w:t xml:space="preserve">and </w:t>
      </w:r>
      <w:r w:rsidR="000A772C" w:rsidRPr="00E94949">
        <w:t>‘sale of existing property requirement’</w:t>
      </w:r>
      <w:r w:rsidR="00B77172" w:rsidRPr="00E94949">
        <w:t>.</w:t>
      </w:r>
    </w:p>
    <w:p w14:paraId="23D6D829" w14:textId="23D70C6B" w:rsidR="00C721AB" w:rsidRPr="00E94949" w:rsidRDefault="00C721AB" w:rsidP="00466DD5">
      <w:pPr>
        <w:spacing w:before="240" w:after="200"/>
      </w:pPr>
      <w:r>
        <w:t>A not</w:t>
      </w:r>
      <w:r w:rsidR="00B81630">
        <w:t xml:space="preserve">e </w:t>
      </w:r>
      <w:r w:rsidR="00187048">
        <w:t>sets out</w:t>
      </w:r>
      <w:r w:rsidR="001B6B9E">
        <w:t xml:space="preserve"> that </w:t>
      </w:r>
      <w:proofErr w:type="gramStart"/>
      <w:r w:rsidR="001B6B9E">
        <w:t>a number of</w:t>
      </w:r>
      <w:proofErr w:type="gramEnd"/>
      <w:r w:rsidR="001B6B9E">
        <w:t xml:space="preserve"> expressions used in the Regulations are defined in the Act, including the Program Directions.</w:t>
      </w:r>
    </w:p>
    <w:p w14:paraId="31839051" w14:textId="77B6D075" w:rsidR="00B77172" w:rsidRDefault="00B77172" w:rsidP="00466DD5">
      <w:pPr>
        <w:spacing w:before="240" w:after="200"/>
      </w:pPr>
      <w:r>
        <w:rPr>
          <w:u w:val="single"/>
        </w:rPr>
        <w:t>Section 14 – Review by the Administrative Review Tribunal</w:t>
      </w:r>
    </w:p>
    <w:p w14:paraId="22523778" w14:textId="1E4077FF" w:rsidR="00B77172" w:rsidRDefault="00217244" w:rsidP="00466DD5">
      <w:pPr>
        <w:spacing w:before="240" w:after="200"/>
      </w:pPr>
      <w:r>
        <w:t xml:space="preserve">This section </w:t>
      </w:r>
      <w:r w:rsidR="00CC2958">
        <w:t xml:space="preserve">provides that, as per section 43 of the Act, applications may be made to the Administrative </w:t>
      </w:r>
      <w:r w:rsidR="00CB4907">
        <w:t xml:space="preserve">Review </w:t>
      </w:r>
      <w:r w:rsidR="00CC2958">
        <w:t xml:space="preserve">Tribunal </w:t>
      </w:r>
      <w:r w:rsidR="00CB4907">
        <w:t xml:space="preserve">(ART) </w:t>
      </w:r>
      <w:r w:rsidR="00CC2958">
        <w:t>for review of the following decisions of Housing Australia:</w:t>
      </w:r>
    </w:p>
    <w:p w14:paraId="581EE51B" w14:textId="17ABF54B" w:rsidR="00CC2958" w:rsidRDefault="00783B6A" w:rsidP="00CC2958">
      <w:pPr>
        <w:pStyle w:val="Bullet"/>
      </w:pPr>
      <w:r>
        <w:t>revoking</w:t>
      </w:r>
      <w:r w:rsidR="00CC2958">
        <w:t xml:space="preserve"> an approval of a Help to Buy arrangement (defined in section 5 of the Act by reference to section 6 of the Act) under subsection 15(1) of the Program Directions;</w:t>
      </w:r>
    </w:p>
    <w:p w14:paraId="34482B2E" w14:textId="4B3F80E2" w:rsidR="00CC2958" w:rsidRDefault="00783B6A" w:rsidP="00CC2958">
      <w:pPr>
        <w:pStyle w:val="Bullet"/>
      </w:pPr>
      <w:r>
        <w:t>determining</w:t>
      </w:r>
      <w:r w:rsidR="00CC2958">
        <w:t xml:space="preserve"> the percentage the Commonwealth will contribute to the purchase price of the property under subsection 16(3) of the Program Directions;</w:t>
      </w:r>
    </w:p>
    <w:p w14:paraId="4FAD4C8A" w14:textId="1360A1D0" w:rsidR="00CC2958" w:rsidRDefault="00783B6A" w:rsidP="00CC2958">
      <w:pPr>
        <w:pStyle w:val="Bullet"/>
      </w:pPr>
      <w:r>
        <w:t>increasing</w:t>
      </w:r>
      <w:r w:rsidR="00CC2958">
        <w:t xml:space="preserve"> the Commonwealth share percentage (defined in section 5 of the Program Directions) in the property under subsection 25(3) of the Program </w:t>
      </w:r>
      <w:proofErr w:type="gramStart"/>
      <w:r w:rsidR="00CC2958">
        <w:t>Directions</w:t>
      </w:r>
      <w:r w:rsidR="009C3864">
        <w:t>;</w:t>
      </w:r>
      <w:proofErr w:type="gramEnd"/>
    </w:p>
    <w:p w14:paraId="465E3940" w14:textId="3805E1F3" w:rsidR="00CC2958" w:rsidRDefault="00783B6A" w:rsidP="00CC2958">
      <w:pPr>
        <w:pStyle w:val="Bullet"/>
      </w:pPr>
      <w:r>
        <w:t>refusing</w:t>
      </w:r>
      <w:r w:rsidR="00CC2958">
        <w:t xml:space="preserve"> to allow a participant (defined in section 5 of the Program Directions by reference to section 10 of the Program Directions) </w:t>
      </w:r>
      <w:r w:rsidR="009F58A2">
        <w:t xml:space="preserve">to </w:t>
      </w:r>
      <w:r w:rsidR="009C3864">
        <w:t>delay</w:t>
      </w:r>
      <w:r w:rsidR="00831D66">
        <w:t xml:space="preserve"> satisfying</w:t>
      </w:r>
      <w:r w:rsidR="00F046AB">
        <w:t xml:space="preserve"> the meeting of</w:t>
      </w:r>
      <w:r w:rsidR="00CC2958">
        <w:t xml:space="preserve"> the sale of existing property requirement for a period under paragraph 29(2)(a) of the Program </w:t>
      </w:r>
      <w:proofErr w:type="gramStart"/>
      <w:r w:rsidR="00CC2958">
        <w:t>Directions;</w:t>
      </w:r>
      <w:proofErr w:type="gramEnd"/>
    </w:p>
    <w:p w14:paraId="27C73467" w14:textId="5A9E106C" w:rsidR="00CC2958" w:rsidRDefault="00783B6A" w:rsidP="00CC2958">
      <w:pPr>
        <w:pStyle w:val="Bullet"/>
      </w:pPr>
      <w:r>
        <w:t>refusing</w:t>
      </w:r>
      <w:r w:rsidR="00CC2958">
        <w:t xml:space="preserve"> to extend </w:t>
      </w:r>
      <w:r w:rsidR="00F046AB">
        <w:t>the</w:t>
      </w:r>
      <w:r w:rsidR="00CC2958">
        <w:t xml:space="preserve"> period for which a participant was allowed to not comply with the sale of existing property requirement under paragraph 29(2)(b) of the Program </w:t>
      </w:r>
      <w:proofErr w:type="gramStart"/>
      <w:r w:rsidR="00CC2958">
        <w:t>Directions;</w:t>
      </w:r>
      <w:proofErr w:type="gramEnd"/>
    </w:p>
    <w:p w14:paraId="20321954" w14:textId="7C426321" w:rsidR="00CC2958" w:rsidRDefault="00783B6A" w:rsidP="00CC2958">
      <w:pPr>
        <w:pStyle w:val="Bullet"/>
      </w:pPr>
      <w:r>
        <w:lastRenderedPageBreak/>
        <w:t>requiring</w:t>
      </w:r>
      <w:r w:rsidR="00CC2958">
        <w:t xml:space="preserve"> a participant to repay an amount under a Help to Buy arrangement under subsection 37(5) of the Program Directions;</w:t>
      </w:r>
    </w:p>
    <w:p w14:paraId="3D02710D" w14:textId="67E02D33" w:rsidR="00CC2958" w:rsidRDefault="00783B6A" w:rsidP="00CC2958">
      <w:pPr>
        <w:pStyle w:val="Bullet"/>
      </w:pPr>
      <w:r>
        <w:t>requiring</w:t>
      </w:r>
      <w:r w:rsidR="00CC2958">
        <w:t xml:space="preserve"> a participant to repay in full a Commonwealth share under a Help to Buy arrangement under subsection 37(8) of the Program Directions;</w:t>
      </w:r>
    </w:p>
    <w:p w14:paraId="21B7C8C8" w14:textId="55752511" w:rsidR="00CC2958" w:rsidRDefault="00783B6A" w:rsidP="00CC2958">
      <w:pPr>
        <w:pStyle w:val="Bullet"/>
      </w:pPr>
      <w:r>
        <w:t>refusing</w:t>
      </w:r>
      <w:r w:rsidR="00CC2958">
        <w:t xml:space="preserve"> to vary a Help to Buy arrangement by adding a participant in circumstances mentioned subsection 38(2) of the Program Directions</w:t>
      </w:r>
      <w:r w:rsidR="00E31506">
        <w:t>;</w:t>
      </w:r>
    </w:p>
    <w:p w14:paraId="229E57F5" w14:textId="0B725108" w:rsidR="00CC2958" w:rsidRDefault="00783B6A" w:rsidP="00CC2958">
      <w:pPr>
        <w:pStyle w:val="Bullet"/>
      </w:pPr>
      <w:r>
        <w:t>refusing</w:t>
      </w:r>
      <w:r w:rsidR="00CC2958">
        <w:t xml:space="preserve"> to vary a Help to Buy arrangement by removing a participant in the circumstances mentioned in subsection 38(3) of the Program Directions;</w:t>
      </w:r>
    </w:p>
    <w:p w14:paraId="2FA1076E" w14:textId="003F8EA0" w:rsidR="00CC2958" w:rsidRDefault="00783B6A" w:rsidP="00CC2958">
      <w:pPr>
        <w:pStyle w:val="Bullet"/>
      </w:pPr>
      <w:r>
        <w:t>terminating</w:t>
      </w:r>
      <w:r w:rsidR="00CC2958">
        <w:t xml:space="preserve"> a Help to Buy arrangement before the settlement date for the purchase of the property subject to the arrangement in </w:t>
      </w:r>
      <w:r w:rsidR="00923B3D">
        <w:t xml:space="preserve">either of the </w:t>
      </w:r>
      <w:r w:rsidR="00CC2958">
        <w:t xml:space="preserve">circumstances mentioned in </w:t>
      </w:r>
      <w:r w:rsidR="00923B3D">
        <w:t xml:space="preserve">subsection </w:t>
      </w:r>
      <w:r w:rsidR="00CC2958">
        <w:t>40(1) of the Program Directions;</w:t>
      </w:r>
    </w:p>
    <w:p w14:paraId="4FA6CDFE" w14:textId="774ECEB9" w:rsidR="00CC2958" w:rsidRDefault="00783B6A" w:rsidP="00CC2958">
      <w:pPr>
        <w:pStyle w:val="Bullet"/>
      </w:pPr>
      <w:r>
        <w:t>terminating</w:t>
      </w:r>
      <w:r w:rsidR="00CC2958">
        <w:t xml:space="preserve"> a Help to Buy arrangement in </w:t>
      </w:r>
      <w:r w:rsidR="00923B3D">
        <w:t xml:space="preserve">any of </w:t>
      </w:r>
      <w:r w:rsidR="00CC2958">
        <w:t xml:space="preserve">the circumstances mentioned in </w:t>
      </w:r>
      <w:r w:rsidR="00923B3D">
        <w:t xml:space="preserve">subsection </w:t>
      </w:r>
      <w:r w:rsidR="00CC2958">
        <w:t>40(2) of the Program Directions;</w:t>
      </w:r>
    </w:p>
    <w:p w14:paraId="4D396A9B" w14:textId="0DE3E878" w:rsidR="00CC2958" w:rsidRDefault="00783B6A" w:rsidP="00CC2958">
      <w:pPr>
        <w:pStyle w:val="Bullet"/>
      </w:pPr>
      <w:r>
        <w:t>recovering</w:t>
      </w:r>
      <w:r w:rsidR="00CC2958">
        <w:t xml:space="preserve"> the Commonwealth share under a Help to Buy arrangement in </w:t>
      </w:r>
      <w:r w:rsidR="00B81A9D">
        <w:t xml:space="preserve">either of </w:t>
      </w:r>
      <w:r w:rsidR="00CC2958">
        <w:t xml:space="preserve">the circumstances mentioned in </w:t>
      </w:r>
      <w:r w:rsidR="00B81A9D">
        <w:t xml:space="preserve">subsection </w:t>
      </w:r>
      <w:r w:rsidR="00CC2958">
        <w:t>45(1) of the Program Directions;</w:t>
      </w:r>
    </w:p>
    <w:p w14:paraId="2EBB9447" w14:textId="1B167675" w:rsidR="00CC2958" w:rsidRDefault="00783B6A" w:rsidP="00CC2958">
      <w:pPr>
        <w:pStyle w:val="Bullet"/>
      </w:pPr>
      <w:r>
        <w:t>recovering</w:t>
      </w:r>
      <w:r w:rsidR="00CC2958">
        <w:t xml:space="preserve"> the Commonwealth share under a Help to Buy arrangement in the circumstances mentioned in subsection 45(3) of the Program Directions;</w:t>
      </w:r>
    </w:p>
    <w:p w14:paraId="009ED2E0" w14:textId="77777777" w:rsidR="00FE57A8" w:rsidRDefault="00FE57A8" w:rsidP="00FE57A8">
      <w:pPr>
        <w:pStyle w:val="Bullet"/>
      </w:pPr>
      <w:r>
        <w:t>determining</w:t>
      </w:r>
      <w:r w:rsidR="00CC2958">
        <w:t xml:space="preserve"> the period by which Housing Australia must recover a Commonwealth share under a provision of a Help to Buy arrangement under paragraph 45(5)(b) of the Program Directions; and </w:t>
      </w:r>
    </w:p>
    <w:p w14:paraId="715800AD" w14:textId="399A2B86" w:rsidR="00CC2958" w:rsidRDefault="00FE57A8" w:rsidP="00FE57A8">
      <w:pPr>
        <w:pStyle w:val="Bullet"/>
      </w:pPr>
      <w:r>
        <w:t xml:space="preserve">terminating </w:t>
      </w:r>
      <w:r w:rsidR="00CC2958">
        <w:t>a Help to Buy arrangement under paragraph 53(2)(d) of the Program Directions.</w:t>
      </w:r>
    </w:p>
    <w:p w14:paraId="31E44463" w14:textId="73BD10D9" w:rsidR="00E3636D" w:rsidRDefault="00384E60" w:rsidP="00F97498">
      <w:pPr>
        <w:pStyle w:val="Bullet"/>
        <w:numPr>
          <w:ilvl w:val="0"/>
          <w:numId w:val="0"/>
        </w:numPr>
        <w:rPr>
          <w:rStyle w:val="normaltextrun"/>
        </w:rPr>
      </w:pPr>
      <w:r>
        <w:t>In terms of the time limits for making an application to the ART, a</w:t>
      </w:r>
      <w:r w:rsidR="00E3636D">
        <w:t xml:space="preserve"> note </w:t>
      </w:r>
      <w:r w:rsidR="00E70D07">
        <w:t>to</w:t>
      </w:r>
      <w:r w:rsidR="00E3636D">
        <w:t xml:space="preserve"> section 14 </w:t>
      </w:r>
      <w:r w:rsidR="00BA6950">
        <w:t>provides</w:t>
      </w:r>
      <w:r w:rsidR="000C7F4E">
        <w:t xml:space="preserve"> </w:t>
      </w:r>
      <w:r w:rsidR="000B3EC6">
        <w:t xml:space="preserve">that, generally, </w:t>
      </w:r>
      <w:r w:rsidR="000B3EC6">
        <w:rPr>
          <w:rStyle w:val="normaltextrun"/>
        </w:rPr>
        <w:t xml:space="preserve">an application for review of a decision by the ART must be made within 28 days after the applicant is notified of the decision (pursuant to section 18 of the </w:t>
      </w:r>
      <w:r w:rsidR="000B3EC6">
        <w:rPr>
          <w:rStyle w:val="normaltextrun"/>
          <w:i/>
          <w:iCs/>
        </w:rPr>
        <w:t xml:space="preserve">Administrative Review Tribunal Act 2024 </w:t>
      </w:r>
      <w:r w:rsidR="000B3EC6">
        <w:rPr>
          <w:rStyle w:val="normaltextrun"/>
        </w:rPr>
        <w:t xml:space="preserve">(ART Act) and rule 5 of the </w:t>
      </w:r>
      <w:r w:rsidR="000B3EC6">
        <w:rPr>
          <w:rStyle w:val="normaltextrun"/>
          <w:i/>
          <w:iCs/>
        </w:rPr>
        <w:t>Administrative Review Tribunal Rules 2024</w:t>
      </w:r>
      <w:r w:rsidR="000B3EC6">
        <w:rPr>
          <w:rStyle w:val="normaltextrun"/>
        </w:rPr>
        <w:t>). The note also provides that a person may, under section 19 of the ART Act, apply to the ART to allow an application to be made out of time.</w:t>
      </w:r>
    </w:p>
    <w:p w14:paraId="09853EA8" w14:textId="1F218CCF" w:rsidR="002B0172" w:rsidRDefault="002B0172" w:rsidP="00F97498">
      <w:pPr>
        <w:pStyle w:val="Bullet"/>
        <w:numPr>
          <w:ilvl w:val="0"/>
          <w:numId w:val="0"/>
        </w:numPr>
        <w:rPr>
          <w:rStyle w:val="normaltextrun"/>
        </w:rPr>
      </w:pPr>
      <w:r>
        <w:rPr>
          <w:rStyle w:val="normaltextrun"/>
          <w:u w:val="single"/>
        </w:rPr>
        <w:t>Section 15 – Application</w:t>
      </w:r>
    </w:p>
    <w:p w14:paraId="1699CE3A" w14:textId="1F7DC64C" w:rsidR="002B0172" w:rsidRDefault="002B0172" w:rsidP="00F97498">
      <w:pPr>
        <w:pStyle w:val="Bullet"/>
        <w:numPr>
          <w:ilvl w:val="0"/>
          <w:numId w:val="0"/>
        </w:numPr>
        <w:rPr>
          <w:rStyle w:val="normaltextrun"/>
        </w:rPr>
      </w:pPr>
      <w:r>
        <w:rPr>
          <w:rStyle w:val="normaltextrun"/>
        </w:rPr>
        <w:t xml:space="preserve">Section </w:t>
      </w:r>
      <w:r w:rsidR="00702A63">
        <w:rPr>
          <w:rStyle w:val="normaltextrun"/>
        </w:rPr>
        <w:t xml:space="preserve">15 </w:t>
      </w:r>
      <w:r w:rsidR="002E15AD">
        <w:rPr>
          <w:rStyle w:val="normaltextrun"/>
        </w:rPr>
        <w:t xml:space="preserve">provides that </w:t>
      </w:r>
      <w:r w:rsidR="00771F0F">
        <w:rPr>
          <w:rStyle w:val="normaltextrun"/>
        </w:rPr>
        <w:t xml:space="preserve">section 14 of the Regulations applies to decision made before or after the commencement </w:t>
      </w:r>
      <w:r w:rsidR="00667C44">
        <w:rPr>
          <w:rStyle w:val="normaltextrun"/>
        </w:rPr>
        <w:t xml:space="preserve">of the Regulations. </w:t>
      </w:r>
    </w:p>
    <w:p w14:paraId="59A7295B" w14:textId="4EAFC037" w:rsidR="000D0BA3" w:rsidRPr="002B0172" w:rsidRDefault="00B72694" w:rsidP="00F97498">
      <w:pPr>
        <w:pStyle w:val="Bullet"/>
        <w:numPr>
          <w:ilvl w:val="0"/>
          <w:numId w:val="0"/>
        </w:numPr>
        <w:rPr>
          <w:rStyle w:val="normaltextrun"/>
        </w:rPr>
      </w:pPr>
      <w:r>
        <w:rPr>
          <w:rStyle w:val="normaltextrun"/>
        </w:rPr>
        <w:t xml:space="preserve">This means that if </w:t>
      </w:r>
      <w:r w:rsidR="000D0BA3">
        <w:rPr>
          <w:rStyle w:val="normaltextrun"/>
        </w:rPr>
        <w:t xml:space="preserve">Housing Australia makes decisions before the Regulations commence, </w:t>
      </w:r>
      <w:r w:rsidR="001269CE">
        <w:rPr>
          <w:rStyle w:val="normaltextrun"/>
        </w:rPr>
        <w:t xml:space="preserve">applicants will need to rely on </w:t>
      </w:r>
      <w:r w:rsidR="007F6D80">
        <w:rPr>
          <w:rStyle w:val="normaltextrun"/>
        </w:rPr>
        <w:t xml:space="preserve">the ART allowing an application to be made out of time, under section 19 of the ART Act. </w:t>
      </w:r>
    </w:p>
    <w:p w14:paraId="6F94DCF7" w14:textId="77777777" w:rsidR="000B3EC6" w:rsidRPr="00B77172" w:rsidRDefault="000B3EC6" w:rsidP="00F97498">
      <w:pPr>
        <w:pStyle w:val="Bullet"/>
        <w:numPr>
          <w:ilvl w:val="0"/>
          <w:numId w:val="0"/>
        </w:numPr>
      </w:pPr>
    </w:p>
    <w:p w14:paraId="2A807E1F" w14:textId="5A6DE7A7" w:rsidR="00E37FF7" w:rsidRPr="00784F17" w:rsidRDefault="00E37FF7" w:rsidP="004A27A8">
      <w:pPr>
        <w:spacing w:before="240"/>
      </w:pPr>
    </w:p>
    <w:sectPr w:rsidR="00E37FF7" w:rsidRPr="00784F17"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52E8" w14:textId="77777777" w:rsidR="00693A29" w:rsidRDefault="00693A29" w:rsidP="00954679">
      <w:pPr>
        <w:spacing w:before="0" w:after="0"/>
      </w:pPr>
      <w:r>
        <w:separator/>
      </w:r>
    </w:p>
  </w:endnote>
  <w:endnote w:type="continuationSeparator" w:id="0">
    <w:p w14:paraId="1872FA99" w14:textId="77777777" w:rsidR="00693A29" w:rsidRDefault="00693A29" w:rsidP="00954679">
      <w:pPr>
        <w:spacing w:before="0" w:after="0"/>
      </w:pPr>
      <w:r>
        <w:continuationSeparator/>
      </w:r>
    </w:p>
  </w:endnote>
  <w:endnote w:type="continuationNotice" w:id="1">
    <w:p w14:paraId="5A9C852F" w14:textId="77777777" w:rsidR="00693A29" w:rsidRDefault="00693A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F46F2A1" w14:textId="65446745" w:rsidR="00954679" w:rsidRDefault="004E1FA8" w:rsidP="00013390">
            <w:pPr>
              <w:pStyle w:val="Footer"/>
              <w:jc w:val="right"/>
            </w:pPr>
            <w:r w:rsidRPr="00681DDB">
              <w:rPr>
                <w:rFonts w:asciiTheme="minorHAnsi" w:hAnsiTheme="minorHAnsi" w:cstheme="minorHAnsi"/>
                <w:color w:val="FF0000"/>
              </w:rPr>
              <w:t>EXPOSURE DRAFT</w:t>
            </w:r>
            <w:r w:rsidRPr="00681DDB">
              <w:rPr>
                <w:rFonts w:asciiTheme="minorHAnsi" w:hAnsiTheme="minorHAnsi" w:cstheme="minorHAnsi"/>
              </w:rPr>
              <w:t xml:space="preserve">                                                      </w:t>
            </w:r>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907D" w14:textId="77777777" w:rsidR="00693A29" w:rsidRDefault="00693A29" w:rsidP="00954679">
      <w:pPr>
        <w:spacing w:before="0" w:after="0"/>
      </w:pPr>
      <w:r>
        <w:separator/>
      </w:r>
    </w:p>
  </w:footnote>
  <w:footnote w:type="continuationSeparator" w:id="0">
    <w:p w14:paraId="75D3980A" w14:textId="77777777" w:rsidR="00693A29" w:rsidRDefault="00693A29" w:rsidP="00954679">
      <w:pPr>
        <w:spacing w:before="0" w:after="0"/>
      </w:pPr>
      <w:r>
        <w:continuationSeparator/>
      </w:r>
    </w:p>
  </w:footnote>
  <w:footnote w:type="continuationNotice" w:id="1">
    <w:p w14:paraId="351BE727" w14:textId="77777777" w:rsidR="00693A29" w:rsidRDefault="00693A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F8A0" w14:textId="1B873F70" w:rsidR="00235EFD" w:rsidRDefault="00473722">
    <w:pPr>
      <w:pStyle w:val="Header"/>
    </w:pPr>
    <w:r>
      <w:rPr>
        <w:noProof/>
      </w:rPr>
      <w:pict w14:anchorId="71D1F704">
        <v:shapetype id="_x0000_t202" coordsize="21600,21600" o:spt="202" path="m,l,21600r21600,l21600,xe">
          <v:stroke joinstyle="miter"/>
          <v:path gradientshapeok="t" o:connecttype="rect"/>
        </v:shapetype>
        <v:shape id="Text Box 3" o:spid="_x0000_s1025" type="#_x0000_t202" alt="OFFICIAL: Sensitive Legal Privilege" style="position:absolute;margin-left:254.25pt;margin-top:0;width:34.95pt;height:34.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" filled="f" stroked="f">
          <v:textbox style="mso-fit-shape-to-text:t" inset="0,15pt,0,0">
            <w:txbxContent>
              <w:p w14:paraId="0C03EC82" w14:textId="77777777" w:rsidR="00235EFD" w:rsidRPr="00814C07" w:rsidRDefault="00235EFD" w:rsidP="00235EFD">
                <w:pPr>
                  <w:spacing w:after="0"/>
                  <w:rPr>
                    <w:rFonts w:ascii="Calibri" w:eastAsia="Calibri" w:hAnsi="Calibri" w:cs="Calibri"/>
                    <w:noProof/>
                    <w:color w:val="FF0000"/>
                    <w:szCs w:val="24"/>
                  </w:rPr>
                </w:pPr>
                <w:bookmarkStart w:id="3" w:name="_Hlk207206947"/>
                <w:bookmarkStart w:id="4" w:name="_Hlk207206948"/>
                <w:r>
                  <w:rPr>
                    <w:rFonts w:ascii="Calibri" w:eastAsia="Calibri" w:hAnsi="Calibri" w:cs="Calibri"/>
                    <w:noProof/>
                    <w:color w:val="FF0000"/>
                    <w:szCs w:val="24"/>
                  </w:rPr>
                  <w:t>EXPOSURE DRAFT</w:t>
                </w:r>
                <w:bookmarkEnd w:id="3"/>
                <w:bookmarkEnd w:id="4"/>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57640D66">
      <w:numFmt w:val="bullet"/>
      <w:lvlText w:val="-"/>
      <w:lvlJc w:val="left"/>
      <w:pPr>
        <w:ind w:left="720" w:hanging="360"/>
      </w:pPr>
      <w:rPr>
        <w:rFonts w:ascii="Times New Roman" w:hAnsi="Times New Roman" w:hint="default"/>
      </w:rPr>
    </w:lvl>
    <w:lvl w:ilvl="1" w:tplc="5694ECF4" w:tentative="1">
      <w:start w:val="1"/>
      <w:numFmt w:val="bullet"/>
      <w:lvlText w:val="o"/>
      <w:lvlJc w:val="left"/>
      <w:pPr>
        <w:ind w:left="1440" w:hanging="360"/>
      </w:pPr>
      <w:rPr>
        <w:rFonts w:ascii="Courier New" w:hAnsi="Courier New" w:hint="default"/>
      </w:rPr>
    </w:lvl>
    <w:lvl w:ilvl="2" w:tplc="D136B222" w:tentative="1">
      <w:start w:val="1"/>
      <w:numFmt w:val="bullet"/>
      <w:lvlText w:val=""/>
      <w:lvlJc w:val="left"/>
      <w:pPr>
        <w:ind w:left="2160" w:hanging="360"/>
      </w:pPr>
      <w:rPr>
        <w:rFonts w:ascii="Wingdings" w:hAnsi="Wingdings" w:hint="default"/>
      </w:rPr>
    </w:lvl>
    <w:lvl w:ilvl="3" w:tplc="3DD81AA8" w:tentative="1">
      <w:start w:val="1"/>
      <w:numFmt w:val="bullet"/>
      <w:lvlText w:val=""/>
      <w:lvlJc w:val="left"/>
      <w:pPr>
        <w:ind w:left="2880" w:hanging="360"/>
      </w:pPr>
      <w:rPr>
        <w:rFonts w:ascii="Symbol" w:hAnsi="Symbol" w:hint="default"/>
      </w:rPr>
    </w:lvl>
    <w:lvl w:ilvl="4" w:tplc="169A7A5C" w:tentative="1">
      <w:start w:val="1"/>
      <w:numFmt w:val="bullet"/>
      <w:lvlText w:val="o"/>
      <w:lvlJc w:val="left"/>
      <w:pPr>
        <w:ind w:left="3600" w:hanging="360"/>
      </w:pPr>
      <w:rPr>
        <w:rFonts w:ascii="Courier New" w:hAnsi="Courier New" w:hint="default"/>
      </w:rPr>
    </w:lvl>
    <w:lvl w:ilvl="5" w:tplc="9F68D7D4" w:tentative="1">
      <w:start w:val="1"/>
      <w:numFmt w:val="bullet"/>
      <w:lvlText w:val=""/>
      <w:lvlJc w:val="left"/>
      <w:pPr>
        <w:ind w:left="4320" w:hanging="360"/>
      </w:pPr>
      <w:rPr>
        <w:rFonts w:ascii="Wingdings" w:hAnsi="Wingdings" w:hint="default"/>
      </w:rPr>
    </w:lvl>
    <w:lvl w:ilvl="6" w:tplc="94A89260" w:tentative="1">
      <w:start w:val="1"/>
      <w:numFmt w:val="bullet"/>
      <w:lvlText w:val=""/>
      <w:lvlJc w:val="left"/>
      <w:pPr>
        <w:ind w:left="5040" w:hanging="360"/>
      </w:pPr>
      <w:rPr>
        <w:rFonts w:ascii="Symbol" w:hAnsi="Symbol" w:hint="default"/>
      </w:rPr>
    </w:lvl>
    <w:lvl w:ilvl="7" w:tplc="F998061E" w:tentative="1">
      <w:start w:val="1"/>
      <w:numFmt w:val="bullet"/>
      <w:lvlText w:val="o"/>
      <w:lvlJc w:val="left"/>
      <w:pPr>
        <w:ind w:left="5760" w:hanging="360"/>
      </w:pPr>
      <w:rPr>
        <w:rFonts w:ascii="Courier New" w:hAnsi="Courier New" w:hint="default"/>
      </w:rPr>
    </w:lvl>
    <w:lvl w:ilvl="8" w:tplc="209A17EC"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7AC0A23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5E6E"/>
    <w:rsid w:val="000016EF"/>
    <w:rsid w:val="000026BE"/>
    <w:rsid w:val="00003189"/>
    <w:rsid w:val="00003472"/>
    <w:rsid w:val="0000370E"/>
    <w:rsid w:val="00005B51"/>
    <w:rsid w:val="0000628C"/>
    <w:rsid w:val="0001264C"/>
    <w:rsid w:val="000131AA"/>
    <w:rsid w:val="00013390"/>
    <w:rsid w:val="00016EA2"/>
    <w:rsid w:val="00017879"/>
    <w:rsid w:val="000208FA"/>
    <w:rsid w:val="000213B6"/>
    <w:rsid w:val="0002546A"/>
    <w:rsid w:val="00031318"/>
    <w:rsid w:val="000316CE"/>
    <w:rsid w:val="00031AE1"/>
    <w:rsid w:val="00035B7F"/>
    <w:rsid w:val="00036301"/>
    <w:rsid w:val="00040A5C"/>
    <w:rsid w:val="00041C87"/>
    <w:rsid w:val="000455BA"/>
    <w:rsid w:val="00051648"/>
    <w:rsid w:val="000524A9"/>
    <w:rsid w:val="0005316A"/>
    <w:rsid w:val="000547DB"/>
    <w:rsid w:val="00071098"/>
    <w:rsid w:val="00075031"/>
    <w:rsid w:val="00075A77"/>
    <w:rsid w:val="00076178"/>
    <w:rsid w:val="00076E15"/>
    <w:rsid w:val="00076FF9"/>
    <w:rsid w:val="00080673"/>
    <w:rsid w:val="000817AA"/>
    <w:rsid w:val="00082213"/>
    <w:rsid w:val="000852B0"/>
    <w:rsid w:val="000854E0"/>
    <w:rsid w:val="00085EA3"/>
    <w:rsid w:val="00086AA9"/>
    <w:rsid w:val="0008741E"/>
    <w:rsid w:val="00091C62"/>
    <w:rsid w:val="00095211"/>
    <w:rsid w:val="000970B8"/>
    <w:rsid w:val="00097EC0"/>
    <w:rsid w:val="00097F1A"/>
    <w:rsid w:val="000A12BC"/>
    <w:rsid w:val="000A3015"/>
    <w:rsid w:val="000A3364"/>
    <w:rsid w:val="000A3E06"/>
    <w:rsid w:val="000A4051"/>
    <w:rsid w:val="000A4A36"/>
    <w:rsid w:val="000A69C5"/>
    <w:rsid w:val="000A772C"/>
    <w:rsid w:val="000B17F3"/>
    <w:rsid w:val="000B3663"/>
    <w:rsid w:val="000B39A1"/>
    <w:rsid w:val="000B3EC6"/>
    <w:rsid w:val="000B462F"/>
    <w:rsid w:val="000B5626"/>
    <w:rsid w:val="000B6973"/>
    <w:rsid w:val="000C10DF"/>
    <w:rsid w:val="000C15BF"/>
    <w:rsid w:val="000C2E12"/>
    <w:rsid w:val="000C3ECC"/>
    <w:rsid w:val="000C4B61"/>
    <w:rsid w:val="000C5C40"/>
    <w:rsid w:val="000C5E3D"/>
    <w:rsid w:val="000C6935"/>
    <w:rsid w:val="000C7F4E"/>
    <w:rsid w:val="000D0BA3"/>
    <w:rsid w:val="000D11E5"/>
    <w:rsid w:val="000D2234"/>
    <w:rsid w:val="000D5827"/>
    <w:rsid w:val="000D59B4"/>
    <w:rsid w:val="000E1F8F"/>
    <w:rsid w:val="000E2028"/>
    <w:rsid w:val="000E32E3"/>
    <w:rsid w:val="000E5399"/>
    <w:rsid w:val="000F1F12"/>
    <w:rsid w:val="000F3A05"/>
    <w:rsid w:val="000F4D9C"/>
    <w:rsid w:val="000F53D9"/>
    <w:rsid w:val="000F55DF"/>
    <w:rsid w:val="001012C2"/>
    <w:rsid w:val="00111DC5"/>
    <w:rsid w:val="0011233D"/>
    <w:rsid w:val="00112F76"/>
    <w:rsid w:val="00113730"/>
    <w:rsid w:val="00113B45"/>
    <w:rsid w:val="00114003"/>
    <w:rsid w:val="00114930"/>
    <w:rsid w:val="0011527C"/>
    <w:rsid w:val="001164F2"/>
    <w:rsid w:val="00117C02"/>
    <w:rsid w:val="00122125"/>
    <w:rsid w:val="0012686F"/>
    <w:rsid w:val="001269CE"/>
    <w:rsid w:val="00127266"/>
    <w:rsid w:val="001276B4"/>
    <w:rsid w:val="001319C8"/>
    <w:rsid w:val="00131FC7"/>
    <w:rsid w:val="001331B7"/>
    <w:rsid w:val="00133D7A"/>
    <w:rsid w:val="001364C7"/>
    <w:rsid w:val="00142BCF"/>
    <w:rsid w:val="0014389F"/>
    <w:rsid w:val="00144D2A"/>
    <w:rsid w:val="00145849"/>
    <w:rsid w:val="0014608E"/>
    <w:rsid w:val="00150D0D"/>
    <w:rsid w:val="001516D8"/>
    <w:rsid w:val="00153CC5"/>
    <w:rsid w:val="00155027"/>
    <w:rsid w:val="0015621A"/>
    <w:rsid w:val="00157511"/>
    <w:rsid w:val="001610DF"/>
    <w:rsid w:val="00162E18"/>
    <w:rsid w:val="001638C7"/>
    <w:rsid w:val="00171017"/>
    <w:rsid w:val="00172B5A"/>
    <w:rsid w:val="00183A4A"/>
    <w:rsid w:val="001844F8"/>
    <w:rsid w:val="00185B39"/>
    <w:rsid w:val="00187048"/>
    <w:rsid w:val="00187857"/>
    <w:rsid w:val="0019038F"/>
    <w:rsid w:val="001918D9"/>
    <w:rsid w:val="001944EE"/>
    <w:rsid w:val="00195A29"/>
    <w:rsid w:val="0019691D"/>
    <w:rsid w:val="00197BC3"/>
    <w:rsid w:val="001A0377"/>
    <w:rsid w:val="001A1C0D"/>
    <w:rsid w:val="001A3E99"/>
    <w:rsid w:val="001B47F2"/>
    <w:rsid w:val="001B4919"/>
    <w:rsid w:val="001B650E"/>
    <w:rsid w:val="001B6B9E"/>
    <w:rsid w:val="001B7535"/>
    <w:rsid w:val="001B7EC2"/>
    <w:rsid w:val="001C0321"/>
    <w:rsid w:val="001C0477"/>
    <w:rsid w:val="001C3061"/>
    <w:rsid w:val="001C3752"/>
    <w:rsid w:val="001C608F"/>
    <w:rsid w:val="001C7D19"/>
    <w:rsid w:val="001D5322"/>
    <w:rsid w:val="001D7021"/>
    <w:rsid w:val="001D7CB9"/>
    <w:rsid w:val="001E0528"/>
    <w:rsid w:val="001E511B"/>
    <w:rsid w:val="001E6A74"/>
    <w:rsid w:val="001F00CC"/>
    <w:rsid w:val="001F1D4E"/>
    <w:rsid w:val="001F41D0"/>
    <w:rsid w:val="001F462C"/>
    <w:rsid w:val="001F5D3B"/>
    <w:rsid w:val="001F7894"/>
    <w:rsid w:val="00203755"/>
    <w:rsid w:val="002062B3"/>
    <w:rsid w:val="00207154"/>
    <w:rsid w:val="0021134F"/>
    <w:rsid w:val="0021397E"/>
    <w:rsid w:val="00217244"/>
    <w:rsid w:val="00220333"/>
    <w:rsid w:val="00220F16"/>
    <w:rsid w:val="00220FA9"/>
    <w:rsid w:val="00221082"/>
    <w:rsid w:val="00224253"/>
    <w:rsid w:val="0022428B"/>
    <w:rsid w:val="002246B6"/>
    <w:rsid w:val="0022550C"/>
    <w:rsid w:val="0023063D"/>
    <w:rsid w:val="00231837"/>
    <w:rsid w:val="002349A0"/>
    <w:rsid w:val="00235EFD"/>
    <w:rsid w:val="0024056E"/>
    <w:rsid w:val="00240D31"/>
    <w:rsid w:val="0024245F"/>
    <w:rsid w:val="002439CC"/>
    <w:rsid w:val="00246216"/>
    <w:rsid w:val="002465BD"/>
    <w:rsid w:val="00246B58"/>
    <w:rsid w:val="00247C21"/>
    <w:rsid w:val="00254C5B"/>
    <w:rsid w:val="00266522"/>
    <w:rsid w:val="0027118E"/>
    <w:rsid w:val="00272204"/>
    <w:rsid w:val="002725F4"/>
    <w:rsid w:val="002734D5"/>
    <w:rsid w:val="00273D8F"/>
    <w:rsid w:val="00273EB9"/>
    <w:rsid w:val="0027620C"/>
    <w:rsid w:val="00276395"/>
    <w:rsid w:val="002771E5"/>
    <w:rsid w:val="00277840"/>
    <w:rsid w:val="00277877"/>
    <w:rsid w:val="002801A9"/>
    <w:rsid w:val="00281D92"/>
    <w:rsid w:val="00282D4A"/>
    <w:rsid w:val="00285A5D"/>
    <w:rsid w:val="00285B22"/>
    <w:rsid w:val="00287C5A"/>
    <w:rsid w:val="00293839"/>
    <w:rsid w:val="00294388"/>
    <w:rsid w:val="002950CC"/>
    <w:rsid w:val="002A1236"/>
    <w:rsid w:val="002A3C80"/>
    <w:rsid w:val="002A66C5"/>
    <w:rsid w:val="002A6DA4"/>
    <w:rsid w:val="002A7B74"/>
    <w:rsid w:val="002A7E1F"/>
    <w:rsid w:val="002B0172"/>
    <w:rsid w:val="002B13EE"/>
    <w:rsid w:val="002B21DB"/>
    <w:rsid w:val="002B374C"/>
    <w:rsid w:val="002B5B2C"/>
    <w:rsid w:val="002C0792"/>
    <w:rsid w:val="002C0A5A"/>
    <w:rsid w:val="002C226C"/>
    <w:rsid w:val="002C3EE2"/>
    <w:rsid w:val="002C4D90"/>
    <w:rsid w:val="002C5B86"/>
    <w:rsid w:val="002C7A8B"/>
    <w:rsid w:val="002D164C"/>
    <w:rsid w:val="002D2360"/>
    <w:rsid w:val="002D2F69"/>
    <w:rsid w:val="002D3DED"/>
    <w:rsid w:val="002D4B55"/>
    <w:rsid w:val="002D6A2C"/>
    <w:rsid w:val="002E1414"/>
    <w:rsid w:val="002E15AD"/>
    <w:rsid w:val="002E1C79"/>
    <w:rsid w:val="002E274A"/>
    <w:rsid w:val="002E6910"/>
    <w:rsid w:val="002E73BB"/>
    <w:rsid w:val="002F022D"/>
    <w:rsid w:val="002F2289"/>
    <w:rsid w:val="002F61D0"/>
    <w:rsid w:val="002F6BB1"/>
    <w:rsid w:val="003019D2"/>
    <w:rsid w:val="003037F8"/>
    <w:rsid w:val="00303876"/>
    <w:rsid w:val="003041FA"/>
    <w:rsid w:val="00305DCB"/>
    <w:rsid w:val="00312490"/>
    <w:rsid w:val="00312A68"/>
    <w:rsid w:val="00313FFF"/>
    <w:rsid w:val="003153A1"/>
    <w:rsid w:val="00315F73"/>
    <w:rsid w:val="003177AB"/>
    <w:rsid w:val="0032066D"/>
    <w:rsid w:val="00331941"/>
    <w:rsid w:val="003330F5"/>
    <w:rsid w:val="003342CD"/>
    <w:rsid w:val="0033477F"/>
    <w:rsid w:val="00334CE3"/>
    <w:rsid w:val="00335042"/>
    <w:rsid w:val="003369AD"/>
    <w:rsid w:val="00340E5E"/>
    <w:rsid w:val="003414DE"/>
    <w:rsid w:val="00341642"/>
    <w:rsid w:val="003474BB"/>
    <w:rsid w:val="00351BC6"/>
    <w:rsid w:val="003524AF"/>
    <w:rsid w:val="00355872"/>
    <w:rsid w:val="00357733"/>
    <w:rsid w:val="00360C0A"/>
    <w:rsid w:val="00362B47"/>
    <w:rsid w:val="00362B70"/>
    <w:rsid w:val="00364DEE"/>
    <w:rsid w:val="00367D8B"/>
    <w:rsid w:val="00370395"/>
    <w:rsid w:val="0037180D"/>
    <w:rsid w:val="00373853"/>
    <w:rsid w:val="003812DA"/>
    <w:rsid w:val="00384E60"/>
    <w:rsid w:val="00392BBA"/>
    <w:rsid w:val="00392C0C"/>
    <w:rsid w:val="00393C24"/>
    <w:rsid w:val="003954FD"/>
    <w:rsid w:val="003A4671"/>
    <w:rsid w:val="003A4A7D"/>
    <w:rsid w:val="003A6F6F"/>
    <w:rsid w:val="003B19DD"/>
    <w:rsid w:val="003B1D13"/>
    <w:rsid w:val="003B215D"/>
    <w:rsid w:val="003B2431"/>
    <w:rsid w:val="003B31F4"/>
    <w:rsid w:val="003B3CDE"/>
    <w:rsid w:val="003B4356"/>
    <w:rsid w:val="003C0438"/>
    <w:rsid w:val="003C18D7"/>
    <w:rsid w:val="003C2185"/>
    <w:rsid w:val="003C445C"/>
    <w:rsid w:val="003C5719"/>
    <w:rsid w:val="003C6EED"/>
    <w:rsid w:val="003C7907"/>
    <w:rsid w:val="003C7B82"/>
    <w:rsid w:val="003D0B99"/>
    <w:rsid w:val="003D392B"/>
    <w:rsid w:val="003D49FB"/>
    <w:rsid w:val="003D60D7"/>
    <w:rsid w:val="003E0411"/>
    <w:rsid w:val="003E1C8F"/>
    <w:rsid w:val="003E1CE3"/>
    <w:rsid w:val="003E57EC"/>
    <w:rsid w:val="003E689F"/>
    <w:rsid w:val="003E77BC"/>
    <w:rsid w:val="003F11A2"/>
    <w:rsid w:val="003F17A4"/>
    <w:rsid w:val="003F258E"/>
    <w:rsid w:val="003F3B86"/>
    <w:rsid w:val="003F4D86"/>
    <w:rsid w:val="003F54B2"/>
    <w:rsid w:val="003F7508"/>
    <w:rsid w:val="003F7965"/>
    <w:rsid w:val="004000AE"/>
    <w:rsid w:val="004014BF"/>
    <w:rsid w:val="00401DE5"/>
    <w:rsid w:val="00402FB4"/>
    <w:rsid w:val="004039FD"/>
    <w:rsid w:val="004049A9"/>
    <w:rsid w:val="00405D45"/>
    <w:rsid w:val="004064D7"/>
    <w:rsid w:val="00406C8B"/>
    <w:rsid w:val="00410825"/>
    <w:rsid w:val="00412BB6"/>
    <w:rsid w:val="004139C7"/>
    <w:rsid w:val="0041400E"/>
    <w:rsid w:val="00415DA6"/>
    <w:rsid w:val="004162B3"/>
    <w:rsid w:val="00420534"/>
    <w:rsid w:val="00421FCC"/>
    <w:rsid w:val="0042764C"/>
    <w:rsid w:val="004344A1"/>
    <w:rsid w:val="00436952"/>
    <w:rsid w:val="004440A8"/>
    <w:rsid w:val="00452917"/>
    <w:rsid w:val="00454E2D"/>
    <w:rsid w:val="0045677A"/>
    <w:rsid w:val="004577E7"/>
    <w:rsid w:val="00462095"/>
    <w:rsid w:val="00464356"/>
    <w:rsid w:val="00466731"/>
    <w:rsid w:val="00466DD5"/>
    <w:rsid w:val="00467E83"/>
    <w:rsid w:val="00472418"/>
    <w:rsid w:val="0047265F"/>
    <w:rsid w:val="00473722"/>
    <w:rsid w:val="00473B71"/>
    <w:rsid w:val="0047543B"/>
    <w:rsid w:val="004755FE"/>
    <w:rsid w:val="00480C81"/>
    <w:rsid w:val="00482B81"/>
    <w:rsid w:val="00482D4C"/>
    <w:rsid w:val="00483475"/>
    <w:rsid w:val="004838E4"/>
    <w:rsid w:val="00483A1F"/>
    <w:rsid w:val="0048463A"/>
    <w:rsid w:val="00485E6E"/>
    <w:rsid w:val="00485EB3"/>
    <w:rsid w:val="004918F8"/>
    <w:rsid w:val="00492BF6"/>
    <w:rsid w:val="00495467"/>
    <w:rsid w:val="00496EA7"/>
    <w:rsid w:val="004A10CE"/>
    <w:rsid w:val="004A1638"/>
    <w:rsid w:val="004A27A8"/>
    <w:rsid w:val="004A2EA8"/>
    <w:rsid w:val="004A3018"/>
    <w:rsid w:val="004A4499"/>
    <w:rsid w:val="004A5E05"/>
    <w:rsid w:val="004A6467"/>
    <w:rsid w:val="004B3BED"/>
    <w:rsid w:val="004B3C0F"/>
    <w:rsid w:val="004B4A3C"/>
    <w:rsid w:val="004C05E4"/>
    <w:rsid w:val="004C28DF"/>
    <w:rsid w:val="004C3010"/>
    <w:rsid w:val="004C5BEC"/>
    <w:rsid w:val="004D3BB3"/>
    <w:rsid w:val="004D3CAF"/>
    <w:rsid w:val="004D4AE5"/>
    <w:rsid w:val="004E1293"/>
    <w:rsid w:val="004E1FA8"/>
    <w:rsid w:val="004E2EE7"/>
    <w:rsid w:val="004E3590"/>
    <w:rsid w:val="004E39E1"/>
    <w:rsid w:val="004F00BA"/>
    <w:rsid w:val="004F011F"/>
    <w:rsid w:val="004F03F4"/>
    <w:rsid w:val="004F4AAC"/>
    <w:rsid w:val="004F4C00"/>
    <w:rsid w:val="004F56D0"/>
    <w:rsid w:val="004F6603"/>
    <w:rsid w:val="005014D1"/>
    <w:rsid w:val="0050235E"/>
    <w:rsid w:val="00503A99"/>
    <w:rsid w:val="00503E44"/>
    <w:rsid w:val="005045BC"/>
    <w:rsid w:val="00505244"/>
    <w:rsid w:val="00505E5F"/>
    <w:rsid w:val="0050777E"/>
    <w:rsid w:val="00513FE8"/>
    <w:rsid w:val="0051429B"/>
    <w:rsid w:val="00515283"/>
    <w:rsid w:val="005177D5"/>
    <w:rsid w:val="005206DE"/>
    <w:rsid w:val="005227CE"/>
    <w:rsid w:val="005231C5"/>
    <w:rsid w:val="00524643"/>
    <w:rsid w:val="00525A0E"/>
    <w:rsid w:val="00526C8F"/>
    <w:rsid w:val="005302E6"/>
    <w:rsid w:val="00530E72"/>
    <w:rsid w:val="00532E30"/>
    <w:rsid w:val="00533926"/>
    <w:rsid w:val="005360F4"/>
    <w:rsid w:val="00536380"/>
    <w:rsid w:val="00537FB7"/>
    <w:rsid w:val="005411D1"/>
    <w:rsid w:val="00542873"/>
    <w:rsid w:val="00542E0B"/>
    <w:rsid w:val="00552A11"/>
    <w:rsid w:val="005537AC"/>
    <w:rsid w:val="0055675D"/>
    <w:rsid w:val="005573C4"/>
    <w:rsid w:val="0056497A"/>
    <w:rsid w:val="00566D97"/>
    <w:rsid w:val="00566E8F"/>
    <w:rsid w:val="005701FF"/>
    <w:rsid w:val="005709DE"/>
    <w:rsid w:val="005726BA"/>
    <w:rsid w:val="00573FFC"/>
    <w:rsid w:val="0057422E"/>
    <w:rsid w:val="00581BF8"/>
    <w:rsid w:val="00581E3E"/>
    <w:rsid w:val="005833BE"/>
    <w:rsid w:val="005858FB"/>
    <w:rsid w:val="00586C03"/>
    <w:rsid w:val="00586EA3"/>
    <w:rsid w:val="00590F8F"/>
    <w:rsid w:val="0059110F"/>
    <w:rsid w:val="0059302A"/>
    <w:rsid w:val="005A0628"/>
    <w:rsid w:val="005A2572"/>
    <w:rsid w:val="005A77AA"/>
    <w:rsid w:val="005B3AF1"/>
    <w:rsid w:val="005B4E98"/>
    <w:rsid w:val="005C032C"/>
    <w:rsid w:val="005C1B73"/>
    <w:rsid w:val="005C1FE4"/>
    <w:rsid w:val="005C225A"/>
    <w:rsid w:val="005C73D6"/>
    <w:rsid w:val="005D097A"/>
    <w:rsid w:val="005D2168"/>
    <w:rsid w:val="005D22FE"/>
    <w:rsid w:val="005D68B8"/>
    <w:rsid w:val="005D7D5A"/>
    <w:rsid w:val="005D7E35"/>
    <w:rsid w:val="005E4792"/>
    <w:rsid w:val="005E48F9"/>
    <w:rsid w:val="005E4BAC"/>
    <w:rsid w:val="005E580A"/>
    <w:rsid w:val="005E69D5"/>
    <w:rsid w:val="005F0ABE"/>
    <w:rsid w:val="005F1BC2"/>
    <w:rsid w:val="005F50E1"/>
    <w:rsid w:val="005F70A2"/>
    <w:rsid w:val="0060130D"/>
    <w:rsid w:val="006044E8"/>
    <w:rsid w:val="00604E4F"/>
    <w:rsid w:val="006054AA"/>
    <w:rsid w:val="00606671"/>
    <w:rsid w:val="006100E5"/>
    <w:rsid w:val="00612329"/>
    <w:rsid w:val="006135D3"/>
    <w:rsid w:val="006137A6"/>
    <w:rsid w:val="00613B16"/>
    <w:rsid w:val="00615574"/>
    <w:rsid w:val="00615822"/>
    <w:rsid w:val="00616205"/>
    <w:rsid w:val="006178D3"/>
    <w:rsid w:val="00623F9C"/>
    <w:rsid w:val="006243C6"/>
    <w:rsid w:val="00625B50"/>
    <w:rsid w:val="00626BED"/>
    <w:rsid w:val="00630893"/>
    <w:rsid w:val="006313FC"/>
    <w:rsid w:val="006314EB"/>
    <w:rsid w:val="0063193F"/>
    <w:rsid w:val="0064129F"/>
    <w:rsid w:val="00641DA3"/>
    <w:rsid w:val="0064309D"/>
    <w:rsid w:val="00644173"/>
    <w:rsid w:val="00647BB7"/>
    <w:rsid w:val="00660F56"/>
    <w:rsid w:val="00663BF2"/>
    <w:rsid w:val="006651CA"/>
    <w:rsid w:val="00667C44"/>
    <w:rsid w:val="006711DF"/>
    <w:rsid w:val="00677285"/>
    <w:rsid w:val="00680297"/>
    <w:rsid w:val="0068046D"/>
    <w:rsid w:val="00680871"/>
    <w:rsid w:val="00681DDB"/>
    <w:rsid w:val="00682A15"/>
    <w:rsid w:val="00682FD0"/>
    <w:rsid w:val="00683956"/>
    <w:rsid w:val="006851C4"/>
    <w:rsid w:val="006861F5"/>
    <w:rsid w:val="006873CE"/>
    <w:rsid w:val="006917A3"/>
    <w:rsid w:val="0069205F"/>
    <w:rsid w:val="00693A29"/>
    <w:rsid w:val="0069496C"/>
    <w:rsid w:val="006955D4"/>
    <w:rsid w:val="00695982"/>
    <w:rsid w:val="006963B9"/>
    <w:rsid w:val="00696F89"/>
    <w:rsid w:val="006A0786"/>
    <w:rsid w:val="006A11D6"/>
    <w:rsid w:val="006A5848"/>
    <w:rsid w:val="006A68ED"/>
    <w:rsid w:val="006B1894"/>
    <w:rsid w:val="006B43B9"/>
    <w:rsid w:val="006B520A"/>
    <w:rsid w:val="006B523A"/>
    <w:rsid w:val="006B5915"/>
    <w:rsid w:val="006C008B"/>
    <w:rsid w:val="006C170A"/>
    <w:rsid w:val="006C3EB4"/>
    <w:rsid w:val="006C4297"/>
    <w:rsid w:val="006D10EC"/>
    <w:rsid w:val="006D4234"/>
    <w:rsid w:val="006D478B"/>
    <w:rsid w:val="006D4DAA"/>
    <w:rsid w:val="006D60D0"/>
    <w:rsid w:val="006D672B"/>
    <w:rsid w:val="006E04DB"/>
    <w:rsid w:val="006E0852"/>
    <w:rsid w:val="006E0CBA"/>
    <w:rsid w:val="006E2D2B"/>
    <w:rsid w:val="006E3AB4"/>
    <w:rsid w:val="006E5B97"/>
    <w:rsid w:val="006E6321"/>
    <w:rsid w:val="006E6747"/>
    <w:rsid w:val="006F06C1"/>
    <w:rsid w:val="006F1ED9"/>
    <w:rsid w:val="006F683C"/>
    <w:rsid w:val="006F6C2A"/>
    <w:rsid w:val="006F74AB"/>
    <w:rsid w:val="00700DF7"/>
    <w:rsid w:val="0070169C"/>
    <w:rsid w:val="00701F57"/>
    <w:rsid w:val="0070265D"/>
    <w:rsid w:val="0070283E"/>
    <w:rsid w:val="00702A63"/>
    <w:rsid w:val="00704CCA"/>
    <w:rsid w:val="00705171"/>
    <w:rsid w:val="007053B0"/>
    <w:rsid w:val="007059A9"/>
    <w:rsid w:val="00710E94"/>
    <w:rsid w:val="00712C2B"/>
    <w:rsid w:val="0071583F"/>
    <w:rsid w:val="0071795E"/>
    <w:rsid w:val="00727D8A"/>
    <w:rsid w:val="00730DA8"/>
    <w:rsid w:val="00731FEA"/>
    <w:rsid w:val="007323F4"/>
    <w:rsid w:val="00735921"/>
    <w:rsid w:val="0073599B"/>
    <w:rsid w:val="00736F61"/>
    <w:rsid w:val="0074185E"/>
    <w:rsid w:val="00742253"/>
    <w:rsid w:val="00743446"/>
    <w:rsid w:val="007436F0"/>
    <w:rsid w:val="0074422A"/>
    <w:rsid w:val="0074728E"/>
    <w:rsid w:val="00747A94"/>
    <w:rsid w:val="00750018"/>
    <w:rsid w:val="007574E3"/>
    <w:rsid w:val="00757B95"/>
    <w:rsid w:val="00760122"/>
    <w:rsid w:val="007662C7"/>
    <w:rsid w:val="00771F0F"/>
    <w:rsid w:val="00772FAF"/>
    <w:rsid w:val="00773284"/>
    <w:rsid w:val="00776306"/>
    <w:rsid w:val="007816E2"/>
    <w:rsid w:val="007825EC"/>
    <w:rsid w:val="00783B6A"/>
    <w:rsid w:val="00784F17"/>
    <w:rsid w:val="007859C2"/>
    <w:rsid w:val="00795983"/>
    <w:rsid w:val="007A1887"/>
    <w:rsid w:val="007A33F8"/>
    <w:rsid w:val="007A412E"/>
    <w:rsid w:val="007A51F4"/>
    <w:rsid w:val="007A55A7"/>
    <w:rsid w:val="007A57BC"/>
    <w:rsid w:val="007A6B3E"/>
    <w:rsid w:val="007A7DA7"/>
    <w:rsid w:val="007B0B8E"/>
    <w:rsid w:val="007B1F10"/>
    <w:rsid w:val="007B2143"/>
    <w:rsid w:val="007B335E"/>
    <w:rsid w:val="007B3994"/>
    <w:rsid w:val="007B4A9D"/>
    <w:rsid w:val="007B7884"/>
    <w:rsid w:val="007C137D"/>
    <w:rsid w:val="007C5485"/>
    <w:rsid w:val="007C66E5"/>
    <w:rsid w:val="007C7D64"/>
    <w:rsid w:val="007D09DE"/>
    <w:rsid w:val="007D0F11"/>
    <w:rsid w:val="007D16EC"/>
    <w:rsid w:val="007D22BD"/>
    <w:rsid w:val="007D5513"/>
    <w:rsid w:val="007D6771"/>
    <w:rsid w:val="007E018D"/>
    <w:rsid w:val="007E3BF4"/>
    <w:rsid w:val="007E4767"/>
    <w:rsid w:val="007E6A45"/>
    <w:rsid w:val="007F1B71"/>
    <w:rsid w:val="007F4AF4"/>
    <w:rsid w:val="007F53E5"/>
    <w:rsid w:val="007F65CC"/>
    <w:rsid w:val="007F6A16"/>
    <w:rsid w:val="007F6D80"/>
    <w:rsid w:val="008021ED"/>
    <w:rsid w:val="0080320B"/>
    <w:rsid w:val="00806FFA"/>
    <w:rsid w:val="00807E7D"/>
    <w:rsid w:val="00810F6B"/>
    <w:rsid w:val="00811CCF"/>
    <w:rsid w:val="008145BA"/>
    <w:rsid w:val="00814EBA"/>
    <w:rsid w:val="008158A3"/>
    <w:rsid w:val="00821092"/>
    <w:rsid w:val="00821693"/>
    <w:rsid w:val="008249BE"/>
    <w:rsid w:val="00831675"/>
    <w:rsid w:val="00831D66"/>
    <w:rsid w:val="00833654"/>
    <w:rsid w:val="008404AD"/>
    <w:rsid w:val="00840648"/>
    <w:rsid w:val="00844849"/>
    <w:rsid w:val="00845A80"/>
    <w:rsid w:val="00854796"/>
    <w:rsid w:val="008552D6"/>
    <w:rsid w:val="00855A4E"/>
    <w:rsid w:val="00855DA3"/>
    <w:rsid w:val="00860BB5"/>
    <w:rsid w:val="00862443"/>
    <w:rsid w:val="00864DE9"/>
    <w:rsid w:val="00865583"/>
    <w:rsid w:val="00865A64"/>
    <w:rsid w:val="00866B06"/>
    <w:rsid w:val="00874E09"/>
    <w:rsid w:val="00875EF1"/>
    <w:rsid w:val="00877071"/>
    <w:rsid w:val="008779B4"/>
    <w:rsid w:val="00877A2F"/>
    <w:rsid w:val="0088138D"/>
    <w:rsid w:val="008824B6"/>
    <w:rsid w:val="00883863"/>
    <w:rsid w:val="00884005"/>
    <w:rsid w:val="0088467C"/>
    <w:rsid w:val="008853B9"/>
    <w:rsid w:val="00885AA3"/>
    <w:rsid w:val="008869EC"/>
    <w:rsid w:val="00887181"/>
    <w:rsid w:val="008874D2"/>
    <w:rsid w:val="00891F21"/>
    <w:rsid w:val="00892D3B"/>
    <w:rsid w:val="00894579"/>
    <w:rsid w:val="008978E0"/>
    <w:rsid w:val="008A2BDB"/>
    <w:rsid w:val="008A3333"/>
    <w:rsid w:val="008A34AE"/>
    <w:rsid w:val="008A5B67"/>
    <w:rsid w:val="008A5CCD"/>
    <w:rsid w:val="008A6A6D"/>
    <w:rsid w:val="008B1BB1"/>
    <w:rsid w:val="008B217B"/>
    <w:rsid w:val="008B29E7"/>
    <w:rsid w:val="008B2C4E"/>
    <w:rsid w:val="008B33DF"/>
    <w:rsid w:val="008B5C0B"/>
    <w:rsid w:val="008C068C"/>
    <w:rsid w:val="008C2216"/>
    <w:rsid w:val="008C2862"/>
    <w:rsid w:val="008D07E2"/>
    <w:rsid w:val="008D16F7"/>
    <w:rsid w:val="008D1BFF"/>
    <w:rsid w:val="008D2D74"/>
    <w:rsid w:val="008D40FA"/>
    <w:rsid w:val="008D424A"/>
    <w:rsid w:val="008D4835"/>
    <w:rsid w:val="008E07AC"/>
    <w:rsid w:val="008E1427"/>
    <w:rsid w:val="008E1F5C"/>
    <w:rsid w:val="008E52C7"/>
    <w:rsid w:val="008E539A"/>
    <w:rsid w:val="008E5A1D"/>
    <w:rsid w:val="008F0C50"/>
    <w:rsid w:val="008F1CB6"/>
    <w:rsid w:val="008F2529"/>
    <w:rsid w:val="008F3420"/>
    <w:rsid w:val="008F36F4"/>
    <w:rsid w:val="008F5BCF"/>
    <w:rsid w:val="008F6743"/>
    <w:rsid w:val="008F6A71"/>
    <w:rsid w:val="008F778A"/>
    <w:rsid w:val="00901879"/>
    <w:rsid w:val="00902ED6"/>
    <w:rsid w:val="0090320B"/>
    <w:rsid w:val="00903B72"/>
    <w:rsid w:val="00905FEC"/>
    <w:rsid w:val="00906037"/>
    <w:rsid w:val="0091280A"/>
    <w:rsid w:val="009143A0"/>
    <w:rsid w:val="00921B5A"/>
    <w:rsid w:val="00923169"/>
    <w:rsid w:val="00923B3D"/>
    <w:rsid w:val="00924946"/>
    <w:rsid w:val="00925124"/>
    <w:rsid w:val="00925635"/>
    <w:rsid w:val="009257E9"/>
    <w:rsid w:val="00926E96"/>
    <w:rsid w:val="00927C59"/>
    <w:rsid w:val="00931881"/>
    <w:rsid w:val="00933400"/>
    <w:rsid w:val="00933E1B"/>
    <w:rsid w:val="0093421F"/>
    <w:rsid w:val="00936902"/>
    <w:rsid w:val="00936E22"/>
    <w:rsid w:val="00941017"/>
    <w:rsid w:val="00942170"/>
    <w:rsid w:val="0094486D"/>
    <w:rsid w:val="0094613D"/>
    <w:rsid w:val="009505A7"/>
    <w:rsid w:val="00950E58"/>
    <w:rsid w:val="00952DF0"/>
    <w:rsid w:val="00954679"/>
    <w:rsid w:val="009552FE"/>
    <w:rsid w:val="00955673"/>
    <w:rsid w:val="009562E9"/>
    <w:rsid w:val="00956E2E"/>
    <w:rsid w:val="00961425"/>
    <w:rsid w:val="00964316"/>
    <w:rsid w:val="009655DA"/>
    <w:rsid w:val="00965BBC"/>
    <w:rsid w:val="00966C6E"/>
    <w:rsid w:val="009673D0"/>
    <w:rsid w:val="0097031C"/>
    <w:rsid w:val="00972823"/>
    <w:rsid w:val="00973F95"/>
    <w:rsid w:val="00974996"/>
    <w:rsid w:val="00975A39"/>
    <w:rsid w:val="00976860"/>
    <w:rsid w:val="00976B27"/>
    <w:rsid w:val="00984995"/>
    <w:rsid w:val="0098643E"/>
    <w:rsid w:val="0098737D"/>
    <w:rsid w:val="00990BE6"/>
    <w:rsid w:val="00995CAA"/>
    <w:rsid w:val="009A2167"/>
    <w:rsid w:val="009A49F0"/>
    <w:rsid w:val="009A5307"/>
    <w:rsid w:val="009B1B0C"/>
    <w:rsid w:val="009B7A38"/>
    <w:rsid w:val="009C0051"/>
    <w:rsid w:val="009C0F64"/>
    <w:rsid w:val="009C338A"/>
    <w:rsid w:val="009C3691"/>
    <w:rsid w:val="009C3864"/>
    <w:rsid w:val="009C689D"/>
    <w:rsid w:val="009C6A1E"/>
    <w:rsid w:val="009D277F"/>
    <w:rsid w:val="009D2F0C"/>
    <w:rsid w:val="009D477C"/>
    <w:rsid w:val="009E1071"/>
    <w:rsid w:val="009E27A5"/>
    <w:rsid w:val="009E2F86"/>
    <w:rsid w:val="009E6636"/>
    <w:rsid w:val="009F470A"/>
    <w:rsid w:val="009F58A2"/>
    <w:rsid w:val="00A05710"/>
    <w:rsid w:val="00A07758"/>
    <w:rsid w:val="00A11270"/>
    <w:rsid w:val="00A12209"/>
    <w:rsid w:val="00A14CE6"/>
    <w:rsid w:val="00A17FB4"/>
    <w:rsid w:val="00A232CA"/>
    <w:rsid w:val="00A26CE2"/>
    <w:rsid w:val="00A279FF"/>
    <w:rsid w:val="00A31484"/>
    <w:rsid w:val="00A315AC"/>
    <w:rsid w:val="00A31681"/>
    <w:rsid w:val="00A32143"/>
    <w:rsid w:val="00A32F79"/>
    <w:rsid w:val="00A34CA4"/>
    <w:rsid w:val="00A36DF3"/>
    <w:rsid w:val="00A37457"/>
    <w:rsid w:val="00A420CE"/>
    <w:rsid w:val="00A4441D"/>
    <w:rsid w:val="00A45BC1"/>
    <w:rsid w:val="00A532DD"/>
    <w:rsid w:val="00A5374D"/>
    <w:rsid w:val="00A5522E"/>
    <w:rsid w:val="00A5545F"/>
    <w:rsid w:val="00A55C68"/>
    <w:rsid w:val="00A57A03"/>
    <w:rsid w:val="00A60286"/>
    <w:rsid w:val="00A6269B"/>
    <w:rsid w:val="00A62860"/>
    <w:rsid w:val="00A649B6"/>
    <w:rsid w:val="00A679ED"/>
    <w:rsid w:val="00A73ECD"/>
    <w:rsid w:val="00A743B1"/>
    <w:rsid w:val="00A74B90"/>
    <w:rsid w:val="00A760F0"/>
    <w:rsid w:val="00A762FE"/>
    <w:rsid w:val="00A77C81"/>
    <w:rsid w:val="00A80BCF"/>
    <w:rsid w:val="00A80BD6"/>
    <w:rsid w:val="00A80D8C"/>
    <w:rsid w:val="00A81777"/>
    <w:rsid w:val="00A825D1"/>
    <w:rsid w:val="00A8369C"/>
    <w:rsid w:val="00A85EB1"/>
    <w:rsid w:val="00A86579"/>
    <w:rsid w:val="00A90212"/>
    <w:rsid w:val="00A90CC4"/>
    <w:rsid w:val="00A91DEC"/>
    <w:rsid w:val="00A9401D"/>
    <w:rsid w:val="00AA110A"/>
    <w:rsid w:val="00AA1689"/>
    <w:rsid w:val="00AA2EEE"/>
    <w:rsid w:val="00AA496F"/>
    <w:rsid w:val="00AA5770"/>
    <w:rsid w:val="00AA629F"/>
    <w:rsid w:val="00AA70DB"/>
    <w:rsid w:val="00AB2E70"/>
    <w:rsid w:val="00AB33C1"/>
    <w:rsid w:val="00AB3E03"/>
    <w:rsid w:val="00AB42DC"/>
    <w:rsid w:val="00AB6C4A"/>
    <w:rsid w:val="00AB73F1"/>
    <w:rsid w:val="00AC1D15"/>
    <w:rsid w:val="00AC4ECF"/>
    <w:rsid w:val="00AC5E63"/>
    <w:rsid w:val="00AD1D9F"/>
    <w:rsid w:val="00AD44C6"/>
    <w:rsid w:val="00AD714F"/>
    <w:rsid w:val="00AE2B56"/>
    <w:rsid w:val="00AE2CAB"/>
    <w:rsid w:val="00AE460D"/>
    <w:rsid w:val="00AE5DB5"/>
    <w:rsid w:val="00AE5F8F"/>
    <w:rsid w:val="00AE66D5"/>
    <w:rsid w:val="00AE7F82"/>
    <w:rsid w:val="00AF0970"/>
    <w:rsid w:val="00AF2BA9"/>
    <w:rsid w:val="00AF3456"/>
    <w:rsid w:val="00AF5A26"/>
    <w:rsid w:val="00AF7AEF"/>
    <w:rsid w:val="00B006B3"/>
    <w:rsid w:val="00B0766A"/>
    <w:rsid w:val="00B07B0C"/>
    <w:rsid w:val="00B10B4E"/>
    <w:rsid w:val="00B111E5"/>
    <w:rsid w:val="00B116F3"/>
    <w:rsid w:val="00B120F9"/>
    <w:rsid w:val="00B12E4E"/>
    <w:rsid w:val="00B23CDB"/>
    <w:rsid w:val="00B25563"/>
    <w:rsid w:val="00B25E88"/>
    <w:rsid w:val="00B26D48"/>
    <w:rsid w:val="00B2789F"/>
    <w:rsid w:val="00B305C2"/>
    <w:rsid w:val="00B30639"/>
    <w:rsid w:val="00B30EA3"/>
    <w:rsid w:val="00B31C02"/>
    <w:rsid w:val="00B3389C"/>
    <w:rsid w:val="00B341F6"/>
    <w:rsid w:val="00B40949"/>
    <w:rsid w:val="00B40966"/>
    <w:rsid w:val="00B40D80"/>
    <w:rsid w:val="00B41F7B"/>
    <w:rsid w:val="00B42EE1"/>
    <w:rsid w:val="00B4422E"/>
    <w:rsid w:val="00B446EE"/>
    <w:rsid w:val="00B47A59"/>
    <w:rsid w:val="00B50224"/>
    <w:rsid w:val="00B503DC"/>
    <w:rsid w:val="00B50CDC"/>
    <w:rsid w:val="00B5349B"/>
    <w:rsid w:val="00B5649C"/>
    <w:rsid w:val="00B62988"/>
    <w:rsid w:val="00B675AA"/>
    <w:rsid w:val="00B676F7"/>
    <w:rsid w:val="00B7138A"/>
    <w:rsid w:val="00B72694"/>
    <w:rsid w:val="00B74AAB"/>
    <w:rsid w:val="00B76BB2"/>
    <w:rsid w:val="00B77172"/>
    <w:rsid w:val="00B81630"/>
    <w:rsid w:val="00B81A9D"/>
    <w:rsid w:val="00B8293D"/>
    <w:rsid w:val="00B838D1"/>
    <w:rsid w:val="00B855B7"/>
    <w:rsid w:val="00B861D8"/>
    <w:rsid w:val="00B8703F"/>
    <w:rsid w:val="00B87A49"/>
    <w:rsid w:val="00B91ECE"/>
    <w:rsid w:val="00B92478"/>
    <w:rsid w:val="00B943FB"/>
    <w:rsid w:val="00B96E9A"/>
    <w:rsid w:val="00B97463"/>
    <w:rsid w:val="00BA13A1"/>
    <w:rsid w:val="00BA25B4"/>
    <w:rsid w:val="00BA472E"/>
    <w:rsid w:val="00BA6188"/>
    <w:rsid w:val="00BA6950"/>
    <w:rsid w:val="00BB06E9"/>
    <w:rsid w:val="00BB10CB"/>
    <w:rsid w:val="00BB58B4"/>
    <w:rsid w:val="00BB608E"/>
    <w:rsid w:val="00BB7319"/>
    <w:rsid w:val="00BB7567"/>
    <w:rsid w:val="00BC228F"/>
    <w:rsid w:val="00BC361A"/>
    <w:rsid w:val="00BC3B18"/>
    <w:rsid w:val="00BC68C2"/>
    <w:rsid w:val="00BD118F"/>
    <w:rsid w:val="00BD2045"/>
    <w:rsid w:val="00BD2CB7"/>
    <w:rsid w:val="00BD3450"/>
    <w:rsid w:val="00BD3D7D"/>
    <w:rsid w:val="00BD4648"/>
    <w:rsid w:val="00BD4690"/>
    <w:rsid w:val="00BD49F7"/>
    <w:rsid w:val="00BD61A2"/>
    <w:rsid w:val="00BD7CBE"/>
    <w:rsid w:val="00BE484D"/>
    <w:rsid w:val="00BF2596"/>
    <w:rsid w:val="00BF291E"/>
    <w:rsid w:val="00BF4DBD"/>
    <w:rsid w:val="00BF7CF2"/>
    <w:rsid w:val="00C00863"/>
    <w:rsid w:val="00C00B11"/>
    <w:rsid w:val="00C035E7"/>
    <w:rsid w:val="00C050F5"/>
    <w:rsid w:val="00C05496"/>
    <w:rsid w:val="00C0790A"/>
    <w:rsid w:val="00C1238D"/>
    <w:rsid w:val="00C23300"/>
    <w:rsid w:val="00C2344D"/>
    <w:rsid w:val="00C24EDE"/>
    <w:rsid w:val="00C257F4"/>
    <w:rsid w:val="00C31F99"/>
    <w:rsid w:val="00C32B5A"/>
    <w:rsid w:val="00C32C55"/>
    <w:rsid w:val="00C32C96"/>
    <w:rsid w:val="00C33B78"/>
    <w:rsid w:val="00C361C5"/>
    <w:rsid w:val="00C37E05"/>
    <w:rsid w:val="00C40C4E"/>
    <w:rsid w:val="00C417E5"/>
    <w:rsid w:val="00C4270A"/>
    <w:rsid w:val="00C446EC"/>
    <w:rsid w:val="00C4574C"/>
    <w:rsid w:val="00C47789"/>
    <w:rsid w:val="00C52172"/>
    <w:rsid w:val="00C55268"/>
    <w:rsid w:val="00C55D29"/>
    <w:rsid w:val="00C55F3A"/>
    <w:rsid w:val="00C56F2E"/>
    <w:rsid w:val="00C570BD"/>
    <w:rsid w:val="00C6098D"/>
    <w:rsid w:val="00C62585"/>
    <w:rsid w:val="00C62B3A"/>
    <w:rsid w:val="00C650C2"/>
    <w:rsid w:val="00C67581"/>
    <w:rsid w:val="00C721AB"/>
    <w:rsid w:val="00C73970"/>
    <w:rsid w:val="00C741FF"/>
    <w:rsid w:val="00C81758"/>
    <w:rsid w:val="00C83DB6"/>
    <w:rsid w:val="00C848A8"/>
    <w:rsid w:val="00C84FA0"/>
    <w:rsid w:val="00C86F22"/>
    <w:rsid w:val="00C86F6D"/>
    <w:rsid w:val="00C92607"/>
    <w:rsid w:val="00C93773"/>
    <w:rsid w:val="00C9444F"/>
    <w:rsid w:val="00C948D8"/>
    <w:rsid w:val="00C94A9E"/>
    <w:rsid w:val="00C94B2A"/>
    <w:rsid w:val="00CA0BE9"/>
    <w:rsid w:val="00CA138D"/>
    <w:rsid w:val="00CA47B2"/>
    <w:rsid w:val="00CA57D9"/>
    <w:rsid w:val="00CA5BDA"/>
    <w:rsid w:val="00CA5D67"/>
    <w:rsid w:val="00CA7716"/>
    <w:rsid w:val="00CB3532"/>
    <w:rsid w:val="00CB4907"/>
    <w:rsid w:val="00CB684F"/>
    <w:rsid w:val="00CC159F"/>
    <w:rsid w:val="00CC220F"/>
    <w:rsid w:val="00CC2958"/>
    <w:rsid w:val="00CC2AFE"/>
    <w:rsid w:val="00CC3505"/>
    <w:rsid w:val="00CC7641"/>
    <w:rsid w:val="00CD2F3F"/>
    <w:rsid w:val="00CD7EC3"/>
    <w:rsid w:val="00CE0566"/>
    <w:rsid w:val="00CE0B46"/>
    <w:rsid w:val="00CE1A89"/>
    <w:rsid w:val="00CE3F9B"/>
    <w:rsid w:val="00CE4EFB"/>
    <w:rsid w:val="00CE7D19"/>
    <w:rsid w:val="00CF0681"/>
    <w:rsid w:val="00CF249F"/>
    <w:rsid w:val="00CF2515"/>
    <w:rsid w:val="00CF2EBE"/>
    <w:rsid w:val="00CF3E79"/>
    <w:rsid w:val="00D074A2"/>
    <w:rsid w:val="00D07DE2"/>
    <w:rsid w:val="00D1105E"/>
    <w:rsid w:val="00D12834"/>
    <w:rsid w:val="00D13794"/>
    <w:rsid w:val="00D14FD3"/>
    <w:rsid w:val="00D17A69"/>
    <w:rsid w:val="00D218E7"/>
    <w:rsid w:val="00D24052"/>
    <w:rsid w:val="00D24386"/>
    <w:rsid w:val="00D25191"/>
    <w:rsid w:val="00D252DA"/>
    <w:rsid w:val="00D256C4"/>
    <w:rsid w:val="00D27303"/>
    <w:rsid w:val="00D31575"/>
    <w:rsid w:val="00D31A89"/>
    <w:rsid w:val="00D34626"/>
    <w:rsid w:val="00D34FB4"/>
    <w:rsid w:val="00D359BA"/>
    <w:rsid w:val="00D4257A"/>
    <w:rsid w:val="00D436D1"/>
    <w:rsid w:val="00D439FC"/>
    <w:rsid w:val="00D43BFD"/>
    <w:rsid w:val="00D456A9"/>
    <w:rsid w:val="00D47EBC"/>
    <w:rsid w:val="00D508CC"/>
    <w:rsid w:val="00D52798"/>
    <w:rsid w:val="00D53BF5"/>
    <w:rsid w:val="00D5468A"/>
    <w:rsid w:val="00D54FBF"/>
    <w:rsid w:val="00D55352"/>
    <w:rsid w:val="00D60EC0"/>
    <w:rsid w:val="00D61745"/>
    <w:rsid w:val="00D62665"/>
    <w:rsid w:val="00D62B5C"/>
    <w:rsid w:val="00D645AC"/>
    <w:rsid w:val="00D66C71"/>
    <w:rsid w:val="00D66D7C"/>
    <w:rsid w:val="00D6796A"/>
    <w:rsid w:val="00D70205"/>
    <w:rsid w:val="00D73447"/>
    <w:rsid w:val="00D735EF"/>
    <w:rsid w:val="00D7609F"/>
    <w:rsid w:val="00D77081"/>
    <w:rsid w:val="00D81039"/>
    <w:rsid w:val="00D817C4"/>
    <w:rsid w:val="00D81AA7"/>
    <w:rsid w:val="00D82E47"/>
    <w:rsid w:val="00D83501"/>
    <w:rsid w:val="00D8358A"/>
    <w:rsid w:val="00D845F0"/>
    <w:rsid w:val="00D84A01"/>
    <w:rsid w:val="00D84B44"/>
    <w:rsid w:val="00D91002"/>
    <w:rsid w:val="00D9226D"/>
    <w:rsid w:val="00D969B1"/>
    <w:rsid w:val="00D977EA"/>
    <w:rsid w:val="00DA323E"/>
    <w:rsid w:val="00DA37E0"/>
    <w:rsid w:val="00DA6218"/>
    <w:rsid w:val="00DA63EF"/>
    <w:rsid w:val="00DA7811"/>
    <w:rsid w:val="00DB148C"/>
    <w:rsid w:val="00DB1A31"/>
    <w:rsid w:val="00DB202E"/>
    <w:rsid w:val="00DB4440"/>
    <w:rsid w:val="00DB4F78"/>
    <w:rsid w:val="00DB515E"/>
    <w:rsid w:val="00DB56D9"/>
    <w:rsid w:val="00DB5DDB"/>
    <w:rsid w:val="00DB602B"/>
    <w:rsid w:val="00DC027B"/>
    <w:rsid w:val="00DC0BF9"/>
    <w:rsid w:val="00DC0CDE"/>
    <w:rsid w:val="00DC1A85"/>
    <w:rsid w:val="00DC2A8C"/>
    <w:rsid w:val="00DC498E"/>
    <w:rsid w:val="00DC4D72"/>
    <w:rsid w:val="00DC6525"/>
    <w:rsid w:val="00DC7018"/>
    <w:rsid w:val="00DD12B0"/>
    <w:rsid w:val="00DD2508"/>
    <w:rsid w:val="00DD3FE6"/>
    <w:rsid w:val="00DD46BD"/>
    <w:rsid w:val="00DD5121"/>
    <w:rsid w:val="00DD5610"/>
    <w:rsid w:val="00DE20C7"/>
    <w:rsid w:val="00DE2A15"/>
    <w:rsid w:val="00DE329A"/>
    <w:rsid w:val="00DE4724"/>
    <w:rsid w:val="00DE66DC"/>
    <w:rsid w:val="00DF0CB3"/>
    <w:rsid w:val="00DF494C"/>
    <w:rsid w:val="00DF581B"/>
    <w:rsid w:val="00DF6D0B"/>
    <w:rsid w:val="00DF7E0D"/>
    <w:rsid w:val="00E0200B"/>
    <w:rsid w:val="00E0624D"/>
    <w:rsid w:val="00E179D4"/>
    <w:rsid w:val="00E20023"/>
    <w:rsid w:val="00E212EB"/>
    <w:rsid w:val="00E255CB"/>
    <w:rsid w:val="00E27455"/>
    <w:rsid w:val="00E308C2"/>
    <w:rsid w:val="00E30921"/>
    <w:rsid w:val="00E31506"/>
    <w:rsid w:val="00E31544"/>
    <w:rsid w:val="00E353A3"/>
    <w:rsid w:val="00E3553C"/>
    <w:rsid w:val="00E35C9D"/>
    <w:rsid w:val="00E3636D"/>
    <w:rsid w:val="00E37FF7"/>
    <w:rsid w:val="00E40D62"/>
    <w:rsid w:val="00E42158"/>
    <w:rsid w:val="00E43529"/>
    <w:rsid w:val="00E43795"/>
    <w:rsid w:val="00E4438C"/>
    <w:rsid w:val="00E457F3"/>
    <w:rsid w:val="00E45A39"/>
    <w:rsid w:val="00E50663"/>
    <w:rsid w:val="00E5397B"/>
    <w:rsid w:val="00E53F82"/>
    <w:rsid w:val="00E55F9B"/>
    <w:rsid w:val="00E576F5"/>
    <w:rsid w:val="00E57A6A"/>
    <w:rsid w:val="00E6433C"/>
    <w:rsid w:val="00E64FDA"/>
    <w:rsid w:val="00E70D07"/>
    <w:rsid w:val="00E73CC1"/>
    <w:rsid w:val="00E77451"/>
    <w:rsid w:val="00E77D6B"/>
    <w:rsid w:val="00E81593"/>
    <w:rsid w:val="00E81E03"/>
    <w:rsid w:val="00E85EF7"/>
    <w:rsid w:val="00E860AF"/>
    <w:rsid w:val="00E86357"/>
    <w:rsid w:val="00E87284"/>
    <w:rsid w:val="00E904C7"/>
    <w:rsid w:val="00E942E1"/>
    <w:rsid w:val="00E9437D"/>
    <w:rsid w:val="00E94949"/>
    <w:rsid w:val="00E97664"/>
    <w:rsid w:val="00EA4DD8"/>
    <w:rsid w:val="00EA7959"/>
    <w:rsid w:val="00EB136B"/>
    <w:rsid w:val="00EB2AEF"/>
    <w:rsid w:val="00EB2BED"/>
    <w:rsid w:val="00EB650F"/>
    <w:rsid w:val="00EB6B10"/>
    <w:rsid w:val="00EB6CEF"/>
    <w:rsid w:val="00EB7E71"/>
    <w:rsid w:val="00EB7F1C"/>
    <w:rsid w:val="00EC1BD8"/>
    <w:rsid w:val="00EC237F"/>
    <w:rsid w:val="00EC2747"/>
    <w:rsid w:val="00EC4268"/>
    <w:rsid w:val="00ED0275"/>
    <w:rsid w:val="00ED0D2D"/>
    <w:rsid w:val="00ED123E"/>
    <w:rsid w:val="00ED1908"/>
    <w:rsid w:val="00ED1F15"/>
    <w:rsid w:val="00ED216B"/>
    <w:rsid w:val="00ED4B6C"/>
    <w:rsid w:val="00ED719B"/>
    <w:rsid w:val="00EE2585"/>
    <w:rsid w:val="00EE4554"/>
    <w:rsid w:val="00EF2788"/>
    <w:rsid w:val="00EF3103"/>
    <w:rsid w:val="00EF3B4C"/>
    <w:rsid w:val="00EF444B"/>
    <w:rsid w:val="00EF6E9B"/>
    <w:rsid w:val="00EF714D"/>
    <w:rsid w:val="00EF7714"/>
    <w:rsid w:val="00F023DB"/>
    <w:rsid w:val="00F031CC"/>
    <w:rsid w:val="00F03CE6"/>
    <w:rsid w:val="00F046AB"/>
    <w:rsid w:val="00F05825"/>
    <w:rsid w:val="00F1038A"/>
    <w:rsid w:val="00F109D4"/>
    <w:rsid w:val="00F10A6F"/>
    <w:rsid w:val="00F11C19"/>
    <w:rsid w:val="00F15118"/>
    <w:rsid w:val="00F15EE9"/>
    <w:rsid w:val="00F179B2"/>
    <w:rsid w:val="00F24736"/>
    <w:rsid w:val="00F27344"/>
    <w:rsid w:val="00F27A23"/>
    <w:rsid w:val="00F3239C"/>
    <w:rsid w:val="00F32A72"/>
    <w:rsid w:val="00F343AA"/>
    <w:rsid w:val="00F4241B"/>
    <w:rsid w:val="00F42620"/>
    <w:rsid w:val="00F447D1"/>
    <w:rsid w:val="00F4533E"/>
    <w:rsid w:val="00F46704"/>
    <w:rsid w:val="00F46C17"/>
    <w:rsid w:val="00F47585"/>
    <w:rsid w:val="00F5142B"/>
    <w:rsid w:val="00F53631"/>
    <w:rsid w:val="00F55790"/>
    <w:rsid w:val="00F579D6"/>
    <w:rsid w:val="00F61534"/>
    <w:rsid w:val="00F6249C"/>
    <w:rsid w:val="00F62B7B"/>
    <w:rsid w:val="00F62BAD"/>
    <w:rsid w:val="00F65732"/>
    <w:rsid w:val="00F65807"/>
    <w:rsid w:val="00F65B6C"/>
    <w:rsid w:val="00F66D07"/>
    <w:rsid w:val="00F678B8"/>
    <w:rsid w:val="00F679B1"/>
    <w:rsid w:val="00F7078E"/>
    <w:rsid w:val="00F757AE"/>
    <w:rsid w:val="00F75BDB"/>
    <w:rsid w:val="00F75D37"/>
    <w:rsid w:val="00F81232"/>
    <w:rsid w:val="00F81DCE"/>
    <w:rsid w:val="00F81EC0"/>
    <w:rsid w:val="00F8291C"/>
    <w:rsid w:val="00F85E6F"/>
    <w:rsid w:val="00F85FCB"/>
    <w:rsid w:val="00F870A6"/>
    <w:rsid w:val="00F87F07"/>
    <w:rsid w:val="00F909EB"/>
    <w:rsid w:val="00F930AF"/>
    <w:rsid w:val="00F93174"/>
    <w:rsid w:val="00F95449"/>
    <w:rsid w:val="00F97498"/>
    <w:rsid w:val="00FA1942"/>
    <w:rsid w:val="00FA380A"/>
    <w:rsid w:val="00FA5DBF"/>
    <w:rsid w:val="00FA712D"/>
    <w:rsid w:val="00FA7C58"/>
    <w:rsid w:val="00FB6BF8"/>
    <w:rsid w:val="00FC0471"/>
    <w:rsid w:val="00FC2AAB"/>
    <w:rsid w:val="00FC2CB5"/>
    <w:rsid w:val="00FC38D9"/>
    <w:rsid w:val="00FC3A8F"/>
    <w:rsid w:val="00FC403B"/>
    <w:rsid w:val="00FC595E"/>
    <w:rsid w:val="00FD0158"/>
    <w:rsid w:val="00FD0A69"/>
    <w:rsid w:val="00FD19F7"/>
    <w:rsid w:val="00FD3273"/>
    <w:rsid w:val="00FD3C6F"/>
    <w:rsid w:val="00FD7402"/>
    <w:rsid w:val="00FE04E4"/>
    <w:rsid w:val="00FE2DD7"/>
    <w:rsid w:val="00FE324C"/>
    <w:rsid w:val="00FE57A8"/>
    <w:rsid w:val="00FE6CF1"/>
    <w:rsid w:val="00FE73F9"/>
    <w:rsid w:val="00FF0540"/>
    <w:rsid w:val="00FF1057"/>
    <w:rsid w:val="00FF1346"/>
    <w:rsid w:val="00FF1F53"/>
    <w:rsid w:val="00FF3E25"/>
    <w:rsid w:val="00FF5FD8"/>
    <w:rsid w:val="0A6640E8"/>
    <w:rsid w:val="0FFEC6D9"/>
    <w:rsid w:val="1183B2AB"/>
    <w:rsid w:val="11EDD544"/>
    <w:rsid w:val="20889454"/>
    <w:rsid w:val="250B0A38"/>
    <w:rsid w:val="2575A0AA"/>
    <w:rsid w:val="30556887"/>
    <w:rsid w:val="460014F3"/>
    <w:rsid w:val="5125D89E"/>
    <w:rsid w:val="5238B89F"/>
    <w:rsid w:val="55113886"/>
    <w:rsid w:val="58C60E87"/>
    <w:rsid w:val="599E4BD2"/>
    <w:rsid w:val="5BCF0BD8"/>
    <w:rsid w:val="63999AEA"/>
    <w:rsid w:val="6722A9A0"/>
    <w:rsid w:val="6B7E4D02"/>
    <w:rsid w:val="6E7FF811"/>
    <w:rsid w:val="6FECCECD"/>
    <w:rsid w:val="791023B6"/>
    <w:rsid w:val="7DFF40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paragraph">
    <w:name w:val="paragraph"/>
    <w:basedOn w:val="Normal"/>
    <w:rsid w:val="007C66E5"/>
    <w:pPr>
      <w:spacing w:before="100" w:beforeAutospacing="1" w:after="100" w:afterAutospacing="1"/>
    </w:pPr>
    <w:rPr>
      <w:szCs w:val="24"/>
    </w:rPr>
  </w:style>
  <w:style w:type="character" w:customStyle="1" w:styleId="normaltextrun">
    <w:name w:val="normaltextrun"/>
    <w:basedOn w:val="DefaultParagraphFont"/>
    <w:rsid w:val="007C66E5"/>
  </w:style>
  <w:style w:type="character" w:customStyle="1" w:styleId="eop">
    <w:name w:val="eop"/>
    <w:basedOn w:val="DefaultParagraphFont"/>
    <w:rsid w:val="007C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0388">
      <w:bodyDiv w:val="1"/>
      <w:marLeft w:val="0"/>
      <w:marRight w:val="0"/>
      <w:marTop w:val="0"/>
      <w:marBottom w:val="0"/>
      <w:divBdr>
        <w:top w:val="none" w:sz="0" w:space="0" w:color="auto"/>
        <w:left w:val="none" w:sz="0" w:space="0" w:color="auto"/>
        <w:bottom w:val="none" w:sz="0" w:space="0" w:color="auto"/>
        <w:right w:val="none" w:sz="0" w:space="0" w:color="auto"/>
      </w:divBdr>
      <w:divsChild>
        <w:div w:id="221716406">
          <w:marLeft w:val="0"/>
          <w:marRight w:val="0"/>
          <w:marTop w:val="0"/>
          <w:marBottom w:val="0"/>
          <w:divBdr>
            <w:top w:val="none" w:sz="0" w:space="0" w:color="auto"/>
            <w:left w:val="none" w:sz="0" w:space="0" w:color="auto"/>
            <w:bottom w:val="none" w:sz="0" w:space="0" w:color="auto"/>
            <w:right w:val="none" w:sz="0" w:space="0" w:color="auto"/>
          </w:divBdr>
        </w:div>
        <w:div w:id="320886047">
          <w:marLeft w:val="0"/>
          <w:marRight w:val="0"/>
          <w:marTop w:val="0"/>
          <w:marBottom w:val="0"/>
          <w:divBdr>
            <w:top w:val="none" w:sz="0" w:space="0" w:color="auto"/>
            <w:left w:val="none" w:sz="0" w:space="0" w:color="auto"/>
            <w:bottom w:val="none" w:sz="0" w:space="0" w:color="auto"/>
            <w:right w:val="none" w:sz="0" w:space="0" w:color="auto"/>
          </w:divBdr>
        </w:div>
        <w:div w:id="605312928">
          <w:marLeft w:val="0"/>
          <w:marRight w:val="0"/>
          <w:marTop w:val="0"/>
          <w:marBottom w:val="0"/>
          <w:divBdr>
            <w:top w:val="none" w:sz="0" w:space="0" w:color="auto"/>
            <w:left w:val="none" w:sz="0" w:space="0" w:color="auto"/>
            <w:bottom w:val="none" w:sz="0" w:space="0" w:color="auto"/>
            <w:right w:val="none" w:sz="0" w:space="0" w:color="auto"/>
          </w:divBdr>
        </w:div>
        <w:div w:id="675612242">
          <w:marLeft w:val="0"/>
          <w:marRight w:val="0"/>
          <w:marTop w:val="0"/>
          <w:marBottom w:val="0"/>
          <w:divBdr>
            <w:top w:val="none" w:sz="0" w:space="0" w:color="auto"/>
            <w:left w:val="none" w:sz="0" w:space="0" w:color="auto"/>
            <w:bottom w:val="none" w:sz="0" w:space="0" w:color="auto"/>
            <w:right w:val="none" w:sz="0" w:space="0" w:color="auto"/>
          </w:divBdr>
        </w:div>
      </w:divsChild>
    </w:div>
    <w:div w:id="638920353">
      <w:bodyDiv w:val="1"/>
      <w:marLeft w:val="0"/>
      <w:marRight w:val="0"/>
      <w:marTop w:val="0"/>
      <w:marBottom w:val="0"/>
      <w:divBdr>
        <w:top w:val="none" w:sz="0" w:space="0" w:color="auto"/>
        <w:left w:val="none" w:sz="0" w:space="0" w:color="auto"/>
        <w:bottom w:val="none" w:sz="0" w:space="0" w:color="auto"/>
        <w:right w:val="none" w:sz="0" w:space="0" w:color="auto"/>
      </w:divBdr>
    </w:div>
    <w:div w:id="1355305388">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18871508">
      <w:bodyDiv w:val="1"/>
      <w:marLeft w:val="0"/>
      <w:marRight w:val="0"/>
      <w:marTop w:val="0"/>
      <w:marBottom w:val="0"/>
      <w:divBdr>
        <w:top w:val="none" w:sz="0" w:space="0" w:color="auto"/>
        <w:left w:val="none" w:sz="0" w:space="0" w:color="auto"/>
        <w:bottom w:val="none" w:sz="0" w:space="0" w:color="auto"/>
        <w:right w:val="none" w:sz="0" w:space="0" w:color="auto"/>
      </w:divBdr>
      <w:divsChild>
        <w:div w:id="1369841592">
          <w:marLeft w:val="0"/>
          <w:marRight w:val="0"/>
          <w:marTop w:val="0"/>
          <w:marBottom w:val="0"/>
          <w:divBdr>
            <w:top w:val="none" w:sz="0" w:space="0" w:color="auto"/>
            <w:left w:val="none" w:sz="0" w:space="0" w:color="auto"/>
            <w:bottom w:val="none" w:sz="0" w:space="0" w:color="auto"/>
            <w:right w:val="none" w:sz="0" w:space="0" w:color="auto"/>
          </w:divBdr>
        </w:div>
        <w:div w:id="17871892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D5965F3D54572AFA8A062A364AF11"/>
        <w:category>
          <w:name w:val="General"/>
          <w:gallery w:val="placeholder"/>
        </w:category>
        <w:types>
          <w:type w:val="bbPlcHdr"/>
        </w:types>
        <w:behaviors>
          <w:behavior w:val="content"/>
        </w:behaviors>
        <w:guid w:val="{66EB6B20-636A-44A8-8D82-3EB7AD6A8483}"/>
      </w:docPartPr>
      <w:docPartBody>
        <w:p w:rsidR="00F05825" w:rsidRDefault="00F05825">
          <w:pPr>
            <w:pStyle w:val="370D5965F3D54572AFA8A062A364AF11"/>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7D"/>
    <w:rsid w:val="00121ECE"/>
    <w:rsid w:val="0013367D"/>
    <w:rsid w:val="001C608F"/>
    <w:rsid w:val="001F1D4E"/>
    <w:rsid w:val="002801A9"/>
    <w:rsid w:val="002B0F46"/>
    <w:rsid w:val="002C0ED2"/>
    <w:rsid w:val="002D2360"/>
    <w:rsid w:val="003019D2"/>
    <w:rsid w:val="00367D8B"/>
    <w:rsid w:val="00370D4C"/>
    <w:rsid w:val="003F54F7"/>
    <w:rsid w:val="0041400E"/>
    <w:rsid w:val="0055262B"/>
    <w:rsid w:val="005C01BE"/>
    <w:rsid w:val="006651CA"/>
    <w:rsid w:val="006C008B"/>
    <w:rsid w:val="007B405D"/>
    <w:rsid w:val="008F6A71"/>
    <w:rsid w:val="00A441C6"/>
    <w:rsid w:val="00A5545F"/>
    <w:rsid w:val="00AD714F"/>
    <w:rsid w:val="00B652E7"/>
    <w:rsid w:val="00C76831"/>
    <w:rsid w:val="00D915B6"/>
    <w:rsid w:val="00E53F82"/>
    <w:rsid w:val="00F058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0D5965F3D54572AFA8A062A364AF11">
    <w:name w:val="370D5965F3D54572AFA8A062A364A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Explanatory statement: Help to Buy Regulations 2025</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Help to Buy Regulations 2025</dc:title>
  <dc:subject/>
  <dc:creator/>
  <cp:keywords/>
  <dc:description/>
  <cp:lastModifiedBy/>
  <cp:revision>1</cp:revision>
  <dcterms:created xsi:type="dcterms:W3CDTF">2025-09-09T00:39:00Z</dcterms:created>
  <dcterms:modified xsi:type="dcterms:W3CDTF">2025-09-09T02:00:00Z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2025-09-09T00:41:04Z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4a18ea67-3c30-4ce5-848c-1cbf395d0784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