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057"/>
      </w:tblGrid>
      <w:tr w:rsidR="004F1316" w14:paraId="77D07451" w14:textId="77777777" w:rsidTr="004F1316">
        <w:tc>
          <w:tcPr>
            <w:tcW w:w="5000" w:type="pct"/>
            <w:shd w:val="clear" w:color="auto" w:fill="auto"/>
          </w:tcPr>
          <w:p w14:paraId="49197A21" w14:textId="77777777" w:rsidR="004F1316" w:rsidRDefault="004F1316" w:rsidP="004F1316">
            <w:pPr>
              <w:jc w:val="center"/>
              <w:rPr>
                <w:b/>
                <w:sz w:val="26"/>
              </w:rPr>
            </w:pPr>
            <w:r>
              <w:rPr>
                <w:b/>
                <w:sz w:val="26"/>
              </w:rPr>
              <w:t>EXPOSURE DRAFT</w:t>
            </w:r>
          </w:p>
          <w:p w14:paraId="4270AE03" w14:textId="1210339C" w:rsidR="004F1316" w:rsidRPr="004F1316" w:rsidRDefault="004F1316" w:rsidP="004F1316">
            <w:pPr>
              <w:rPr>
                <w:b/>
                <w:sz w:val="20"/>
              </w:rPr>
            </w:pPr>
          </w:p>
        </w:tc>
      </w:tr>
    </w:tbl>
    <w:p w14:paraId="3BF3881E" w14:textId="77777777" w:rsidR="004F1316" w:rsidRDefault="004F1316" w:rsidP="007C79C2">
      <w:pPr>
        <w:rPr>
          <w:sz w:val="32"/>
          <w:szCs w:val="32"/>
        </w:rPr>
      </w:pPr>
    </w:p>
    <w:p w14:paraId="0261EA80" w14:textId="49F0F4FE" w:rsidR="00664C63" w:rsidRPr="00932FA3" w:rsidRDefault="00664C63" w:rsidP="007C79C2">
      <w:pPr>
        <w:rPr>
          <w:sz w:val="32"/>
          <w:szCs w:val="32"/>
        </w:rPr>
      </w:pPr>
      <w:r w:rsidRPr="00932FA3">
        <w:rPr>
          <w:sz w:val="32"/>
          <w:szCs w:val="32"/>
        </w:rPr>
        <w:t>Inserts for</w:t>
      </w:r>
    </w:p>
    <w:p w14:paraId="51A70615" w14:textId="0E496B0A" w:rsidR="002937A1" w:rsidRDefault="002937A1" w:rsidP="007C79C2">
      <w:pPr>
        <w:pStyle w:val="ShortT"/>
      </w:pPr>
      <w:r w:rsidRPr="002937A1">
        <w:t>Treasury Laws Amendment Bill 2025: Payments System Modernisation—</w:t>
      </w:r>
      <w:r w:rsidR="00AD07B4">
        <w:t xml:space="preserve">amendment of the </w:t>
      </w:r>
      <w:r w:rsidR="00AD07B4" w:rsidRPr="00304C61">
        <w:rPr>
          <w:i/>
          <w:iCs/>
        </w:rPr>
        <w:t>Corporations Act</w:t>
      </w:r>
      <w:r w:rsidR="00304C61" w:rsidRPr="00304C61">
        <w:rPr>
          <w:i/>
          <w:iCs/>
        </w:rPr>
        <w:t xml:space="preserve"> 2001</w:t>
      </w:r>
    </w:p>
    <w:p w14:paraId="6E293281" w14:textId="77777777" w:rsidR="00664C63" w:rsidRDefault="00664C63" w:rsidP="007C79C2">
      <w:pPr>
        <w:jc w:val="center"/>
      </w:pPr>
    </w:p>
    <w:p w14:paraId="0DDCDBDF" w14:textId="77777777" w:rsidR="00664C63" w:rsidRDefault="00664C63" w:rsidP="007C79C2">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402376" w14:paraId="29F2547F" w14:textId="77777777" w:rsidTr="002F08B3">
        <w:trPr>
          <w:tblHeader/>
        </w:trPr>
        <w:tc>
          <w:tcPr>
            <w:tcW w:w="7111" w:type="dxa"/>
            <w:gridSpan w:val="3"/>
            <w:tcBorders>
              <w:top w:val="single" w:sz="12" w:space="0" w:color="auto"/>
              <w:bottom w:val="single" w:sz="6" w:space="0" w:color="auto"/>
            </w:tcBorders>
            <w:shd w:val="clear" w:color="auto" w:fill="auto"/>
          </w:tcPr>
          <w:p w14:paraId="6CEBB7AD" w14:textId="77777777" w:rsidR="00664C63" w:rsidRPr="00402376" w:rsidRDefault="00664C63" w:rsidP="007C79C2">
            <w:pPr>
              <w:pStyle w:val="TableHeading"/>
            </w:pPr>
            <w:r w:rsidRPr="00402376">
              <w:t>Commencement information</w:t>
            </w:r>
          </w:p>
        </w:tc>
      </w:tr>
      <w:tr w:rsidR="00664C63" w:rsidRPr="00402376" w14:paraId="6BD58968" w14:textId="77777777" w:rsidTr="002F08B3">
        <w:trPr>
          <w:tblHeader/>
        </w:trPr>
        <w:tc>
          <w:tcPr>
            <w:tcW w:w="1701" w:type="dxa"/>
            <w:tcBorders>
              <w:top w:val="single" w:sz="6" w:space="0" w:color="auto"/>
              <w:bottom w:val="single" w:sz="6" w:space="0" w:color="auto"/>
            </w:tcBorders>
            <w:shd w:val="clear" w:color="auto" w:fill="auto"/>
          </w:tcPr>
          <w:p w14:paraId="50A04E4C" w14:textId="77777777" w:rsidR="00664C63" w:rsidRPr="00402376" w:rsidRDefault="00664C63" w:rsidP="007C79C2">
            <w:pPr>
              <w:pStyle w:val="TableHeading"/>
            </w:pPr>
            <w:r w:rsidRPr="00402376">
              <w:t>Column 1</w:t>
            </w:r>
          </w:p>
        </w:tc>
        <w:tc>
          <w:tcPr>
            <w:tcW w:w="3828" w:type="dxa"/>
            <w:tcBorders>
              <w:top w:val="single" w:sz="6" w:space="0" w:color="auto"/>
              <w:bottom w:val="single" w:sz="6" w:space="0" w:color="auto"/>
            </w:tcBorders>
            <w:shd w:val="clear" w:color="auto" w:fill="auto"/>
          </w:tcPr>
          <w:p w14:paraId="30E8A25C" w14:textId="77777777" w:rsidR="00664C63" w:rsidRPr="00402376" w:rsidRDefault="00664C63" w:rsidP="007C79C2">
            <w:pPr>
              <w:pStyle w:val="TableHeading"/>
            </w:pPr>
            <w:r w:rsidRPr="00402376">
              <w:t>Column 2</w:t>
            </w:r>
          </w:p>
        </w:tc>
        <w:tc>
          <w:tcPr>
            <w:tcW w:w="1582" w:type="dxa"/>
            <w:tcBorders>
              <w:top w:val="single" w:sz="6" w:space="0" w:color="auto"/>
              <w:bottom w:val="single" w:sz="6" w:space="0" w:color="auto"/>
            </w:tcBorders>
            <w:shd w:val="clear" w:color="auto" w:fill="auto"/>
          </w:tcPr>
          <w:p w14:paraId="67A97AB6" w14:textId="77777777" w:rsidR="00664C63" w:rsidRPr="00402376" w:rsidRDefault="00664C63" w:rsidP="007C79C2">
            <w:pPr>
              <w:pStyle w:val="TableHeading"/>
            </w:pPr>
            <w:r w:rsidRPr="00402376">
              <w:t>Column 3</w:t>
            </w:r>
          </w:p>
        </w:tc>
      </w:tr>
      <w:tr w:rsidR="00664C63" w14:paraId="448086F9" w14:textId="77777777" w:rsidTr="002F08B3">
        <w:trPr>
          <w:tblHeader/>
        </w:trPr>
        <w:tc>
          <w:tcPr>
            <w:tcW w:w="1701" w:type="dxa"/>
            <w:tcBorders>
              <w:top w:val="single" w:sz="6" w:space="0" w:color="auto"/>
              <w:bottom w:val="single" w:sz="12" w:space="0" w:color="auto"/>
            </w:tcBorders>
            <w:shd w:val="clear" w:color="auto" w:fill="auto"/>
          </w:tcPr>
          <w:p w14:paraId="7A054D32" w14:textId="77777777" w:rsidR="00664C63" w:rsidRPr="00402376" w:rsidRDefault="00664C63" w:rsidP="007C79C2">
            <w:pPr>
              <w:pStyle w:val="TableHeading"/>
            </w:pPr>
            <w:r w:rsidRPr="00402376">
              <w:t>Provisions</w:t>
            </w:r>
          </w:p>
        </w:tc>
        <w:tc>
          <w:tcPr>
            <w:tcW w:w="3828" w:type="dxa"/>
            <w:tcBorders>
              <w:top w:val="single" w:sz="6" w:space="0" w:color="auto"/>
              <w:bottom w:val="single" w:sz="12" w:space="0" w:color="auto"/>
            </w:tcBorders>
            <w:shd w:val="clear" w:color="auto" w:fill="auto"/>
          </w:tcPr>
          <w:p w14:paraId="386F5F17" w14:textId="77777777" w:rsidR="00664C63" w:rsidRPr="00402376" w:rsidRDefault="00664C63" w:rsidP="007C79C2">
            <w:pPr>
              <w:pStyle w:val="TableHeading"/>
            </w:pPr>
            <w:r w:rsidRPr="00402376">
              <w:t>Commencement</w:t>
            </w:r>
          </w:p>
        </w:tc>
        <w:tc>
          <w:tcPr>
            <w:tcW w:w="1582" w:type="dxa"/>
            <w:tcBorders>
              <w:top w:val="single" w:sz="6" w:space="0" w:color="auto"/>
              <w:bottom w:val="single" w:sz="12" w:space="0" w:color="auto"/>
            </w:tcBorders>
            <w:shd w:val="clear" w:color="auto" w:fill="auto"/>
          </w:tcPr>
          <w:p w14:paraId="239FCCCD" w14:textId="77777777" w:rsidR="00664C63" w:rsidRPr="00402376" w:rsidRDefault="00664C63" w:rsidP="007C79C2">
            <w:pPr>
              <w:pStyle w:val="TableHeading"/>
            </w:pPr>
            <w:r w:rsidRPr="00402376">
              <w:t>Date/Details</w:t>
            </w:r>
          </w:p>
        </w:tc>
      </w:tr>
      <w:tr w:rsidR="00664C63" w14:paraId="2DAB214A" w14:textId="77777777" w:rsidTr="002F08B3">
        <w:tc>
          <w:tcPr>
            <w:tcW w:w="1701" w:type="dxa"/>
            <w:tcBorders>
              <w:top w:val="single" w:sz="12" w:space="0" w:color="auto"/>
            </w:tcBorders>
            <w:shd w:val="clear" w:color="auto" w:fill="auto"/>
          </w:tcPr>
          <w:p w14:paraId="11C6E8A2" w14:textId="77777777" w:rsidR="00664C63" w:rsidRDefault="00664C63" w:rsidP="007C79C2">
            <w:pPr>
              <w:pStyle w:val="Tabletext"/>
            </w:pPr>
            <w:r>
              <w:t xml:space="preserve">1.  </w:t>
            </w:r>
          </w:p>
        </w:tc>
        <w:tc>
          <w:tcPr>
            <w:tcW w:w="3828" w:type="dxa"/>
            <w:tcBorders>
              <w:top w:val="single" w:sz="12" w:space="0" w:color="auto"/>
            </w:tcBorders>
            <w:shd w:val="clear" w:color="auto" w:fill="auto"/>
          </w:tcPr>
          <w:p w14:paraId="16D75117" w14:textId="77777777" w:rsidR="00664C63" w:rsidRDefault="00664C63" w:rsidP="007C79C2">
            <w:pPr>
              <w:pStyle w:val="Tabletext"/>
            </w:pPr>
          </w:p>
        </w:tc>
        <w:tc>
          <w:tcPr>
            <w:tcW w:w="1582" w:type="dxa"/>
            <w:tcBorders>
              <w:top w:val="single" w:sz="12" w:space="0" w:color="auto"/>
            </w:tcBorders>
            <w:shd w:val="clear" w:color="auto" w:fill="auto"/>
          </w:tcPr>
          <w:p w14:paraId="5D4EA8B5" w14:textId="77777777" w:rsidR="00664C63" w:rsidRDefault="00664C63" w:rsidP="007C79C2">
            <w:pPr>
              <w:pStyle w:val="Tabletext"/>
            </w:pPr>
          </w:p>
        </w:tc>
      </w:tr>
      <w:tr w:rsidR="00664C63" w14:paraId="6958A0E0" w14:textId="77777777" w:rsidTr="002F08B3">
        <w:tc>
          <w:tcPr>
            <w:tcW w:w="1701" w:type="dxa"/>
            <w:tcBorders>
              <w:bottom w:val="single" w:sz="4" w:space="0" w:color="auto"/>
            </w:tcBorders>
            <w:shd w:val="clear" w:color="auto" w:fill="auto"/>
          </w:tcPr>
          <w:p w14:paraId="1928DF30" w14:textId="77777777" w:rsidR="00664C63" w:rsidRDefault="00664C63" w:rsidP="007C79C2">
            <w:pPr>
              <w:pStyle w:val="Tabletext"/>
            </w:pPr>
            <w:r>
              <w:t xml:space="preserve">2.  </w:t>
            </w:r>
          </w:p>
        </w:tc>
        <w:tc>
          <w:tcPr>
            <w:tcW w:w="3828" w:type="dxa"/>
            <w:tcBorders>
              <w:bottom w:val="single" w:sz="4" w:space="0" w:color="auto"/>
            </w:tcBorders>
            <w:shd w:val="clear" w:color="auto" w:fill="auto"/>
          </w:tcPr>
          <w:p w14:paraId="5006FCF8" w14:textId="77777777" w:rsidR="00664C63" w:rsidRDefault="00664C63" w:rsidP="007C79C2">
            <w:pPr>
              <w:pStyle w:val="Tabletext"/>
            </w:pPr>
          </w:p>
        </w:tc>
        <w:tc>
          <w:tcPr>
            <w:tcW w:w="1582" w:type="dxa"/>
            <w:tcBorders>
              <w:bottom w:val="single" w:sz="4" w:space="0" w:color="auto"/>
            </w:tcBorders>
            <w:shd w:val="clear" w:color="auto" w:fill="auto"/>
          </w:tcPr>
          <w:p w14:paraId="37238957" w14:textId="77777777" w:rsidR="00664C63" w:rsidRDefault="00664C63" w:rsidP="007C79C2">
            <w:pPr>
              <w:pStyle w:val="Tabletext"/>
            </w:pPr>
          </w:p>
        </w:tc>
      </w:tr>
      <w:tr w:rsidR="00664C63" w14:paraId="2746B980" w14:textId="77777777" w:rsidTr="002F08B3">
        <w:tc>
          <w:tcPr>
            <w:tcW w:w="1701" w:type="dxa"/>
            <w:tcBorders>
              <w:bottom w:val="single" w:sz="12" w:space="0" w:color="auto"/>
            </w:tcBorders>
            <w:shd w:val="clear" w:color="auto" w:fill="auto"/>
          </w:tcPr>
          <w:p w14:paraId="08209C27" w14:textId="77777777" w:rsidR="00664C63" w:rsidRDefault="00664C63" w:rsidP="007C79C2">
            <w:pPr>
              <w:pStyle w:val="Tabletext"/>
            </w:pPr>
            <w:r>
              <w:t xml:space="preserve">3.  </w:t>
            </w:r>
          </w:p>
        </w:tc>
        <w:tc>
          <w:tcPr>
            <w:tcW w:w="3828" w:type="dxa"/>
            <w:tcBorders>
              <w:bottom w:val="single" w:sz="12" w:space="0" w:color="auto"/>
            </w:tcBorders>
            <w:shd w:val="clear" w:color="auto" w:fill="auto"/>
          </w:tcPr>
          <w:p w14:paraId="6613316C" w14:textId="77777777" w:rsidR="00664C63" w:rsidRDefault="00664C63" w:rsidP="007C79C2">
            <w:pPr>
              <w:pStyle w:val="Tabletext"/>
            </w:pPr>
          </w:p>
        </w:tc>
        <w:tc>
          <w:tcPr>
            <w:tcW w:w="1582" w:type="dxa"/>
            <w:tcBorders>
              <w:bottom w:val="single" w:sz="12" w:space="0" w:color="auto"/>
            </w:tcBorders>
            <w:shd w:val="clear" w:color="auto" w:fill="auto"/>
          </w:tcPr>
          <w:p w14:paraId="095BF15A" w14:textId="77777777" w:rsidR="00664C63" w:rsidRDefault="00664C63" w:rsidP="007C79C2">
            <w:pPr>
              <w:pStyle w:val="Tabletext"/>
            </w:pPr>
          </w:p>
        </w:tc>
      </w:tr>
    </w:tbl>
    <w:p w14:paraId="17E8A0F1" w14:textId="49FF20F0" w:rsidR="006437FE" w:rsidRPr="006437FE" w:rsidRDefault="006437FE" w:rsidP="007C79C2">
      <w:pPr>
        <w:pStyle w:val="ActHead6"/>
        <w:pageBreakBefore/>
      </w:pPr>
      <w:r w:rsidRPr="007C79C2">
        <w:rPr>
          <w:rStyle w:val="CharAmSchNo"/>
        </w:rPr>
        <w:lastRenderedPageBreak/>
        <w:t xml:space="preserve">Schedule </w:t>
      </w:r>
      <w:r w:rsidR="001318C9">
        <w:rPr>
          <w:rStyle w:val="CharAmSchNo"/>
        </w:rPr>
        <w:t>1</w:t>
      </w:r>
      <w:r>
        <w:t>—</w:t>
      </w:r>
      <w:r w:rsidRPr="007C79C2">
        <w:rPr>
          <w:rStyle w:val="CharAmSchText"/>
        </w:rPr>
        <w:t>Payments system modernisation</w:t>
      </w:r>
    </w:p>
    <w:p w14:paraId="3646B80E" w14:textId="0264EA91" w:rsidR="009420D4" w:rsidRDefault="009420D4" w:rsidP="007C79C2">
      <w:pPr>
        <w:pStyle w:val="Header"/>
      </w:pPr>
      <w:r w:rsidRPr="007C79C2">
        <w:rPr>
          <w:rStyle w:val="CharAmPartNo"/>
        </w:rPr>
        <w:t xml:space="preserve"> </w:t>
      </w:r>
      <w:r w:rsidRPr="007C79C2">
        <w:rPr>
          <w:rStyle w:val="CharAmPartText"/>
        </w:rPr>
        <w:t xml:space="preserve"> </w:t>
      </w:r>
    </w:p>
    <w:p w14:paraId="5F4738FE" w14:textId="7DF83644" w:rsidR="0033411C" w:rsidRDefault="002937A1" w:rsidP="007C79C2">
      <w:pPr>
        <w:pStyle w:val="ActHead9"/>
      </w:pPr>
      <w:r>
        <w:t>Corporations Act 2001</w:t>
      </w:r>
    </w:p>
    <w:p w14:paraId="2B9428F1" w14:textId="20D11F7E" w:rsidR="00550673" w:rsidRDefault="00304C61" w:rsidP="007C79C2">
      <w:pPr>
        <w:pStyle w:val="ItemHead"/>
      </w:pPr>
      <w:r>
        <w:t>1</w:t>
      </w:r>
      <w:r w:rsidR="00550673">
        <w:t xml:space="preserve">  </w:t>
      </w:r>
      <w:r w:rsidR="00E12AA4">
        <w:t>Section 9</w:t>
      </w:r>
      <w:r w:rsidR="00550673">
        <w:t xml:space="preserve"> (</w:t>
      </w:r>
      <w:r w:rsidR="009E346A">
        <w:t xml:space="preserve">note to the </w:t>
      </w:r>
      <w:r w:rsidR="00550673">
        <w:t xml:space="preserve">definition of </w:t>
      </w:r>
      <w:r w:rsidR="00550673">
        <w:rPr>
          <w:i/>
          <w:iCs/>
        </w:rPr>
        <w:t>arrangement</w:t>
      </w:r>
      <w:r w:rsidR="00550673">
        <w:t>)</w:t>
      </w:r>
    </w:p>
    <w:p w14:paraId="6D29010B" w14:textId="1DDB5D38" w:rsidR="009E346A" w:rsidRDefault="009E346A" w:rsidP="007C79C2">
      <w:pPr>
        <w:pStyle w:val="Item"/>
      </w:pPr>
      <w:r w:rsidRPr="006805EE">
        <w:t>Omit “</w:t>
      </w:r>
      <w:r w:rsidR="00E12AA4">
        <w:t>sub</w:t>
      </w:r>
      <w:r w:rsidR="00120E37">
        <w:t>section 7</w:t>
      </w:r>
      <w:r w:rsidRPr="006805EE">
        <w:t xml:space="preserve">61B(2)”, substitute </w:t>
      </w:r>
      <w:r w:rsidR="006805EE" w:rsidRPr="006805EE">
        <w:t>“</w:t>
      </w:r>
      <w:r w:rsidR="00E12AA4">
        <w:t>subsections 7</w:t>
      </w:r>
      <w:r w:rsidRPr="006805EE">
        <w:t>61B(2) and (3)</w:t>
      </w:r>
      <w:r w:rsidR="006805EE" w:rsidRPr="006805EE">
        <w:t>”</w:t>
      </w:r>
      <w:r w:rsidR="006805EE">
        <w:t>.</w:t>
      </w:r>
    </w:p>
    <w:p w14:paraId="03DC21DD" w14:textId="6E7FC3E5" w:rsidR="00F93CDE" w:rsidRDefault="00304C61" w:rsidP="007C79C2">
      <w:pPr>
        <w:pStyle w:val="ItemHead"/>
      </w:pPr>
      <w:r>
        <w:t>2</w:t>
      </w:r>
      <w:r w:rsidR="00F93CDE">
        <w:t xml:space="preserve">  </w:t>
      </w:r>
      <w:r w:rsidR="00E12AA4">
        <w:t>Section 9</w:t>
      </w:r>
    </w:p>
    <w:p w14:paraId="426085AE" w14:textId="05E04809" w:rsidR="00F93CDE" w:rsidRDefault="00F93CDE" w:rsidP="007C79C2">
      <w:pPr>
        <w:pStyle w:val="Item"/>
      </w:pPr>
      <w:r>
        <w:t>Insert:</w:t>
      </w:r>
    </w:p>
    <w:p w14:paraId="73D098FB" w14:textId="45F71ABB" w:rsidR="001E3D1B" w:rsidRDefault="001E3D1B" w:rsidP="007C79C2">
      <w:pPr>
        <w:pStyle w:val="Definition"/>
      </w:pPr>
      <w:r w:rsidRPr="001E3D1B">
        <w:rPr>
          <w:b/>
          <w:bCs/>
          <w:i/>
          <w:iCs/>
        </w:rPr>
        <w:t>constitutionally</w:t>
      </w:r>
      <w:r w:rsidR="007C79C2">
        <w:rPr>
          <w:b/>
          <w:bCs/>
          <w:i/>
          <w:iCs/>
        </w:rPr>
        <w:noBreakHyphen/>
      </w:r>
      <w:r w:rsidRPr="001E3D1B">
        <w:rPr>
          <w:b/>
          <w:bCs/>
          <w:i/>
          <w:iCs/>
        </w:rPr>
        <w:t>covered corporation</w:t>
      </w:r>
      <w:r>
        <w:t xml:space="preserve"> means:</w:t>
      </w:r>
    </w:p>
    <w:p w14:paraId="2489C37B" w14:textId="77777777" w:rsidR="001E3D1B" w:rsidRDefault="001E3D1B" w:rsidP="007C79C2">
      <w:pPr>
        <w:pStyle w:val="paragraph"/>
      </w:pPr>
      <w:r>
        <w:tab/>
        <w:t>(a)</w:t>
      </w:r>
      <w:r>
        <w:tab/>
        <w:t>a corporation to which paragraph 51(xx) of the Constitution applies; or</w:t>
      </w:r>
    </w:p>
    <w:p w14:paraId="71BCDA41" w14:textId="541D078B" w:rsidR="001E3D1B" w:rsidRPr="001E3D1B" w:rsidRDefault="001E3D1B" w:rsidP="007C79C2">
      <w:pPr>
        <w:pStyle w:val="paragraph"/>
      </w:pPr>
      <w:r>
        <w:tab/>
        <w:t>(b)</w:t>
      </w:r>
      <w:r>
        <w:tab/>
        <w:t>a body that is a corporation within the meaning of this Act as originally enacted (see section 57A).</w:t>
      </w:r>
    </w:p>
    <w:p w14:paraId="6919EA84" w14:textId="5F353B25" w:rsidR="00F93CDE" w:rsidRDefault="00F93CDE" w:rsidP="007C79C2">
      <w:pPr>
        <w:pStyle w:val="Definition"/>
      </w:pPr>
      <w:r w:rsidRPr="0021123E">
        <w:rPr>
          <w:b/>
          <w:bCs/>
          <w:i/>
          <w:iCs/>
        </w:rPr>
        <w:t>funds</w:t>
      </w:r>
      <w:r w:rsidRPr="0021123E">
        <w:t xml:space="preserve">, when used in connection with a </w:t>
      </w:r>
      <w:r>
        <w:t xml:space="preserve">transfer of funds, has the meaning given by </w:t>
      </w:r>
      <w:r w:rsidR="00120E37">
        <w:t>section 7</w:t>
      </w:r>
      <w:r>
        <w:t>61A.</w:t>
      </w:r>
    </w:p>
    <w:p w14:paraId="591BDCDC" w14:textId="3EB4191B" w:rsidR="00326E35" w:rsidRPr="00326E35" w:rsidRDefault="00326E35" w:rsidP="007C79C2">
      <w:pPr>
        <w:pStyle w:val="Definition"/>
      </w:pPr>
      <w:r>
        <w:rPr>
          <w:b/>
          <w:bCs/>
          <w:i/>
          <w:iCs/>
        </w:rPr>
        <w:t>major stored value facility provider</w:t>
      </w:r>
      <w:r>
        <w:t xml:space="preserve"> has the meaning given by </w:t>
      </w:r>
      <w:r w:rsidR="00120E37">
        <w:t>section 7</w:t>
      </w:r>
      <w:r w:rsidRPr="00120E37">
        <w:t>61E</w:t>
      </w:r>
      <w:r w:rsidR="00A3484B" w:rsidRPr="00120E37">
        <w:t>D</w:t>
      </w:r>
      <w:r w:rsidRPr="00120E37">
        <w:t>.</w:t>
      </w:r>
    </w:p>
    <w:p w14:paraId="3373C1F4" w14:textId="107D4057" w:rsidR="00BA2ABB" w:rsidRDefault="00304C61" w:rsidP="007C79C2">
      <w:pPr>
        <w:pStyle w:val="ItemHead"/>
      </w:pPr>
      <w:r>
        <w:t>3</w:t>
      </w:r>
      <w:r w:rsidR="00BA2ABB" w:rsidRPr="00CC5180">
        <w:t xml:space="preserve">  </w:t>
      </w:r>
      <w:r w:rsidR="00E12AA4">
        <w:t>Section 9</w:t>
      </w:r>
      <w:r w:rsidR="00BA2ABB" w:rsidRPr="00CC5180">
        <w:t xml:space="preserve"> (definition of </w:t>
      </w:r>
      <w:r w:rsidR="00CC5180" w:rsidRPr="00CC5180">
        <w:rPr>
          <w:i/>
          <w:iCs/>
        </w:rPr>
        <w:t>makes non</w:t>
      </w:r>
      <w:r w:rsidR="007C79C2">
        <w:rPr>
          <w:i/>
          <w:iCs/>
        </w:rPr>
        <w:noBreakHyphen/>
      </w:r>
      <w:r w:rsidR="00CC5180" w:rsidRPr="00CC5180">
        <w:rPr>
          <w:i/>
          <w:iCs/>
        </w:rPr>
        <w:t>cash payments</w:t>
      </w:r>
      <w:r w:rsidR="00CC5180">
        <w:t>)</w:t>
      </w:r>
    </w:p>
    <w:p w14:paraId="06A751C0" w14:textId="0F273FEB" w:rsidR="00CC5180" w:rsidRDefault="00CC5180" w:rsidP="007C79C2">
      <w:pPr>
        <w:pStyle w:val="Item"/>
      </w:pPr>
      <w:r>
        <w:t>Repeal the definition.</w:t>
      </w:r>
    </w:p>
    <w:p w14:paraId="1356A7F2" w14:textId="70ACF92F" w:rsidR="002F6B54" w:rsidRDefault="00304C61" w:rsidP="007C79C2">
      <w:pPr>
        <w:pStyle w:val="ItemHead"/>
      </w:pPr>
      <w:r>
        <w:t>4</w:t>
      </w:r>
      <w:r w:rsidR="002F6B54">
        <w:t xml:space="preserve">  </w:t>
      </w:r>
      <w:r w:rsidR="00E12AA4">
        <w:t>Section 9</w:t>
      </w:r>
    </w:p>
    <w:p w14:paraId="15D62FC6" w14:textId="035AD312" w:rsidR="002F6B54" w:rsidRDefault="002F6B54" w:rsidP="007C79C2">
      <w:pPr>
        <w:pStyle w:val="Item"/>
      </w:pPr>
      <w:r>
        <w:t>Insert:</w:t>
      </w:r>
    </w:p>
    <w:p w14:paraId="1EE0BF90" w14:textId="03554FCF" w:rsidR="002F6B54" w:rsidRDefault="002F6B54" w:rsidP="007C79C2">
      <w:pPr>
        <w:pStyle w:val="Definition"/>
      </w:pPr>
      <w:r>
        <w:rPr>
          <w:b/>
          <w:bCs/>
          <w:i/>
          <w:iCs/>
        </w:rPr>
        <w:t>non</w:t>
      </w:r>
      <w:r w:rsidR="007C79C2">
        <w:rPr>
          <w:b/>
          <w:bCs/>
          <w:i/>
          <w:iCs/>
        </w:rPr>
        <w:noBreakHyphen/>
      </w:r>
      <w:r>
        <w:rPr>
          <w:b/>
          <w:bCs/>
          <w:i/>
          <w:iCs/>
        </w:rPr>
        <w:t>cash funds transfer</w:t>
      </w:r>
      <w:r>
        <w:t xml:space="preserve"> has the meaning given by </w:t>
      </w:r>
      <w:r w:rsidR="00120E37">
        <w:t>section 7</w:t>
      </w:r>
      <w:r w:rsidR="00D075CF">
        <w:t>61E</w:t>
      </w:r>
      <w:r w:rsidR="00A3484B">
        <w:t>F</w:t>
      </w:r>
      <w:r>
        <w:t>.</w:t>
      </w:r>
    </w:p>
    <w:p w14:paraId="49DEF8DE" w14:textId="5E1BD029" w:rsidR="009944BA" w:rsidRDefault="00304C61" w:rsidP="007C79C2">
      <w:pPr>
        <w:pStyle w:val="ItemHead"/>
      </w:pPr>
      <w:r>
        <w:t>5</w:t>
      </w:r>
      <w:r w:rsidR="009944BA">
        <w:t xml:space="preserve">  </w:t>
      </w:r>
      <w:r w:rsidR="00E12AA4">
        <w:t>Section 9</w:t>
      </w:r>
      <w:r w:rsidR="009944BA">
        <w:t xml:space="preserve"> (definition of </w:t>
      </w:r>
      <w:r w:rsidR="009944BA" w:rsidRPr="009944BA">
        <w:rPr>
          <w:i/>
          <w:iCs/>
        </w:rPr>
        <w:t>non</w:t>
      </w:r>
      <w:r w:rsidR="007C79C2">
        <w:rPr>
          <w:i/>
          <w:iCs/>
        </w:rPr>
        <w:noBreakHyphen/>
      </w:r>
      <w:r w:rsidR="009944BA" w:rsidRPr="009944BA">
        <w:rPr>
          <w:i/>
          <w:iCs/>
        </w:rPr>
        <w:t>cash payments</w:t>
      </w:r>
      <w:r w:rsidR="009944BA">
        <w:t>)</w:t>
      </w:r>
    </w:p>
    <w:p w14:paraId="6F2ECEEA" w14:textId="0825BDB2" w:rsidR="009944BA" w:rsidRDefault="009944BA" w:rsidP="007C79C2">
      <w:pPr>
        <w:pStyle w:val="Item"/>
      </w:pPr>
      <w:r>
        <w:t>Repeal the definition.</w:t>
      </w:r>
    </w:p>
    <w:p w14:paraId="6DEC9606" w14:textId="62850D4C" w:rsidR="009944BA" w:rsidRDefault="00304C61" w:rsidP="007C79C2">
      <w:pPr>
        <w:pStyle w:val="ItemHead"/>
      </w:pPr>
      <w:r>
        <w:t>6</w:t>
      </w:r>
      <w:r w:rsidR="009944BA">
        <w:t xml:space="preserve">  </w:t>
      </w:r>
      <w:r w:rsidR="00E12AA4">
        <w:t>Section 9</w:t>
      </w:r>
    </w:p>
    <w:p w14:paraId="1D49DA4D" w14:textId="652E8DE2" w:rsidR="009944BA" w:rsidRPr="009944BA" w:rsidRDefault="009944BA" w:rsidP="007C79C2">
      <w:pPr>
        <w:pStyle w:val="Item"/>
      </w:pPr>
      <w:r>
        <w:t>Insert:</w:t>
      </w:r>
    </w:p>
    <w:p w14:paraId="2F21A8EB" w14:textId="17B9EBB8" w:rsidR="002F6B54" w:rsidRPr="00C545D9" w:rsidRDefault="002F6B54" w:rsidP="007C79C2">
      <w:pPr>
        <w:pStyle w:val="Definition"/>
      </w:pPr>
      <w:r>
        <w:rPr>
          <w:b/>
          <w:bCs/>
          <w:i/>
          <w:iCs/>
        </w:rPr>
        <w:t>payee</w:t>
      </w:r>
      <w:r>
        <w:t xml:space="preserve"> for a non</w:t>
      </w:r>
      <w:r w:rsidR="007C79C2">
        <w:noBreakHyphen/>
      </w:r>
      <w:r>
        <w:t xml:space="preserve">cash funds transfer has the meaning given by </w:t>
      </w:r>
      <w:r w:rsidR="00E12AA4">
        <w:t>sub</w:t>
      </w:r>
      <w:r w:rsidR="00120E37">
        <w:t>section 7</w:t>
      </w:r>
      <w:r w:rsidR="009A3BC1">
        <w:t>61E</w:t>
      </w:r>
      <w:r w:rsidR="00A3484B">
        <w:t>F</w:t>
      </w:r>
      <w:r>
        <w:t>(1).</w:t>
      </w:r>
    </w:p>
    <w:p w14:paraId="3959FC4A" w14:textId="2BE715DD" w:rsidR="002F6B54" w:rsidRPr="00C545D9" w:rsidRDefault="002F6B54" w:rsidP="007C79C2">
      <w:pPr>
        <w:pStyle w:val="Definition"/>
      </w:pPr>
      <w:r>
        <w:rPr>
          <w:b/>
          <w:bCs/>
          <w:i/>
          <w:iCs/>
        </w:rPr>
        <w:t>payer</w:t>
      </w:r>
      <w:r>
        <w:t xml:space="preserve"> for a non</w:t>
      </w:r>
      <w:r w:rsidR="007C79C2">
        <w:noBreakHyphen/>
      </w:r>
      <w:r>
        <w:t xml:space="preserve">cash funds transfer has the meaning given by </w:t>
      </w:r>
      <w:r w:rsidR="00E12AA4">
        <w:t>sub</w:t>
      </w:r>
      <w:r w:rsidR="00120E37">
        <w:t>section 7</w:t>
      </w:r>
      <w:r w:rsidR="009A3BC1">
        <w:t>61E</w:t>
      </w:r>
      <w:r w:rsidR="00A3484B">
        <w:t>F</w:t>
      </w:r>
      <w:r>
        <w:t>(1).</w:t>
      </w:r>
    </w:p>
    <w:p w14:paraId="4C307035" w14:textId="7D198E63" w:rsidR="002F6B54" w:rsidRDefault="002F6B54" w:rsidP="007C79C2">
      <w:pPr>
        <w:pStyle w:val="Definition"/>
      </w:pPr>
      <w:r w:rsidRPr="004C1B1B">
        <w:rPr>
          <w:b/>
          <w:bCs/>
          <w:i/>
          <w:iCs/>
        </w:rPr>
        <w:lastRenderedPageBreak/>
        <w:t>payment facilitation service</w:t>
      </w:r>
      <w:r>
        <w:t xml:space="preserve"> has the meaning given by </w:t>
      </w:r>
      <w:r w:rsidR="00120E37">
        <w:t>section 7</w:t>
      </w:r>
      <w:r w:rsidR="00D075CF">
        <w:t>66DC</w:t>
      </w:r>
      <w:r>
        <w:t>.</w:t>
      </w:r>
    </w:p>
    <w:p w14:paraId="794D8C79" w14:textId="1D6D6FB8" w:rsidR="002F6B54" w:rsidRDefault="002F6B54" w:rsidP="007C79C2">
      <w:pPr>
        <w:pStyle w:val="Definition"/>
      </w:pPr>
      <w:r w:rsidRPr="00B54546">
        <w:rPr>
          <w:b/>
          <w:bCs/>
          <w:i/>
          <w:iCs/>
        </w:rPr>
        <w:t>payment initiation service</w:t>
      </w:r>
      <w:r>
        <w:rPr>
          <w:b/>
          <w:bCs/>
          <w:i/>
          <w:iCs/>
        </w:rPr>
        <w:t xml:space="preserve"> </w:t>
      </w:r>
      <w:r>
        <w:t xml:space="preserve">has the meaning given by </w:t>
      </w:r>
      <w:r w:rsidR="00120E37">
        <w:t>section 7</w:t>
      </w:r>
      <w:r w:rsidR="00D075CF">
        <w:t>66DB</w:t>
      </w:r>
      <w:r>
        <w:t>.</w:t>
      </w:r>
    </w:p>
    <w:p w14:paraId="2F12FB63" w14:textId="2D9E26B1" w:rsidR="002F6B54" w:rsidRDefault="002F6B54" w:rsidP="007C79C2">
      <w:pPr>
        <w:pStyle w:val="Definition"/>
      </w:pPr>
      <w:r>
        <w:rPr>
          <w:b/>
          <w:bCs/>
          <w:i/>
          <w:iCs/>
        </w:rPr>
        <w:t>payment instrument</w:t>
      </w:r>
      <w:r>
        <w:t xml:space="preserve"> has the meaning given by </w:t>
      </w:r>
      <w:r w:rsidR="00120E37">
        <w:t>section 7</w:t>
      </w:r>
      <w:r w:rsidR="00D075CF">
        <w:t>61E</w:t>
      </w:r>
      <w:r w:rsidR="00A3484B">
        <w:t>E</w:t>
      </w:r>
      <w:r>
        <w:t>.</w:t>
      </w:r>
    </w:p>
    <w:p w14:paraId="0642E181" w14:textId="39C67BB2" w:rsidR="002F6B54" w:rsidRPr="00B54546" w:rsidRDefault="002F6B54" w:rsidP="007C79C2">
      <w:pPr>
        <w:pStyle w:val="Definition"/>
      </w:pPr>
      <w:r>
        <w:rPr>
          <w:b/>
          <w:bCs/>
          <w:i/>
          <w:iCs/>
        </w:rPr>
        <w:t>payment service</w:t>
      </w:r>
      <w:r>
        <w:t xml:space="preserve"> has the meaning given by </w:t>
      </w:r>
      <w:r w:rsidR="00120E37">
        <w:t>section 7</w:t>
      </w:r>
      <w:r w:rsidR="00D075CF">
        <w:t>66DA</w:t>
      </w:r>
      <w:r>
        <w:t>.</w:t>
      </w:r>
    </w:p>
    <w:p w14:paraId="4ED1D1DA" w14:textId="00EB88B4" w:rsidR="002F6B54" w:rsidRPr="004C1B1B" w:rsidRDefault="002F6B54" w:rsidP="007C79C2">
      <w:pPr>
        <w:pStyle w:val="Definition"/>
      </w:pPr>
      <w:r w:rsidRPr="004C1B1B">
        <w:rPr>
          <w:b/>
          <w:bCs/>
          <w:i/>
          <w:iCs/>
        </w:rPr>
        <w:t>payment technology and enablement service</w:t>
      </w:r>
      <w:r>
        <w:rPr>
          <w:b/>
          <w:bCs/>
          <w:i/>
          <w:iCs/>
        </w:rPr>
        <w:t xml:space="preserve"> </w:t>
      </w:r>
      <w:r>
        <w:t xml:space="preserve">has the meaning given by </w:t>
      </w:r>
      <w:r w:rsidR="00120E37">
        <w:t>section 7</w:t>
      </w:r>
      <w:r w:rsidR="00D075CF">
        <w:t>66DD</w:t>
      </w:r>
      <w:r>
        <w:t>.</w:t>
      </w:r>
    </w:p>
    <w:p w14:paraId="626C76AE" w14:textId="70333D4B" w:rsidR="002F6B54" w:rsidRDefault="002F6B54" w:rsidP="007C79C2">
      <w:pPr>
        <w:pStyle w:val="Definition"/>
      </w:pPr>
      <w:r>
        <w:rPr>
          <w:b/>
          <w:bCs/>
          <w:i/>
          <w:iCs/>
        </w:rPr>
        <w:t>stored value facility</w:t>
      </w:r>
      <w:r>
        <w:t xml:space="preserve"> has the meaning given by </w:t>
      </w:r>
      <w:r w:rsidR="00120E37">
        <w:t>section 7</w:t>
      </w:r>
      <w:r w:rsidR="00D075CF">
        <w:t>61EB</w:t>
      </w:r>
      <w:r>
        <w:t>.</w:t>
      </w:r>
    </w:p>
    <w:p w14:paraId="130E465D" w14:textId="77777777" w:rsidR="00833606" w:rsidRDefault="00FE4AC4" w:rsidP="007C79C2">
      <w:pPr>
        <w:pStyle w:val="Definition"/>
      </w:pPr>
      <w:r>
        <w:rPr>
          <w:b/>
          <w:bCs/>
          <w:i/>
          <w:iCs/>
        </w:rPr>
        <w:t>s</w:t>
      </w:r>
      <w:r w:rsidRPr="00FE4AC4">
        <w:rPr>
          <w:b/>
          <w:bCs/>
          <w:i/>
          <w:iCs/>
        </w:rPr>
        <w:t>tored value facility provider</w:t>
      </w:r>
      <w:r>
        <w:t xml:space="preserve"> means a person who</w:t>
      </w:r>
      <w:r w:rsidR="00833606">
        <w:t>:</w:t>
      </w:r>
    </w:p>
    <w:p w14:paraId="16F346DE" w14:textId="2F3C2AB6" w:rsidR="00FE4AC4" w:rsidRDefault="00833606" w:rsidP="007C79C2">
      <w:pPr>
        <w:pStyle w:val="paragraph"/>
      </w:pPr>
      <w:r>
        <w:tab/>
        <w:t>(a)</w:t>
      </w:r>
      <w:r>
        <w:tab/>
      </w:r>
      <w:r w:rsidR="00FE4AC4">
        <w:t>carries on a financial services business in this jurisdiction that consists wholly or partly of issuing stored value facilities</w:t>
      </w:r>
      <w:r>
        <w:t>; and</w:t>
      </w:r>
    </w:p>
    <w:p w14:paraId="756C7E98" w14:textId="0A1822BA" w:rsidR="00833606" w:rsidRDefault="00833606" w:rsidP="007C79C2">
      <w:pPr>
        <w:pStyle w:val="paragraph"/>
      </w:pPr>
      <w:r>
        <w:tab/>
        <w:t>(b)</w:t>
      </w:r>
      <w:r>
        <w:tab/>
        <w:t>is a constitutionally</w:t>
      </w:r>
      <w:r w:rsidR="007C79C2">
        <w:noBreakHyphen/>
      </w:r>
      <w:r>
        <w:t>covered corporation.</w:t>
      </w:r>
    </w:p>
    <w:p w14:paraId="7611CCEC" w14:textId="79D9AB8F" w:rsidR="002F6B54" w:rsidRDefault="002F6B54" w:rsidP="007C79C2">
      <w:pPr>
        <w:pStyle w:val="Definition"/>
      </w:pPr>
      <w:r w:rsidRPr="00AC1263">
        <w:rPr>
          <w:b/>
          <w:bCs/>
          <w:i/>
          <w:iCs/>
        </w:rPr>
        <w:t>tokenised stored value facility</w:t>
      </w:r>
      <w:r>
        <w:t xml:space="preserve"> has the meaning given by </w:t>
      </w:r>
      <w:r w:rsidR="00120E37">
        <w:t>section 7</w:t>
      </w:r>
      <w:r w:rsidR="00D075CF">
        <w:t>61</w:t>
      </w:r>
      <w:r w:rsidR="00BB65B9">
        <w:t>E</w:t>
      </w:r>
      <w:r w:rsidR="00D07733">
        <w:t>C</w:t>
      </w:r>
      <w:r>
        <w:t>.</w:t>
      </w:r>
    </w:p>
    <w:p w14:paraId="1CCFC33B" w14:textId="77777777" w:rsidR="00833606" w:rsidRDefault="00FE4AC4" w:rsidP="007C79C2">
      <w:pPr>
        <w:pStyle w:val="Definition"/>
      </w:pPr>
      <w:r>
        <w:rPr>
          <w:b/>
          <w:bCs/>
          <w:i/>
          <w:iCs/>
        </w:rPr>
        <w:t>tokenised s</w:t>
      </w:r>
      <w:r w:rsidRPr="00FE4AC4">
        <w:rPr>
          <w:b/>
          <w:bCs/>
          <w:i/>
          <w:iCs/>
        </w:rPr>
        <w:t>tored value facility provider</w:t>
      </w:r>
      <w:r>
        <w:t xml:space="preserve"> means a person who</w:t>
      </w:r>
      <w:r w:rsidR="00833606">
        <w:t>:</w:t>
      </w:r>
    </w:p>
    <w:p w14:paraId="0D195921" w14:textId="0CEA6CFA" w:rsidR="00FE4AC4" w:rsidRDefault="00833606" w:rsidP="007C79C2">
      <w:pPr>
        <w:pStyle w:val="paragraph"/>
      </w:pPr>
      <w:r>
        <w:tab/>
        <w:t>(a)</w:t>
      </w:r>
      <w:r>
        <w:tab/>
      </w:r>
      <w:r w:rsidR="00FE4AC4">
        <w:t>carries on a financial services business in this jurisdiction that consists wholly or partly of issuing tokenised stored value facilities</w:t>
      </w:r>
      <w:r>
        <w:t>; and</w:t>
      </w:r>
    </w:p>
    <w:p w14:paraId="3016993B" w14:textId="188B6F7A" w:rsidR="00833606" w:rsidRDefault="00833606" w:rsidP="007C79C2">
      <w:pPr>
        <w:pStyle w:val="paragraph"/>
      </w:pPr>
      <w:r>
        <w:tab/>
        <w:t>(b)</w:t>
      </w:r>
      <w:r>
        <w:tab/>
        <w:t>is a constitutionally</w:t>
      </w:r>
      <w:r w:rsidR="007C79C2">
        <w:noBreakHyphen/>
      </w:r>
      <w:r>
        <w:t>covered corporation.</w:t>
      </w:r>
    </w:p>
    <w:p w14:paraId="23EF602A" w14:textId="77777777" w:rsidR="002F6B54" w:rsidRDefault="002F6B54" w:rsidP="007C79C2">
      <w:pPr>
        <w:pStyle w:val="Definition"/>
      </w:pPr>
      <w:r>
        <w:rPr>
          <w:b/>
          <w:bCs/>
          <w:i/>
          <w:iCs/>
        </w:rPr>
        <w:t>transfer</w:t>
      </w:r>
      <w:r>
        <w:t xml:space="preserve"> of funds</w:t>
      </w:r>
      <w:r w:rsidRPr="00672483">
        <w:t xml:space="preserve"> includes any act or thing, or any series or combination of acts or things, that may reasonably be regarded as the economic equivalent of a transfer </w:t>
      </w:r>
      <w:r>
        <w:t xml:space="preserve">of funds </w:t>
      </w:r>
      <w:r w:rsidRPr="00672483">
        <w:t>(for example, debiting an amount from a person’s account and crediting an equivalent amount to another person’s account).</w:t>
      </w:r>
    </w:p>
    <w:p w14:paraId="1B772371" w14:textId="590C71C5" w:rsidR="0021123E" w:rsidRPr="00315634" w:rsidRDefault="00304C61" w:rsidP="007C79C2">
      <w:pPr>
        <w:pStyle w:val="ItemHead"/>
      </w:pPr>
      <w:r>
        <w:t>7</w:t>
      </w:r>
      <w:r w:rsidR="0021123E" w:rsidRPr="00315634">
        <w:t xml:space="preserve">  </w:t>
      </w:r>
      <w:r w:rsidR="00E12AA4">
        <w:t>Section 7</w:t>
      </w:r>
      <w:r w:rsidR="0021123E" w:rsidRPr="00315634">
        <w:t>61A</w:t>
      </w:r>
    </w:p>
    <w:p w14:paraId="3651BC3A" w14:textId="6D935E10" w:rsidR="0021123E" w:rsidRPr="00315634" w:rsidRDefault="0021123E" w:rsidP="007C79C2">
      <w:pPr>
        <w:pStyle w:val="Item"/>
      </w:pPr>
      <w:r w:rsidRPr="00315634">
        <w:t>Insert:</w:t>
      </w:r>
    </w:p>
    <w:p w14:paraId="3CA841E5" w14:textId="77777777" w:rsidR="007B6D00" w:rsidRDefault="0021123E" w:rsidP="007C79C2">
      <w:pPr>
        <w:pStyle w:val="Definition"/>
      </w:pPr>
      <w:r w:rsidRPr="0021123E">
        <w:rPr>
          <w:b/>
          <w:bCs/>
          <w:i/>
          <w:iCs/>
        </w:rPr>
        <w:t>funds</w:t>
      </w:r>
      <w:r w:rsidRPr="0021123E">
        <w:t xml:space="preserve">, when used in connection with a </w:t>
      </w:r>
      <w:r w:rsidR="009A2201">
        <w:t>transfer of funds, means</w:t>
      </w:r>
      <w:r w:rsidR="007B6D00">
        <w:t>:</w:t>
      </w:r>
    </w:p>
    <w:p w14:paraId="1C1B8CB8" w14:textId="77777777" w:rsidR="007B6D00" w:rsidRDefault="007B6D00" w:rsidP="007C79C2">
      <w:pPr>
        <w:pStyle w:val="paragraph"/>
      </w:pPr>
      <w:r>
        <w:tab/>
        <w:t>(a)</w:t>
      </w:r>
      <w:r>
        <w:tab/>
        <w:t>money; or</w:t>
      </w:r>
    </w:p>
    <w:p w14:paraId="67F2375F" w14:textId="77777777" w:rsidR="007B6D00" w:rsidRDefault="007B6D00" w:rsidP="007C79C2">
      <w:pPr>
        <w:pStyle w:val="paragraph"/>
      </w:pPr>
      <w:r>
        <w:tab/>
        <w:t>(b)</w:t>
      </w:r>
      <w:r>
        <w:tab/>
        <w:t xml:space="preserve">another </w:t>
      </w:r>
      <w:r w:rsidRPr="002E31C6">
        <w:t>medium of exchange</w:t>
      </w:r>
      <w:r>
        <w:t xml:space="preserve"> prescribed by the regulations; or</w:t>
      </w:r>
    </w:p>
    <w:p w14:paraId="5243311F" w14:textId="3D9D5AC6" w:rsidR="007B6D00" w:rsidRDefault="007B6D00" w:rsidP="007C79C2">
      <w:pPr>
        <w:pStyle w:val="paragraph"/>
      </w:pPr>
      <w:r>
        <w:tab/>
      </w:r>
      <w:r w:rsidRPr="001E420F">
        <w:t>(</w:t>
      </w:r>
      <w:r>
        <w:t>c</w:t>
      </w:r>
      <w:r w:rsidRPr="001E420F">
        <w:t>)</w:t>
      </w:r>
      <w:r w:rsidRPr="001E420F">
        <w:tab/>
        <w:t xml:space="preserve">a right to </w:t>
      </w:r>
      <w:r w:rsidR="006C0CEC">
        <w:t>redeem</w:t>
      </w:r>
      <w:r>
        <w:t>:</w:t>
      </w:r>
    </w:p>
    <w:p w14:paraId="76C04488" w14:textId="77777777" w:rsidR="007B6D00" w:rsidRDefault="007B6D00" w:rsidP="007C79C2">
      <w:pPr>
        <w:pStyle w:val="paragraphsub"/>
      </w:pPr>
      <w:r>
        <w:tab/>
        <w:t>(i)</w:t>
      </w:r>
      <w:r>
        <w:tab/>
      </w:r>
      <w:r w:rsidRPr="001E420F">
        <w:t>money</w:t>
      </w:r>
      <w:r>
        <w:t>; or</w:t>
      </w:r>
    </w:p>
    <w:p w14:paraId="4912002E" w14:textId="69013B53" w:rsidR="007B6D00" w:rsidRDefault="007B6D00" w:rsidP="007C79C2">
      <w:pPr>
        <w:pStyle w:val="paragraphsub"/>
      </w:pPr>
      <w:r>
        <w:lastRenderedPageBreak/>
        <w:tab/>
        <w:t>(ii)</w:t>
      </w:r>
      <w:r>
        <w:tab/>
        <w:t xml:space="preserve">a </w:t>
      </w:r>
      <w:r w:rsidRPr="002E31C6">
        <w:t>medium of exchange</w:t>
      </w:r>
      <w:r>
        <w:t xml:space="preserve"> prescribed for the purposes of </w:t>
      </w:r>
      <w:r w:rsidR="007C79C2">
        <w:t>paragraph (</w:t>
      </w:r>
      <w:r>
        <w:t>b)</w:t>
      </w:r>
      <w:r w:rsidRPr="001E420F">
        <w:t>.</w:t>
      </w:r>
    </w:p>
    <w:p w14:paraId="52A5E49D" w14:textId="2D3F9E48" w:rsidR="00315634" w:rsidRDefault="00304C61" w:rsidP="007C79C2">
      <w:pPr>
        <w:pStyle w:val="ItemHead"/>
      </w:pPr>
      <w:r>
        <w:t>8</w:t>
      </w:r>
      <w:r w:rsidR="00315634">
        <w:t xml:space="preserve">  </w:t>
      </w:r>
      <w:r w:rsidR="004426B9">
        <w:t xml:space="preserve">At the end of </w:t>
      </w:r>
      <w:r w:rsidR="00120E37">
        <w:t>section 7</w:t>
      </w:r>
      <w:r w:rsidR="004426B9">
        <w:t>61B</w:t>
      </w:r>
    </w:p>
    <w:p w14:paraId="066AFB54" w14:textId="2133DBFF" w:rsidR="004426B9" w:rsidRDefault="004426B9" w:rsidP="007C79C2">
      <w:pPr>
        <w:pStyle w:val="Item"/>
      </w:pPr>
      <w:r>
        <w:t>Add:</w:t>
      </w:r>
    </w:p>
    <w:p w14:paraId="20B2E371" w14:textId="09BF2486" w:rsidR="004426B9" w:rsidRDefault="004426B9" w:rsidP="007C79C2">
      <w:pPr>
        <w:pStyle w:val="subsection"/>
      </w:pPr>
      <w:r>
        <w:tab/>
        <w:t>(3)</w:t>
      </w:r>
      <w:r>
        <w:tab/>
        <w:t>For the purposes of this Part, if:</w:t>
      </w:r>
    </w:p>
    <w:p w14:paraId="09CC33E8" w14:textId="564D29F7" w:rsidR="004426B9" w:rsidRDefault="004426B9" w:rsidP="007C79C2">
      <w:pPr>
        <w:pStyle w:val="paragraph"/>
      </w:pPr>
      <w:r>
        <w:tab/>
        <w:t>(a)</w:t>
      </w:r>
      <w:r>
        <w:tab/>
        <w:t>a</w:t>
      </w:r>
      <w:r w:rsidR="00DD6A39">
        <w:t xml:space="preserve"> payment service would not be provided under an</w:t>
      </w:r>
      <w:r>
        <w:t xml:space="preserve"> arrangement (as defined in </w:t>
      </w:r>
      <w:r w:rsidR="007C79C2">
        <w:t>subsection (</w:t>
      </w:r>
      <w:r>
        <w:t>1)), when considered by itself; and</w:t>
      </w:r>
    </w:p>
    <w:p w14:paraId="79EFF430" w14:textId="1681DA22" w:rsidR="004426B9" w:rsidRDefault="004426B9" w:rsidP="007C79C2">
      <w:pPr>
        <w:pStyle w:val="paragraph"/>
      </w:pPr>
      <w:r>
        <w:tab/>
        <w:t>(b)</w:t>
      </w:r>
      <w:r>
        <w:tab/>
      </w:r>
      <w:r w:rsidR="00154CD0">
        <w:t xml:space="preserve">the payment service would have been provided </w:t>
      </w:r>
      <w:r w:rsidR="006566A1">
        <w:t xml:space="preserve">under an arrangement </w:t>
      </w:r>
      <w:r w:rsidR="00154CD0">
        <w:t>if th</w:t>
      </w:r>
      <w:r w:rsidR="006566A1">
        <w:t xml:space="preserve">e </w:t>
      </w:r>
      <w:r w:rsidR="00154CD0">
        <w:t>arrangement</w:t>
      </w:r>
      <w:r w:rsidR="006566A1">
        <w:t xml:space="preserve"> mentioned in </w:t>
      </w:r>
      <w:r w:rsidR="007C79C2">
        <w:t>paragraph (</w:t>
      </w:r>
      <w:r w:rsidR="006566A1">
        <w:t>a)</w:t>
      </w:r>
      <w:r w:rsidR="00154CD0">
        <w:t xml:space="preserve"> and one or more other arrangements</w:t>
      </w:r>
      <w:r w:rsidR="006566A1">
        <w:t xml:space="preserve"> </w:t>
      </w:r>
      <w:r>
        <w:t>had instead been a single arrangement</w:t>
      </w:r>
      <w:r w:rsidR="006566A1">
        <w:t>;</w:t>
      </w:r>
      <w:r>
        <w:t xml:space="preserve"> and</w:t>
      </w:r>
    </w:p>
    <w:p w14:paraId="0577DC63" w14:textId="77777777" w:rsidR="004426B9" w:rsidRDefault="004426B9" w:rsidP="007C79C2">
      <w:pPr>
        <w:pStyle w:val="paragraph"/>
      </w:pPr>
      <w:r>
        <w:tab/>
        <w:t>(c)</w:t>
      </w:r>
      <w:r>
        <w:tab/>
        <w:t>it is reasonable to assume that the parties to the arrangements regard them as constituting a single scheme;</w:t>
      </w:r>
    </w:p>
    <w:p w14:paraId="0A66D9EE" w14:textId="624E7AAF" w:rsidR="004426B9" w:rsidRDefault="004426B9" w:rsidP="007C79C2">
      <w:pPr>
        <w:pStyle w:val="subsection2"/>
      </w:pPr>
      <w:r>
        <w:t>the arrangements are to be treated as if they together constituted a single arrangement.</w:t>
      </w:r>
    </w:p>
    <w:p w14:paraId="4EBD9E6A" w14:textId="53CE21BE" w:rsidR="00415F84" w:rsidRDefault="00304C61" w:rsidP="007C79C2">
      <w:pPr>
        <w:pStyle w:val="ItemHead"/>
      </w:pPr>
      <w:r>
        <w:t>9</w:t>
      </w:r>
      <w:r w:rsidR="00415F84">
        <w:t xml:space="preserve">  After </w:t>
      </w:r>
      <w:r w:rsidR="00120E37">
        <w:t>section 7</w:t>
      </w:r>
      <w:r w:rsidR="00415F84">
        <w:t>61EA</w:t>
      </w:r>
    </w:p>
    <w:p w14:paraId="5B732EB5" w14:textId="77777777" w:rsidR="00415F84" w:rsidRDefault="00415F84" w:rsidP="007C79C2">
      <w:pPr>
        <w:pStyle w:val="Item"/>
      </w:pPr>
      <w:r>
        <w:t>Insert:</w:t>
      </w:r>
    </w:p>
    <w:p w14:paraId="4AD2A199" w14:textId="0550739B" w:rsidR="00415F84" w:rsidRDefault="00415F84" w:rsidP="007C79C2">
      <w:pPr>
        <w:pStyle w:val="ActHead5"/>
        <w:rPr>
          <w:i/>
          <w:iCs/>
        </w:rPr>
      </w:pPr>
      <w:r w:rsidRPr="007C79C2">
        <w:rPr>
          <w:rStyle w:val="CharSectno"/>
        </w:rPr>
        <w:t>761E</w:t>
      </w:r>
      <w:r w:rsidR="00490DD0" w:rsidRPr="007C79C2">
        <w:rPr>
          <w:rStyle w:val="CharSectno"/>
        </w:rPr>
        <w:t>B</w:t>
      </w:r>
      <w:r>
        <w:t xml:space="preserve">  Meaning of </w:t>
      </w:r>
      <w:r w:rsidRPr="00B7580D">
        <w:rPr>
          <w:i/>
          <w:iCs/>
        </w:rPr>
        <w:t>stored value facility</w:t>
      </w:r>
    </w:p>
    <w:p w14:paraId="0D8E3CB5" w14:textId="7228D23E" w:rsidR="00415F84" w:rsidRDefault="00415F84" w:rsidP="007C79C2">
      <w:pPr>
        <w:pStyle w:val="subsection"/>
      </w:pPr>
      <w:r>
        <w:tab/>
        <w:t>(1)</w:t>
      </w:r>
      <w:r>
        <w:tab/>
        <w:t xml:space="preserve">A </w:t>
      </w:r>
      <w:r w:rsidRPr="0040510C">
        <w:rPr>
          <w:b/>
          <w:bCs/>
          <w:i/>
          <w:iCs/>
        </w:rPr>
        <w:t>stored value facility</w:t>
      </w:r>
      <w:r>
        <w:t xml:space="preserve"> is a facility under which:</w:t>
      </w:r>
    </w:p>
    <w:p w14:paraId="24BBA23B" w14:textId="77777777" w:rsidR="00415F84" w:rsidRDefault="00415F84" w:rsidP="007C79C2">
      <w:pPr>
        <w:pStyle w:val="paragraph"/>
      </w:pPr>
      <w:r>
        <w:tab/>
        <w:t>(a)</w:t>
      </w:r>
      <w:r>
        <w:tab/>
        <w:t>funds are transferred to a person without any instruction as to the further transfer of the funds; and</w:t>
      </w:r>
    </w:p>
    <w:p w14:paraId="4D4B66EF" w14:textId="47E75A71" w:rsidR="00415F84" w:rsidRDefault="00415F84" w:rsidP="007C79C2">
      <w:pPr>
        <w:pStyle w:val="paragraph"/>
      </w:pPr>
      <w:r>
        <w:tab/>
        <w:t>(b)</w:t>
      </w:r>
      <w:r>
        <w:tab/>
        <w:t xml:space="preserve">another person acquires </w:t>
      </w:r>
      <w:r w:rsidRPr="0076220B">
        <w:t>one or more rights</w:t>
      </w:r>
      <w:r>
        <w:t xml:space="preserve"> to </w:t>
      </w:r>
      <w:r w:rsidR="00D07733">
        <w:t>redeem</w:t>
      </w:r>
      <w:r>
        <w:t xml:space="preserve"> from a person (whether or not the person mentioned in </w:t>
      </w:r>
      <w:r w:rsidR="007C79C2">
        <w:t>paragraph (</w:t>
      </w:r>
      <w:r>
        <w:t xml:space="preserve">a)) </w:t>
      </w:r>
      <w:r w:rsidRPr="008E22A0">
        <w:t>amounts</w:t>
      </w:r>
      <w:r>
        <w:t xml:space="preserve"> not exceeding the amount from time to time standing to the credit of the facility; and</w:t>
      </w:r>
    </w:p>
    <w:p w14:paraId="60B8ACD3" w14:textId="77777777" w:rsidR="00415F84" w:rsidRDefault="00415F84" w:rsidP="007C79C2">
      <w:pPr>
        <w:pStyle w:val="paragraph"/>
      </w:pPr>
      <w:r>
        <w:tab/>
        <w:t>(c)</w:t>
      </w:r>
      <w:r>
        <w:tab/>
        <w:t>each such right may be exercised by:</w:t>
      </w:r>
    </w:p>
    <w:p w14:paraId="0EF81B9F" w14:textId="2FE73388" w:rsidR="00F14E02" w:rsidRDefault="00415F84" w:rsidP="007C79C2">
      <w:pPr>
        <w:pStyle w:val="paragraphsub"/>
      </w:pPr>
      <w:r>
        <w:tab/>
        <w:t>(i)</w:t>
      </w:r>
      <w:r>
        <w:tab/>
      </w:r>
      <w:r w:rsidR="00B759FF">
        <w:t>the person who possesses the right</w:t>
      </w:r>
      <w:r w:rsidR="006E2BFF">
        <w:t>; or</w:t>
      </w:r>
    </w:p>
    <w:p w14:paraId="401DEC05" w14:textId="77777777" w:rsidR="00B759FF" w:rsidRDefault="00415F84" w:rsidP="007C79C2">
      <w:pPr>
        <w:pStyle w:val="paragraphsub"/>
      </w:pPr>
      <w:r>
        <w:tab/>
        <w:t>(ii)</w:t>
      </w:r>
      <w:r>
        <w:tab/>
        <w:t>a person nominated by th</w:t>
      </w:r>
      <w:r w:rsidR="00B759FF">
        <w:t xml:space="preserve">at </w:t>
      </w:r>
      <w:r>
        <w:t>person</w:t>
      </w:r>
      <w:r w:rsidR="00B759FF">
        <w:t>;</w:t>
      </w:r>
    </w:p>
    <w:p w14:paraId="2D1226E3" w14:textId="17C80684" w:rsidR="00415F84" w:rsidRDefault="00415F84" w:rsidP="007C79C2">
      <w:pPr>
        <w:pStyle w:val="paragraph"/>
      </w:pPr>
      <w:r>
        <w:tab/>
      </w:r>
      <w:r>
        <w:tab/>
        <w:t>by one or more methods that include making a non</w:t>
      </w:r>
      <w:r w:rsidR="007C79C2">
        <w:noBreakHyphen/>
      </w:r>
      <w:r>
        <w:t>cash funds transfer.</w:t>
      </w:r>
    </w:p>
    <w:p w14:paraId="2C6A8B30" w14:textId="4576E753" w:rsidR="00415F84" w:rsidRDefault="00415F84" w:rsidP="007C79C2">
      <w:pPr>
        <w:pStyle w:val="notetext"/>
      </w:pPr>
      <w:r>
        <w:t>Note:</w:t>
      </w:r>
      <w:r>
        <w:tab/>
        <w:t xml:space="preserve">For </w:t>
      </w:r>
      <w:r w:rsidR="007C79C2">
        <w:t>paragraph (</w:t>
      </w:r>
      <w:r>
        <w:t>c), if the right is transferred, the person who possesses the right may be a person other than the</w:t>
      </w:r>
      <w:r w:rsidR="00B47B0D">
        <w:t xml:space="preserve"> person mentioned in </w:t>
      </w:r>
      <w:r w:rsidR="007C79C2">
        <w:t>paragraph (</w:t>
      </w:r>
      <w:r w:rsidR="00B47B0D">
        <w:t>b)</w:t>
      </w:r>
      <w:r>
        <w:t>.</w:t>
      </w:r>
    </w:p>
    <w:p w14:paraId="273C2ED7" w14:textId="2BFF98B2" w:rsidR="00415F84" w:rsidRDefault="00415F84" w:rsidP="007C79C2">
      <w:pPr>
        <w:pStyle w:val="subsection"/>
      </w:pPr>
      <w:r>
        <w:lastRenderedPageBreak/>
        <w:tab/>
        <w:t>(2)</w:t>
      </w:r>
      <w:r>
        <w:tab/>
        <w:t xml:space="preserve">The regulations may prescribe facilities that are taken not to be </w:t>
      </w:r>
      <w:r w:rsidRPr="0059100A">
        <w:rPr>
          <w:b/>
          <w:bCs/>
          <w:i/>
          <w:iCs/>
        </w:rPr>
        <w:t>stored valued facilities</w:t>
      </w:r>
      <w:r>
        <w:t>. Regulations made for the purposes of this subsection have effect despite anything else in this section.</w:t>
      </w:r>
    </w:p>
    <w:p w14:paraId="24E02849" w14:textId="1A8CD3CD" w:rsidR="00415F84" w:rsidRDefault="00415F84" w:rsidP="007C79C2">
      <w:pPr>
        <w:pStyle w:val="subsection"/>
      </w:pPr>
      <w:r>
        <w:tab/>
        <w:t>(</w:t>
      </w:r>
      <w:r w:rsidR="00DC0440">
        <w:t>3</w:t>
      </w:r>
      <w:r>
        <w:t>)</w:t>
      </w:r>
      <w:r>
        <w:tab/>
        <w:t xml:space="preserve">For the purposes of </w:t>
      </w:r>
      <w:r w:rsidR="00E12AA4">
        <w:t>sub</w:t>
      </w:r>
      <w:r w:rsidR="00120E37">
        <w:t>section 7</w:t>
      </w:r>
      <w:r w:rsidR="009345CC">
        <w:t>6</w:t>
      </w:r>
      <w:r w:rsidR="00EB0B22">
        <w:t>1</w:t>
      </w:r>
      <w:r w:rsidR="009345CC">
        <w:t>E</w:t>
      </w:r>
      <w:r w:rsidR="00A3484B">
        <w:t>F</w:t>
      </w:r>
      <w:r>
        <w:t xml:space="preserve">(1) (meaning of </w:t>
      </w:r>
      <w:r w:rsidRPr="009646BB">
        <w:rPr>
          <w:b/>
          <w:bCs/>
          <w:i/>
          <w:iCs/>
        </w:rPr>
        <w:t>non</w:t>
      </w:r>
      <w:r w:rsidR="007C79C2">
        <w:rPr>
          <w:b/>
          <w:bCs/>
          <w:i/>
          <w:iCs/>
        </w:rPr>
        <w:noBreakHyphen/>
      </w:r>
      <w:r w:rsidRPr="009646BB">
        <w:rPr>
          <w:b/>
          <w:bCs/>
          <w:i/>
          <w:iCs/>
        </w:rPr>
        <w:t>cash funds transfer</w:t>
      </w:r>
      <w:r w:rsidRPr="000C2BC8">
        <w:t>)</w:t>
      </w:r>
      <w:r w:rsidRPr="0030073E">
        <w:t>,</w:t>
      </w:r>
      <w:r>
        <w:t xml:space="preserve"> funds equal to so much of the amount standing to the credit of a stored value facility as relates to a right mentioned in </w:t>
      </w:r>
      <w:r w:rsidR="007C79C2">
        <w:t>paragraph (</w:t>
      </w:r>
      <w:r>
        <w:t xml:space="preserve">1)(b) of this section are taken to stand to the credit of the person covered by </w:t>
      </w:r>
      <w:r w:rsidR="00120E37">
        <w:t>sub</w:t>
      </w:r>
      <w:r w:rsidR="007C79C2">
        <w:t>paragraph (</w:t>
      </w:r>
      <w:r>
        <w:t>1)(c)(i) or (ii) of this section.</w:t>
      </w:r>
    </w:p>
    <w:p w14:paraId="467634E9" w14:textId="61C73B54" w:rsidR="00415F84" w:rsidRPr="002B6201" w:rsidRDefault="00415F84" w:rsidP="007C79C2">
      <w:pPr>
        <w:pStyle w:val="ActHead5"/>
      </w:pPr>
      <w:r w:rsidRPr="007C79C2">
        <w:rPr>
          <w:rStyle w:val="CharSectno"/>
        </w:rPr>
        <w:t>761E</w:t>
      </w:r>
      <w:r w:rsidR="00490DD0" w:rsidRPr="007C79C2">
        <w:rPr>
          <w:rStyle w:val="CharSectno"/>
        </w:rPr>
        <w:t>C</w:t>
      </w:r>
      <w:r w:rsidRPr="002B6201">
        <w:t xml:space="preserve">  </w:t>
      </w:r>
      <w:r>
        <w:t xml:space="preserve">Meaning of </w:t>
      </w:r>
      <w:r w:rsidRPr="00C55DE2">
        <w:rPr>
          <w:i/>
          <w:iCs/>
        </w:rPr>
        <w:t>tokenised stored value facilit</w:t>
      </w:r>
      <w:r>
        <w:rPr>
          <w:i/>
          <w:iCs/>
        </w:rPr>
        <w:t>y</w:t>
      </w:r>
    </w:p>
    <w:p w14:paraId="3FD8B7EB" w14:textId="77777777" w:rsidR="00415F84" w:rsidRDefault="00415F84" w:rsidP="007C79C2">
      <w:pPr>
        <w:pStyle w:val="subsection"/>
      </w:pPr>
      <w:r w:rsidRPr="002B6201">
        <w:tab/>
      </w:r>
      <w:r>
        <w:t>(1)</w:t>
      </w:r>
      <w:r w:rsidRPr="002B6201">
        <w:tab/>
        <w:t xml:space="preserve">A </w:t>
      </w:r>
      <w:r w:rsidRPr="00AC1263">
        <w:rPr>
          <w:b/>
          <w:bCs/>
          <w:i/>
          <w:iCs/>
        </w:rPr>
        <w:t>tokenised stored value facility</w:t>
      </w:r>
      <w:r w:rsidRPr="002B6201">
        <w:t xml:space="preserve"> is a stored value facility in relation to which the following conditions are satisfied:</w:t>
      </w:r>
    </w:p>
    <w:p w14:paraId="78149413" w14:textId="69038081" w:rsidR="00415F84" w:rsidRDefault="00415F84" w:rsidP="007C79C2">
      <w:pPr>
        <w:pStyle w:val="paragraph"/>
      </w:pPr>
      <w:r w:rsidRPr="002B6201">
        <w:tab/>
        <w:t>(</w:t>
      </w:r>
      <w:r>
        <w:t>a</w:t>
      </w:r>
      <w:r w:rsidRPr="002B6201">
        <w:t>)</w:t>
      </w:r>
      <w:r w:rsidRPr="002B6201">
        <w:tab/>
      </w:r>
      <w:r>
        <w:t>each</w:t>
      </w:r>
      <w:r w:rsidRPr="002B6201">
        <w:t xml:space="preserve"> right to </w:t>
      </w:r>
      <w:r w:rsidR="00D158D1">
        <w:t xml:space="preserve">redeem </w:t>
      </w:r>
      <w:r>
        <w:t xml:space="preserve">a particular amount in respect of the amount standing to the credit of the facility </w:t>
      </w:r>
      <w:r w:rsidRPr="002B6201">
        <w:t>is</w:t>
      </w:r>
      <w:r>
        <w:t xml:space="preserve"> </w:t>
      </w:r>
      <w:r w:rsidR="00CD2951">
        <w:t xml:space="preserve">exercisable only by the person who possesses </w:t>
      </w:r>
      <w:r w:rsidR="00737AD4">
        <w:t xml:space="preserve">the digital </w:t>
      </w:r>
      <w:r w:rsidR="00CD2951">
        <w:t xml:space="preserve">token </w:t>
      </w:r>
      <w:r w:rsidR="00077452" w:rsidRPr="00077452">
        <w:t>attached</w:t>
      </w:r>
      <w:r w:rsidR="00737AD4">
        <w:t xml:space="preserve"> to </w:t>
      </w:r>
      <w:r w:rsidR="006C0CEC">
        <w:t>that right</w:t>
      </w:r>
      <w:r>
        <w:t>;</w:t>
      </w:r>
    </w:p>
    <w:p w14:paraId="488197B6" w14:textId="409C5001" w:rsidR="00415F84" w:rsidRDefault="00415F84" w:rsidP="007C79C2">
      <w:pPr>
        <w:pStyle w:val="paragraph"/>
      </w:pPr>
      <w:r>
        <w:tab/>
        <w:t>(b)</w:t>
      </w:r>
      <w:r>
        <w:tab/>
        <w:t xml:space="preserve">the amount that may be </w:t>
      </w:r>
      <w:r w:rsidR="006C0CEC">
        <w:t>redeemed</w:t>
      </w:r>
      <w:r>
        <w:t xml:space="preserve"> in exercising </w:t>
      </w:r>
      <w:r w:rsidR="00AE7958">
        <w:t>that</w:t>
      </w:r>
      <w:r>
        <w:t xml:space="preserve"> right is fixed and denominated in a single currency (whether Australian or foreign currency).</w:t>
      </w:r>
    </w:p>
    <w:p w14:paraId="2EA5EFDE" w14:textId="35695B62" w:rsidR="00415F84" w:rsidRDefault="00415F84" w:rsidP="007C79C2">
      <w:pPr>
        <w:pStyle w:val="subsection"/>
      </w:pPr>
      <w:r>
        <w:tab/>
        <w:t>(2)</w:t>
      </w:r>
      <w:r>
        <w:tab/>
        <w:t xml:space="preserve">The regulations may prescribe stored value facilities that are taken not to be </w:t>
      </w:r>
      <w:r w:rsidRPr="00C75ECC">
        <w:rPr>
          <w:b/>
          <w:bCs/>
          <w:i/>
          <w:iCs/>
        </w:rPr>
        <w:t>tokenised</w:t>
      </w:r>
      <w:r>
        <w:rPr>
          <w:i/>
          <w:iCs/>
        </w:rPr>
        <w:t xml:space="preserve"> </w:t>
      </w:r>
      <w:r w:rsidRPr="0059100A">
        <w:rPr>
          <w:b/>
          <w:bCs/>
          <w:i/>
          <w:iCs/>
        </w:rPr>
        <w:t>stored valued facilities</w:t>
      </w:r>
      <w:r>
        <w:t xml:space="preserve">. Regulations made for the purposes of this subsection have effect despite </w:t>
      </w:r>
      <w:r w:rsidR="007C79C2">
        <w:t>subsection (</w:t>
      </w:r>
      <w:r>
        <w:t>1).</w:t>
      </w:r>
    </w:p>
    <w:p w14:paraId="1B3FCBD5" w14:textId="4C06B747" w:rsidR="0008083E" w:rsidRPr="00120E37" w:rsidRDefault="0008083E" w:rsidP="007C79C2">
      <w:pPr>
        <w:pStyle w:val="ActHead5"/>
      </w:pPr>
      <w:r w:rsidRPr="007C79C2">
        <w:rPr>
          <w:rStyle w:val="CharSectno"/>
        </w:rPr>
        <w:t>761E</w:t>
      </w:r>
      <w:r w:rsidR="00A3484B" w:rsidRPr="007C79C2">
        <w:rPr>
          <w:rStyle w:val="CharSectno"/>
        </w:rPr>
        <w:t>D</w:t>
      </w:r>
      <w:r w:rsidRPr="00120E37">
        <w:t xml:space="preserve">  Meaning of major stored value facility provider</w:t>
      </w:r>
    </w:p>
    <w:p w14:paraId="79C457FC" w14:textId="77777777" w:rsidR="0008083E" w:rsidRPr="00141D05" w:rsidRDefault="0008083E" w:rsidP="007C79C2">
      <w:pPr>
        <w:pStyle w:val="subsection"/>
      </w:pPr>
      <w:r w:rsidRPr="00141D05">
        <w:tab/>
        <w:t>(1)</w:t>
      </w:r>
      <w:r w:rsidRPr="00141D05">
        <w:tab/>
        <w:t xml:space="preserve">A person is a </w:t>
      </w:r>
      <w:r w:rsidRPr="00141D05">
        <w:rPr>
          <w:b/>
          <w:bCs/>
          <w:i/>
          <w:iCs/>
        </w:rPr>
        <w:t>major stored value facility provider</w:t>
      </w:r>
      <w:r w:rsidRPr="00141D05">
        <w:t xml:space="preserve"> if:</w:t>
      </w:r>
    </w:p>
    <w:p w14:paraId="7C705335" w14:textId="77777777" w:rsidR="0008083E" w:rsidRPr="00141D05" w:rsidRDefault="0008083E" w:rsidP="007C79C2">
      <w:pPr>
        <w:pStyle w:val="paragraph"/>
      </w:pPr>
      <w:r w:rsidRPr="00141D05">
        <w:tab/>
        <w:t>(a)</w:t>
      </w:r>
      <w:r w:rsidRPr="00141D05">
        <w:tab/>
        <w:t>the person is a stored value facility provider; and</w:t>
      </w:r>
    </w:p>
    <w:p w14:paraId="7C351169" w14:textId="77777777" w:rsidR="0008083E" w:rsidRPr="00141D05" w:rsidRDefault="0008083E" w:rsidP="007C79C2">
      <w:pPr>
        <w:pStyle w:val="paragraph"/>
      </w:pPr>
      <w:r w:rsidRPr="00141D05">
        <w:tab/>
        <w:t>(b)</w:t>
      </w:r>
      <w:r w:rsidRPr="00141D05">
        <w:tab/>
        <w:t>the total of the following amounts:</w:t>
      </w:r>
    </w:p>
    <w:p w14:paraId="1AE9DE69" w14:textId="77777777" w:rsidR="0008083E" w:rsidRPr="00141D05" w:rsidRDefault="0008083E" w:rsidP="007C79C2">
      <w:pPr>
        <w:pStyle w:val="paragraphsub"/>
      </w:pPr>
      <w:r w:rsidRPr="00141D05">
        <w:tab/>
        <w:t>(i)</w:t>
      </w:r>
      <w:r w:rsidRPr="00141D05">
        <w:tab/>
        <w:t>the amounts standing to the credit of relevant facilities issued by the provider;</w:t>
      </w:r>
    </w:p>
    <w:p w14:paraId="19061FF7" w14:textId="77777777" w:rsidR="0008083E" w:rsidRPr="00141D05" w:rsidRDefault="0008083E" w:rsidP="007C79C2">
      <w:pPr>
        <w:pStyle w:val="paragraphsub"/>
      </w:pPr>
      <w:r w:rsidRPr="00141D05">
        <w:tab/>
        <w:t>(ii)</w:t>
      </w:r>
      <w:r w:rsidRPr="00141D05">
        <w:tab/>
        <w:t>the amounts standing to the credit of relevant facilities issued by related bodies corporate of the provider;</w:t>
      </w:r>
    </w:p>
    <w:p w14:paraId="1B04F497" w14:textId="4C14F3E2" w:rsidR="0008083E" w:rsidRPr="00141D05" w:rsidRDefault="0008083E" w:rsidP="007C79C2">
      <w:pPr>
        <w:pStyle w:val="paragraph"/>
      </w:pPr>
      <w:r w:rsidRPr="00141D05">
        <w:tab/>
      </w:r>
      <w:r w:rsidRPr="00141D05">
        <w:tab/>
        <w:t xml:space="preserve">is more than the amount specified in the </w:t>
      </w:r>
      <w:r w:rsidR="000C5F47">
        <w:t>regulations</w:t>
      </w:r>
      <w:r w:rsidRPr="00141D05">
        <w:t xml:space="preserve"> for the purposes of this paragraph.</w:t>
      </w:r>
    </w:p>
    <w:p w14:paraId="2827FEA1" w14:textId="250613A0" w:rsidR="0008083E" w:rsidRDefault="0008083E" w:rsidP="007C79C2">
      <w:pPr>
        <w:pStyle w:val="subsection"/>
      </w:pPr>
      <w:r w:rsidRPr="00141D05">
        <w:tab/>
        <w:t>(2)</w:t>
      </w:r>
      <w:r w:rsidRPr="00141D05">
        <w:tab/>
        <w:t xml:space="preserve">For the purposes of </w:t>
      </w:r>
      <w:r w:rsidR="007C79C2">
        <w:t>subsection (</w:t>
      </w:r>
      <w:r w:rsidRPr="00141D05">
        <w:t xml:space="preserve">1), a stored value facility is a </w:t>
      </w:r>
      <w:r w:rsidRPr="00141D05">
        <w:rPr>
          <w:b/>
          <w:bCs/>
          <w:i/>
          <w:iCs/>
        </w:rPr>
        <w:t>relevant facility</w:t>
      </w:r>
      <w:r w:rsidRPr="00141D05">
        <w:t xml:space="preserve"> if</w:t>
      </w:r>
      <w:r>
        <w:t>:</w:t>
      </w:r>
    </w:p>
    <w:p w14:paraId="21601BB1" w14:textId="77777777" w:rsidR="0008083E" w:rsidRDefault="0008083E" w:rsidP="007C79C2">
      <w:pPr>
        <w:pStyle w:val="paragraph"/>
      </w:pPr>
      <w:r>
        <w:tab/>
        <w:t>(a)</w:t>
      </w:r>
      <w:r>
        <w:tab/>
      </w:r>
      <w:r w:rsidRPr="00141D05">
        <w:t>amounts standing to the credit of the facility can be redeemed in Australian currency</w:t>
      </w:r>
      <w:r>
        <w:t>; and</w:t>
      </w:r>
    </w:p>
    <w:p w14:paraId="7F13076D" w14:textId="77777777" w:rsidR="0008083E" w:rsidRDefault="0008083E" w:rsidP="007C79C2">
      <w:pPr>
        <w:pStyle w:val="paragraph"/>
      </w:pPr>
      <w:r>
        <w:lastRenderedPageBreak/>
        <w:tab/>
        <w:t>(b)</w:t>
      </w:r>
      <w:r>
        <w:tab/>
        <w:t xml:space="preserve">the facility’s issuer was required to hold an Australian </w:t>
      </w:r>
      <w:r w:rsidRPr="00CB3D80">
        <w:t xml:space="preserve">financial services licence covering the </w:t>
      </w:r>
      <w:r>
        <w:t>issuing of the facility.</w:t>
      </w:r>
    </w:p>
    <w:p w14:paraId="1810CE4C" w14:textId="1573DCD4" w:rsidR="0008083E" w:rsidRDefault="0008083E" w:rsidP="007C79C2">
      <w:pPr>
        <w:pStyle w:val="notetext"/>
      </w:pPr>
      <w:r>
        <w:t>Note:</w:t>
      </w:r>
      <w:r>
        <w:tab/>
        <w:t xml:space="preserve">An Australian financial services licence would not have been required if the issuing of the facility was covered by an exemption under </w:t>
      </w:r>
      <w:r w:rsidR="00120E37">
        <w:t>subsection 9</w:t>
      </w:r>
      <w:r>
        <w:t>11A(2), 926A(2) or 926B(1).</w:t>
      </w:r>
    </w:p>
    <w:p w14:paraId="637E84EB" w14:textId="25D953A2" w:rsidR="0008083E" w:rsidRDefault="0008083E" w:rsidP="007C79C2">
      <w:pPr>
        <w:pStyle w:val="subsection"/>
      </w:pPr>
      <w:r w:rsidRPr="00141D05">
        <w:tab/>
        <w:t>(3)</w:t>
      </w:r>
      <w:r w:rsidRPr="00141D05">
        <w:tab/>
        <w:t xml:space="preserve">Despite </w:t>
      </w:r>
      <w:r w:rsidR="007C79C2">
        <w:t>subsection (</w:t>
      </w:r>
      <w:r w:rsidRPr="00141D05">
        <w:t xml:space="preserve">1), a person is not a </w:t>
      </w:r>
      <w:r w:rsidRPr="00141D05">
        <w:rPr>
          <w:b/>
          <w:bCs/>
          <w:i/>
          <w:iCs/>
        </w:rPr>
        <w:t>major stored value facility</w:t>
      </w:r>
      <w:r w:rsidRPr="00141D05">
        <w:t xml:space="preserve"> </w:t>
      </w:r>
      <w:r w:rsidRPr="00141D05">
        <w:rPr>
          <w:b/>
          <w:bCs/>
          <w:i/>
          <w:iCs/>
        </w:rPr>
        <w:t>provider</w:t>
      </w:r>
      <w:r w:rsidRPr="00141D05">
        <w:t xml:space="preserve"> if</w:t>
      </w:r>
      <w:r>
        <w:t xml:space="preserve"> </w:t>
      </w:r>
      <w:r w:rsidRPr="00141D05">
        <w:t xml:space="preserve">the person is of a kind prescribed by the </w:t>
      </w:r>
      <w:r w:rsidR="000C5F47">
        <w:t>regulations</w:t>
      </w:r>
      <w:r w:rsidRPr="00141D05">
        <w:t>.</w:t>
      </w:r>
    </w:p>
    <w:p w14:paraId="07BE10E7" w14:textId="28F288CC" w:rsidR="0008083E" w:rsidRPr="00141D05" w:rsidRDefault="0008083E" w:rsidP="007C79C2">
      <w:pPr>
        <w:pStyle w:val="subsection"/>
      </w:pPr>
      <w:r w:rsidRPr="00141D05">
        <w:tab/>
        <w:t>(4)</w:t>
      </w:r>
      <w:r w:rsidRPr="00141D05">
        <w:tab/>
        <w:t xml:space="preserve">The Minister must consult with APRA and ASIC before </w:t>
      </w:r>
      <w:r w:rsidR="000C5A27">
        <w:t>recommending to the Governor</w:t>
      </w:r>
      <w:r w:rsidR="007C79C2">
        <w:noBreakHyphen/>
      </w:r>
      <w:r w:rsidR="000C5A27">
        <w:t xml:space="preserve">General the </w:t>
      </w:r>
      <w:r w:rsidRPr="00141D05">
        <w:t xml:space="preserve">making </w:t>
      </w:r>
      <w:r w:rsidR="000C5A27">
        <w:t xml:space="preserve">of regulations </w:t>
      </w:r>
      <w:r w:rsidRPr="00141D05">
        <w:t xml:space="preserve">for the purposes of </w:t>
      </w:r>
      <w:r w:rsidR="007C79C2">
        <w:t>paragraph (</w:t>
      </w:r>
      <w:r w:rsidRPr="00141D05">
        <w:t xml:space="preserve">1)(b) or </w:t>
      </w:r>
      <w:r w:rsidR="007C79C2">
        <w:t>subsection (</w:t>
      </w:r>
      <w:r w:rsidRPr="00141D05">
        <w:t>3).</w:t>
      </w:r>
    </w:p>
    <w:p w14:paraId="2EEFEDD1" w14:textId="71CAF68D" w:rsidR="00415F84" w:rsidRDefault="00415F84" w:rsidP="007C79C2">
      <w:pPr>
        <w:pStyle w:val="ActHead5"/>
      </w:pPr>
      <w:r w:rsidRPr="007C79C2">
        <w:rPr>
          <w:rStyle w:val="CharSectno"/>
        </w:rPr>
        <w:t>761E</w:t>
      </w:r>
      <w:r w:rsidR="00A3484B" w:rsidRPr="007C79C2">
        <w:rPr>
          <w:rStyle w:val="CharSectno"/>
        </w:rPr>
        <w:t>E</w:t>
      </w:r>
      <w:r>
        <w:t xml:space="preserve">  Meaning of </w:t>
      </w:r>
      <w:r w:rsidRPr="00C55DE2">
        <w:rPr>
          <w:i/>
          <w:iCs/>
        </w:rPr>
        <w:t>payment instrument</w:t>
      </w:r>
    </w:p>
    <w:p w14:paraId="4583406B" w14:textId="14F38DE3" w:rsidR="00415F84" w:rsidRDefault="00415F84" w:rsidP="007C79C2">
      <w:pPr>
        <w:pStyle w:val="subsection"/>
      </w:pPr>
      <w:r>
        <w:tab/>
        <w:t>(1)</w:t>
      </w:r>
      <w:r>
        <w:tab/>
        <w:t xml:space="preserve">A </w:t>
      </w:r>
      <w:r>
        <w:rPr>
          <w:b/>
          <w:bCs/>
          <w:i/>
          <w:iCs/>
        </w:rPr>
        <w:t>payment instrument</w:t>
      </w:r>
      <w:r>
        <w:t xml:space="preserve"> is a facility that provides the terms on which a person may</w:t>
      </w:r>
      <w:r w:rsidRPr="001E24E7">
        <w:t>, as the payer,</w:t>
      </w:r>
      <w:r>
        <w:t xml:space="preserve"> use a particular method to make non</w:t>
      </w:r>
      <w:r w:rsidR="007C79C2">
        <w:noBreakHyphen/>
      </w:r>
      <w:r>
        <w:t>cash funds transfers of funds standing to the person’s credit under a facility.</w:t>
      </w:r>
    </w:p>
    <w:p w14:paraId="574B2C60" w14:textId="636BF3C4" w:rsidR="00415F84" w:rsidRDefault="00415F84" w:rsidP="007C79C2">
      <w:pPr>
        <w:pStyle w:val="notetext"/>
      </w:pPr>
      <w:r>
        <w:t>Note:</w:t>
      </w:r>
      <w:r>
        <w:tab/>
        <w:t>A payment instrument and the facility from the credit of which non</w:t>
      </w:r>
      <w:r w:rsidR="007C79C2">
        <w:noBreakHyphen/>
      </w:r>
      <w:r>
        <w:t xml:space="preserve">cash funds transfers of funds are made using the payment instrument may be components of the same arrangement (see </w:t>
      </w:r>
      <w:r w:rsidR="00120E37">
        <w:t>section 7</w:t>
      </w:r>
      <w:r>
        <w:t>62B).</w:t>
      </w:r>
    </w:p>
    <w:p w14:paraId="79F2411A" w14:textId="066A0DAC" w:rsidR="00415F84" w:rsidRDefault="00415F84" w:rsidP="007C79C2">
      <w:pPr>
        <w:pStyle w:val="subsection"/>
      </w:pPr>
      <w:r>
        <w:tab/>
        <w:t>(2)</w:t>
      </w:r>
      <w:r>
        <w:tab/>
        <w:t xml:space="preserve">The regulations may prescribe facilities that are taken not to be </w:t>
      </w:r>
      <w:r w:rsidRPr="00C75ECC">
        <w:rPr>
          <w:b/>
          <w:bCs/>
          <w:i/>
          <w:iCs/>
        </w:rPr>
        <w:t>payment instruments</w:t>
      </w:r>
      <w:r>
        <w:t xml:space="preserve">. Regulations made for the purposes of this subsection have effect despite </w:t>
      </w:r>
      <w:r w:rsidR="007C79C2">
        <w:t>subsection (</w:t>
      </w:r>
      <w:r>
        <w:t>1).</w:t>
      </w:r>
    </w:p>
    <w:p w14:paraId="51B6671E" w14:textId="52287C70" w:rsidR="00777B46" w:rsidRDefault="00777B46" w:rsidP="007C79C2">
      <w:pPr>
        <w:pStyle w:val="ActHead5"/>
        <w:rPr>
          <w:i/>
          <w:iCs/>
        </w:rPr>
      </w:pPr>
      <w:r w:rsidRPr="007C79C2">
        <w:rPr>
          <w:rStyle w:val="CharSectno"/>
        </w:rPr>
        <w:t>761E</w:t>
      </w:r>
      <w:r w:rsidR="00A3484B" w:rsidRPr="007C79C2">
        <w:rPr>
          <w:rStyle w:val="CharSectno"/>
        </w:rPr>
        <w:t>F</w:t>
      </w:r>
      <w:r>
        <w:t xml:space="preserve">  Meaning of </w:t>
      </w:r>
      <w:r w:rsidRPr="00040E17">
        <w:rPr>
          <w:i/>
          <w:iCs/>
        </w:rPr>
        <w:t>non</w:t>
      </w:r>
      <w:r w:rsidR="007C79C2">
        <w:rPr>
          <w:i/>
          <w:iCs/>
        </w:rPr>
        <w:noBreakHyphen/>
      </w:r>
      <w:r>
        <w:rPr>
          <w:i/>
          <w:iCs/>
        </w:rPr>
        <w:t>cash funds transfer</w:t>
      </w:r>
    </w:p>
    <w:p w14:paraId="5D9ED93E" w14:textId="430FD0AF" w:rsidR="00777B46" w:rsidRDefault="00777B46" w:rsidP="007C79C2">
      <w:pPr>
        <w:pStyle w:val="subsection"/>
      </w:pPr>
      <w:r>
        <w:tab/>
        <w:t>(1)</w:t>
      </w:r>
      <w:r>
        <w:tab/>
        <w:t xml:space="preserve">A person (the </w:t>
      </w:r>
      <w:r w:rsidRPr="00BE6A26">
        <w:rPr>
          <w:b/>
          <w:bCs/>
          <w:i/>
          <w:iCs/>
        </w:rPr>
        <w:t>payer</w:t>
      </w:r>
      <w:r>
        <w:t xml:space="preserve">) makes a </w:t>
      </w:r>
      <w:r w:rsidRPr="00BE6A26">
        <w:rPr>
          <w:b/>
          <w:bCs/>
          <w:i/>
          <w:iCs/>
        </w:rPr>
        <w:t>non</w:t>
      </w:r>
      <w:r w:rsidR="007C79C2">
        <w:rPr>
          <w:b/>
          <w:bCs/>
          <w:i/>
          <w:iCs/>
        </w:rPr>
        <w:noBreakHyphen/>
      </w:r>
      <w:r w:rsidRPr="00BE6A26">
        <w:rPr>
          <w:b/>
          <w:bCs/>
          <w:i/>
          <w:iCs/>
        </w:rPr>
        <w:t>cash funds transfer</w:t>
      </w:r>
      <w:r>
        <w:t xml:space="preserve"> if:</w:t>
      </w:r>
    </w:p>
    <w:p w14:paraId="3200F637" w14:textId="77777777" w:rsidR="00777B46" w:rsidRDefault="00777B46" w:rsidP="007C79C2">
      <w:pPr>
        <w:pStyle w:val="paragraph"/>
      </w:pPr>
      <w:r>
        <w:tab/>
        <w:t>(a)</w:t>
      </w:r>
      <w:r>
        <w:tab/>
        <w:t>funds standing to the credit of the payer under a facility are transferred:</w:t>
      </w:r>
    </w:p>
    <w:p w14:paraId="69F27BE3" w14:textId="77777777" w:rsidR="00777B46" w:rsidRDefault="00777B46" w:rsidP="007C79C2">
      <w:pPr>
        <w:pStyle w:val="paragraphsub"/>
      </w:pPr>
      <w:r>
        <w:tab/>
        <w:t>(i)</w:t>
      </w:r>
      <w:r>
        <w:tab/>
        <w:t xml:space="preserve">to another person (the </w:t>
      </w:r>
      <w:r w:rsidRPr="00BE6A26">
        <w:rPr>
          <w:b/>
          <w:bCs/>
          <w:i/>
          <w:iCs/>
        </w:rPr>
        <w:t>payee</w:t>
      </w:r>
      <w:r>
        <w:t>); or</w:t>
      </w:r>
    </w:p>
    <w:p w14:paraId="1687A07D" w14:textId="77777777" w:rsidR="00777B46" w:rsidRDefault="00777B46" w:rsidP="007C79C2">
      <w:pPr>
        <w:pStyle w:val="paragraphsub"/>
      </w:pPr>
      <w:r>
        <w:tab/>
        <w:t>(ii)</w:t>
      </w:r>
      <w:r>
        <w:tab/>
        <w:t xml:space="preserve">from the credit of that facility to the credit of the payer under a different facility (in which case the payer is also the </w:t>
      </w:r>
      <w:r w:rsidRPr="005A729E">
        <w:rPr>
          <w:b/>
          <w:bCs/>
          <w:i/>
          <w:iCs/>
        </w:rPr>
        <w:t>payee</w:t>
      </w:r>
      <w:r>
        <w:t xml:space="preserve"> for the transfer); and</w:t>
      </w:r>
    </w:p>
    <w:p w14:paraId="6C2499E6" w14:textId="77777777" w:rsidR="00777B46" w:rsidRPr="00E71289" w:rsidRDefault="00777B46" w:rsidP="007C79C2">
      <w:pPr>
        <w:pStyle w:val="paragraph"/>
      </w:pPr>
      <w:r>
        <w:tab/>
        <w:t>(b)</w:t>
      </w:r>
      <w:r>
        <w:tab/>
        <w:t>the funds are transferred to the payee on the instruction of the payer or the payee; and</w:t>
      </w:r>
    </w:p>
    <w:p w14:paraId="5330F920" w14:textId="77777777" w:rsidR="00777B46" w:rsidRDefault="00777B46" w:rsidP="007C79C2">
      <w:pPr>
        <w:pStyle w:val="paragraph"/>
      </w:pPr>
      <w:r>
        <w:tab/>
        <w:t>(c)</w:t>
      </w:r>
      <w:r>
        <w:tab/>
        <w:t xml:space="preserve">the transfer does not involve </w:t>
      </w:r>
      <w:r w:rsidRPr="008C270B">
        <w:t>the physical delivery of Australian or foreign currency in the form of notes and/or coins</w:t>
      </w:r>
      <w:r>
        <w:t>.</w:t>
      </w:r>
    </w:p>
    <w:p w14:paraId="18D2221C" w14:textId="33FBA2EA" w:rsidR="00777B46" w:rsidRDefault="00777B46" w:rsidP="007C79C2">
      <w:pPr>
        <w:pStyle w:val="notetext"/>
      </w:pPr>
      <w:r>
        <w:t>Note:</w:t>
      </w:r>
      <w:r>
        <w:tab/>
        <w:t xml:space="preserve">For stored value facilities, see also </w:t>
      </w:r>
      <w:r w:rsidR="00E12AA4">
        <w:t>sub</w:t>
      </w:r>
      <w:r w:rsidR="00120E37">
        <w:t>section 7</w:t>
      </w:r>
      <w:r w:rsidR="009345CC">
        <w:t>61EB</w:t>
      </w:r>
      <w:r>
        <w:t>(</w:t>
      </w:r>
      <w:r w:rsidR="00DC0440">
        <w:t>3</w:t>
      </w:r>
      <w:r>
        <w:t>).</w:t>
      </w:r>
    </w:p>
    <w:p w14:paraId="722C6027" w14:textId="77777777" w:rsidR="00777B46" w:rsidRDefault="00777B46" w:rsidP="007C79C2">
      <w:pPr>
        <w:pStyle w:val="subsection"/>
      </w:pPr>
      <w:r>
        <w:lastRenderedPageBreak/>
        <w:tab/>
        <w:t>(2)</w:t>
      </w:r>
      <w:r>
        <w:tab/>
        <w:t>If there are one or more persons interposed between the payer and the payee, disregard those interposed persons in working out the identities of the payer and the payee.</w:t>
      </w:r>
    </w:p>
    <w:p w14:paraId="2B71AC9C" w14:textId="46C50614" w:rsidR="00777B46" w:rsidRDefault="00777B46" w:rsidP="007C79C2">
      <w:pPr>
        <w:pStyle w:val="subsection"/>
      </w:pPr>
      <w:r>
        <w:tab/>
        <w:t>(3)</w:t>
      </w:r>
      <w:r>
        <w:tab/>
        <w:t xml:space="preserve">However, a person does not make a </w:t>
      </w:r>
      <w:r w:rsidRPr="007F2D31">
        <w:rPr>
          <w:b/>
          <w:bCs/>
          <w:i/>
          <w:iCs/>
        </w:rPr>
        <w:t>non</w:t>
      </w:r>
      <w:r w:rsidR="007C79C2">
        <w:rPr>
          <w:b/>
          <w:bCs/>
          <w:i/>
          <w:iCs/>
        </w:rPr>
        <w:noBreakHyphen/>
      </w:r>
      <w:r w:rsidRPr="007F2D31">
        <w:rPr>
          <w:b/>
          <w:bCs/>
          <w:i/>
          <w:iCs/>
        </w:rPr>
        <w:t>cash funds transfer</w:t>
      </w:r>
      <w:r>
        <w:t xml:space="preserve"> if the funds are transferred by means of:</w:t>
      </w:r>
    </w:p>
    <w:p w14:paraId="42F79AA3" w14:textId="77777777" w:rsidR="00777B46" w:rsidRDefault="00777B46" w:rsidP="007C79C2">
      <w:pPr>
        <w:pStyle w:val="paragraph"/>
      </w:pPr>
      <w:r>
        <w:tab/>
        <w:t>(a)</w:t>
      </w:r>
      <w:r>
        <w:tab/>
        <w:t>a letter of credit from a financial institution; or</w:t>
      </w:r>
    </w:p>
    <w:p w14:paraId="2FF4415F" w14:textId="77777777" w:rsidR="00777B46" w:rsidRDefault="00777B46" w:rsidP="007C79C2">
      <w:pPr>
        <w:pStyle w:val="paragraph"/>
      </w:pPr>
      <w:r>
        <w:tab/>
        <w:t>(b)</w:t>
      </w:r>
      <w:r>
        <w:tab/>
        <w:t>a cheque drawn by a financial institution on itself; or</w:t>
      </w:r>
    </w:p>
    <w:p w14:paraId="487CB167" w14:textId="77777777" w:rsidR="00777B46" w:rsidRDefault="00777B46" w:rsidP="007C79C2">
      <w:pPr>
        <w:pStyle w:val="paragraph"/>
      </w:pPr>
      <w:r>
        <w:tab/>
        <w:t>(c)</w:t>
      </w:r>
      <w:r>
        <w:tab/>
        <w:t>a guarantee given by a financial institution.</w:t>
      </w:r>
    </w:p>
    <w:p w14:paraId="13D7FCCC" w14:textId="3558258B" w:rsidR="00875824" w:rsidRDefault="00304C61" w:rsidP="007C79C2">
      <w:pPr>
        <w:pStyle w:val="ItemHead"/>
      </w:pPr>
      <w:r>
        <w:t>10</w:t>
      </w:r>
      <w:r w:rsidR="00875824">
        <w:t xml:space="preserve">  </w:t>
      </w:r>
      <w:r w:rsidR="00E12AA4">
        <w:t>Paragraph 7</w:t>
      </w:r>
      <w:r w:rsidR="00875824">
        <w:t>61G(7)(a)</w:t>
      </w:r>
    </w:p>
    <w:p w14:paraId="35FC127E" w14:textId="6E057FFB" w:rsidR="00875824" w:rsidRDefault="00875824" w:rsidP="007C79C2">
      <w:pPr>
        <w:pStyle w:val="Item"/>
      </w:pPr>
      <w:r>
        <w:t>Repeal the paragraph, substitute:</w:t>
      </w:r>
    </w:p>
    <w:p w14:paraId="71050871" w14:textId="38C7B8F8" w:rsidR="00875824" w:rsidRDefault="00875824" w:rsidP="007C79C2">
      <w:pPr>
        <w:pStyle w:val="paragraph"/>
      </w:pPr>
      <w:r>
        <w:tab/>
        <w:t>(a)</w:t>
      </w:r>
      <w:r>
        <w:tab/>
      </w:r>
      <w:r w:rsidR="00B67306">
        <w:t xml:space="preserve">any of the following </w:t>
      </w:r>
      <w:r w:rsidR="00B67306" w:rsidRPr="00B67306">
        <w:t xml:space="preserve">equals or exceeds the amount specified in regulations made for the purposes of this paragraph as being applicable in the circumstances (but see also </w:t>
      </w:r>
      <w:r w:rsidR="007C79C2">
        <w:t>subsection (</w:t>
      </w:r>
      <w:r w:rsidR="00B67306" w:rsidRPr="00B67306">
        <w:t>10))</w:t>
      </w:r>
      <w:r w:rsidR="00B67306">
        <w:t>:</w:t>
      </w:r>
    </w:p>
    <w:p w14:paraId="614E90A3" w14:textId="094C3696" w:rsidR="00B67306" w:rsidRDefault="00B67306" w:rsidP="007C79C2">
      <w:pPr>
        <w:pStyle w:val="paragraphsub"/>
      </w:pPr>
      <w:r>
        <w:tab/>
        <w:t>(i)</w:t>
      </w:r>
      <w:r>
        <w:tab/>
      </w:r>
      <w:r w:rsidRPr="00B67306">
        <w:t>the price for the provision of the financial product</w:t>
      </w:r>
      <w:r>
        <w:t>;</w:t>
      </w:r>
    </w:p>
    <w:p w14:paraId="6D98106D" w14:textId="78562101" w:rsidR="00B67306" w:rsidRDefault="00B67306" w:rsidP="007C79C2">
      <w:pPr>
        <w:pStyle w:val="paragraphsub"/>
      </w:pPr>
      <w:r>
        <w:tab/>
        <w:t>(ii)</w:t>
      </w:r>
      <w:r>
        <w:tab/>
      </w:r>
      <w:r w:rsidRPr="00B67306">
        <w:t>the value of the financial product to which the financial service relates</w:t>
      </w:r>
      <w:r>
        <w:t>;</w:t>
      </w:r>
    </w:p>
    <w:p w14:paraId="18E40F51" w14:textId="6933BBC3" w:rsidR="00B67306" w:rsidRDefault="00B67306" w:rsidP="007C79C2">
      <w:pPr>
        <w:pStyle w:val="paragraphsub"/>
      </w:pPr>
      <w:r>
        <w:tab/>
        <w:t>(iii)</w:t>
      </w:r>
      <w:r>
        <w:tab/>
      </w:r>
      <w:r w:rsidR="00310272">
        <w:t>in the case of a payment service—the value of the service provided;</w:t>
      </w:r>
    </w:p>
    <w:p w14:paraId="1076E95A" w14:textId="07792EDD" w:rsidR="00537F1B" w:rsidRDefault="00304C61" w:rsidP="007C79C2">
      <w:pPr>
        <w:pStyle w:val="ItemHead"/>
      </w:pPr>
      <w:r>
        <w:t>11</w:t>
      </w:r>
      <w:r w:rsidR="00537F1B">
        <w:t xml:space="preserve">  </w:t>
      </w:r>
      <w:r w:rsidR="00E12AA4">
        <w:t>Paragraph 7</w:t>
      </w:r>
      <w:r w:rsidR="00537F1B">
        <w:t>61G(10)(a)</w:t>
      </w:r>
    </w:p>
    <w:p w14:paraId="461888AA" w14:textId="77777777" w:rsidR="00DC6535" w:rsidRDefault="00DC6535" w:rsidP="007C79C2">
      <w:pPr>
        <w:pStyle w:val="Item"/>
      </w:pPr>
      <w:r>
        <w:t>After “financial products”, insert “or payment services”.</w:t>
      </w:r>
    </w:p>
    <w:p w14:paraId="19D51B34" w14:textId="71A1F679" w:rsidR="008D18B4" w:rsidRDefault="00304C61" w:rsidP="007C79C2">
      <w:pPr>
        <w:pStyle w:val="ItemHead"/>
      </w:pPr>
      <w:r>
        <w:t>12</w:t>
      </w:r>
      <w:r w:rsidR="00504C34">
        <w:t xml:space="preserve">  </w:t>
      </w:r>
      <w:r w:rsidR="00E12AA4">
        <w:t>Section 7</w:t>
      </w:r>
      <w:r w:rsidR="00A7718D">
        <w:t>61GA</w:t>
      </w:r>
    </w:p>
    <w:p w14:paraId="1751AD62" w14:textId="48583DD3" w:rsidR="00FC13E3" w:rsidRDefault="00A7718D" w:rsidP="007C79C2">
      <w:pPr>
        <w:pStyle w:val="Item"/>
      </w:pPr>
      <w:r>
        <w:t xml:space="preserve">After “other </w:t>
      </w:r>
      <w:r w:rsidR="00FC13E3">
        <w:t>than”, insert “a payment service,”.</w:t>
      </w:r>
    </w:p>
    <w:p w14:paraId="7ED6DCB6" w14:textId="64A76B25" w:rsidR="005B0B2D" w:rsidRPr="00A80CBD" w:rsidRDefault="00304C61" w:rsidP="007C79C2">
      <w:pPr>
        <w:pStyle w:val="ItemHead"/>
      </w:pPr>
      <w:r>
        <w:t>13</w:t>
      </w:r>
      <w:r w:rsidR="005B0B2D" w:rsidRPr="00A80CBD">
        <w:t xml:space="preserve">  </w:t>
      </w:r>
      <w:r w:rsidR="00E12AA4">
        <w:t>Paragraph 7</w:t>
      </w:r>
      <w:r w:rsidR="005B0B2D" w:rsidRPr="00A80CBD">
        <w:t>61G</w:t>
      </w:r>
      <w:r w:rsidR="00E30587" w:rsidRPr="00A80CBD">
        <w:t>A</w:t>
      </w:r>
      <w:r w:rsidR="005B0B2D" w:rsidRPr="00A80CBD">
        <w:t>(b)</w:t>
      </w:r>
    </w:p>
    <w:p w14:paraId="2F1EA5E1" w14:textId="54E66050" w:rsidR="005B0B2D" w:rsidRDefault="005B0B2D" w:rsidP="007C79C2">
      <w:pPr>
        <w:pStyle w:val="Item"/>
      </w:pPr>
      <w:r w:rsidRPr="00A80CBD">
        <w:t>Omit “or an RSA”, substitute “, an RSA</w:t>
      </w:r>
      <w:r w:rsidR="00E2733E">
        <w:t>, a stored value facility or a payment instrument</w:t>
      </w:r>
      <w:r w:rsidRPr="00A80CBD">
        <w:t>”.</w:t>
      </w:r>
    </w:p>
    <w:p w14:paraId="41BD3B35" w14:textId="26B9DBD7" w:rsidR="009A3BC1" w:rsidRPr="001F11B9" w:rsidRDefault="00304C61" w:rsidP="007C79C2">
      <w:pPr>
        <w:pStyle w:val="ItemHead"/>
      </w:pPr>
      <w:r>
        <w:t>14</w:t>
      </w:r>
      <w:r w:rsidR="009A3BC1" w:rsidRPr="001F11B9">
        <w:t xml:space="preserve">  </w:t>
      </w:r>
      <w:r w:rsidR="00E12AA4">
        <w:t>Sub</w:t>
      </w:r>
      <w:r w:rsidR="00120E37">
        <w:t>section 7</w:t>
      </w:r>
      <w:r w:rsidR="009A3BC1" w:rsidRPr="001F11B9">
        <w:t>63A(1)</w:t>
      </w:r>
    </w:p>
    <w:p w14:paraId="1E379268" w14:textId="7407F2DC" w:rsidR="009A3BC1" w:rsidRPr="009A3BC1" w:rsidRDefault="009A3BC1" w:rsidP="007C79C2">
      <w:pPr>
        <w:pStyle w:val="Item"/>
      </w:pPr>
      <w:r w:rsidRPr="009A3BC1">
        <w:t>Omit “one or more”, s</w:t>
      </w:r>
      <w:r>
        <w:t>ubstitute “either or both”.</w:t>
      </w:r>
    </w:p>
    <w:p w14:paraId="5A8B4519" w14:textId="2D92C285" w:rsidR="00B35BEA" w:rsidRPr="001F11B9" w:rsidRDefault="00304C61" w:rsidP="007C79C2">
      <w:pPr>
        <w:pStyle w:val="ItemHead"/>
      </w:pPr>
      <w:r>
        <w:t>15</w:t>
      </w:r>
      <w:r w:rsidR="00B35BEA" w:rsidRPr="001F11B9">
        <w:t xml:space="preserve">  </w:t>
      </w:r>
      <w:r w:rsidR="00E12AA4">
        <w:t>Paragraph 7</w:t>
      </w:r>
      <w:r w:rsidR="00B35BEA" w:rsidRPr="001F11B9">
        <w:t>63A(1)</w:t>
      </w:r>
      <w:r w:rsidR="009A3BC1" w:rsidRPr="001F11B9">
        <w:t>(b)</w:t>
      </w:r>
    </w:p>
    <w:p w14:paraId="451A7D62" w14:textId="49FB18C5" w:rsidR="009A3BC1" w:rsidRPr="001F11B9" w:rsidRDefault="009A3BC1" w:rsidP="007C79C2">
      <w:pPr>
        <w:pStyle w:val="Item"/>
      </w:pPr>
      <w:r w:rsidRPr="001F11B9">
        <w:t>Omit “risk;”, substitute “risk.”.</w:t>
      </w:r>
    </w:p>
    <w:p w14:paraId="34BEB098" w14:textId="31931C0D" w:rsidR="009A3BC1" w:rsidRPr="001F11B9" w:rsidRDefault="00304C61" w:rsidP="007C79C2">
      <w:pPr>
        <w:pStyle w:val="ItemHead"/>
      </w:pPr>
      <w:r>
        <w:t>16</w:t>
      </w:r>
      <w:r w:rsidR="009A3BC1" w:rsidRPr="001F11B9">
        <w:t xml:space="preserve">  </w:t>
      </w:r>
      <w:r w:rsidR="00E12AA4">
        <w:t>Paragraph 7</w:t>
      </w:r>
      <w:r w:rsidR="009A3BC1" w:rsidRPr="001F11B9">
        <w:t>63A(1)(c)</w:t>
      </w:r>
    </w:p>
    <w:p w14:paraId="20F5B4C3" w14:textId="47E5E368" w:rsidR="009A3BC1" w:rsidRPr="002A3C24" w:rsidRDefault="009A3BC1" w:rsidP="007C79C2">
      <w:pPr>
        <w:pStyle w:val="Item"/>
      </w:pPr>
      <w:r w:rsidRPr="002A3C24">
        <w:t>Repeal the paragraph.</w:t>
      </w:r>
    </w:p>
    <w:p w14:paraId="279CC054" w14:textId="0CE38A67" w:rsidR="009945C3" w:rsidRDefault="00304C61" w:rsidP="007C79C2">
      <w:pPr>
        <w:pStyle w:val="ItemHead"/>
      </w:pPr>
      <w:r>
        <w:lastRenderedPageBreak/>
        <w:t>17</w:t>
      </w:r>
      <w:r w:rsidR="009945C3">
        <w:t xml:space="preserve">  </w:t>
      </w:r>
      <w:r w:rsidR="00E12AA4">
        <w:t>Sub</w:t>
      </w:r>
      <w:r w:rsidR="00120E37">
        <w:t>section 7</w:t>
      </w:r>
      <w:r w:rsidR="009945C3">
        <w:t>63A(2)</w:t>
      </w:r>
    </w:p>
    <w:p w14:paraId="652630DA" w14:textId="4C11127F" w:rsidR="009945C3" w:rsidRDefault="009945C3" w:rsidP="007C79C2">
      <w:pPr>
        <w:pStyle w:val="Item"/>
      </w:pPr>
      <w:r>
        <w:t>Omit “</w:t>
      </w:r>
      <w:r w:rsidRPr="009945C3">
        <w:t>make financial investments, manage financial risks or make non</w:t>
      </w:r>
      <w:r w:rsidR="007C79C2">
        <w:noBreakHyphen/>
      </w:r>
      <w:r w:rsidRPr="009945C3">
        <w:t>cash payments</w:t>
      </w:r>
      <w:r>
        <w:t>”, substitute “</w:t>
      </w:r>
      <w:r w:rsidRPr="009945C3">
        <w:t>make financial investments</w:t>
      </w:r>
      <w:r>
        <w:t xml:space="preserve"> or</w:t>
      </w:r>
      <w:r w:rsidRPr="009945C3">
        <w:t xml:space="preserve"> manage financial risks</w:t>
      </w:r>
      <w:r w:rsidR="0032087E">
        <w:t>”.</w:t>
      </w:r>
    </w:p>
    <w:p w14:paraId="5A6D488B" w14:textId="34BD42B0" w:rsidR="0032087E" w:rsidRDefault="00304C61" w:rsidP="007C79C2">
      <w:pPr>
        <w:pStyle w:val="ItemHead"/>
      </w:pPr>
      <w:r>
        <w:t>18</w:t>
      </w:r>
      <w:r w:rsidR="0032087E">
        <w:t xml:space="preserve">  </w:t>
      </w:r>
      <w:r w:rsidR="00E12AA4">
        <w:t>Section 7</w:t>
      </w:r>
      <w:r w:rsidR="0032087E">
        <w:t>63D</w:t>
      </w:r>
    </w:p>
    <w:p w14:paraId="31696B0E" w14:textId="77777777" w:rsidR="002A3C24" w:rsidRDefault="0032087E" w:rsidP="007C79C2">
      <w:pPr>
        <w:pStyle w:val="Item"/>
      </w:pPr>
      <w:r>
        <w:t>Repeal the section</w:t>
      </w:r>
      <w:r w:rsidR="002A3C24">
        <w:t>.</w:t>
      </w:r>
    </w:p>
    <w:p w14:paraId="07D45198" w14:textId="2C865BB5" w:rsidR="0060788D" w:rsidRDefault="00304C61" w:rsidP="007C79C2">
      <w:pPr>
        <w:pStyle w:val="ItemHead"/>
      </w:pPr>
      <w:r>
        <w:t>19</w:t>
      </w:r>
      <w:r w:rsidR="0060788D" w:rsidRPr="0060788D">
        <w:t xml:space="preserve">  </w:t>
      </w:r>
      <w:r w:rsidR="00E12AA4">
        <w:t>Sub</w:t>
      </w:r>
      <w:r w:rsidR="00120E37">
        <w:t>section 7</w:t>
      </w:r>
      <w:r w:rsidR="0060788D" w:rsidRPr="0060788D">
        <w:t>63</w:t>
      </w:r>
      <w:r w:rsidR="00117B0C">
        <w:t>E</w:t>
      </w:r>
      <w:r w:rsidR="0060788D" w:rsidRPr="0060788D">
        <w:t>(2) (</w:t>
      </w:r>
      <w:r w:rsidR="007C79C2">
        <w:t>paragraph (</w:t>
      </w:r>
      <w:r w:rsidR="0060788D">
        <w:t>b</w:t>
      </w:r>
      <w:r w:rsidR="0060788D" w:rsidRPr="0060788D">
        <w:t xml:space="preserve">) of </w:t>
      </w:r>
      <w:r w:rsidR="0060788D">
        <w:t xml:space="preserve">the definition of </w:t>
      </w:r>
      <w:r w:rsidR="0060788D" w:rsidRPr="009E62CA">
        <w:rPr>
          <w:i/>
          <w:iCs/>
        </w:rPr>
        <w:t>financial product purpose</w:t>
      </w:r>
      <w:r w:rsidR="0060788D">
        <w:t>)</w:t>
      </w:r>
    </w:p>
    <w:p w14:paraId="6030A9D0" w14:textId="45F37140" w:rsidR="0060788D" w:rsidRPr="0060788D" w:rsidRDefault="0060788D" w:rsidP="007C79C2">
      <w:pPr>
        <w:pStyle w:val="Item"/>
      </w:pPr>
      <w:r>
        <w:t>Omit “risk; or”, substitute “risk.”.</w:t>
      </w:r>
    </w:p>
    <w:p w14:paraId="61E166BF" w14:textId="6F57AE69" w:rsidR="00003A90" w:rsidRPr="0060788D" w:rsidRDefault="00304C61" w:rsidP="007C79C2">
      <w:pPr>
        <w:pStyle w:val="ItemHead"/>
      </w:pPr>
      <w:r>
        <w:t>20</w:t>
      </w:r>
      <w:r w:rsidR="0060788D" w:rsidRPr="0060788D">
        <w:t xml:space="preserve">  </w:t>
      </w:r>
      <w:r w:rsidR="00E12AA4">
        <w:t>Sub</w:t>
      </w:r>
      <w:r w:rsidR="00120E37">
        <w:t>section 7</w:t>
      </w:r>
      <w:r w:rsidR="0060788D" w:rsidRPr="0060788D">
        <w:t>63</w:t>
      </w:r>
      <w:r w:rsidR="00117B0C">
        <w:t>E</w:t>
      </w:r>
      <w:r w:rsidR="0060788D" w:rsidRPr="0060788D">
        <w:t>(2) (</w:t>
      </w:r>
      <w:r w:rsidR="007C79C2">
        <w:t>paragraph (</w:t>
      </w:r>
      <w:r w:rsidR="0060788D" w:rsidRPr="0060788D">
        <w:t xml:space="preserve">c) of </w:t>
      </w:r>
      <w:r w:rsidR="0060788D">
        <w:t xml:space="preserve">the definition of </w:t>
      </w:r>
      <w:r w:rsidR="0060788D" w:rsidRPr="009E62CA">
        <w:rPr>
          <w:i/>
          <w:iCs/>
        </w:rPr>
        <w:t>financial product purpose</w:t>
      </w:r>
      <w:r w:rsidR="0060788D">
        <w:t>)</w:t>
      </w:r>
    </w:p>
    <w:p w14:paraId="11DF78DE" w14:textId="27984136" w:rsidR="0060788D" w:rsidRPr="0060788D" w:rsidRDefault="0060788D" w:rsidP="007C79C2">
      <w:pPr>
        <w:pStyle w:val="Item"/>
      </w:pPr>
      <w:r>
        <w:t>Repeal the paragraph.</w:t>
      </w:r>
    </w:p>
    <w:p w14:paraId="05E76F7A" w14:textId="309ADF45" w:rsidR="00415F84" w:rsidRPr="00415F84" w:rsidRDefault="00304C61" w:rsidP="007C79C2">
      <w:pPr>
        <w:pStyle w:val="ItemHead"/>
        <w:rPr>
          <w:lang w:val="pt-BR"/>
        </w:rPr>
      </w:pPr>
      <w:r>
        <w:rPr>
          <w:lang w:val="pt-BR"/>
        </w:rPr>
        <w:t>21</w:t>
      </w:r>
      <w:r w:rsidR="00415F84" w:rsidRPr="00415F84">
        <w:rPr>
          <w:lang w:val="pt-BR"/>
        </w:rPr>
        <w:t xml:space="preserve">  After </w:t>
      </w:r>
      <w:r w:rsidR="00E12AA4">
        <w:rPr>
          <w:lang w:val="pt-BR"/>
        </w:rPr>
        <w:t>paragraph 7</w:t>
      </w:r>
      <w:r w:rsidR="00415F84" w:rsidRPr="00415F84">
        <w:rPr>
          <w:lang w:val="pt-BR"/>
        </w:rPr>
        <w:t>64A(1)(i)</w:t>
      </w:r>
    </w:p>
    <w:p w14:paraId="1AAC4210" w14:textId="77777777" w:rsidR="00415F84" w:rsidRDefault="00415F84" w:rsidP="007C79C2">
      <w:pPr>
        <w:pStyle w:val="Item"/>
      </w:pPr>
      <w:r>
        <w:t>Insert:</w:t>
      </w:r>
    </w:p>
    <w:p w14:paraId="5D6F0FC4" w14:textId="77777777" w:rsidR="00415F84" w:rsidRDefault="00415F84" w:rsidP="007C79C2">
      <w:pPr>
        <w:pStyle w:val="paragraph"/>
      </w:pPr>
      <w:r>
        <w:tab/>
        <w:t>(ia)</w:t>
      </w:r>
      <w:r>
        <w:tab/>
        <w:t>a stored value facility;</w:t>
      </w:r>
    </w:p>
    <w:p w14:paraId="08BCB5A3" w14:textId="77777777" w:rsidR="00415F84" w:rsidRDefault="00415F84" w:rsidP="007C79C2">
      <w:pPr>
        <w:pStyle w:val="paragraph"/>
      </w:pPr>
      <w:r>
        <w:tab/>
        <w:t>(ib)</w:t>
      </w:r>
      <w:r>
        <w:tab/>
        <w:t>a payment instrument;</w:t>
      </w:r>
    </w:p>
    <w:p w14:paraId="034C1F3F" w14:textId="45B2F48C" w:rsidR="005277D0" w:rsidRDefault="00304C61" w:rsidP="005277D0">
      <w:pPr>
        <w:pStyle w:val="ItemHead"/>
      </w:pPr>
      <w:r>
        <w:t>22</w:t>
      </w:r>
      <w:r w:rsidR="005277D0">
        <w:t xml:space="preserve">  Division 4 of Part 7.1 (after the heading)</w:t>
      </w:r>
    </w:p>
    <w:p w14:paraId="1A5774B4" w14:textId="77777777" w:rsidR="005277D0" w:rsidRDefault="005277D0" w:rsidP="005277D0">
      <w:pPr>
        <w:pStyle w:val="Item"/>
      </w:pPr>
      <w:r>
        <w:t>Insert:</w:t>
      </w:r>
    </w:p>
    <w:p w14:paraId="2824D571" w14:textId="77777777" w:rsidR="005277D0" w:rsidRDefault="005277D0" w:rsidP="005277D0">
      <w:pPr>
        <w:pStyle w:val="ActHead4"/>
      </w:pPr>
      <w:r w:rsidRPr="007C79C2">
        <w:rPr>
          <w:rStyle w:val="CharSubdNo"/>
        </w:rPr>
        <w:t>Subdivision A</w:t>
      </w:r>
      <w:r>
        <w:t>—</w:t>
      </w:r>
      <w:r w:rsidRPr="007C79C2">
        <w:rPr>
          <w:rStyle w:val="CharSubdText"/>
        </w:rPr>
        <w:t>General meanings</w:t>
      </w:r>
    </w:p>
    <w:p w14:paraId="288364D9" w14:textId="5F97DC4F" w:rsidR="001F6B34" w:rsidRPr="00415F84" w:rsidRDefault="00304C61" w:rsidP="007C79C2">
      <w:pPr>
        <w:pStyle w:val="ItemHead"/>
      </w:pPr>
      <w:r>
        <w:t>23</w:t>
      </w:r>
      <w:r w:rsidR="001F6B34" w:rsidRPr="00415F84">
        <w:t xml:space="preserve">  After </w:t>
      </w:r>
      <w:r w:rsidR="00E12AA4">
        <w:t>paragraph 7</w:t>
      </w:r>
      <w:r w:rsidR="001F6B34" w:rsidRPr="00415F84">
        <w:t>66A(1)(d)</w:t>
      </w:r>
    </w:p>
    <w:p w14:paraId="2016CE90" w14:textId="42397295" w:rsidR="001F6B34" w:rsidRDefault="001F6B34" w:rsidP="007C79C2">
      <w:pPr>
        <w:pStyle w:val="Item"/>
      </w:pPr>
      <w:r>
        <w:t>Insert:</w:t>
      </w:r>
    </w:p>
    <w:p w14:paraId="215AF5E9" w14:textId="595986EF" w:rsidR="001F6B34" w:rsidRPr="001F6B34" w:rsidRDefault="001F6B34" w:rsidP="007C79C2">
      <w:pPr>
        <w:pStyle w:val="paragraph"/>
      </w:pPr>
      <w:r>
        <w:tab/>
        <w:t>(daa)</w:t>
      </w:r>
      <w:r>
        <w:tab/>
        <w:t>pro</w:t>
      </w:r>
      <w:r w:rsidR="007F5E52">
        <w:t>vide a payment service; or</w:t>
      </w:r>
    </w:p>
    <w:p w14:paraId="169E0FAA" w14:textId="70B83F93" w:rsidR="00815B0D" w:rsidRDefault="00304C61" w:rsidP="007C79C2">
      <w:pPr>
        <w:pStyle w:val="ItemHead"/>
      </w:pPr>
      <w:r>
        <w:t>24</w:t>
      </w:r>
      <w:r w:rsidR="00815B0D" w:rsidRPr="00815B0D">
        <w:t xml:space="preserve">  After </w:t>
      </w:r>
      <w:r w:rsidR="00120E37">
        <w:t>section 7</w:t>
      </w:r>
      <w:r w:rsidR="00815B0D">
        <w:t>66D</w:t>
      </w:r>
    </w:p>
    <w:p w14:paraId="2F0D3655" w14:textId="513260DD" w:rsidR="00815B0D" w:rsidRDefault="00815B0D" w:rsidP="007C79C2">
      <w:pPr>
        <w:pStyle w:val="Item"/>
      </w:pPr>
      <w:r>
        <w:t>Insert:</w:t>
      </w:r>
    </w:p>
    <w:p w14:paraId="239713B9" w14:textId="66AA36D7" w:rsidR="00815B0D" w:rsidRDefault="00815B0D" w:rsidP="007C79C2">
      <w:pPr>
        <w:pStyle w:val="ActHead5"/>
        <w:rPr>
          <w:i/>
          <w:iCs/>
        </w:rPr>
      </w:pPr>
      <w:r w:rsidRPr="007C79C2">
        <w:rPr>
          <w:rStyle w:val="CharSectno"/>
        </w:rPr>
        <w:t>766DA</w:t>
      </w:r>
      <w:r>
        <w:t xml:space="preserve">  Meaning of </w:t>
      </w:r>
      <w:r>
        <w:rPr>
          <w:i/>
          <w:iCs/>
        </w:rPr>
        <w:t>payment service</w:t>
      </w:r>
    </w:p>
    <w:p w14:paraId="563248DE" w14:textId="77777777" w:rsidR="00925B70" w:rsidRDefault="00925B70" w:rsidP="007C79C2">
      <w:pPr>
        <w:pStyle w:val="subsection"/>
      </w:pPr>
      <w:r>
        <w:tab/>
      </w:r>
      <w:r>
        <w:tab/>
        <w:t xml:space="preserve">A person provides a </w:t>
      </w:r>
      <w:r w:rsidRPr="00034A81">
        <w:rPr>
          <w:b/>
          <w:bCs/>
          <w:i/>
          <w:iCs/>
        </w:rPr>
        <w:t>payment service</w:t>
      </w:r>
      <w:r>
        <w:t xml:space="preserve"> if the person provides any of the following:</w:t>
      </w:r>
    </w:p>
    <w:p w14:paraId="62226189" w14:textId="77777777" w:rsidR="00925B70" w:rsidRDefault="00925B70" w:rsidP="007C79C2">
      <w:pPr>
        <w:pStyle w:val="paragraph"/>
      </w:pPr>
      <w:r>
        <w:tab/>
        <w:t>(a)</w:t>
      </w:r>
      <w:r>
        <w:tab/>
        <w:t>a payment initiation service;</w:t>
      </w:r>
    </w:p>
    <w:p w14:paraId="5C04AC65" w14:textId="77777777" w:rsidR="00925B70" w:rsidRDefault="00925B70" w:rsidP="007C79C2">
      <w:pPr>
        <w:pStyle w:val="paragraph"/>
      </w:pPr>
      <w:r>
        <w:tab/>
        <w:t>(b)</w:t>
      </w:r>
      <w:r>
        <w:tab/>
        <w:t>a payment facilitation service;</w:t>
      </w:r>
    </w:p>
    <w:p w14:paraId="3A56808C" w14:textId="77777777" w:rsidR="00925B70" w:rsidRDefault="00925B70" w:rsidP="007C79C2">
      <w:pPr>
        <w:pStyle w:val="paragraph"/>
      </w:pPr>
      <w:r>
        <w:tab/>
        <w:t>(c)</w:t>
      </w:r>
      <w:r>
        <w:tab/>
        <w:t>a payment technology and enablement service.</w:t>
      </w:r>
    </w:p>
    <w:p w14:paraId="238E5D3E" w14:textId="29D7CB2C" w:rsidR="00925B70" w:rsidRPr="008D2976" w:rsidRDefault="00925B70" w:rsidP="007C79C2">
      <w:pPr>
        <w:pStyle w:val="notetext"/>
      </w:pPr>
      <w:r>
        <w:lastRenderedPageBreak/>
        <w:t>Note:</w:t>
      </w:r>
      <w:r>
        <w:tab/>
        <w:t xml:space="preserve">A person does not provide a service mentioned in </w:t>
      </w:r>
      <w:r w:rsidR="007C79C2">
        <w:t>paragraph (</w:t>
      </w:r>
      <w:r>
        <w:t>a), (b) or (c) unless the person is a constitutionally</w:t>
      </w:r>
      <w:r w:rsidR="007C79C2">
        <w:noBreakHyphen/>
      </w:r>
      <w:r>
        <w:t xml:space="preserve">covered corporation or a representative of such a corporation (see paragraphs </w:t>
      </w:r>
      <w:r w:rsidR="00B00F10">
        <w:t>766DB</w:t>
      </w:r>
      <w:r>
        <w:t xml:space="preserve">(1)(c), </w:t>
      </w:r>
      <w:r w:rsidR="00B00F10">
        <w:t>766DC</w:t>
      </w:r>
      <w:r>
        <w:t xml:space="preserve">(1)(c) and </w:t>
      </w:r>
      <w:r w:rsidR="00B00F10">
        <w:t>766DD</w:t>
      </w:r>
      <w:r>
        <w:t>(1)(</w:t>
      </w:r>
      <w:r w:rsidR="009D33EA">
        <w:t>c</w:t>
      </w:r>
      <w:r>
        <w:t>)).</w:t>
      </w:r>
    </w:p>
    <w:p w14:paraId="279BD9F5" w14:textId="066CE089" w:rsidR="00925B70" w:rsidRDefault="00925B70" w:rsidP="007C79C2">
      <w:pPr>
        <w:pStyle w:val="ActHead5"/>
        <w:rPr>
          <w:i/>
          <w:iCs/>
        </w:rPr>
      </w:pPr>
      <w:r w:rsidRPr="007C79C2">
        <w:rPr>
          <w:rStyle w:val="CharSectno"/>
        </w:rPr>
        <w:t>766DB</w:t>
      </w:r>
      <w:r>
        <w:t xml:space="preserve">  Meaning of </w:t>
      </w:r>
      <w:r w:rsidRPr="00AD006B">
        <w:rPr>
          <w:i/>
          <w:iCs/>
        </w:rPr>
        <w:t>payment initiation service</w:t>
      </w:r>
    </w:p>
    <w:p w14:paraId="21055BF4" w14:textId="77777777" w:rsidR="00925B70" w:rsidRDefault="00925B70" w:rsidP="007C79C2">
      <w:pPr>
        <w:pStyle w:val="subsection"/>
      </w:pPr>
      <w:r>
        <w:tab/>
        <w:t>(1)</w:t>
      </w:r>
      <w:r>
        <w:tab/>
        <w:t xml:space="preserve">A person (the </w:t>
      </w:r>
      <w:r w:rsidRPr="000A27E1">
        <w:rPr>
          <w:b/>
          <w:bCs/>
          <w:i/>
          <w:iCs/>
        </w:rPr>
        <w:t>provider</w:t>
      </w:r>
      <w:r>
        <w:t xml:space="preserve">) provides a </w:t>
      </w:r>
      <w:r w:rsidRPr="00034A81">
        <w:rPr>
          <w:b/>
          <w:bCs/>
          <w:i/>
          <w:iCs/>
        </w:rPr>
        <w:t xml:space="preserve">payment </w:t>
      </w:r>
      <w:r>
        <w:rPr>
          <w:b/>
          <w:bCs/>
          <w:i/>
          <w:iCs/>
        </w:rPr>
        <w:t xml:space="preserve">initiation </w:t>
      </w:r>
      <w:r w:rsidRPr="00034A81">
        <w:rPr>
          <w:b/>
          <w:bCs/>
          <w:i/>
          <w:iCs/>
        </w:rPr>
        <w:t>service</w:t>
      </w:r>
      <w:r>
        <w:t xml:space="preserve"> if:</w:t>
      </w:r>
    </w:p>
    <w:p w14:paraId="65A57236" w14:textId="726461F0" w:rsidR="00925B70" w:rsidRDefault="00925B70" w:rsidP="007C79C2">
      <w:pPr>
        <w:pStyle w:val="paragraph"/>
      </w:pPr>
      <w:r>
        <w:tab/>
        <w:t>(a)</w:t>
      </w:r>
      <w:r>
        <w:tab/>
        <w:t xml:space="preserve">the person takes action </w:t>
      </w:r>
      <w:r w:rsidRPr="00ED7F4F">
        <w:t>to initiate</w:t>
      </w:r>
      <w:r>
        <w:t xml:space="preserve"> a non</w:t>
      </w:r>
      <w:r w:rsidR="007C79C2">
        <w:noBreakHyphen/>
      </w:r>
      <w:r>
        <w:t>cash funds transfer to be made by another person (whether or not the transfer is completed); and</w:t>
      </w:r>
    </w:p>
    <w:p w14:paraId="171B61E7" w14:textId="77777777" w:rsidR="00925B70" w:rsidRDefault="00925B70" w:rsidP="007C79C2">
      <w:pPr>
        <w:pStyle w:val="paragraph"/>
      </w:pPr>
      <w:r>
        <w:tab/>
        <w:t>(b)</w:t>
      </w:r>
      <w:r>
        <w:tab/>
        <w:t>the provider is not:</w:t>
      </w:r>
    </w:p>
    <w:p w14:paraId="10879E0F" w14:textId="77777777" w:rsidR="00925B70" w:rsidRDefault="00925B70" w:rsidP="007C79C2">
      <w:pPr>
        <w:pStyle w:val="paragraphsub"/>
      </w:pPr>
      <w:r>
        <w:tab/>
        <w:t>(i)</w:t>
      </w:r>
      <w:r>
        <w:tab/>
        <w:t>the issuer of the facility from the credit of which the funds are transferred; or</w:t>
      </w:r>
    </w:p>
    <w:p w14:paraId="3DC74F56" w14:textId="079D2033" w:rsidR="00925B70" w:rsidRDefault="00925B70" w:rsidP="007C79C2">
      <w:pPr>
        <w:pStyle w:val="paragraphsub"/>
      </w:pPr>
      <w:r>
        <w:tab/>
        <w:t>(ii)</w:t>
      </w:r>
      <w:r>
        <w:tab/>
        <w:t>the payer or payee</w:t>
      </w:r>
      <w:r w:rsidR="0033797F">
        <w:t xml:space="preserve">, or a person interposed between the payer and payee, </w:t>
      </w:r>
      <w:r>
        <w:t>for the non</w:t>
      </w:r>
      <w:r w:rsidR="007C79C2">
        <w:noBreakHyphen/>
      </w:r>
      <w:r>
        <w:t xml:space="preserve">cash funds transfer; </w:t>
      </w:r>
      <w:r w:rsidR="00A87DE7">
        <w:t>and</w:t>
      </w:r>
    </w:p>
    <w:p w14:paraId="5A9E65F3" w14:textId="1914D1C4" w:rsidR="00925B70" w:rsidRDefault="00925B70" w:rsidP="007C79C2">
      <w:pPr>
        <w:pStyle w:val="paragraph"/>
      </w:pPr>
      <w:r>
        <w:tab/>
        <w:t>(c)</w:t>
      </w:r>
      <w:r>
        <w:tab/>
        <w:t>the provider is a constitutionally</w:t>
      </w:r>
      <w:r w:rsidR="007C79C2">
        <w:noBreakHyphen/>
      </w:r>
      <w:r>
        <w:t xml:space="preserve">covered corporation or a </w:t>
      </w:r>
      <w:r w:rsidRPr="007730B2">
        <w:t>representative</w:t>
      </w:r>
      <w:r>
        <w:t xml:space="preserve"> of a constitutionally</w:t>
      </w:r>
      <w:r w:rsidR="007C79C2">
        <w:noBreakHyphen/>
      </w:r>
      <w:r>
        <w:t>covered corporation.</w:t>
      </w:r>
    </w:p>
    <w:p w14:paraId="408F93F4" w14:textId="77777777" w:rsidR="00925B70" w:rsidRDefault="00925B70" w:rsidP="007C79C2">
      <w:pPr>
        <w:pStyle w:val="subsection"/>
      </w:pPr>
      <w:r>
        <w:tab/>
        <w:t>(2)</w:t>
      </w:r>
      <w:r>
        <w:tab/>
        <w:t>The following provisions apply in relation to a payment initiation service:</w:t>
      </w:r>
    </w:p>
    <w:p w14:paraId="5F2BE064" w14:textId="3619FFCD" w:rsidR="00925B70" w:rsidRDefault="00925B70" w:rsidP="007C79C2">
      <w:pPr>
        <w:pStyle w:val="paragraph"/>
      </w:pPr>
      <w:r>
        <w:tab/>
        <w:t>(a)</w:t>
      </w:r>
      <w:r>
        <w:tab/>
        <w:t xml:space="preserve">the payment initiation service is provided to the person with whom the provider has an arrangement to take the action mentioned in </w:t>
      </w:r>
      <w:r w:rsidR="007C79C2">
        <w:t>paragraph (</w:t>
      </w:r>
      <w:r>
        <w:t>1)(a);</w:t>
      </w:r>
    </w:p>
    <w:p w14:paraId="314C339F" w14:textId="3A49FF25" w:rsidR="00925B70" w:rsidRDefault="00925B70" w:rsidP="007C79C2">
      <w:pPr>
        <w:pStyle w:val="paragraph"/>
      </w:pPr>
      <w:r>
        <w:tab/>
        <w:t>(b)</w:t>
      </w:r>
      <w:r>
        <w:tab/>
        <w:t>except as otherwise provided, the provider provides a payment initiation service each time the provider takes action to initiate a non</w:t>
      </w:r>
      <w:r w:rsidR="007C79C2">
        <w:noBreakHyphen/>
      </w:r>
      <w:r>
        <w:t>cash funds transfer under that arrangement.</w:t>
      </w:r>
    </w:p>
    <w:p w14:paraId="536525B0" w14:textId="5C0349BA" w:rsidR="00925B70" w:rsidRDefault="00925B70" w:rsidP="007C79C2">
      <w:pPr>
        <w:pStyle w:val="notetext"/>
      </w:pPr>
      <w:r>
        <w:t>Note:</w:t>
      </w:r>
      <w:r>
        <w:tab/>
        <w:t>B</w:t>
      </w:r>
      <w:r w:rsidRPr="00C57C92">
        <w:t xml:space="preserve">ecause of </w:t>
      </w:r>
      <w:r w:rsidR="007C79C2">
        <w:t>paragraph (</w:t>
      </w:r>
      <w:r>
        <w:t>b</w:t>
      </w:r>
      <w:r w:rsidRPr="00C57C92">
        <w:t>)</w:t>
      </w:r>
      <w:r>
        <w:t xml:space="preserve"> of this subsection</w:t>
      </w:r>
      <w:r w:rsidRPr="00C57C92">
        <w:t>, the provider will</w:t>
      </w:r>
      <w:r>
        <w:t xml:space="preserve"> (for example)</w:t>
      </w:r>
      <w:r w:rsidRPr="00C57C92">
        <w:t xml:space="preserve"> be subject to the licensing and related requirements of </w:t>
      </w:r>
      <w:r w:rsidR="00E12AA4">
        <w:t>Part 7</w:t>
      </w:r>
      <w:r w:rsidRPr="00C57C92">
        <w:t>.6 for so long as th</w:t>
      </w:r>
      <w:r w:rsidRPr="000013CF">
        <w:t>ey pro</w:t>
      </w:r>
      <w:r>
        <w:t>vide payment initiation services under the arrangement</w:t>
      </w:r>
      <w:r w:rsidRPr="00C57C92">
        <w:t>.</w:t>
      </w:r>
    </w:p>
    <w:p w14:paraId="0ADB3A43" w14:textId="52FDD9DF" w:rsidR="00925B70" w:rsidRDefault="00925B70" w:rsidP="007C79C2">
      <w:pPr>
        <w:pStyle w:val="subsection"/>
      </w:pPr>
      <w:r>
        <w:tab/>
        <w:t>(3)</w:t>
      </w:r>
      <w:r>
        <w:tab/>
        <w:t>The regulations may prescribe circumstances in which a constitutionally</w:t>
      </w:r>
      <w:r w:rsidR="007C79C2">
        <w:noBreakHyphen/>
      </w:r>
      <w:r>
        <w:t>covered corporation, or a representative of a constitutionally covered corporation, is taken</w:t>
      </w:r>
      <w:r w:rsidR="00B47B0D">
        <w:t xml:space="preserve"> </w:t>
      </w:r>
      <w:r>
        <w:t xml:space="preserve">not to provide a </w:t>
      </w:r>
      <w:r w:rsidRPr="00B301E3">
        <w:rPr>
          <w:b/>
          <w:bCs/>
          <w:i/>
          <w:iCs/>
        </w:rPr>
        <w:t>payment initiation service</w:t>
      </w:r>
      <w:r>
        <w:t>.</w:t>
      </w:r>
    </w:p>
    <w:p w14:paraId="446BE740" w14:textId="34B51CB1" w:rsidR="00925B70" w:rsidRDefault="00925B70" w:rsidP="007C79C2">
      <w:pPr>
        <w:pStyle w:val="subsection"/>
      </w:pPr>
      <w:r>
        <w:tab/>
        <w:t>(</w:t>
      </w:r>
      <w:r w:rsidR="00B47B0D">
        <w:t>4</w:t>
      </w:r>
      <w:r>
        <w:t>)</w:t>
      </w:r>
      <w:r>
        <w:tab/>
        <w:t xml:space="preserve">Regulations made for the purposes of </w:t>
      </w:r>
      <w:r w:rsidR="007C79C2">
        <w:t>subsection (</w:t>
      </w:r>
      <w:r>
        <w:t>3) have effect despite anything else in this section.</w:t>
      </w:r>
    </w:p>
    <w:p w14:paraId="01327C30" w14:textId="2F8D8DFB" w:rsidR="00925B70" w:rsidRDefault="00925B70" w:rsidP="007C79C2">
      <w:pPr>
        <w:pStyle w:val="ActHead5"/>
        <w:rPr>
          <w:i/>
          <w:iCs/>
        </w:rPr>
      </w:pPr>
      <w:r w:rsidRPr="007C79C2">
        <w:rPr>
          <w:rStyle w:val="CharSectno"/>
        </w:rPr>
        <w:t>766DC</w:t>
      </w:r>
      <w:r>
        <w:t xml:space="preserve">  Meaning of </w:t>
      </w:r>
      <w:r w:rsidRPr="00AD006B">
        <w:rPr>
          <w:i/>
          <w:iCs/>
        </w:rPr>
        <w:t>payment facilitation service</w:t>
      </w:r>
    </w:p>
    <w:p w14:paraId="08D2F437" w14:textId="77777777" w:rsidR="00925B70" w:rsidRDefault="00925B70" w:rsidP="007C79C2">
      <w:pPr>
        <w:pStyle w:val="subsection"/>
      </w:pPr>
      <w:r>
        <w:tab/>
        <w:t>(1)</w:t>
      </w:r>
      <w:r>
        <w:tab/>
        <w:t xml:space="preserve">A person (the </w:t>
      </w:r>
      <w:r w:rsidRPr="001C598C">
        <w:rPr>
          <w:b/>
          <w:bCs/>
          <w:i/>
          <w:iCs/>
        </w:rPr>
        <w:t>provider</w:t>
      </w:r>
      <w:r>
        <w:t xml:space="preserve">) provides a </w:t>
      </w:r>
      <w:r w:rsidRPr="00034A81">
        <w:rPr>
          <w:b/>
          <w:bCs/>
          <w:i/>
          <w:iCs/>
        </w:rPr>
        <w:t xml:space="preserve">payment </w:t>
      </w:r>
      <w:r>
        <w:rPr>
          <w:b/>
          <w:bCs/>
          <w:i/>
          <w:iCs/>
        </w:rPr>
        <w:t xml:space="preserve">facilitation </w:t>
      </w:r>
      <w:r w:rsidRPr="00034A81">
        <w:rPr>
          <w:b/>
          <w:bCs/>
          <w:i/>
          <w:iCs/>
        </w:rPr>
        <w:t>service</w:t>
      </w:r>
      <w:r>
        <w:t xml:space="preserve"> if:</w:t>
      </w:r>
    </w:p>
    <w:p w14:paraId="1FEF8CFE" w14:textId="50F7C49E" w:rsidR="00925B70" w:rsidRDefault="00925B70" w:rsidP="007C79C2">
      <w:pPr>
        <w:pStyle w:val="paragraph"/>
      </w:pPr>
      <w:r>
        <w:lastRenderedPageBreak/>
        <w:tab/>
        <w:t>(a)</w:t>
      </w:r>
      <w:r>
        <w:tab/>
        <w:t>under an arrangement with another person, funds are transferred to the provider in connection with the making of a non</w:t>
      </w:r>
      <w:r w:rsidR="007C79C2">
        <w:noBreakHyphen/>
      </w:r>
      <w:r>
        <w:t>cash funds transfer; and</w:t>
      </w:r>
    </w:p>
    <w:p w14:paraId="4400B54B" w14:textId="34EAE8CD" w:rsidR="00925B70" w:rsidRDefault="00925B70" w:rsidP="007C79C2">
      <w:pPr>
        <w:pStyle w:val="paragraph"/>
      </w:pPr>
      <w:r>
        <w:tab/>
        <w:t>(b)</w:t>
      </w:r>
      <w:r>
        <w:tab/>
        <w:t xml:space="preserve">the funds are so transferred on the basis that the provider will further transfer the funds in accordance with </w:t>
      </w:r>
      <w:r w:rsidR="00DE3BFB">
        <w:t xml:space="preserve">the </w:t>
      </w:r>
      <w:r>
        <w:t>instructions</w:t>
      </w:r>
      <w:r w:rsidR="00DE3BFB">
        <w:t xml:space="preserve"> for the </w:t>
      </w:r>
      <w:r>
        <w:t>non</w:t>
      </w:r>
      <w:r w:rsidR="007C79C2">
        <w:noBreakHyphen/>
      </w:r>
      <w:r>
        <w:t>cash funds transfer; and</w:t>
      </w:r>
    </w:p>
    <w:p w14:paraId="6A37C53D" w14:textId="493DE358" w:rsidR="00925B70" w:rsidRDefault="00925B70" w:rsidP="007C79C2">
      <w:pPr>
        <w:pStyle w:val="paragraph"/>
      </w:pPr>
      <w:r>
        <w:tab/>
        <w:t>(c)</w:t>
      </w:r>
      <w:r>
        <w:tab/>
        <w:t>the provider is a constitutionally</w:t>
      </w:r>
      <w:r w:rsidR="007C79C2">
        <w:noBreakHyphen/>
      </w:r>
      <w:r>
        <w:t xml:space="preserve">covered corporation or a </w:t>
      </w:r>
      <w:r w:rsidRPr="007730B2">
        <w:t>representative</w:t>
      </w:r>
      <w:r>
        <w:t xml:space="preserve"> of a constitutionally</w:t>
      </w:r>
      <w:r w:rsidR="007C79C2">
        <w:noBreakHyphen/>
      </w:r>
      <w:r>
        <w:t>covered corporation.</w:t>
      </w:r>
    </w:p>
    <w:p w14:paraId="7896A626" w14:textId="77777777" w:rsidR="00925B70" w:rsidRDefault="00925B70" w:rsidP="007C79C2">
      <w:pPr>
        <w:pStyle w:val="subsection"/>
      </w:pPr>
      <w:r>
        <w:tab/>
        <w:t>(2)</w:t>
      </w:r>
      <w:r>
        <w:tab/>
        <w:t>The following provisions apply in relation to a payment facilitation service:</w:t>
      </w:r>
    </w:p>
    <w:p w14:paraId="4670FCB6" w14:textId="2A2CCD69" w:rsidR="00925B70" w:rsidRDefault="00925B70" w:rsidP="007C79C2">
      <w:pPr>
        <w:pStyle w:val="paragraph"/>
      </w:pPr>
      <w:r>
        <w:tab/>
        <w:t>(a)</w:t>
      </w:r>
      <w:r>
        <w:tab/>
        <w:t xml:space="preserve">the payment facilitation service is provided to the person with whom the provider has the arrangement mentioned in </w:t>
      </w:r>
      <w:r w:rsidR="007C79C2">
        <w:t>paragraph (</w:t>
      </w:r>
      <w:r>
        <w:t>1)(a);</w:t>
      </w:r>
    </w:p>
    <w:p w14:paraId="779BA429" w14:textId="77777777" w:rsidR="00925B70" w:rsidRDefault="00925B70" w:rsidP="007C79C2">
      <w:pPr>
        <w:pStyle w:val="paragraph"/>
      </w:pPr>
      <w:r>
        <w:tab/>
        <w:t>(b)</w:t>
      </w:r>
      <w:r>
        <w:tab/>
        <w:t>except as otherwise provided, the provider provides a payment facilitation service:</w:t>
      </w:r>
    </w:p>
    <w:p w14:paraId="28F5B521" w14:textId="50F487DF" w:rsidR="00925B70" w:rsidRDefault="00925B70" w:rsidP="007C79C2">
      <w:pPr>
        <w:pStyle w:val="paragraphsub"/>
      </w:pPr>
      <w:r>
        <w:tab/>
        <w:t>(i)</w:t>
      </w:r>
      <w:r>
        <w:tab/>
        <w:t xml:space="preserve">each time funds are transferred to the provider as mentioned in </w:t>
      </w:r>
      <w:r w:rsidR="007C79C2">
        <w:t>paragraph (</w:t>
      </w:r>
      <w:r>
        <w:t>1)(a); and</w:t>
      </w:r>
    </w:p>
    <w:p w14:paraId="75326CC1" w14:textId="2BDC776D" w:rsidR="00925B70" w:rsidRDefault="00925B70" w:rsidP="007C79C2">
      <w:pPr>
        <w:pStyle w:val="paragraphsub"/>
      </w:pPr>
      <w:r>
        <w:tab/>
        <w:t>(ii)</w:t>
      </w:r>
      <w:r>
        <w:tab/>
        <w:t xml:space="preserve">each time funds are further transferred as mentioned in </w:t>
      </w:r>
      <w:r w:rsidR="007C79C2">
        <w:t>paragraph (</w:t>
      </w:r>
      <w:r>
        <w:t>1)(b).</w:t>
      </w:r>
    </w:p>
    <w:p w14:paraId="2A832A0A" w14:textId="53FE5F24" w:rsidR="00925B70" w:rsidRDefault="00925B70" w:rsidP="007C79C2">
      <w:pPr>
        <w:pStyle w:val="notetext"/>
      </w:pPr>
      <w:r w:rsidRPr="00C57C92">
        <w:t>Note:</w:t>
      </w:r>
      <w:r w:rsidRPr="00C57C92">
        <w:tab/>
      </w:r>
      <w:r>
        <w:t>B</w:t>
      </w:r>
      <w:r w:rsidRPr="00C57C92">
        <w:t xml:space="preserve">ecause of </w:t>
      </w:r>
      <w:r w:rsidR="007C79C2">
        <w:t>paragraph (</w:t>
      </w:r>
      <w:r>
        <w:t>b</w:t>
      </w:r>
      <w:r w:rsidRPr="00C57C92">
        <w:t>)</w:t>
      </w:r>
      <w:r>
        <w:t xml:space="preserve"> of this subsection</w:t>
      </w:r>
      <w:r w:rsidRPr="00C57C92">
        <w:t>, the provider will</w:t>
      </w:r>
      <w:r>
        <w:t xml:space="preserve"> (for example)</w:t>
      </w:r>
      <w:r w:rsidRPr="00C57C92">
        <w:t xml:space="preserve"> be subject to the licensing and related requirements of </w:t>
      </w:r>
      <w:r w:rsidR="00E12AA4">
        <w:t>Part 7</w:t>
      </w:r>
      <w:r w:rsidRPr="00C57C92">
        <w:t>.6 for so long as th</w:t>
      </w:r>
      <w:r w:rsidRPr="000013CF">
        <w:t>ey pro</w:t>
      </w:r>
      <w:r>
        <w:t xml:space="preserve">vide payment facilitation services under the arrangement mentioned in </w:t>
      </w:r>
      <w:r w:rsidR="007C79C2">
        <w:t>paragraph (</w:t>
      </w:r>
      <w:r>
        <w:t>1)(a)</w:t>
      </w:r>
      <w:r w:rsidRPr="00C57C92">
        <w:t>.</w:t>
      </w:r>
    </w:p>
    <w:p w14:paraId="516755A0" w14:textId="621F401C" w:rsidR="00925B70" w:rsidRDefault="00925B70" w:rsidP="007C79C2">
      <w:pPr>
        <w:pStyle w:val="subsection"/>
      </w:pPr>
      <w:r>
        <w:tab/>
        <w:t>(3)</w:t>
      </w:r>
      <w:r>
        <w:tab/>
        <w:t>The regulations may prescribe circumstances in which a constitutionally</w:t>
      </w:r>
      <w:r w:rsidR="007C79C2">
        <w:noBreakHyphen/>
      </w:r>
      <w:r>
        <w:t>covered corporation, or a representative of a constitutionally covered corporation, is taken</w:t>
      </w:r>
      <w:r w:rsidR="00B47B0D">
        <w:t xml:space="preserve"> </w:t>
      </w:r>
      <w:r>
        <w:t xml:space="preserve">not to provide a </w:t>
      </w:r>
      <w:r w:rsidRPr="006E50CB">
        <w:rPr>
          <w:b/>
          <w:bCs/>
          <w:i/>
          <w:iCs/>
        </w:rPr>
        <w:t>payment facilitation service</w:t>
      </w:r>
      <w:r>
        <w:t>.</w:t>
      </w:r>
    </w:p>
    <w:p w14:paraId="6E2C7690" w14:textId="4BBB9B8B" w:rsidR="00925B70" w:rsidRDefault="00925B70" w:rsidP="007C79C2">
      <w:pPr>
        <w:pStyle w:val="subsection"/>
      </w:pPr>
      <w:r>
        <w:tab/>
        <w:t>(</w:t>
      </w:r>
      <w:r w:rsidR="00B47B0D">
        <w:t>4</w:t>
      </w:r>
      <w:r>
        <w:t>)</w:t>
      </w:r>
      <w:r>
        <w:tab/>
        <w:t xml:space="preserve">Regulations made for the purposes of </w:t>
      </w:r>
      <w:r w:rsidR="007C79C2">
        <w:t>subsection (</w:t>
      </w:r>
      <w:r>
        <w:t>3) have effect despite anything else in this section.</w:t>
      </w:r>
    </w:p>
    <w:p w14:paraId="41C62864" w14:textId="39E973E0" w:rsidR="00925B70" w:rsidRDefault="00925B70" w:rsidP="007C79C2">
      <w:pPr>
        <w:pStyle w:val="ActHead5"/>
        <w:rPr>
          <w:i/>
          <w:iCs/>
        </w:rPr>
      </w:pPr>
      <w:r w:rsidRPr="007C79C2">
        <w:rPr>
          <w:rStyle w:val="CharSectno"/>
        </w:rPr>
        <w:t>766DD</w:t>
      </w:r>
      <w:r>
        <w:t xml:space="preserve">  Meaning of </w:t>
      </w:r>
      <w:r w:rsidRPr="009B6F99">
        <w:rPr>
          <w:i/>
          <w:iCs/>
        </w:rPr>
        <w:t>payment technology and enablement service</w:t>
      </w:r>
    </w:p>
    <w:p w14:paraId="6A0857DF" w14:textId="77777777" w:rsidR="00925B70" w:rsidRDefault="00925B70" w:rsidP="007C79C2">
      <w:pPr>
        <w:pStyle w:val="subsection"/>
      </w:pPr>
      <w:r>
        <w:tab/>
        <w:t>(1)</w:t>
      </w:r>
      <w:r>
        <w:tab/>
        <w:t xml:space="preserve">A person (the </w:t>
      </w:r>
      <w:r w:rsidRPr="00E729ED">
        <w:rPr>
          <w:b/>
          <w:bCs/>
          <w:i/>
          <w:iCs/>
        </w:rPr>
        <w:t>provider</w:t>
      </w:r>
      <w:r>
        <w:t xml:space="preserve">) provides a </w:t>
      </w:r>
      <w:r w:rsidRPr="00034A81">
        <w:rPr>
          <w:b/>
          <w:bCs/>
          <w:i/>
          <w:iCs/>
        </w:rPr>
        <w:t xml:space="preserve">payment </w:t>
      </w:r>
      <w:r>
        <w:rPr>
          <w:b/>
          <w:bCs/>
          <w:i/>
          <w:iCs/>
        </w:rPr>
        <w:t xml:space="preserve">technology and enablement </w:t>
      </w:r>
      <w:r w:rsidRPr="00034A81">
        <w:rPr>
          <w:b/>
          <w:bCs/>
          <w:i/>
          <w:iCs/>
        </w:rPr>
        <w:t>service</w:t>
      </w:r>
      <w:r>
        <w:t xml:space="preserve"> if:</w:t>
      </w:r>
    </w:p>
    <w:p w14:paraId="5D1FF428" w14:textId="77777777" w:rsidR="00925B70" w:rsidRDefault="00925B70" w:rsidP="007C79C2">
      <w:pPr>
        <w:pStyle w:val="paragraph"/>
      </w:pPr>
      <w:r>
        <w:tab/>
        <w:t>(a)</w:t>
      </w:r>
      <w:r>
        <w:tab/>
        <w:t>the provider takes action:</w:t>
      </w:r>
    </w:p>
    <w:p w14:paraId="2DE67CD2" w14:textId="7226382C" w:rsidR="00925B70" w:rsidRDefault="00925B70" w:rsidP="007C79C2">
      <w:pPr>
        <w:pStyle w:val="paragraphsub"/>
      </w:pPr>
      <w:r>
        <w:tab/>
        <w:t>(i)</w:t>
      </w:r>
      <w:r>
        <w:tab/>
        <w:t>to verify a person’s identity for the purpose of enabling the person to make one or more non</w:t>
      </w:r>
      <w:r w:rsidR="007C79C2">
        <w:noBreakHyphen/>
      </w:r>
      <w:r>
        <w:t>cash funds transfers (whether in general or in connection with a particular non</w:t>
      </w:r>
      <w:r w:rsidR="007C79C2">
        <w:noBreakHyphen/>
      </w:r>
      <w:r>
        <w:t>cash funds transfer); or</w:t>
      </w:r>
    </w:p>
    <w:p w14:paraId="7E4F5967" w14:textId="77D481ED" w:rsidR="00925B70" w:rsidRDefault="00925B70" w:rsidP="007C79C2">
      <w:pPr>
        <w:pStyle w:val="paragraphsub"/>
      </w:pPr>
      <w:r>
        <w:lastRenderedPageBreak/>
        <w:tab/>
        <w:t>(ii)</w:t>
      </w:r>
      <w:r>
        <w:tab/>
        <w:t>to transmit an instruction given by a person as the payer or payee in connection with the making of a non</w:t>
      </w:r>
      <w:r w:rsidR="007C79C2">
        <w:noBreakHyphen/>
      </w:r>
      <w:r>
        <w:t>cash funds transfer; and</w:t>
      </w:r>
    </w:p>
    <w:p w14:paraId="4525D1CF" w14:textId="640B1F50" w:rsidR="00925B70" w:rsidRDefault="00925B70" w:rsidP="007C79C2">
      <w:pPr>
        <w:pStyle w:val="paragraph"/>
      </w:pPr>
      <w:r w:rsidRPr="007E6CBE">
        <w:tab/>
        <w:t>(b)</w:t>
      </w:r>
      <w:r w:rsidRPr="007E6CBE">
        <w:tab/>
      </w:r>
      <w:r>
        <w:t>if the action is taken in relation to a particular non</w:t>
      </w:r>
      <w:r w:rsidR="007C79C2">
        <w:noBreakHyphen/>
      </w:r>
      <w:r>
        <w:t>cash funds transfer—the provider is not:</w:t>
      </w:r>
    </w:p>
    <w:p w14:paraId="56EEC2BF" w14:textId="07359D7B" w:rsidR="00925B70" w:rsidRDefault="00925B70" w:rsidP="007C79C2">
      <w:pPr>
        <w:pStyle w:val="paragraphsub"/>
      </w:pPr>
      <w:r>
        <w:tab/>
        <w:t>(i)</w:t>
      </w:r>
      <w:r>
        <w:tab/>
        <w:t xml:space="preserve">the issuer of a facility from the credit of which </w:t>
      </w:r>
      <w:r w:rsidRPr="007E6CBE">
        <w:t xml:space="preserve">funds the subject of </w:t>
      </w:r>
      <w:r>
        <w:t xml:space="preserve">the </w:t>
      </w:r>
      <w:r w:rsidRPr="007E6CBE">
        <w:t>non</w:t>
      </w:r>
      <w:r w:rsidR="007C79C2">
        <w:noBreakHyphen/>
      </w:r>
      <w:r w:rsidRPr="007E6CBE">
        <w:t xml:space="preserve">cash funds transfer </w:t>
      </w:r>
      <w:r>
        <w:t>are transferred; or</w:t>
      </w:r>
    </w:p>
    <w:p w14:paraId="20B1FD58" w14:textId="75E57043" w:rsidR="00925B70" w:rsidRDefault="00925B70" w:rsidP="007C79C2">
      <w:pPr>
        <w:pStyle w:val="paragraphsub"/>
      </w:pPr>
      <w:r>
        <w:tab/>
        <w:t>(ii)</w:t>
      </w:r>
      <w:r>
        <w:tab/>
        <w:t>the payer or payee, or a person interposed between the payer and payee, for the non</w:t>
      </w:r>
      <w:r w:rsidR="007C79C2">
        <w:noBreakHyphen/>
      </w:r>
      <w:r>
        <w:t>cash funds transfer; and</w:t>
      </w:r>
    </w:p>
    <w:p w14:paraId="6750D848" w14:textId="40DF70C7" w:rsidR="00925B70" w:rsidRDefault="00925B70" w:rsidP="007C79C2">
      <w:pPr>
        <w:pStyle w:val="paragraph"/>
      </w:pPr>
      <w:r>
        <w:tab/>
        <w:t>(c)</w:t>
      </w:r>
      <w:r>
        <w:tab/>
        <w:t>the provider is a constitutionally</w:t>
      </w:r>
      <w:r w:rsidR="007C79C2">
        <w:noBreakHyphen/>
      </w:r>
      <w:r>
        <w:t xml:space="preserve">covered corporation or a </w:t>
      </w:r>
      <w:r w:rsidRPr="007730B2">
        <w:t>representative</w:t>
      </w:r>
      <w:r>
        <w:t xml:space="preserve"> of a constitutionally</w:t>
      </w:r>
      <w:r w:rsidR="007C79C2">
        <w:noBreakHyphen/>
      </w:r>
      <w:r>
        <w:t>covered corporation.</w:t>
      </w:r>
    </w:p>
    <w:p w14:paraId="7D653DE3" w14:textId="483EAAC1" w:rsidR="005D67BA" w:rsidRPr="004970C9" w:rsidRDefault="005D67BA" w:rsidP="007C79C2">
      <w:pPr>
        <w:pStyle w:val="notetext"/>
      </w:pPr>
      <w:r>
        <w:t>Note:</w:t>
      </w:r>
      <w:r>
        <w:tab/>
      </w:r>
      <w:r w:rsidR="00ED30EF">
        <w:t xml:space="preserve">If a person does not provide a payment technology and enablement service because of </w:t>
      </w:r>
      <w:r w:rsidR="007C79C2">
        <w:t>paragraph (</w:t>
      </w:r>
      <w:r w:rsidR="00ED30EF">
        <w:t>b), th</w:t>
      </w:r>
      <w:r w:rsidR="005626FA">
        <w:t>e</w:t>
      </w:r>
      <w:r w:rsidR="00ED30EF">
        <w:t xml:space="preserve"> action </w:t>
      </w:r>
      <w:r>
        <w:t>may still be regulated by another provision of this Act, for example, because the action amounts to providing a different kind of payment service.</w:t>
      </w:r>
    </w:p>
    <w:p w14:paraId="23862EA8" w14:textId="77777777" w:rsidR="00925B70" w:rsidRDefault="00925B70" w:rsidP="007C79C2">
      <w:pPr>
        <w:pStyle w:val="subsection"/>
      </w:pPr>
      <w:r>
        <w:tab/>
        <w:t>(2)</w:t>
      </w:r>
      <w:r>
        <w:tab/>
        <w:t xml:space="preserve">However, the provider does not provide a </w:t>
      </w:r>
      <w:r w:rsidRPr="00034A81">
        <w:rPr>
          <w:b/>
          <w:bCs/>
          <w:i/>
          <w:iCs/>
        </w:rPr>
        <w:t xml:space="preserve">payment </w:t>
      </w:r>
      <w:r>
        <w:rPr>
          <w:b/>
          <w:bCs/>
          <w:i/>
          <w:iCs/>
        </w:rPr>
        <w:t xml:space="preserve">technology and enablement </w:t>
      </w:r>
      <w:r w:rsidRPr="00034A81">
        <w:rPr>
          <w:b/>
          <w:bCs/>
          <w:i/>
          <w:iCs/>
        </w:rPr>
        <w:t>service</w:t>
      </w:r>
      <w:r>
        <w:t xml:space="preserve"> if:</w:t>
      </w:r>
    </w:p>
    <w:p w14:paraId="6DB8971B" w14:textId="012BB7FA" w:rsidR="00925B70" w:rsidRDefault="00925B70" w:rsidP="007C79C2">
      <w:pPr>
        <w:pStyle w:val="paragraph"/>
      </w:pPr>
      <w:r>
        <w:tab/>
        <w:t>(a)</w:t>
      </w:r>
      <w:r>
        <w:tab/>
        <w:t xml:space="preserve">the action mentioned in </w:t>
      </w:r>
      <w:r w:rsidR="007C79C2">
        <w:t>paragraph (</w:t>
      </w:r>
      <w:r>
        <w:t>1)(a) is taken:</w:t>
      </w:r>
    </w:p>
    <w:p w14:paraId="5D89C9DD" w14:textId="44C90F8F" w:rsidR="00925B70" w:rsidRDefault="00925B70" w:rsidP="007C79C2">
      <w:pPr>
        <w:pStyle w:val="paragraphsub"/>
      </w:pPr>
      <w:r>
        <w:tab/>
        <w:t>(i)</w:t>
      </w:r>
      <w:r>
        <w:tab/>
        <w:t>in connection with the making of a particular non</w:t>
      </w:r>
      <w:r w:rsidR="007C79C2">
        <w:noBreakHyphen/>
      </w:r>
      <w:r>
        <w:t>cash funds transfer; and</w:t>
      </w:r>
    </w:p>
    <w:p w14:paraId="0A120239" w14:textId="77777777" w:rsidR="00925B70" w:rsidRDefault="00925B70" w:rsidP="007C79C2">
      <w:pPr>
        <w:pStyle w:val="paragraphsub"/>
      </w:pPr>
      <w:r>
        <w:tab/>
        <w:t>(ii)</w:t>
      </w:r>
      <w:r>
        <w:tab/>
        <w:t>under an arrangement between the provider and a person other than the payer or payee for the transfer; and</w:t>
      </w:r>
    </w:p>
    <w:p w14:paraId="6FEBFD80" w14:textId="2DE54267" w:rsidR="00925B70" w:rsidRDefault="00925B70" w:rsidP="007C79C2">
      <w:pPr>
        <w:pStyle w:val="paragraph"/>
      </w:pPr>
      <w:r>
        <w:tab/>
        <w:t>(b)</w:t>
      </w:r>
      <w:r>
        <w:tab/>
        <w:t xml:space="preserve">there is no arrangement </w:t>
      </w:r>
      <w:r w:rsidR="005D67BA">
        <w:t xml:space="preserve">of any kind </w:t>
      </w:r>
      <w:r>
        <w:t>between the provider and either the payer or the payee relating to the making of non</w:t>
      </w:r>
      <w:r w:rsidR="007C79C2">
        <w:noBreakHyphen/>
      </w:r>
      <w:r>
        <w:t>cash funds transfers.</w:t>
      </w:r>
    </w:p>
    <w:p w14:paraId="17ED7B17" w14:textId="77777777" w:rsidR="00925B70" w:rsidRDefault="00925B70" w:rsidP="007C79C2">
      <w:pPr>
        <w:pStyle w:val="subsection"/>
      </w:pPr>
      <w:r>
        <w:tab/>
        <w:t>(3)</w:t>
      </w:r>
      <w:r>
        <w:tab/>
        <w:t xml:space="preserve">The following provisions apply in relation to a </w:t>
      </w:r>
      <w:r w:rsidRPr="00B408F4">
        <w:t>payment technology and enablement service</w:t>
      </w:r>
      <w:r>
        <w:t>:</w:t>
      </w:r>
    </w:p>
    <w:p w14:paraId="0C97EACA" w14:textId="2A7F34D3" w:rsidR="00925B70" w:rsidRDefault="00925B70" w:rsidP="007C79C2">
      <w:pPr>
        <w:pStyle w:val="paragraph"/>
      </w:pPr>
      <w:r>
        <w:tab/>
        <w:t>(a)</w:t>
      </w:r>
      <w:r>
        <w:tab/>
        <w:t xml:space="preserve">the </w:t>
      </w:r>
      <w:r w:rsidRPr="00B408F4">
        <w:t>payment technology and enablement service</w:t>
      </w:r>
      <w:r>
        <w:t xml:space="preserve"> is provided to the person with whom the provider has the arrangement under which the provider takes the action mentioned in </w:t>
      </w:r>
      <w:r w:rsidR="00120E37">
        <w:t>sub</w:t>
      </w:r>
      <w:r w:rsidR="007C79C2">
        <w:t>paragraph (</w:t>
      </w:r>
      <w:r>
        <w:t>1)(a)(i) or (ii);</w:t>
      </w:r>
    </w:p>
    <w:p w14:paraId="3B16FB29" w14:textId="77777777" w:rsidR="00925B70" w:rsidRPr="00EC61DC" w:rsidRDefault="00925B70" w:rsidP="007C79C2">
      <w:pPr>
        <w:pStyle w:val="paragraph"/>
      </w:pPr>
      <w:r>
        <w:tab/>
        <w:t>(b)</w:t>
      </w:r>
      <w:r>
        <w:tab/>
        <w:t xml:space="preserve">except as otherwise provided, the provider provides a </w:t>
      </w:r>
      <w:r w:rsidRPr="00B408F4">
        <w:t>payment technology and enablement service</w:t>
      </w:r>
      <w:r>
        <w:t xml:space="preserve"> each time the provider takes such an action under the arrangement</w:t>
      </w:r>
      <w:r w:rsidRPr="00EC61DC">
        <w:t>.</w:t>
      </w:r>
    </w:p>
    <w:p w14:paraId="7BAE1B13" w14:textId="26202F9A" w:rsidR="00925B70" w:rsidRDefault="00925B70" w:rsidP="007C79C2">
      <w:pPr>
        <w:pStyle w:val="notetext"/>
      </w:pPr>
      <w:r w:rsidRPr="00C57C92">
        <w:t>Note:</w:t>
      </w:r>
      <w:r w:rsidRPr="00C57C92">
        <w:tab/>
      </w:r>
      <w:r>
        <w:t>B</w:t>
      </w:r>
      <w:r w:rsidRPr="00C57C92">
        <w:t xml:space="preserve">ecause of </w:t>
      </w:r>
      <w:r w:rsidR="007C79C2">
        <w:t>paragraph (</w:t>
      </w:r>
      <w:r>
        <w:t>b</w:t>
      </w:r>
      <w:r w:rsidRPr="00C57C92">
        <w:t>)</w:t>
      </w:r>
      <w:r>
        <w:t xml:space="preserve"> of this subsection</w:t>
      </w:r>
      <w:r w:rsidRPr="00C57C92">
        <w:t>, the provider will</w:t>
      </w:r>
      <w:r>
        <w:t xml:space="preserve"> (for example)</w:t>
      </w:r>
      <w:r w:rsidRPr="00C57C92">
        <w:t xml:space="preserve"> be subject to the licensing and related requirements of </w:t>
      </w:r>
      <w:r w:rsidR="00E12AA4">
        <w:t>Part 7</w:t>
      </w:r>
      <w:r w:rsidRPr="00C57C92">
        <w:t>.6 for so long as th</w:t>
      </w:r>
      <w:r w:rsidRPr="000013CF">
        <w:t>ey pro</w:t>
      </w:r>
      <w:r>
        <w:t>vide payment facilitation services under the arrangement</w:t>
      </w:r>
      <w:r w:rsidRPr="00C57C92">
        <w:t>.</w:t>
      </w:r>
    </w:p>
    <w:p w14:paraId="210BDDA8" w14:textId="3033098C" w:rsidR="00925B70" w:rsidRDefault="00925B70" w:rsidP="007C79C2">
      <w:pPr>
        <w:pStyle w:val="subsection"/>
      </w:pPr>
      <w:r>
        <w:lastRenderedPageBreak/>
        <w:tab/>
        <w:t>(4)</w:t>
      </w:r>
      <w:r>
        <w:tab/>
        <w:t>The regulations may prescribe circumstances in which a constitutionally</w:t>
      </w:r>
      <w:r w:rsidR="007C79C2">
        <w:noBreakHyphen/>
      </w:r>
      <w:r>
        <w:t>covered corporation, or a representative of a constitutionally covered corporation, is taken</w:t>
      </w:r>
      <w:r w:rsidR="00B47B0D">
        <w:t xml:space="preserve"> </w:t>
      </w:r>
      <w:r>
        <w:t xml:space="preserve">not to provide a </w:t>
      </w:r>
      <w:r w:rsidRPr="00A4391C">
        <w:rPr>
          <w:b/>
          <w:bCs/>
          <w:i/>
          <w:iCs/>
        </w:rPr>
        <w:t>payment technology and enablement service</w:t>
      </w:r>
      <w:r>
        <w:t>.</w:t>
      </w:r>
    </w:p>
    <w:p w14:paraId="20416428" w14:textId="1494CA85" w:rsidR="00925B70" w:rsidRDefault="00925B70" w:rsidP="007C79C2">
      <w:pPr>
        <w:pStyle w:val="subsection"/>
      </w:pPr>
      <w:r>
        <w:tab/>
        <w:t>(</w:t>
      </w:r>
      <w:r w:rsidR="00B47B0D">
        <w:t>5</w:t>
      </w:r>
      <w:r>
        <w:t>)</w:t>
      </w:r>
      <w:r>
        <w:tab/>
        <w:t xml:space="preserve">Regulations made for the purposes of </w:t>
      </w:r>
      <w:r w:rsidR="007C79C2">
        <w:t>subsection (</w:t>
      </w:r>
      <w:r>
        <w:t>4) have effect despite anything else in this section.</w:t>
      </w:r>
    </w:p>
    <w:p w14:paraId="2170F80A" w14:textId="2DC43FB8" w:rsidR="00865ED0" w:rsidRPr="00865ED0" w:rsidRDefault="00304C61" w:rsidP="007C79C2">
      <w:pPr>
        <w:pStyle w:val="ItemHead"/>
      </w:pPr>
      <w:r>
        <w:t>25</w:t>
      </w:r>
      <w:r w:rsidR="00865ED0" w:rsidRPr="00865ED0">
        <w:t xml:space="preserve">  At the end of Division 4 of </w:t>
      </w:r>
      <w:r w:rsidR="00E12AA4">
        <w:t>Part 7</w:t>
      </w:r>
      <w:r w:rsidR="00865ED0" w:rsidRPr="00865ED0">
        <w:t>.1</w:t>
      </w:r>
    </w:p>
    <w:p w14:paraId="05E857DA" w14:textId="77777777" w:rsidR="00865ED0" w:rsidRPr="00865ED0" w:rsidRDefault="00865ED0" w:rsidP="007C79C2">
      <w:pPr>
        <w:pStyle w:val="Item"/>
      </w:pPr>
      <w:r w:rsidRPr="00865ED0">
        <w:t>Add:</w:t>
      </w:r>
    </w:p>
    <w:p w14:paraId="3D7EECDC" w14:textId="77777777" w:rsidR="00865ED0" w:rsidRPr="00865ED0" w:rsidRDefault="00865ED0" w:rsidP="007C79C2">
      <w:pPr>
        <w:pStyle w:val="ActHead4"/>
      </w:pPr>
      <w:r w:rsidRPr="007C79C2">
        <w:rPr>
          <w:rStyle w:val="CharSubdNo"/>
        </w:rPr>
        <w:t>Subdivision B</w:t>
      </w:r>
      <w:r w:rsidRPr="00865ED0">
        <w:t>—</w:t>
      </w:r>
      <w:r w:rsidRPr="007C79C2">
        <w:rPr>
          <w:rStyle w:val="CharSubdText"/>
        </w:rPr>
        <w:t>Specific limitations</w:t>
      </w:r>
    </w:p>
    <w:p w14:paraId="5725D59E" w14:textId="353CA0C2" w:rsidR="00865ED0" w:rsidRPr="00865ED0" w:rsidRDefault="00865ED0" w:rsidP="007C79C2">
      <w:pPr>
        <w:pStyle w:val="ActHead5"/>
      </w:pPr>
      <w:r w:rsidRPr="007C79C2">
        <w:rPr>
          <w:rStyle w:val="CharSectno"/>
        </w:rPr>
        <w:t>766</w:t>
      </w:r>
      <w:r w:rsidR="00FE4AC4" w:rsidRPr="007C79C2">
        <w:rPr>
          <w:rStyle w:val="CharSectno"/>
        </w:rPr>
        <w:t>J</w:t>
      </w:r>
      <w:r w:rsidRPr="00865ED0">
        <w:t xml:space="preserve">  Conduct relating to </w:t>
      </w:r>
      <w:r w:rsidR="006E697D">
        <w:t xml:space="preserve">stored value facilities or payment instruments </w:t>
      </w:r>
      <w:r w:rsidRPr="00865ED0">
        <w:t>is a financial service only if engaged in by</w:t>
      </w:r>
      <w:r w:rsidR="00FE4AC4">
        <w:t xml:space="preserve"> a</w:t>
      </w:r>
      <w:r w:rsidRPr="00865ED0">
        <w:t xml:space="preserve"> constitutionally</w:t>
      </w:r>
      <w:r w:rsidR="007C79C2">
        <w:noBreakHyphen/>
      </w:r>
      <w:r w:rsidRPr="00865ED0">
        <w:t>covered corporation</w:t>
      </w:r>
      <w:r w:rsidR="00FE4AC4">
        <w:t xml:space="preserve"> or representative</w:t>
      </w:r>
    </w:p>
    <w:p w14:paraId="6180E949" w14:textId="77777777" w:rsidR="00865ED0" w:rsidRPr="00865ED0" w:rsidRDefault="00865ED0" w:rsidP="007C79C2">
      <w:pPr>
        <w:pStyle w:val="subsection"/>
      </w:pPr>
      <w:r w:rsidRPr="00865ED0">
        <w:tab/>
      </w:r>
      <w:r w:rsidRPr="00865ED0">
        <w:tab/>
        <w:t>Despite anything in Subdivision A, conduct that:</w:t>
      </w:r>
    </w:p>
    <w:p w14:paraId="29827C06" w14:textId="2273D9DD" w:rsidR="00865ED0" w:rsidRPr="00865ED0" w:rsidRDefault="00865ED0" w:rsidP="007C79C2">
      <w:pPr>
        <w:pStyle w:val="paragraph"/>
      </w:pPr>
      <w:r w:rsidRPr="00865ED0">
        <w:tab/>
        <w:t>(a)</w:t>
      </w:r>
      <w:r w:rsidRPr="00865ED0">
        <w:tab/>
        <w:t xml:space="preserve">relates to a </w:t>
      </w:r>
      <w:r w:rsidR="006E697D">
        <w:t>stored value facility</w:t>
      </w:r>
      <w:r w:rsidR="00DE3BAD">
        <w:t>, or a payment instrument</w:t>
      </w:r>
      <w:r w:rsidR="006E697D">
        <w:t>,</w:t>
      </w:r>
      <w:r w:rsidRPr="00865ED0">
        <w:t xml:space="preserve"> </w:t>
      </w:r>
      <w:r w:rsidRPr="00EB0B22">
        <w:t xml:space="preserve">that is a financial product only because of </w:t>
      </w:r>
      <w:r w:rsidR="00E12AA4" w:rsidRPr="00EB0B22">
        <w:t>paragraph 7</w:t>
      </w:r>
      <w:r w:rsidRPr="00EB0B22">
        <w:t>64A(1)(</w:t>
      </w:r>
      <w:r w:rsidR="00DE3BAD" w:rsidRPr="00EB0B22">
        <w:t>ia) or (ib)</w:t>
      </w:r>
      <w:r w:rsidR="00547C8B" w:rsidRPr="00EB0B22">
        <w:t>;</w:t>
      </w:r>
      <w:r w:rsidRPr="00EB0B22">
        <w:t xml:space="preserve"> </w:t>
      </w:r>
      <w:r w:rsidRPr="00865ED0">
        <w:t>and</w:t>
      </w:r>
    </w:p>
    <w:p w14:paraId="0DDCB83E" w14:textId="23B62C3C" w:rsidR="00865ED0" w:rsidRPr="00865ED0" w:rsidRDefault="00865ED0" w:rsidP="007C79C2">
      <w:pPr>
        <w:pStyle w:val="paragraph"/>
      </w:pPr>
      <w:r w:rsidRPr="00865ED0">
        <w:tab/>
        <w:t>(b)</w:t>
      </w:r>
      <w:r w:rsidRPr="00865ED0">
        <w:tab/>
        <w:t>would, apart from this section, be a financial service</w:t>
      </w:r>
      <w:r w:rsidR="00DE3BAD">
        <w:t xml:space="preserve"> </w:t>
      </w:r>
      <w:r w:rsidR="00DE3BAD" w:rsidRPr="00EB0B22">
        <w:t>other than a payment service</w:t>
      </w:r>
      <w:r w:rsidRPr="00EB0B22">
        <w:t>;</w:t>
      </w:r>
    </w:p>
    <w:p w14:paraId="442D766E" w14:textId="493A05B7" w:rsidR="00865ED0" w:rsidRDefault="00865ED0" w:rsidP="007C79C2">
      <w:pPr>
        <w:pStyle w:val="subsection2"/>
      </w:pPr>
      <w:r w:rsidRPr="00865ED0">
        <w:t>is a financial service only if the conduct is engaged in by</w:t>
      </w:r>
      <w:r w:rsidR="008C08E9">
        <w:t xml:space="preserve"> a constitutionally</w:t>
      </w:r>
      <w:r w:rsidR="007C79C2">
        <w:noBreakHyphen/>
      </w:r>
      <w:r w:rsidR="008C08E9">
        <w:t xml:space="preserve">covered corporation or a </w:t>
      </w:r>
      <w:r w:rsidR="008C08E9" w:rsidRPr="007730B2">
        <w:t>representative</w:t>
      </w:r>
      <w:r w:rsidR="008C08E9">
        <w:t xml:space="preserve"> of a constitutionally</w:t>
      </w:r>
      <w:r w:rsidR="007C79C2">
        <w:noBreakHyphen/>
      </w:r>
      <w:r w:rsidR="008C08E9">
        <w:t>covered corporation</w:t>
      </w:r>
      <w:r w:rsidRPr="00865ED0">
        <w:t>.</w:t>
      </w:r>
    </w:p>
    <w:p w14:paraId="278099AE" w14:textId="482104A8" w:rsidR="00615BCB" w:rsidRPr="008C08E9" w:rsidRDefault="00304C61" w:rsidP="007C79C2">
      <w:pPr>
        <w:pStyle w:val="ItemHead"/>
      </w:pPr>
      <w:r>
        <w:t>26</w:t>
      </w:r>
      <w:r w:rsidR="00615BCB" w:rsidRPr="008C08E9">
        <w:t xml:space="preserve">  </w:t>
      </w:r>
      <w:r w:rsidR="00112D79" w:rsidRPr="008C08E9">
        <w:t>Sub</w:t>
      </w:r>
      <w:r w:rsidR="00E12AA4">
        <w:t>paragraph 9</w:t>
      </w:r>
      <w:r w:rsidR="00615BCB" w:rsidRPr="008C08E9">
        <w:t>11B(1)(c)(iv)</w:t>
      </w:r>
    </w:p>
    <w:p w14:paraId="7B3C6988" w14:textId="03A53330" w:rsidR="00615BCB" w:rsidRDefault="00615BCB" w:rsidP="007C79C2">
      <w:pPr>
        <w:pStyle w:val="Item"/>
      </w:pPr>
      <w:r>
        <w:t>Omit “</w:t>
      </w:r>
      <w:r w:rsidRPr="00615BCB">
        <w:t>facility for making non</w:t>
      </w:r>
      <w:r w:rsidR="007C79C2">
        <w:noBreakHyphen/>
      </w:r>
      <w:r w:rsidRPr="00615BCB">
        <w:t>cash payments</w:t>
      </w:r>
      <w:r>
        <w:t>”, substitute “payment instrument”.</w:t>
      </w:r>
    </w:p>
    <w:p w14:paraId="7D835539" w14:textId="1A2475CD" w:rsidR="000D6CAC" w:rsidRDefault="00304C61" w:rsidP="007C79C2">
      <w:pPr>
        <w:pStyle w:val="ItemHead"/>
      </w:pPr>
      <w:r>
        <w:t>27</w:t>
      </w:r>
      <w:r w:rsidR="000D6CAC">
        <w:t xml:space="preserve">  After </w:t>
      </w:r>
      <w:r w:rsidR="00E12AA4">
        <w:t>paragraph 9</w:t>
      </w:r>
      <w:r w:rsidR="000D6CAC">
        <w:t>12A(1)(g)</w:t>
      </w:r>
    </w:p>
    <w:p w14:paraId="00EDD5FF" w14:textId="4367B9AA" w:rsidR="000D6CAC" w:rsidRDefault="000D6CAC" w:rsidP="007C79C2">
      <w:pPr>
        <w:pStyle w:val="Item"/>
      </w:pPr>
      <w:r>
        <w:t>Insert:</w:t>
      </w:r>
    </w:p>
    <w:p w14:paraId="06FE513D" w14:textId="504A6B85" w:rsidR="00A923C9" w:rsidRDefault="000D6CAC" w:rsidP="007C79C2">
      <w:pPr>
        <w:pStyle w:val="paragraph"/>
      </w:pPr>
      <w:r>
        <w:tab/>
        <w:t>(ga)</w:t>
      </w:r>
      <w:r>
        <w:tab/>
        <w:t>if th</w:t>
      </w:r>
      <w:r w:rsidR="00590858">
        <w:t xml:space="preserve">e licensee </w:t>
      </w:r>
      <w:r w:rsidR="00741B68">
        <w:t>provides</w:t>
      </w:r>
      <w:r w:rsidR="00A923C9">
        <w:t>:</w:t>
      </w:r>
    </w:p>
    <w:p w14:paraId="74264CF3" w14:textId="77777777" w:rsidR="00A923C9" w:rsidRDefault="00A923C9" w:rsidP="007C79C2">
      <w:pPr>
        <w:pStyle w:val="paragraphsub"/>
      </w:pPr>
      <w:r>
        <w:tab/>
        <w:t>(i)</w:t>
      </w:r>
      <w:r>
        <w:tab/>
        <w:t xml:space="preserve">a </w:t>
      </w:r>
      <w:r w:rsidR="00741B68">
        <w:t>payment service</w:t>
      </w:r>
      <w:r>
        <w:t>;</w:t>
      </w:r>
      <w:r w:rsidR="00741B68">
        <w:t xml:space="preserve"> or</w:t>
      </w:r>
    </w:p>
    <w:p w14:paraId="10BA3D2A" w14:textId="77777777" w:rsidR="00A923C9" w:rsidRDefault="00A923C9" w:rsidP="007C79C2">
      <w:pPr>
        <w:pStyle w:val="paragraphsub"/>
      </w:pPr>
      <w:r>
        <w:tab/>
        <w:t>(ii)</w:t>
      </w:r>
      <w:r>
        <w:tab/>
      </w:r>
      <w:r w:rsidR="00741B68">
        <w:t>another financial service that relates to a stored value facility or payment instrument</w:t>
      </w:r>
      <w:r>
        <w:t>;</w:t>
      </w:r>
    </w:p>
    <w:p w14:paraId="137F637D" w14:textId="0DCB82CD" w:rsidR="000D6CAC" w:rsidRDefault="00A923C9" w:rsidP="007C79C2">
      <w:pPr>
        <w:pStyle w:val="paragraph"/>
      </w:pPr>
      <w:r>
        <w:tab/>
      </w:r>
      <w:r>
        <w:tab/>
      </w:r>
      <w:r w:rsidR="00131E2B">
        <w:t xml:space="preserve">for </w:t>
      </w:r>
      <w:r w:rsidR="00753792">
        <w:t xml:space="preserve">the purposes of </w:t>
      </w:r>
      <w:r w:rsidR="00131E2B">
        <w:t>another</w:t>
      </w:r>
      <w:r w:rsidR="00753792">
        <w:t xml:space="preserve"> licensee providing</w:t>
      </w:r>
      <w:r w:rsidR="008E52ED">
        <w:t xml:space="preserve"> </w:t>
      </w:r>
      <w:r>
        <w:t xml:space="preserve">a financial service described in </w:t>
      </w:r>
      <w:r w:rsidR="00120E37">
        <w:t>sub</w:t>
      </w:r>
      <w:r w:rsidR="007C79C2">
        <w:t>paragraph (</w:t>
      </w:r>
      <w:r>
        <w:t xml:space="preserve">i) or (ii) </w:t>
      </w:r>
      <w:r w:rsidR="008E52ED">
        <w:t>to a person as a retail client</w:t>
      </w:r>
      <w:r w:rsidR="00D6026A">
        <w:t xml:space="preserve">—comply with </w:t>
      </w:r>
      <w:r w:rsidR="007C79C2">
        <w:t>subsection (</w:t>
      </w:r>
      <w:r w:rsidR="00D6026A">
        <w:t>3AA</w:t>
      </w:r>
      <w:r w:rsidR="00924E26">
        <w:t>A</w:t>
      </w:r>
      <w:r w:rsidR="00D6026A">
        <w:t>); and</w:t>
      </w:r>
    </w:p>
    <w:p w14:paraId="21C81523" w14:textId="27419ECE" w:rsidR="00A74230" w:rsidRDefault="00304C61" w:rsidP="007C79C2">
      <w:pPr>
        <w:pStyle w:val="ItemHead"/>
      </w:pPr>
      <w:r>
        <w:lastRenderedPageBreak/>
        <w:t>28</w:t>
      </w:r>
      <w:r w:rsidR="00A74230">
        <w:t xml:space="preserve">  After </w:t>
      </w:r>
      <w:r w:rsidR="00120E37">
        <w:t>subsection 9</w:t>
      </w:r>
      <w:r w:rsidR="00A74230">
        <w:t>12A(3</w:t>
      </w:r>
      <w:r w:rsidR="00D8707C">
        <w:t>)</w:t>
      </w:r>
    </w:p>
    <w:p w14:paraId="009A6650" w14:textId="167085CE" w:rsidR="00D8707C" w:rsidRDefault="00D8707C" w:rsidP="007C79C2">
      <w:pPr>
        <w:pStyle w:val="Item"/>
      </w:pPr>
      <w:r>
        <w:t>Insert:</w:t>
      </w:r>
    </w:p>
    <w:p w14:paraId="56B4B037" w14:textId="718EBF88" w:rsidR="00D8707C" w:rsidRPr="00D8707C" w:rsidRDefault="00CD4305" w:rsidP="007C79C2">
      <w:pPr>
        <w:pStyle w:val="SubsectionHead"/>
      </w:pPr>
      <w:r>
        <w:t xml:space="preserve">Payment services </w:t>
      </w:r>
      <w:r w:rsidR="00C44A15">
        <w:t>etc.</w:t>
      </w:r>
      <w:r w:rsidR="00C56C70">
        <w:t xml:space="preserve"> provided to retail clients</w:t>
      </w:r>
      <w:r w:rsidR="00C44A15">
        <w:t>—intermediary licensee</w:t>
      </w:r>
      <w:r w:rsidR="00C56C70">
        <w:t>s</w:t>
      </w:r>
      <w:r w:rsidR="00C44A15">
        <w:t xml:space="preserve"> to cooperate</w:t>
      </w:r>
      <w:r w:rsidR="00C56C70">
        <w:t xml:space="preserve"> with AFCA and provider</w:t>
      </w:r>
      <w:r w:rsidR="00480E47">
        <w:t xml:space="preserve"> licensees</w:t>
      </w:r>
    </w:p>
    <w:p w14:paraId="16565647" w14:textId="7DC46B23" w:rsidR="00D8707C" w:rsidRDefault="00D8707C" w:rsidP="007C79C2">
      <w:pPr>
        <w:pStyle w:val="subsection"/>
      </w:pPr>
      <w:r>
        <w:tab/>
        <w:t>(3AAA)</w:t>
      </w:r>
      <w:r>
        <w:tab/>
        <w:t>For the purposes of</w:t>
      </w:r>
      <w:r w:rsidR="007E0949">
        <w:t xml:space="preserve"> </w:t>
      </w:r>
      <w:r w:rsidR="007C79C2">
        <w:t>paragraph (</w:t>
      </w:r>
      <w:r w:rsidR="00F95685">
        <w:t>1)</w:t>
      </w:r>
      <w:r w:rsidR="007E0949">
        <w:t>(ga), the licensee must</w:t>
      </w:r>
      <w:r w:rsidR="00924E26">
        <w:t>:</w:t>
      </w:r>
    </w:p>
    <w:p w14:paraId="2A137295" w14:textId="45C18CA9" w:rsidR="007F4753" w:rsidRDefault="007F4753" w:rsidP="007C79C2">
      <w:pPr>
        <w:pStyle w:val="paragraph"/>
      </w:pPr>
      <w:r>
        <w:tab/>
        <w:t>(a)</w:t>
      </w:r>
      <w:r>
        <w:tab/>
      </w:r>
      <w:r w:rsidR="004B7F42">
        <w:t xml:space="preserve">take reasonable steps to </w:t>
      </w:r>
      <w:r>
        <w:t>cooperate with AFCA in resolving any complaint under the AFCA scheme</w:t>
      </w:r>
      <w:r w:rsidR="00FE4AC4">
        <w:t>, to which the other licensee mentioned in that paragraph is a party, that</w:t>
      </w:r>
      <w:r w:rsidR="00CC3E5B">
        <w:t xml:space="preserve"> relat</w:t>
      </w:r>
      <w:r w:rsidR="00FE4AC4">
        <w:t>es</w:t>
      </w:r>
      <w:r w:rsidR="00CC3E5B">
        <w:t xml:space="preserve"> to the provision of the service</w:t>
      </w:r>
      <w:r w:rsidR="004B7F42">
        <w:t>, including by:</w:t>
      </w:r>
    </w:p>
    <w:p w14:paraId="0A95C43F" w14:textId="3EAAE98E" w:rsidR="009F01E7" w:rsidRDefault="009F01E7" w:rsidP="007C79C2">
      <w:pPr>
        <w:pStyle w:val="paragraphsub"/>
      </w:pPr>
      <w:r>
        <w:tab/>
        <w:t>(i)</w:t>
      </w:r>
      <w:r>
        <w:tab/>
        <w:t>giving reasonable assistance to AFCA in resolving the complaint; and</w:t>
      </w:r>
    </w:p>
    <w:p w14:paraId="2E964841" w14:textId="62CA2CAF" w:rsidR="009F01E7" w:rsidRDefault="009F01E7" w:rsidP="007C79C2">
      <w:pPr>
        <w:pStyle w:val="paragraphsub"/>
      </w:pPr>
      <w:r>
        <w:tab/>
        <w:t>(ii)</w:t>
      </w:r>
      <w:r>
        <w:tab/>
        <w:t>identifying, locating and providing to AFCA any documents and information that AFCA reasonably requires for the purposes of resolving the complaint; and</w:t>
      </w:r>
    </w:p>
    <w:p w14:paraId="099517CC" w14:textId="7B4B48A5" w:rsidR="003F360E" w:rsidRDefault="000D6CAC" w:rsidP="007C79C2">
      <w:pPr>
        <w:pStyle w:val="paragraph"/>
      </w:pPr>
      <w:r>
        <w:tab/>
        <w:t>(</w:t>
      </w:r>
      <w:r w:rsidR="009F01E7">
        <w:t>b</w:t>
      </w:r>
      <w:r>
        <w:t>)</w:t>
      </w:r>
      <w:r>
        <w:tab/>
        <w:t>cooperate with th</w:t>
      </w:r>
      <w:r w:rsidR="00774703">
        <w:t xml:space="preserve">e </w:t>
      </w:r>
      <w:r>
        <w:t xml:space="preserve">other licensee </w:t>
      </w:r>
      <w:r w:rsidR="00774703">
        <w:t xml:space="preserve">mentioned in that paragraph </w:t>
      </w:r>
      <w:r>
        <w:t>for the purposes of enabling the other licensee to</w:t>
      </w:r>
      <w:r w:rsidR="003F360E">
        <w:t>:</w:t>
      </w:r>
    </w:p>
    <w:p w14:paraId="4A758D10" w14:textId="3A44B443" w:rsidR="000D6CAC" w:rsidRDefault="003F360E" w:rsidP="007C79C2">
      <w:pPr>
        <w:pStyle w:val="paragraphsub"/>
      </w:pPr>
      <w:r>
        <w:tab/>
        <w:t>(i)</w:t>
      </w:r>
      <w:r>
        <w:tab/>
      </w:r>
      <w:r w:rsidR="00D6026A">
        <w:t xml:space="preserve">apply </w:t>
      </w:r>
      <w:r w:rsidR="00764751">
        <w:t xml:space="preserve">its internal dispute resolution procedures required by </w:t>
      </w:r>
      <w:r w:rsidR="007C79C2">
        <w:t>paragraph (</w:t>
      </w:r>
      <w:r w:rsidR="00764751">
        <w:t>2)(a)</w:t>
      </w:r>
      <w:r w:rsidR="00CC3E5B">
        <w:t xml:space="preserve"> for the purposes of resolving a complaint relating to the provision of the service</w:t>
      </w:r>
      <w:r w:rsidR="00764751">
        <w:t>;</w:t>
      </w:r>
      <w:r>
        <w:t xml:space="preserve"> and</w:t>
      </w:r>
    </w:p>
    <w:p w14:paraId="2BCF39EE" w14:textId="1A5FFD6C" w:rsidR="003F360E" w:rsidRDefault="003F360E" w:rsidP="007C79C2">
      <w:pPr>
        <w:pStyle w:val="paragraphsub"/>
      </w:pPr>
      <w:r>
        <w:tab/>
        <w:t>(ii)</w:t>
      </w:r>
      <w:r>
        <w:tab/>
        <w:t>cooperate with AFCA in resolving any complaint under the AFCA scheme</w:t>
      </w:r>
      <w:r w:rsidR="00FE4AC4">
        <w:t>, to which the other licensee is a party,</w:t>
      </w:r>
      <w:r w:rsidR="00CC3E5B">
        <w:t xml:space="preserve"> </w:t>
      </w:r>
      <w:r w:rsidR="00FE4AC4">
        <w:t xml:space="preserve">that </w:t>
      </w:r>
      <w:r w:rsidR="00CC3E5B">
        <w:t>relat</w:t>
      </w:r>
      <w:r w:rsidR="00FE4AC4">
        <w:t>es</w:t>
      </w:r>
      <w:r w:rsidR="00CC3E5B">
        <w:t xml:space="preserve"> to the provision of the service</w:t>
      </w:r>
      <w:r>
        <w:t xml:space="preserve"> </w:t>
      </w:r>
      <w:r w:rsidR="00116075">
        <w:t xml:space="preserve">(including </w:t>
      </w:r>
      <w:r w:rsidR="00BB66DA">
        <w:t>by the other licensee doing a</w:t>
      </w:r>
      <w:r w:rsidR="000B7E68">
        <w:t xml:space="preserve"> </w:t>
      </w:r>
      <w:r w:rsidR="00BB66DA">
        <w:t>thing</w:t>
      </w:r>
      <w:r w:rsidR="000B7E68">
        <w:t xml:space="preserve"> mentioned in </w:t>
      </w:r>
      <w:r w:rsidR="00120E37">
        <w:t>sub</w:t>
      </w:r>
      <w:r w:rsidR="007C79C2">
        <w:t>paragraph (</w:t>
      </w:r>
      <w:r w:rsidR="000B7E68">
        <w:t>a)(i)</w:t>
      </w:r>
      <w:r w:rsidR="00E6157E">
        <w:t xml:space="preserve"> or</w:t>
      </w:r>
      <w:r w:rsidR="000B7E68">
        <w:t xml:space="preserve"> (ii)</w:t>
      </w:r>
      <w:r w:rsidR="00F95685">
        <w:t xml:space="preserve"> of this subsection</w:t>
      </w:r>
      <w:r w:rsidR="00E6157E">
        <w:t xml:space="preserve"> or giving effect to any determination made by AFCA in relation to the complaint</w:t>
      </w:r>
      <w:r w:rsidR="000B7E68">
        <w:t>).</w:t>
      </w:r>
    </w:p>
    <w:p w14:paraId="39BF39D8" w14:textId="1BAF199A" w:rsidR="007C048D" w:rsidRPr="00D07733" w:rsidRDefault="00304C61" w:rsidP="007C79C2">
      <w:pPr>
        <w:pStyle w:val="ItemHead"/>
      </w:pPr>
      <w:r>
        <w:t>29</w:t>
      </w:r>
      <w:r w:rsidR="007C048D" w:rsidRPr="00D07733">
        <w:t xml:space="preserve">  </w:t>
      </w:r>
      <w:r w:rsidR="00120E37">
        <w:t>Subsection 9</w:t>
      </w:r>
      <w:r w:rsidR="007C048D" w:rsidRPr="00D07733">
        <w:t>12A(5A)</w:t>
      </w:r>
    </w:p>
    <w:p w14:paraId="7E90A89C" w14:textId="35D39EDF" w:rsidR="007C048D" w:rsidRPr="00736DD6" w:rsidRDefault="007C048D" w:rsidP="007C79C2">
      <w:pPr>
        <w:pStyle w:val="Item"/>
      </w:pPr>
      <w:r w:rsidRPr="00736DD6">
        <w:t xml:space="preserve">After </w:t>
      </w:r>
      <w:r w:rsidR="00736DD6" w:rsidRPr="005E25FD">
        <w:t>“</w:t>
      </w:r>
      <w:r w:rsidR="00736DD6">
        <w:t>(g),”, insert “(ga),”.</w:t>
      </w:r>
    </w:p>
    <w:p w14:paraId="2CFE1918" w14:textId="7272EBED" w:rsidR="005E25FD" w:rsidRPr="00736DD6" w:rsidRDefault="00304C61" w:rsidP="007C79C2">
      <w:pPr>
        <w:pStyle w:val="ItemHead"/>
      </w:pPr>
      <w:r>
        <w:t>30</w:t>
      </w:r>
      <w:r w:rsidR="005E25FD" w:rsidRPr="00736DD6">
        <w:t xml:space="preserve">  </w:t>
      </w:r>
      <w:r w:rsidR="00112D79" w:rsidRPr="00736DD6">
        <w:t>Sub</w:t>
      </w:r>
      <w:r w:rsidR="00E12AA4" w:rsidRPr="00736DD6">
        <w:t>paragraph 9</w:t>
      </w:r>
      <w:r w:rsidR="005E25FD" w:rsidRPr="00736DD6">
        <w:t>16</w:t>
      </w:r>
      <w:r w:rsidR="007829D7" w:rsidRPr="00736DD6">
        <w:t>F</w:t>
      </w:r>
      <w:r w:rsidR="005E25FD" w:rsidRPr="00736DD6">
        <w:t>(1AA)(d)(iii)</w:t>
      </w:r>
    </w:p>
    <w:p w14:paraId="5FCA67F3" w14:textId="42EEC097" w:rsidR="005E25FD" w:rsidRDefault="005E25FD" w:rsidP="007C79C2">
      <w:pPr>
        <w:pStyle w:val="Item"/>
      </w:pPr>
      <w:r w:rsidRPr="005E25FD">
        <w:t>Omit “facility for making non</w:t>
      </w:r>
      <w:r w:rsidR="007C79C2">
        <w:noBreakHyphen/>
      </w:r>
      <w:r w:rsidRPr="005E25FD">
        <w:t>cash payments</w:t>
      </w:r>
      <w:r>
        <w:t>”, substitute “payment instrument”.</w:t>
      </w:r>
    </w:p>
    <w:p w14:paraId="0EA96893" w14:textId="35B6CD6A" w:rsidR="00D940BA" w:rsidRDefault="00304C61" w:rsidP="007C79C2">
      <w:pPr>
        <w:pStyle w:val="ItemHead"/>
      </w:pPr>
      <w:r>
        <w:t>31</w:t>
      </w:r>
      <w:r w:rsidR="00D940BA" w:rsidRPr="00D940BA">
        <w:t xml:space="preserve">  After </w:t>
      </w:r>
      <w:r w:rsidR="00E12AA4">
        <w:t>Division 1</w:t>
      </w:r>
      <w:r w:rsidR="00D940BA" w:rsidRPr="00D940BA">
        <w:t>1 of</w:t>
      </w:r>
      <w:r w:rsidR="00D940BA">
        <w:t xml:space="preserve"> </w:t>
      </w:r>
      <w:r w:rsidR="00E12AA4">
        <w:t>Part 7</w:t>
      </w:r>
      <w:r w:rsidR="00D940BA">
        <w:t>.6</w:t>
      </w:r>
    </w:p>
    <w:p w14:paraId="121CA36C" w14:textId="6B204181" w:rsidR="00D940BA" w:rsidRDefault="00D940BA" w:rsidP="007C79C2">
      <w:pPr>
        <w:pStyle w:val="Item"/>
      </w:pPr>
      <w:r>
        <w:t>Insert:</w:t>
      </w:r>
    </w:p>
    <w:p w14:paraId="40B4EA76" w14:textId="62471DA1" w:rsidR="00D940BA" w:rsidRDefault="00E12AA4" w:rsidP="007C79C2">
      <w:pPr>
        <w:pStyle w:val="ActHead3"/>
      </w:pPr>
      <w:r w:rsidRPr="007C79C2">
        <w:rPr>
          <w:rStyle w:val="CharDivNo"/>
        </w:rPr>
        <w:lastRenderedPageBreak/>
        <w:t>Division 1</w:t>
      </w:r>
      <w:r w:rsidR="005C162D" w:rsidRPr="007C79C2">
        <w:rPr>
          <w:rStyle w:val="CharDivNo"/>
        </w:rPr>
        <w:t>1A</w:t>
      </w:r>
      <w:r w:rsidR="00A72A63" w:rsidRPr="00A72A63">
        <w:t>—</w:t>
      </w:r>
      <w:r w:rsidR="00A72A63" w:rsidRPr="007C79C2">
        <w:rPr>
          <w:rStyle w:val="CharDivText"/>
        </w:rPr>
        <w:t xml:space="preserve">Unlicensed persons providing information </w:t>
      </w:r>
      <w:r w:rsidR="0001668C" w:rsidRPr="007C79C2">
        <w:rPr>
          <w:rStyle w:val="CharDivText"/>
        </w:rPr>
        <w:t>to ASIC</w:t>
      </w:r>
    </w:p>
    <w:p w14:paraId="68BDF495" w14:textId="77E0A50C" w:rsidR="0001668C" w:rsidRDefault="0001668C" w:rsidP="007C79C2">
      <w:pPr>
        <w:pStyle w:val="ActHead5"/>
      </w:pPr>
      <w:r w:rsidRPr="007C79C2">
        <w:rPr>
          <w:rStyle w:val="CharSectno"/>
        </w:rPr>
        <w:t>9</w:t>
      </w:r>
      <w:r w:rsidR="00B44D81" w:rsidRPr="007C79C2">
        <w:rPr>
          <w:rStyle w:val="CharSectno"/>
        </w:rPr>
        <w:t>25</w:t>
      </w:r>
      <w:r w:rsidR="00BA25A5" w:rsidRPr="007C79C2">
        <w:rPr>
          <w:rStyle w:val="CharSectno"/>
        </w:rPr>
        <w:t>J</w:t>
      </w:r>
      <w:r>
        <w:t xml:space="preserve">  Direction to provide a statement</w:t>
      </w:r>
    </w:p>
    <w:p w14:paraId="0214FC70" w14:textId="5232D996" w:rsidR="00BA25A5" w:rsidRDefault="00BA25A5" w:rsidP="007C79C2">
      <w:pPr>
        <w:pStyle w:val="subsection"/>
      </w:pPr>
      <w:r>
        <w:tab/>
        <w:t>(1)</w:t>
      </w:r>
      <w:r>
        <w:tab/>
        <w:t xml:space="preserve">ASIC may give a direction under </w:t>
      </w:r>
      <w:r w:rsidR="007C79C2">
        <w:t>subsection (</w:t>
      </w:r>
      <w:r>
        <w:t>2) or (</w:t>
      </w:r>
      <w:r w:rsidR="00FE4AC4">
        <w:t>4</w:t>
      </w:r>
      <w:r>
        <w:t>) to a person if ASIC reasonably suspects that the person:</w:t>
      </w:r>
    </w:p>
    <w:p w14:paraId="50245D8A" w14:textId="640B2E00" w:rsidR="005D3BA3" w:rsidRDefault="00BA25A5" w:rsidP="007C79C2">
      <w:pPr>
        <w:pStyle w:val="paragraph"/>
      </w:pPr>
      <w:r>
        <w:tab/>
        <w:t>(a)</w:t>
      </w:r>
      <w:r>
        <w:tab/>
      </w:r>
      <w:r w:rsidRPr="00F94DDD">
        <w:t>carries on a financial services business in this jurisdiction</w:t>
      </w:r>
      <w:r w:rsidR="005D3BA3">
        <w:t xml:space="preserve"> that consists wholly or partly of providing </w:t>
      </w:r>
      <w:r w:rsidR="002301BE">
        <w:t>any of the following financial services</w:t>
      </w:r>
      <w:r w:rsidR="005D3BA3">
        <w:t>:</w:t>
      </w:r>
    </w:p>
    <w:p w14:paraId="70004493" w14:textId="77777777" w:rsidR="002301BE" w:rsidRDefault="005D3BA3" w:rsidP="007C79C2">
      <w:pPr>
        <w:pStyle w:val="paragraphsub"/>
      </w:pPr>
      <w:r>
        <w:tab/>
        <w:t>(i)</w:t>
      </w:r>
      <w:r>
        <w:tab/>
        <w:t>payment services</w:t>
      </w:r>
      <w:r w:rsidR="00BA25A5">
        <w:t>;</w:t>
      </w:r>
    </w:p>
    <w:p w14:paraId="7A25010B" w14:textId="7765C784" w:rsidR="00BA25A5" w:rsidRDefault="002301BE" w:rsidP="007C79C2">
      <w:pPr>
        <w:pStyle w:val="paragraphsub"/>
      </w:pPr>
      <w:r>
        <w:tab/>
        <w:t>(ii)</w:t>
      </w:r>
      <w:r>
        <w:tab/>
        <w:t>financial services relating to stored value facilities or payment instruments;</w:t>
      </w:r>
      <w:r w:rsidR="00BA25A5">
        <w:t xml:space="preserve"> and</w:t>
      </w:r>
    </w:p>
    <w:p w14:paraId="65EF7DD3" w14:textId="6D503EDB" w:rsidR="002301BE" w:rsidRDefault="00BA25A5" w:rsidP="007C79C2">
      <w:pPr>
        <w:pStyle w:val="paragraph"/>
      </w:pPr>
      <w:r>
        <w:tab/>
        <w:t>(b)</w:t>
      </w:r>
      <w:r>
        <w:tab/>
        <w:t xml:space="preserve">does not hold an </w:t>
      </w:r>
      <w:r w:rsidRPr="00F94DDD">
        <w:t xml:space="preserve">Australian financial services licence covering the provision of </w:t>
      </w:r>
      <w:r w:rsidR="002301BE">
        <w:t xml:space="preserve">the </w:t>
      </w:r>
      <w:r w:rsidRPr="00F94DDD">
        <w:t>financial service</w:t>
      </w:r>
      <w:r w:rsidR="002301BE">
        <w:t>s.</w:t>
      </w:r>
    </w:p>
    <w:p w14:paraId="581B7383" w14:textId="77777777" w:rsidR="00AF2141" w:rsidRPr="0058193D" w:rsidRDefault="00BA25A5" w:rsidP="007C79C2">
      <w:pPr>
        <w:pStyle w:val="subsection"/>
      </w:pPr>
      <w:r>
        <w:tab/>
        <w:t>(2)</w:t>
      </w:r>
      <w:r>
        <w:tab/>
        <w:t xml:space="preserve">ASIC may, by giving written notice to the person, direct the person </w:t>
      </w:r>
      <w:r w:rsidR="0001668C">
        <w:t xml:space="preserve">to give to ASIC a written statement containing the specified information </w:t>
      </w:r>
      <w:r w:rsidR="00AF2141" w:rsidRPr="0058193D">
        <w:t>about:</w:t>
      </w:r>
    </w:p>
    <w:p w14:paraId="302B3AB6" w14:textId="7A4AAF2C" w:rsidR="00AF2141" w:rsidRPr="0058193D" w:rsidRDefault="00AF2141" w:rsidP="007C79C2">
      <w:pPr>
        <w:pStyle w:val="paragraph"/>
      </w:pPr>
      <w:r w:rsidRPr="0058193D">
        <w:tab/>
        <w:t>(</w:t>
      </w:r>
      <w:r>
        <w:t>a</w:t>
      </w:r>
      <w:r w:rsidRPr="0058193D">
        <w:t>)</w:t>
      </w:r>
      <w:r w:rsidRPr="0058193D">
        <w:tab/>
        <w:t>financial services provided by the person or the person’s representatives; or</w:t>
      </w:r>
    </w:p>
    <w:p w14:paraId="057834F5" w14:textId="4767ECE4" w:rsidR="00AF2141" w:rsidRDefault="00AF2141" w:rsidP="007C79C2">
      <w:pPr>
        <w:pStyle w:val="paragraph"/>
      </w:pPr>
      <w:r w:rsidRPr="0058193D">
        <w:tab/>
        <w:t>(</w:t>
      </w:r>
      <w:r>
        <w:t>b</w:t>
      </w:r>
      <w:r w:rsidRPr="0058193D">
        <w:t>)</w:t>
      </w:r>
      <w:r w:rsidRPr="0058193D">
        <w:tab/>
      </w:r>
      <w:r w:rsidR="0038025C">
        <w:t>a</w:t>
      </w:r>
      <w:r w:rsidRPr="0058193D">
        <w:t xml:space="preserve"> financial services business carried on by the person.</w:t>
      </w:r>
    </w:p>
    <w:p w14:paraId="1767D529" w14:textId="3373D1ED" w:rsidR="0001668C" w:rsidRDefault="0001668C" w:rsidP="007C79C2">
      <w:pPr>
        <w:pStyle w:val="subsection"/>
      </w:pPr>
      <w:r>
        <w:tab/>
        <w:t>(</w:t>
      </w:r>
      <w:r w:rsidR="00B44D81">
        <w:t>3</w:t>
      </w:r>
      <w:r>
        <w:t>)</w:t>
      </w:r>
      <w:r>
        <w:tab/>
        <w:t xml:space="preserve">Notices under </w:t>
      </w:r>
      <w:r w:rsidR="007C79C2">
        <w:t>subsection (</w:t>
      </w:r>
      <w:r w:rsidR="00BA25A5">
        <w:t>2</w:t>
      </w:r>
      <w:r>
        <w:t>):</w:t>
      </w:r>
    </w:p>
    <w:p w14:paraId="68B2C30B" w14:textId="1BAFC27B" w:rsidR="0001668C" w:rsidRDefault="0001668C" w:rsidP="007C79C2">
      <w:pPr>
        <w:pStyle w:val="paragraph"/>
      </w:pPr>
      <w:r>
        <w:tab/>
        <w:t>(</w:t>
      </w:r>
      <w:r w:rsidR="00F94DDD">
        <w:t>a</w:t>
      </w:r>
      <w:r>
        <w:t>)</w:t>
      </w:r>
      <w:r>
        <w:tab/>
        <w:t>may require a statement containing information to be provided on a periodic basis, or each time a particular event or circumstance occurs, without ASIC having to give a further written notice; and</w:t>
      </w:r>
    </w:p>
    <w:p w14:paraId="2CF16E37" w14:textId="0F9C2DF6" w:rsidR="0001668C" w:rsidRDefault="0001668C" w:rsidP="007C79C2">
      <w:pPr>
        <w:pStyle w:val="paragraph"/>
      </w:pPr>
      <w:r>
        <w:tab/>
        <w:t>(</w:t>
      </w:r>
      <w:r w:rsidR="00F94DDD">
        <w:t>b</w:t>
      </w:r>
      <w:r>
        <w:t>)</w:t>
      </w:r>
      <w:r>
        <w:tab/>
        <w:t>may require a statement containing information to be given in a specified manner (including in electronic form).</w:t>
      </w:r>
    </w:p>
    <w:p w14:paraId="451DF910" w14:textId="0022E6FC" w:rsidR="0001668C" w:rsidRDefault="0001668C" w:rsidP="007C79C2">
      <w:pPr>
        <w:pStyle w:val="subsection"/>
      </w:pPr>
      <w:r>
        <w:tab/>
        <w:t>(</w:t>
      </w:r>
      <w:r w:rsidR="00B44D81">
        <w:t>4</w:t>
      </w:r>
      <w:r>
        <w:t>)</w:t>
      </w:r>
      <w:r>
        <w:tab/>
        <w:t xml:space="preserve">ASIC may also, by giving written notice to </w:t>
      </w:r>
      <w:r w:rsidR="00BA25A5">
        <w:t xml:space="preserve">the </w:t>
      </w:r>
      <w:r w:rsidR="00F94DDD">
        <w:t>person</w:t>
      </w:r>
      <w:r>
        <w:t xml:space="preserve">, direct the </w:t>
      </w:r>
      <w:r w:rsidR="00F94DDD">
        <w:t>person</w:t>
      </w:r>
      <w:r>
        <w:t xml:space="preserve"> to obtain an audit report, prepared by a suitably qualified person specified in the notice, on a statement, or each statement in a class of statements, under </w:t>
      </w:r>
      <w:r w:rsidR="007C79C2">
        <w:t>subsection (</w:t>
      </w:r>
      <w:r w:rsidR="00BA25A5">
        <w:t>2</w:t>
      </w:r>
      <w:r>
        <w:t>) before the statement is given to ASIC.</w:t>
      </w:r>
    </w:p>
    <w:p w14:paraId="29E8C6C9" w14:textId="7219157C" w:rsidR="0001668C" w:rsidRDefault="0001668C" w:rsidP="007C79C2">
      <w:pPr>
        <w:pStyle w:val="subsection"/>
      </w:pPr>
      <w:r>
        <w:tab/>
        <w:t>(</w:t>
      </w:r>
      <w:r w:rsidR="00B44D81">
        <w:t>5</w:t>
      </w:r>
      <w:r>
        <w:t>)</w:t>
      </w:r>
      <w:r>
        <w:tab/>
      </w:r>
      <w:r w:rsidR="009D7A74">
        <w:t>A</w:t>
      </w:r>
      <w:r>
        <w:t xml:space="preserve"> </w:t>
      </w:r>
      <w:r w:rsidR="00F94DDD">
        <w:t>person</w:t>
      </w:r>
      <w:r>
        <w:t xml:space="preserve"> must comply with a direction given under this section:</w:t>
      </w:r>
    </w:p>
    <w:p w14:paraId="621EDD0B" w14:textId="77777777" w:rsidR="0001668C" w:rsidRDefault="0001668C" w:rsidP="007C79C2">
      <w:pPr>
        <w:pStyle w:val="paragraph"/>
      </w:pPr>
      <w:r>
        <w:tab/>
        <w:t>(a)</w:t>
      </w:r>
      <w:r>
        <w:tab/>
        <w:t>within the time specified in the direction if that is a reasonable time; or</w:t>
      </w:r>
    </w:p>
    <w:p w14:paraId="5512C889" w14:textId="77777777" w:rsidR="0001668C" w:rsidRDefault="0001668C" w:rsidP="007C79C2">
      <w:pPr>
        <w:pStyle w:val="paragraph"/>
      </w:pPr>
      <w:r>
        <w:tab/>
        <w:t>(b)</w:t>
      </w:r>
      <w:r>
        <w:tab/>
        <w:t>in any other case—within a reasonable time.</w:t>
      </w:r>
    </w:p>
    <w:p w14:paraId="4CA40BEE" w14:textId="5324BC99" w:rsidR="0001668C" w:rsidRDefault="0001668C" w:rsidP="007C79C2">
      <w:pPr>
        <w:pStyle w:val="subsection2"/>
      </w:pPr>
      <w:r>
        <w:lastRenderedPageBreak/>
        <w:t xml:space="preserve">ASIC may extend the time within which the </w:t>
      </w:r>
      <w:r w:rsidR="00B44D81">
        <w:t>person</w:t>
      </w:r>
      <w:r>
        <w:t xml:space="preserve"> must comply with the direction by giving written notice to the </w:t>
      </w:r>
      <w:r w:rsidR="009D7A74">
        <w:t>person</w:t>
      </w:r>
      <w:r>
        <w:t>.</w:t>
      </w:r>
    </w:p>
    <w:p w14:paraId="2963C422" w14:textId="208E9840" w:rsidR="0001668C" w:rsidRDefault="0001668C" w:rsidP="007C79C2">
      <w:pPr>
        <w:pStyle w:val="notetext"/>
      </w:pPr>
      <w:r>
        <w:t>Note:</w:t>
      </w:r>
      <w:r>
        <w:tab/>
        <w:t xml:space="preserve">Failure to comply with this subsection is an offence (see </w:t>
      </w:r>
      <w:r w:rsidR="007C79C2">
        <w:t>subsection 1</w:t>
      </w:r>
      <w:r>
        <w:t>311(1)).</w:t>
      </w:r>
    </w:p>
    <w:p w14:paraId="56B82829" w14:textId="47ADE789" w:rsidR="002178AC" w:rsidRPr="0058193D" w:rsidRDefault="002178AC" w:rsidP="007C79C2">
      <w:pPr>
        <w:pStyle w:val="ActHead5"/>
      </w:pPr>
      <w:r w:rsidRPr="007C79C2">
        <w:rPr>
          <w:rStyle w:val="CharSectno"/>
        </w:rPr>
        <w:t>9</w:t>
      </w:r>
      <w:r w:rsidR="00B44D81" w:rsidRPr="007C79C2">
        <w:rPr>
          <w:rStyle w:val="CharSectno"/>
        </w:rPr>
        <w:t>25</w:t>
      </w:r>
      <w:r w:rsidR="0008091E" w:rsidRPr="007C79C2">
        <w:rPr>
          <w:rStyle w:val="CharSectno"/>
        </w:rPr>
        <w:t>K</w:t>
      </w:r>
      <w:r w:rsidRPr="0058193D">
        <w:t xml:space="preserve">  Regulations may require information to be provided</w:t>
      </w:r>
    </w:p>
    <w:p w14:paraId="2AC2CBA9" w14:textId="14E398F3" w:rsidR="006234C1" w:rsidRDefault="002178AC" w:rsidP="007C79C2">
      <w:pPr>
        <w:pStyle w:val="subsection"/>
      </w:pPr>
      <w:r w:rsidRPr="0058193D">
        <w:tab/>
      </w:r>
      <w:r w:rsidR="002B0B64">
        <w:t>(1)</w:t>
      </w:r>
      <w:r w:rsidRPr="0058193D">
        <w:tab/>
        <w:t>The regulations may require a</w:t>
      </w:r>
      <w:r w:rsidR="006234C1">
        <w:t xml:space="preserve"> person who:</w:t>
      </w:r>
    </w:p>
    <w:p w14:paraId="18645A2F" w14:textId="2F757D84" w:rsidR="00B256C4" w:rsidRDefault="006234C1" w:rsidP="007C79C2">
      <w:pPr>
        <w:pStyle w:val="paragraph"/>
      </w:pPr>
      <w:r>
        <w:tab/>
        <w:t>(a)</w:t>
      </w:r>
      <w:r>
        <w:tab/>
      </w:r>
      <w:r w:rsidR="00B256C4" w:rsidRPr="00F94DDD">
        <w:t>carries on a financial services business in this jurisdiction</w:t>
      </w:r>
      <w:r w:rsidR="00B256C4">
        <w:t xml:space="preserve"> that consists wholly or partly of providing any of the following financial services:</w:t>
      </w:r>
    </w:p>
    <w:p w14:paraId="5CE477D1" w14:textId="77777777" w:rsidR="00B256C4" w:rsidRDefault="00B256C4" w:rsidP="007C79C2">
      <w:pPr>
        <w:pStyle w:val="paragraphsub"/>
      </w:pPr>
      <w:r>
        <w:tab/>
        <w:t>(i)</w:t>
      </w:r>
      <w:r>
        <w:tab/>
        <w:t>payment services;</w:t>
      </w:r>
    </w:p>
    <w:p w14:paraId="43D5765A" w14:textId="77777777" w:rsidR="00B256C4" w:rsidRDefault="00B256C4" w:rsidP="007C79C2">
      <w:pPr>
        <w:pStyle w:val="paragraphsub"/>
      </w:pPr>
      <w:r>
        <w:tab/>
        <w:t>(ii)</w:t>
      </w:r>
      <w:r>
        <w:tab/>
        <w:t>financial services relating to stored value facilities or payment instruments; and</w:t>
      </w:r>
    </w:p>
    <w:p w14:paraId="2E17742D" w14:textId="3C8567EF" w:rsidR="006234C1" w:rsidRDefault="006234C1" w:rsidP="007C79C2">
      <w:pPr>
        <w:pStyle w:val="paragraph"/>
      </w:pPr>
      <w:r>
        <w:tab/>
        <w:t>(b)</w:t>
      </w:r>
      <w:r>
        <w:tab/>
        <w:t xml:space="preserve">does not hold an </w:t>
      </w:r>
      <w:r w:rsidRPr="00F94DDD">
        <w:t>Australian financial services licence covering the provision of</w:t>
      </w:r>
      <w:r w:rsidR="00B256C4">
        <w:t xml:space="preserve"> the </w:t>
      </w:r>
      <w:r w:rsidRPr="00F94DDD">
        <w:t>financial service</w:t>
      </w:r>
      <w:r w:rsidR="00B256C4">
        <w:t>s</w:t>
      </w:r>
      <w:r w:rsidR="002B0B64">
        <w:t>;</w:t>
      </w:r>
    </w:p>
    <w:p w14:paraId="71E988FB" w14:textId="311F25AC" w:rsidR="002178AC" w:rsidRPr="0058193D" w:rsidRDefault="002178AC" w:rsidP="007C79C2">
      <w:pPr>
        <w:pStyle w:val="subsection2"/>
      </w:pPr>
      <w:r w:rsidRPr="0058193D">
        <w:t>to provide ASIC with specified information about:</w:t>
      </w:r>
    </w:p>
    <w:p w14:paraId="2738F38E" w14:textId="5A7363C4" w:rsidR="002178AC" w:rsidRPr="0058193D" w:rsidRDefault="002178AC" w:rsidP="007C79C2">
      <w:pPr>
        <w:pStyle w:val="paragraph"/>
      </w:pPr>
      <w:r w:rsidRPr="0058193D">
        <w:tab/>
        <w:t>(</w:t>
      </w:r>
      <w:r w:rsidR="002B0B64">
        <w:t>c</w:t>
      </w:r>
      <w:r w:rsidRPr="0058193D">
        <w:t>)</w:t>
      </w:r>
      <w:r w:rsidRPr="0058193D">
        <w:tab/>
        <w:t xml:space="preserve">financial services provided by the </w:t>
      </w:r>
      <w:r w:rsidR="0050762E" w:rsidRPr="0058193D">
        <w:t>person</w:t>
      </w:r>
      <w:r w:rsidRPr="0058193D">
        <w:t xml:space="preserve"> or </w:t>
      </w:r>
      <w:r w:rsidR="0050762E" w:rsidRPr="0058193D">
        <w:t>the person’s</w:t>
      </w:r>
      <w:r w:rsidRPr="0058193D">
        <w:t xml:space="preserve"> representatives; or</w:t>
      </w:r>
    </w:p>
    <w:p w14:paraId="703705BD" w14:textId="19F64C98" w:rsidR="002178AC" w:rsidRDefault="002178AC" w:rsidP="007C79C2">
      <w:pPr>
        <w:pStyle w:val="paragraph"/>
      </w:pPr>
      <w:r w:rsidRPr="0058193D">
        <w:tab/>
        <w:t>(</w:t>
      </w:r>
      <w:r w:rsidR="002B0B64">
        <w:t>d</w:t>
      </w:r>
      <w:r w:rsidRPr="0058193D">
        <w:t>)</w:t>
      </w:r>
      <w:r w:rsidRPr="0058193D">
        <w:tab/>
      </w:r>
      <w:r w:rsidR="0038025C">
        <w:t>a</w:t>
      </w:r>
      <w:r w:rsidRPr="0058193D">
        <w:t xml:space="preserve"> financial services business carried on by the </w:t>
      </w:r>
      <w:r w:rsidR="0050762E" w:rsidRPr="0058193D">
        <w:t>person</w:t>
      </w:r>
      <w:r w:rsidRPr="0058193D">
        <w:t>.</w:t>
      </w:r>
    </w:p>
    <w:p w14:paraId="5356384C" w14:textId="71E8985F" w:rsidR="002B0B64" w:rsidRDefault="002B0B64" w:rsidP="007C79C2">
      <w:pPr>
        <w:pStyle w:val="subsection"/>
      </w:pPr>
      <w:r>
        <w:tab/>
        <w:t>(2)</w:t>
      </w:r>
      <w:r>
        <w:tab/>
      </w:r>
      <w:r w:rsidR="009C618B">
        <w:t xml:space="preserve">Regulations made for the purposes of </w:t>
      </w:r>
      <w:r w:rsidR="007C79C2">
        <w:t>subsection (</w:t>
      </w:r>
      <w:r w:rsidR="009C618B">
        <w:t xml:space="preserve">1) may make different provision for different classes of persons covered by </w:t>
      </w:r>
      <w:r w:rsidR="00120E37">
        <w:t>paragraphs (</w:t>
      </w:r>
      <w:r w:rsidR="009C618B">
        <w:t>1)(a) and (b).</w:t>
      </w:r>
    </w:p>
    <w:p w14:paraId="7F8A71D8" w14:textId="0A8253A2" w:rsidR="004D5986" w:rsidRDefault="00770A58" w:rsidP="007C79C2">
      <w:pPr>
        <w:pStyle w:val="subsection"/>
      </w:pPr>
      <w:r>
        <w:tab/>
        <w:t>(3)</w:t>
      </w:r>
      <w:r>
        <w:tab/>
      </w:r>
      <w:r w:rsidRPr="00770A58">
        <w:t xml:space="preserve">If regulations </w:t>
      </w:r>
      <w:r w:rsidR="006807EB">
        <w:t xml:space="preserve">made for the purposes of </w:t>
      </w:r>
      <w:r w:rsidR="007C79C2">
        <w:t>subsection (</w:t>
      </w:r>
      <w:r w:rsidRPr="00770A58">
        <w:t xml:space="preserve">1) require a </w:t>
      </w:r>
      <w:r>
        <w:t>person</w:t>
      </w:r>
      <w:r w:rsidRPr="00770A58">
        <w:t xml:space="preserve"> to give ASIC information, the </w:t>
      </w:r>
      <w:r>
        <w:t>person</w:t>
      </w:r>
      <w:r w:rsidRPr="00770A58">
        <w:t xml:space="preserve"> must give ASIC that information.</w:t>
      </w:r>
    </w:p>
    <w:p w14:paraId="0EA5BD34" w14:textId="77777777" w:rsidR="00B65DE9" w:rsidRDefault="003726E9" w:rsidP="007C79C2">
      <w:pPr>
        <w:pStyle w:val="Penalty"/>
      </w:pPr>
      <w:r>
        <w:t>Civil penalty:</w:t>
      </w:r>
      <w:r w:rsidR="00B65DE9">
        <w:tab/>
      </w:r>
      <w:r w:rsidR="005619AC">
        <w:t>20 penalty units</w:t>
      </w:r>
      <w:r w:rsidR="00B65DE9">
        <w:t xml:space="preserve"> (or 200 penalty units if the person is a body corporate).</w:t>
      </w:r>
    </w:p>
    <w:p w14:paraId="6089BC0A" w14:textId="737282C6" w:rsidR="008D58FB" w:rsidRDefault="008D58FB" w:rsidP="007C79C2">
      <w:pPr>
        <w:pStyle w:val="subsection"/>
      </w:pPr>
      <w:r>
        <w:tab/>
        <w:t>(4)</w:t>
      </w:r>
      <w:r>
        <w:tab/>
        <w:t xml:space="preserve">The fact that </w:t>
      </w:r>
      <w:r w:rsidR="007C79C2">
        <w:t>subsection (</w:t>
      </w:r>
      <w:r>
        <w:t xml:space="preserve">3) is a civil penalty provision does not prevent the regulations from prescribing a </w:t>
      </w:r>
      <w:r w:rsidR="006807EB">
        <w:t xml:space="preserve">penalty for contravening regulations made </w:t>
      </w:r>
      <w:r w:rsidR="00BB5FB5">
        <w:t xml:space="preserve">for the purposes of </w:t>
      </w:r>
      <w:r w:rsidR="007C79C2">
        <w:t>subsection (</w:t>
      </w:r>
      <w:r w:rsidR="00BB5FB5">
        <w:t>1).</w:t>
      </w:r>
    </w:p>
    <w:p w14:paraId="618F2E85" w14:textId="4E9CFA21" w:rsidR="00D04438" w:rsidRPr="00B35BEA" w:rsidRDefault="00304C61" w:rsidP="007C79C2">
      <w:pPr>
        <w:pStyle w:val="ItemHead"/>
      </w:pPr>
      <w:r>
        <w:t>32</w:t>
      </w:r>
      <w:r w:rsidR="001F7492" w:rsidRPr="00B35BEA">
        <w:t xml:space="preserve">  </w:t>
      </w:r>
      <w:r w:rsidR="00112D79" w:rsidRPr="00B35BEA">
        <w:t>Paragraph 9</w:t>
      </w:r>
      <w:r w:rsidR="00173B57" w:rsidRPr="00B35BEA">
        <w:t>41C(6)(b)</w:t>
      </w:r>
    </w:p>
    <w:p w14:paraId="5BD79BDF" w14:textId="0B548E34" w:rsidR="00173B57" w:rsidRDefault="00173B57" w:rsidP="007C79C2">
      <w:pPr>
        <w:pStyle w:val="Item"/>
      </w:pPr>
      <w:r>
        <w:t>Omit “</w:t>
      </w:r>
      <w:r w:rsidRPr="00173B57">
        <w:t>facility for making non</w:t>
      </w:r>
      <w:r w:rsidR="007C79C2">
        <w:noBreakHyphen/>
      </w:r>
      <w:r w:rsidRPr="00173B57">
        <w:t>cash payments</w:t>
      </w:r>
      <w:r>
        <w:t>”, substitute “payment instrument”.</w:t>
      </w:r>
    </w:p>
    <w:p w14:paraId="7D1ED8E0" w14:textId="3C3DD5A8" w:rsidR="0087418A" w:rsidRDefault="00304C61" w:rsidP="007C79C2">
      <w:pPr>
        <w:pStyle w:val="ItemHead"/>
      </w:pPr>
      <w:r>
        <w:t>33</w:t>
      </w:r>
      <w:r w:rsidR="0087418A">
        <w:t xml:space="preserve">  </w:t>
      </w:r>
      <w:r w:rsidR="00112D79">
        <w:t>Paragraph 9</w:t>
      </w:r>
      <w:r w:rsidR="0087418A">
        <w:t>46B(5)(b)</w:t>
      </w:r>
    </w:p>
    <w:p w14:paraId="6F130B5B" w14:textId="42E70FE3" w:rsidR="0087418A" w:rsidRDefault="0087418A" w:rsidP="007C79C2">
      <w:pPr>
        <w:pStyle w:val="Item"/>
      </w:pPr>
      <w:r>
        <w:t>Omit “</w:t>
      </w:r>
      <w:r w:rsidRPr="00173B57">
        <w:t>facility for making non</w:t>
      </w:r>
      <w:r w:rsidR="007C79C2">
        <w:noBreakHyphen/>
      </w:r>
      <w:r w:rsidRPr="00173B57">
        <w:t>cash payments</w:t>
      </w:r>
      <w:r>
        <w:t>”, substitute “payment instrument”.</w:t>
      </w:r>
    </w:p>
    <w:p w14:paraId="566EF85B" w14:textId="7B22A282" w:rsidR="00F00CF4" w:rsidRDefault="00304C61" w:rsidP="007C79C2">
      <w:pPr>
        <w:pStyle w:val="ItemHead"/>
      </w:pPr>
      <w:r>
        <w:lastRenderedPageBreak/>
        <w:t>34</w:t>
      </w:r>
      <w:r w:rsidR="00F00CF4" w:rsidRPr="00BE6D32">
        <w:t xml:space="preserve">  </w:t>
      </w:r>
      <w:r w:rsidR="00F00CF4">
        <w:t>Paragraph</w:t>
      </w:r>
      <w:r w:rsidR="0037094D">
        <w:t>s</w:t>
      </w:r>
      <w:r w:rsidR="00F00CF4">
        <w:t xml:space="preserve"> 961F</w:t>
      </w:r>
      <w:r w:rsidR="00EF3446">
        <w:t>(b)</w:t>
      </w:r>
      <w:r w:rsidR="008E66C9">
        <w:t xml:space="preserve"> and (d)</w:t>
      </w:r>
    </w:p>
    <w:p w14:paraId="74113243" w14:textId="3BDC8AAD" w:rsidR="00463607" w:rsidRDefault="00463607" w:rsidP="007C79C2">
      <w:pPr>
        <w:pStyle w:val="Item"/>
      </w:pPr>
      <w:r>
        <w:t>Repeal the paragraph</w:t>
      </w:r>
      <w:r w:rsidR="008E66C9">
        <w:t>s</w:t>
      </w:r>
      <w:r>
        <w:t>, substitute:</w:t>
      </w:r>
    </w:p>
    <w:p w14:paraId="4F68F9C4" w14:textId="77777777" w:rsidR="00E2733E" w:rsidRDefault="00463607" w:rsidP="007C79C2">
      <w:pPr>
        <w:pStyle w:val="paragraph"/>
      </w:pPr>
      <w:r>
        <w:tab/>
        <w:t>(b)</w:t>
      </w:r>
      <w:r>
        <w:tab/>
        <w:t xml:space="preserve">a </w:t>
      </w:r>
      <w:r w:rsidR="00E2733E">
        <w:t>stored value facility;</w:t>
      </w:r>
    </w:p>
    <w:p w14:paraId="649E605D" w14:textId="33E4D207" w:rsidR="00463607" w:rsidRDefault="00E2733E" w:rsidP="007C79C2">
      <w:pPr>
        <w:pStyle w:val="paragraph"/>
      </w:pPr>
      <w:r>
        <w:tab/>
        <w:t>(c)</w:t>
      </w:r>
      <w:r>
        <w:tab/>
        <w:t xml:space="preserve">a </w:t>
      </w:r>
      <w:r w:rsidR="00463607">
        <w:t>payment</w:t>
      </w:r>
      <w:r>
        <w:t xml:space="preserve"> instrument</w:t>
      </w:r>
      <w:r w:rsidR="008121C7">
        <w:t>;</w:t>
      </w:r>
    </w:p>
    <w:p w14:paraId="01131F0C" w14:textId="02E8E307" w:rsidR="004513A2" w:rsidRPr="00BD4298" w:rsidRDefault="00BD4298" w:rsidP="007C79C2">
      <w:pPr>
        <w:keepNext/>
        <w:keepLines/>
        <w:spacing w:before="220" w:line="240" w:lineRule="auto"/>
        <w:ind w:left="709" w:hanging="709"/>
        <w:rPr>
          <w:rFonts w:ascii="Arial" w:eastAsia="Times New Roman" w:hAnsi="Arial" w:cs="Times New Roman"/>
          <w:b/>
          <w:kern w:val="28"/>
          <w:sz w:val="24"/>
          <w:lang w:eastAsia="en-AU"/>
        </w:rPr>
      </w:pPr>
      <w:bookmarkStart w:id="0" w:name="_Hlk207888698"/>
      <w:r w:rsidRPr="00BD4298">
        <w:rPr>
          <w:rFonts w:ascii="Arial" w:eastAsia="Times New Roman" w:hAnsi="Arial" w:cs="Times New Roman"/>
          <w:b/>
          <w:kern w:val="28"/>
          <w:sz w:val="24"/>
          <w:lang w:eastAsia="en-AU"/>
        </w:rPr>
        <w:t xml:space="preserve">36A  </w:t>
      </w:r>
      <w:r w:rsidR="004513A2" w:rsidRPr="00BD4298">
        <w:rPr>
          <w:rFonts w:ascii="Arial" w:eastAsia="Times New Roman" w:hAnsi="Arial" w:cs="Times New Roman"/>
          <w:b/>
          <w:kern w:val="28"/>
          <w:sz w:val="24"/>
          <w:lang w:eastAsia="en-AU"/>
        </w:rPr>
        <w:t xml:space="preserve">After </w:t>
      </w:r>
      <w:r w:rsidR="007C79C2">
        <w:rPr>
          <w:rFonts w:ascii="Arial" w:eastAsia="Times New Roman" w:hAnsi="Arial" w:cs="Times New Roman"/>
          <w:b/>
          <w:kern w:val="28"/>
          <w:sz w:val="24"/>
          <w:lang w:eastAsia="en-AU"/>
        </w:rPr>
        <w:t>section 1</w:t>
      </w:r>
      <w:r w:rsidR="004513A2" w:rsidRPr="00BD4298">
        <w:rPr>
          <w:rFonts w:ascii="Arial" w:eastAsia="Times New Roman" w:hAnsi="Arial" w:cs="Times New Roman"/>
          <w:b/>
          <w:kern w:val="28"/>
          <w:sz w:val="24"/>
          <w:lang w:eastAsia="en-AU"/>
        </w:rPr>
        <w:t>017B</w:t>
      </w:r>
    </w:p>
    <w:p w14:paraId="559AB56C" w14:textId="77777777" w:rsidR="004513A2" w:rsidRPr="00BD4298" w:rsidRDefault="004513A2" w:rsidP="007C79C2">
      <w:pPr>
        <w:keepLines/>
        <w:spacing w:before="80" w:line="240" w:lineRule="auto"/>
        <w:ind w:left="709"/>
        <w:rPr>
          <w:rFonts w:eastAsia="Times New Roman" w:cs="Times New Roman"/>
          <w:lang w:eastAsia="en-AU"/>
        </w:rPr>
      </w:pPr>
      <w:r w:rsidRPr="00BD4298">
        <w:rPr>
          <w:rFonts w:eastAsia="Times New Roman" w:cs="Times New Roman"/>
          <w:lang w:eastAsia="en-AU"/>
        </w:rPr>
        <w:t>Insert:</w:t>
      </w:r>
    </w:p>
    <w:p w14:paraId="2B2ED491" w14:textId="1E36299A" w:rsidR="004513A2" w:rsidRPr="00BD4298" w:rsidRDefault="004513A2" w:rsidP="007C79C2">
      <w:pPr>
        <w:keepNext/>
        <w:keepLines/>
        <w:spacing w:before="280" w:line="240" w:lineRule="auto"/>
        <w:ind w:left="1134" w:hanging="1134"/>
        <w:outlineLvl w:val="4"/>
        <w:rPr>
          <w:rFonts w:eastAsia="Times New Roman" w:cs="Times New Roman"/>
          <w:b/>
          <w:kern w:val="28"/>
          <w:sz w:val="24"/>
          <w:lang w:eastAsia="en-AU"/>
        </w:rPr>
      </w:pPr>
      <w:r w:rsidRPr="00BD4298">
        <w:rPr>
          <w:rFonts w:eastAsia="Times New Roman" w:cs="Times New Roman"/>
          <w:b/>
          <w:kern w:val="28"/>
          <w:sz w:val="24"/>
          <w:lang w:eastAsia="en-AU"/>
        </w:rPr>
        <w:t xml:space="preserve">1017BAA  Tokenised </w:t>
      </w:r>
      <w:r w:rsidR="00D2515B">
        <w:rPr>
          <w:rFonts w:eastAsia="Times New Roman" w:cs="Times New Roman"/>
          <w:b/>
          <w:kern w:val="28"/>
          <w:sz w:val="24"/>
          <w:lang w:eastAsia="en-AU"/>
        </w:rPr>
        <w:t xml:space="preserve">stored value facility </w:t>
      </w:r>
      <w:r w:rsidRPr="00BD4298">
        <w:rPr>
          <w:rFonts w:eastAsia="Times New Roman" w:cs="Times New Roman"/>
          <w:b/>
          <w:kern w:val="28"/>
          <w:sz w:val="24"/>
          <w:lang w:eastAsia="en-AU"/>
        </w:rPr>
        <w:t>providers—ongoing disclosure of certain matters</w:t>
      </w:r>
    </w:p>
    <w:p w14:paraId="629B9852" w14:textId="77777777" w:rsidR="00061E24" w:rsidRDefault="004513A2" w:rsidP="007C79C2">
      <w:pPr>
        <w:keepNext/>
        <w:keepLines/>
        <w:spacing w:before="240" w:line="240" w:lineRule="auto"/>
        <w:ind w:left="1134"/>
        <w:rPr>
          <w:rFonts w:eastAsia="Times New Roman" w:cs="Times New Roman"/>
          <w:i/>
          <w:lang w:eastAsia="en-AU"/>
        </w:rPr>
      </w:pPr>
      <w:r w:rsidRPr="00BD4298">
        <w:rPr>
          <w:rFonts w:eastAsia="Times New Roman" w:cs="Times New Roman"/>
          <w:i/>
          <w:lang w:eastAsia="en-AU"/>
        </w:rPr>
        <w:t xml:space="preserve">Disclosing </w:t>
      </w:r>
      <w:r w:rsidR="00D2515B">
        <w:rPr>
          <w:rFonts w:eastAsia="Times New Roman" w:cs="Times New Roman"/>
          <w:i/>
          <w:lang w:eastAsia="en-AU"/>
        </w:rPr>
        <w:t xml:space="preserve">certain </w:t>
      </w:r>
      <w:r w:rsidRPr="00BD4298">
        <w:rPr>
          <w:rFonts w:eastAsia="Times New Roman" w:cs="Times New Roman"/>
          <w:i/>
          <w:lang w:eastAsia="en-AU"/>
        </w:rPr>
        <w:t>changes and events</w:t>
      </w:r>
    </w:p>
    <w:p w14:paraId="3D89E377" w14:textId="01101FAB" w:rsidR="00D2515B" w:rsidRDefault="004513A2" w:rsidP="007C79C2">
      <w:pPr>
        <w:pStyle w:val="subsection"/>
      </w:pPr>
      <w:r w:rsidRPr="00BD4298">
        <w:tab/>
        <w:t>(1)</w:t>
      </w:r>
      <w:r w:rsidRPr="00BD4298">
        <w:tab/>
        <w:t xml:space="preserve">A tokenised </w:t>
      </w:r>
      <w:r w:rsidR="00D2515B">
        <w:t>stored value facility pr</w:t>
      </w:r>
      <w:r w:rsidRPr="00BD4298">
        <w:t xml:space="preserve">ovider must publish on </w:t>
      </w:r>
      <w:r w:rsidRPr="00D2515B">
        <w:t>the internet</w:t>
      </w:r>
      <w:r w:rsidR="00D2515B">
        <w:rPr>
          <w:i/>
          <w:iCs/>
        </w:rPr>
        <w:t xml:space="preserve"> </w:t>
      </w:r>
      <w:r w:rsidRPr="00BD4298">
        <w:t xml:space="preserve">notice of </w:t>
      </w:r>
      <w:r w:rsidR="00BD4298" w:rsidRPr="00BD4298">
        <w:t xml:space="preserve">any </w:t>
      </w:r>
      <w:r w:rsidR="00D2515B">
        <w:t xml:space="preserve">material change </w:t>
      </w:r>
      <w:r w:rsidRPr="00BD4298">
        <w:t xml:space="preserve">or </w:t>
      </w:r>
      <w:r w:rsidR="00D2515B">
        <w:t xml:space="preserve">significant </w:t>
      </w:r>
      <w:r w:rsidRPr="00BD4298">
        <w:t>event</w:t>
      </w:r>
      <w:r w:rsidR="00D2515B">
        <w:t xml:space="preserve"> that may reasonably be expected to affect:</w:t>
      </w:r>
    </w:p>
    <w:p w14:paraId="2163C2E5" w14:textId="13823974" w:rsidR="00D2515B" w:rsidRDefault="00D2515B" w:rsidP="007C79C2">
      <w:pPr>
        <w:pStyle w:val="paragraph"/>
      </w:pPr>
      <w:r>
        <w:tab/>
        <w:t>(a)</w:t>
      </w:r>
      <w:r>
        <w:tab/>
        <w:t xml:space="preserve">the value of </w:t>
      </w:r>
      <w:r w:rsidRPr="00BD4298">
        <w:t>the reserve assets held by the provider</w:t>
      </w:r>
      <w:r>
        <w:t xml:space="preserve"> to </w:t>
      </w:r>
      <w:r w:rsidRPr="00BD4298">
        <w:t xml:space="preserve">meet its obligations </w:t>
      </w:r>
      <w:r>
        <w:t>under</w:t>
      </w:r>
      <w:r w:rsidRPr="00BD4298">
        <w:t xml:space="preserve"> tokenised stored value facilities </w:t>
      </w:r>
      <w:r>
        <w:t>it has issued; or</w:t>
      </w:r>
    </w:p>
    <w:p w14:paraId="31DD3FA5" w14:textId="77777777" w:rsidR="00D2515B" w:rsidRDefault="00D2515B" w:rsidP="007C79C2">
      <w:pPr>
        <w:pStyle w:val="paragraph"/>
      </w:pPr>
      <w:r>
        <w:tab/>
        <w:t>(b)</w:t>
      </w:r>
      <w:r>
        <w:tab/>
        <w:t>its ability to meet those obligations.</w:t>
      </w:r>
    </w:p>
    <w:p w14:paraId="63702BA1" w14:textId="77777777" w:rsidR="004513A2" w:rsidRPr="00BD4298" w:rsidRDefault="00BD4298" w:rsidP="007C79C2">
      <w:pPr>
        <w:tabs>
          <w:tab w:val="right" w:pos="1021"/>
        </w:tabs>
        <w:spacing w:before="180" w:line="240" w:lineRule="auto"/>
        <w:ind w:left="1134" w:hanging="1134"/>
        <w:rPr>
          <w:rFonts w:eastAsia="Times New Roman" w:cs="Times New Roman"/>
          <w:lang w:eastAsia="en-AU"/>
        </w:rPr>
      </w:pPr>
      <w:r w:rsidRPr="00BD4298">
        <w:rPr>
          <w:rFonts w:eastAsia="Times New Roman" w:cs="Times New Roman"/>
          <w:lang w:eastAsia="en-AU"/>
        </w:rPr>
        <w:tab/>
        <w:t>(2)</w:t>
      </w:r>
      <w:r w:rsidRPr="00BD4298">
        <w:rPr>
          <w:rFonts w:eastAsia="Times New Roman" w:cs="Times New Roman"/>
          <w:lang w:eastAsia="en-AU"/>
        </w:rPr>
        <w:tab/>
      </w:r>
      <w:r w:rsidR="004513A2" w:rsidRPr="00BD4298">
        <w:rPr>
          <w:rFonts w:eastAsia="Times New Roman" w:cs="Times New Roman"/>
          <w:lang w:eastAsia="en-AU"/>
        </w:rPr>
        <w:t>The provider must publish the notice:</w:t>
      </w:r>
    </w:p>
    <w:p w14:paraId="6146A3E4" w14:textId="77777777" w:rsidR="00BD4298" w:rsidRPr="00BD4298" w:rsidRDefault="00BD4298" w:rsidP="007C79C2">
      <w:pPr>
        <w:tabs>
          <w:tab w:val="right" w:pos="1531"/>
        </w:tabs>
        <w:spacing w:before="40" w:line="240" w:lineRule="auto"/>
        <w:ind w:left="1644" w:hanging="1644"/>
        <w:rPr>
          <w:rFonts w:eastAsia="Times New Roman" w:cs="Times New Roman"/>
          <w:lang w:eastAsia="en-AU"/>
        </w:rPr>
      </w:pPr>
      <w:r w:rsidRPr="00BD4298">
        <w:rPr>
          <w:rFonts w:eastAsia="Times New Roman" w:cs="Times New Roman"/>
          <w:lang w:eastAsia="en-AU"/>
        </w:rPr>
        <w:tab/>
        <w:t>(a)</w:t>
      </w:r>
      <w:r w:rsidRPr="00BD4298">
        <w:rPr>
          <w:rFonts w:eastAsia="Times New Roman" w:cs="Times New Roman"/>
          <w:lang w:eastAsia="en-AU"/>
        </w:rPr>
        <w:tab/>
        <w:t>before</w:t>
      </w:r>
      <w:r w:rsidR="004513A2" w:rsidRPr="00BD4298">
        <w:rPr>
          <w:rFonts w:eastAsia="Times New Roman" w:cs="Times New Roman"/>
          <w:lang w:eastAsia="en-AU"/>
        </w:rPr>
        <w:t xml:space="preserve"> the change or event occurs; </w:t>
      </w:r>
      <w:r w:rsidRPr="00BD4298">
        <w:rPr>
          <w:rFonts w:eastAsia="Times New Roman" w:cs="Times New Roman"/>
          <w:lang w:eastAsia="en-AU"/>
        </w:rPr>
        <w:t>or</w:t>
      </w:r>
    </w:p>
    <w:p w14:paraId="6E0A4AF3" w14:textId="550C0AD8" w:rsidR="004513A2" w:rsidRPr="00BD4298" w:rsidRDefault="004513A2" w:rsidP="007C79C2">
      <w:pPr>
        <w:tabs>
          <w:tab w:val="right" w:pos="1531"/>
        </w:tabs>
        <w:spacing w:before="40" w:line="240" w:lineRule="auto"/>
        <w:ind w:left="1644" w:hanging="1644"/>
        <w:rPr>
          <w:rFonts w:eastAsia="Times New Roman" w:cs="Times New Roman"/>
          <w:lang w:eastAsia="en-AU"/>
        </w:rPr>
      </w:pPr>
      <w:r w:rsidRPr="00BD4298">
        <w:rPr>
          <w:rFonts w:eastAsia="Times New Roman" w:cs="Times New Roman"/>
          <w:lang w:eastAsia="en-AU"/>
        </w:rPr>
        <w:tab/>
        <w:t>(b)</w:t>
      </w:r>
      <w:r w:rsidRPr="00BD4298">
        <w:rPr>
          <w:rFonts w:eastAsia="Times New Roman" w:cs="Times New Roman"/>
          <w:lang w:eastAsia="en-AU"/>
        </w:rPr>
        <w:tab/>
        <w:t xml:space="preserve">if the provider is a major </w:t>
      </w:r>
      <w:r w:rsidR="00D2515B">
        <w:rPr>
          <w:rFonts w:eastAsia="Times New Roman" w:cs="Times New Roman"/>
          <w:lang w:eastAsia="en-AU"/>
        </w:rPr>
        <w:t xml:space="preserve">stored value facility </w:t>
      </w:r>
      <w:r w:rsidRPr="00BD4298">
        <w:rPr>
          <w:rFonts w:eastAsia="Times New Roman" w:cs="Times New Roman"/>
          <w:lang w:eastAsia="en-AU"/>
        </w:rPr>
        <w:t>provider—immediately after the change or event occurs; or</w:t>
      </w:r>
    </w:p>
    <w:p w14:paraId="1BEA466A" w14:textId="4D5F871B" w:rsidR="004513A2" w:rsidRDefault="004513A2" w:rsidP="007C79C2">
      <w:pPr>
        <w:tabs>
          <w:tab w:val="right" w:pos="1531"/>
        </w:tabs>
        <w:spacing w:before="40" w:line="240" w:lineRule="auto"/>
        <w:ind w:left="1644" w:hanging="1644"/>
        <w:rPr>
          <w:rFonts w:eastAsia="Times New Roman" w:cs="Times New Roman"/>
          <w:lang w:eastAsia="en-AU"/>
        </w:rPr>
      </w:pPr>
      <w:r w:rsidRPr="00BD4298">
        <w:rPr>
          <w:rFonts w:eastAsia="Times New Roman" w:cs="Times New Roman"/>
          <w:lang w:eastAsia="en-AU"/>
        </w:rPr>
        <w:tab/>
        <w:t>(c)</w:t>
      </w:r>
      <w:r w:rsidRPr="00BD4298">
        <w:rPr>
          <w:rFonts w:eastAsia="Times New Roman" w:cs="Times New Roman"/>
          <w:lang w:eastAsia="en-AU"/>
        </w:rPr>
        <w:tab/>
        <w:t xml:space="preserve">if the provider is not a major </w:t>
      </w:r>
      <w:r w:rsidR="00D2515B">
        <w:rPr>
          <w:rFonts w:eastAsia="Times New Roman" w:cs="Times New Roman"/>
          <w:lang w:eastAsia="en-AU"/>
        </w:rPr>
        <w:t>stored value facility</w:t>
      </w:r>
      <w:r w:rsidRPr="00BD4298">
        <w:rPr>
          <w:rFonts w:eastAsia="Times New Roman" w:cs="Times New Roman"/>
          <w:lang w:eastAsia="en-AU"/>
        </w:rPr>
        <w:t xml:space="preserve"> provider—as soon as practicable after the change or event occurs.</w:t>
      </w:r>
    </w:p>
    <w:p w14:paraId="059C06FC" w14:textId="5B9ADFF1" w:rsidR="004513A2" w:rsidRPr="00BD4298" w:rsidRDefault="00D2515B" w:rsidP="007C79C2">
      <w:pPr>
        <w:keepNext/>
        <w:keepLines/>
        <w:spacing w:before="240" w:line="240" w:lineRule="auto"/>
        <w:ind w:left="1134"/>
        <w:rPr>
          <w:rFonts w:eastAsia="Times New Roman" w:cs="Times New Roman"/>
          <w:i/>
          <w:lang w:eastAsia="en-AU"/>
        </w:rPr>
      </w:pPr>
      <w:r>
        <w:rPr>
          <w:rFonts w:eastAsia="Times New Roman" w:cs="Times New Roman"/>
          <w:i/>
          <w:lang w:eastAsia="en-AU"/>
        </w:rPr>
        <w:t xml:space="preserve">Monthly disclosure of </w:t>
      </w:r>
      <w:r w:rsidR="004513A2" w:rsidRPr="00BD4298">
        <w:rPr>
          <w:rFonts w:eastAsia="Times New Roman" w:cs="Times New Roman"/>
          <w:i/>
          <w:lang w:eastAsia="en-AU"/>
        </w:rPr>
        <w:t>information about reserve assets</w:t>
      </w:r>
      <w:r>
        <w:rPr>
          <w:rFonts w:eastAsia="Times New Roman" w:cs="Times New Roman"/>
          <w:i/>
          <w:lang w:eastAsia="en-AU"/>
        </w:rPr>
        <w:t xml:space="preserve"> and outstanding liabilities</w:t>
      </w:r>
    </w:p>
    <w:p w14:paraId="3750246C" w14:textId="69B702E5" w:rsidR="00570095" w:rsidRDefault="004513A2" w:rsidP="007C79C2">
      <w:pPr>
        <w:tabs>
          <w:tab w:val="right" w:pos="1021"/>
        </w:tabs>
        <w:spacing w:before="180" w:line="240" w:lineRule="auto"/>
        <w:ind w:left="1134" w:hanging="1134"/>
        <w:rPr>
          <w:rFonts w:eastAsia="Times New Roman" w:cs="Times New Roman"/>
          <w:lang w:eastAsia="en-AU"/>
        </w:rPr>
      </w:pPr>
      <w:r w:rsidRPr="00BD4298">
        <w:rPr>
          <w:rFonts w:eastAsia="Times New Roman" w:cs="Times New Roman"/>
          <w:lang w:eastAsia="en-AU"/>
        </w:rPr>
        <w:tab/>
        <w:t>(</w:t>
      </w:r>
      <w:r w:rsidR="000A746D">
        <w:rPr>
          <w:rFonts w:eastAsia="Times New Roman" w:cs="Times New Roman"/>
          <w:lang w:eastAsia="en-AU"/>
        </w:rPr>
        <w:t>3</w:t>
      </w:r>
      <w:r w:rsidRPr="00BD4298">
        <w:rPr>
          <w:rFonts w:eastAsia="Times New Roman" w:cs="Times New Roman"/>
          <w:lang w:eastAsia="en-AU"/>
        </w:rPr>
        <w:t>)</w:t>
      </w:r>
      <w:r w:rsidRPr="00BD4298">
        <w:rPr>
          <w:rFonts w:eastAsia="Times New Roman" w:cs="Times New Roman"/>
          <w:lang w:eastAsia="en-AU"/>
        </w:rPr>
        <w:tab/>
        <w:t xml:space="preserve">Within </w:t>
      </w:r>
      <w:r w:rsidR="00570095">
        <w:rPr>
          <w:rFonts w:eastAsia="Times New Roman" w:cs="Times New Roman"/>
          <w:lang w:eastAsia="en-AU"/>
        </w:rPr>
        <w:t xml:space="preserve">7 days </w:t>
      </w:r>
      <w:r w:rsidRPr="00BD4298">
        <w:rPr>
          <w:rFonts w:eastAsia="Times New Roman" w:cs="Times New Roman"/>
          <w:lang w:eastAsia="en-AU"/>
        </w:rPr>
        <w:t xml:space="preserve">after the end of each </w:t>
      </w:r>
      <w:r w:rsidRPr="00570095">
        <w:rPr>
          <w:rFonts w:eastAsia="Times New Roman" w:cs="Times New Roman"/>
          <w:lang w:eastAsia="en-AU"/>
        </w:rPr>
        <w:t>calendar month,</w:t>
      </w:r>
      <w:r w:rsidRPr="00BD4298">
        <w:rPr>
          <w:rFonts w:eastAsia="Times New Roman" w:cs="Times New Roman"/>
          <w:lang w:eastAsia="en-AU"/>
        </w:rPr>
        <w:t xml:space="preserve"> a tokenised </w:t>
      </w:r>
      <w:r w:rsidR="00D2515B">
        <w:rPr>
          <w:rFonts w:eastAsia="Times New Roman" w:cs="Times New Roman"/>
          <w:lang w:eastAsia="en-AU"/>
        </w:rPr>
        <w:t xml:space="preserve">stored value facility </w:t>
      </w:r>
      <w:r w:rsidRPr="00BD4298">
        <w:rPr>
          <w:rFonts w:eastAsia="Times New Roman" w:cs="Times New Roman"/>
          <w:lang w:eastAsia="en-AU"/>
        </w:rPr>
        <w:t xml:space="preserve">provider must publish on the internet a statement </w:t>
      </w:r>
      <w:r w:rsidR="00A259E7">
        <w:rPr>
          <w:rFonts w:eastAsia="Times New Roman" w:cs="Times New Roman"/>
          <w:lang w:eastAsia="en-AU"/>
        </w:rPr>
        <w:t>that sets out</w:t>
      </w:r>
      <w:r w:rsidRPr="00BD4298">
        <w:rPr>
          <w:rFonts w:eastAsia="Times New Roman" w:cs="Times New Roman"/>
          <w:lang w:eastAsia="en-AU"/>
        </w:rPr>
        <w:t xml:space="preserve"> the information required by the regulations relating </w:t>
      </w:r>
      <w:r w:rsidR="001546BC">
        <w:rPr>
          <w:rFonts w:eastAsia="Times New Roman" w:cs="Times New Roman"/>
          <w:lang w:eastAsia="en-AU"/>
        </w:rPr>
        <w:t xml:space="preserve">to </w:t>
      </w:r>
      <w:r w:rsidR="00570095">
        <w:rPr>
          <w:rFonts w:eastAsia="Times New Roman" w:cs="Times New Roman"/>
          <w:lang w:eastAsia="en-AU"/>
        </w:rPr>
        <w:t>the following:</w:t>
      </w:r>
    </w:p>
    <w:p w14:paraId="4DC4A70C" w14:textId="5D513565" w:rsidR="004513A2" w:rsidRDefault="00570095" w:rsidP="007C79C2">
      <w:pPr>
        <w:pStyle w:val="paragraph"/>
      </w:pPr>
      <w:r>
        <w:tab/>
        <w:t>(a)</w:t>
      </w:r>
      <w:r>
        <w:tab/>
      </w:r>
      <w:r w:rsidR="004513A2" w:rsidRPr="00BD4298">
        <w:t>the reserve assets held by the provider</w:t>
      </w:r>
      <w:r w:rsidR="00562EEA">
        <w:t>,</w:t>
      </w:r>
      <w:r w:rsidR="004513A2" w:rsidRPr="00BD4298">
        <w:t xml:space="preserve"> </w:t>
      </w:r>
      <w:r>
        <w:t>as at the end of that calendar month</w:t>
      </w:r>
      <w:r w:rsidR="00562EEA">
        <w:t>,</w:t>
      </w:r>
      <w:r>
        <w:t xml:space="preserve"> </w:t>
      </w:r>
      <w:r w:rsidR="00562EEA">
        <w:t xml:space="preserve">to </w:t>
      </w:r>
      <w:r w:rsidR="004513A2" w:rsidRPr="00BD4298">
        <w:t xml:space="preserve">meet its obligations </w:t>
      </w:r>
      <w:r w:rsidR="007D000A">
        <w:t>under</w:t>
      </w:r>
      <w:r w:rsidR="004513A2" w:rsidRPr="00BD4298">
        <w:t xml:space="preserve"> tokenised stored value facilities </w:t>
      </w:r>
      <w:r w:rsidR="007D000A">
        <w:t>it has issued</w:t>
      </w:r>
      <w:r w:rsidR="001546BC">
        <w:t>;</w:t>
      </w:r>
    </w:p>
    <w:p w14:paraId="59D4DEA9" w14:textId="20DFBD84" w:rsidR="001546BC" w:rsidRDefault="001546BC" w:rsidP="007C79C2">
      <w:pPr>
        <w:pStyle w:val="paragraph"/>
      </w:pPr>
      <w:r>
        <w:tab/>
        <w:t>(b)</w:t>
      </w:r>
      <w:r>
        <w:tab/>
        <w:t xml:space="preserve">the </w:t>
      </w:r>
      <w:r w:rsidR="00B64975">
        <w:t>provider’s outstanding liabilities</w:t>
      </w:r>
      <w:r w:rsidR="00562EEA">
        <w:t>,</w:t>
      </w:r>
      <w:r w:rsidR="00B64975">
        <w:t xml:space="preserve"> as at the end of that calendar month</w:t>
      </w:r>
      <w:r w:rsidR="00CA76EB">
        <w:t xml:space="preserve">, relating to </w:t>
      </w:r>
      <w:r w:rsidR="00CA76EB" w:rsidRPr="00BD4298">
        <w:t xml:space="preserve">tokenised stored value facilities </w:t>
      </w:r>
      <w:r w:rsidR="00CA76EB">
        <w:t>it has issued.</w:t>
      </w:r>
    </w:p>
    <w:p w14:paraId="5BAC7696" w14:textId="0C93884D" w:rsidR="00A259E7" w:rsidRDefault="00A259E7" w:rsidP="007C79C2">
      <w:pPr>
        <w:pStyle w:val="notetext"/>
      </w:pPr>
      <w:r w:rsidRPr="00A259E7">
        <w:t>Note:</w:t>
      </w:r>
      <w:r w:rsidRPr="00A259E7">
        <w:tab/>
        <w:t xml:space="preserve">This subsection is a civil penalty provision (see </w:t>
      </w:r>
      <w:r w:rsidR="007C79C2">
        <w:t>section 1</w:t>
      </w:r>
      <w:r w:rsidRPr="00A259E7">
        <w:t>317E).</w:t>
      </w:r>
    </w:p>
    <w:p w14:paraId="0334BBD3" w14:textId="31446532" w:rsidR="000A746D" w:rsidRPr="000A746D" w:rsidRDefault="000A746D" w:rsidP="007C79C2">
      <w:pPr>
        <w:pStyle w:val="SubsectionHead"/>
      </w:pPr>
      <w:r>
        <w:lastRenderedPageBreak/>
        <w:t>Meaning of certain terms</w:t>
      </w:r>
    </w:p>
    <w:p w14:paraId="0F6ED054" w14:textId="44481758" w:rsidR="000A746D" w:rsidRDefault="000A746D" w:rsidP="007C79C2">
      <w:pPr>
        <w:pStyle w:val="subsection"/>
      </w:pPr>
      <w:r>
        <w:tab/>
        <w:t>(4)</w:t>
      </w:r>
      <w:r>
        <w:tab/>
        <w:t xml:space="preserve">The regulations may make provision determining all or any of the following for the purposes of </w:t>
      </w:r>
      <w:r w:rsidR="00FA4423">
        <w:t>this section:</w:t>
      </w:r>
    </w:p>
    <w:p w14:paraId="0645EEF5" w14:textId="056A52C4" w:rsidR="00FA4423" w:rsidRDefault="00FA4423" w:rsidP="007C79C2">
      <w:pPr>
        <w:pStyle w:val="paragraph"/>
      </w:pPr>
      <w:r>
        <w:tab/>
        <w:t>(a)</w:t>
      </w:r>
      <w:r>
        <w:tab/>
        <w:t xml:space="preserve">the meaning of </w:t>
      </w:r>
      <w:r w:rsidRPr="00FA4423">
        <w:rPr>
          <w:b/>
          <w:bCs/>
          <w:i/>
          <w:iCs/>
        </w:rPr>
        <w:t>reserve asset</w:t>
      </w:r>
      <w:r w:rsidRPr="00FA4423">
        <w:t>;</w:t>
      </w:r>
    </w:p>
    <w:p w14:paraId="0E8F3CB7" w14:textId="797F36D7" w:rsidR="00FA4423" w:rsidRDefault="00FA4423" w:rsidP="007C79C2">
      <w:pPr>
        <w:pStyle w:val="paragraph"/>
      </w:pPr>
      <w:r>
        <w:tab/>
        <w:t>(b)</w:t>
      </w:r>
      <w:r>
        <w:tab/>
        <w:t xml:space="preserve">how to work out the </w:t>
      </w:r>
      <w:r w:rsidRPr="00FA4423">
        <w:rPr>
          <w:b/>
          <w:bCs/>
          <w:i/>
          <w:iCs/>
        </w:rPr>
        <w:t>value</w:t>
      </w:r>
      <w:r>
        <w:t xml:space="preserve"> of reserve assets</w:t>
      </w:r>
      <w:r w:rsidR="00C25F9E">
        <w:t xml:space="preserve"> held by a tokenised stored value facility provider</w:t>
      </w:r>
      <w:r>
        <w:t>;</w:t>
      </w:r>
    </w:p>
    <w:p w14:paraId="61CAE5B1" w14:textId="0A4B69AD" w:rsidR="00FA4423" w:rsidRDefault="00FA4423" w:rsidP="007C79C2">
      <w:pPr>
        <w:pStyle w:val="paragraph"/>
      </w:pPr>
      <w:r>
        <w:tab/>
        <w:t>(c)</w:t>
      </w:r>
      <w:r>
        <w:tab/>
      </w:r>
      <w:r w:rsidR="00C25F9E">
        <w:t xml:space="preserve">how to work out </w:t>
      </w:r>
      <w:r w:rsidR="00504070">
        <w:t xml:space="preserve">a </w:t>
      </w:r>
      <w:r w:rsidR="00C25F9E">
        <w:t xml:space="preserve">tokenised stored value facility provider’s </w:t>
      </w:r>
      <w:r w:rsidR="002258E9" w:rsidRPr="00C25F9E">
        <w:rPr>
          <w:b/>
          <w:bCs/>
          <w:i/>
          <w:iCs/>
        </w:rPr>
        <w:t>outstanding liabilit</w:t>
      </w:r>
      <w:r w:rsidR="00504070">
        <w:rPr>
          <w:b/>
          <w:bCs/>
          <w:i/>
          <w:iCs/>
        </w:rPr>
        <w:t>ies</w:t>
      </w:r>
      <w:r w:rsidR="00504070">
        <w:t xml:space="preserve"> at a particular time </w:t>
      </w:r>
      <w:r w:rsidR="00C25F9E">
        <w:t xml:space="preserve">relating to </w:t>
      </w:r>
      <w:r w:rsidR="00C25F9E" w:rsidRPr="00BD4298">
        <w:t xml:space="preserve">tokenised stored value facilities </w:t>
      </w:r>
      <w:r w:rsidR="00C25F9E">
        <w:t>it has issued</w:t>
      </w:r>
      <w:r w:rsidR="007F6990">
        <w:t>.</w:t>
      </w:r>
    </w:p>
    <w:p w14:paraId="3D6BD3AE" w14:textId="5A4249D1" w:rsidR="002258E9" w:rsidRPr="006A2882" w:rsidRDefault="002258E9" w:rsidP="007C79C2">
      <w:pPr>
        <w:pStyle w:val="subsection2"/>
      </w:pPr>
      <w:r w:rsidRPr="002258E9">
        <w:t>Regulations made for the purposes of this subsection have effect despite anything else in this section.</w:t>
      </w:r>
    </w:p>
    <w:bookmarkEnd w:id="0"/>
    <w:p w14:paraId="33190C36" w14:textId="64310324" w:rsidR="00742048" w:rsidRPr="00A87DE7" w:rsidRDefault="00304C61" w:rsidP="007C79C2">
      <w:pPr>
        <w:pStyle w:val="ItemHead"/>
      </w:pPr>
      <w:r>
        <w:t>35</w:t>
      </w:r>
      <w:r w:rsidR="00742048" w:rsidRPr="00A87DE7">
        <w:t xml:space="preserve">  </w:t>
      </w:r>
      <w:r w:rsidR="00120E37" w:rsidRPr="00A87DE7">
        <w:t>Sub</w:t>
      </w:r>
      <w:r w:rsidR="007C79C2" w:rsidRPr="00A87DE7">
        <w:t>paragraph 1</w:t>
      </w:r>
      <w:r w:rsidR="00742048" w:rsidRPr="00A87DE7">
        <w:t>0</w:t>
      </w:r>
      <w:r w:rsidR="00BF0BB7" w:rsidRPr="00A87DE7">
        <w:t>12D</w:t>
      </w:r>
      <w:r w:rsidR="00742048" w:rsidRPr="00A87DE7">
        <w:t>(2)(b)(ii)</w:t>
      </w:r>
    </w:p>
    <w:p w14:paraId="1C2C986A" w14:textId="1636AF1B" w:rsidR="005A5FAA" w:rsidRPr="005A5FAA" w:rsidRDefault="005A5FAA" w:rsidP="005A5FAA">
      <w:pPr>
        <w:pStyle w:val="Item"/>
      </w:pPr>
      <w:r w:rsidRPr="005A5FAA">
        <w:t>After “client under”, insert “s</w:t>
      </w:r>
      <w:r>
        <w:t>ubsection 1017BAA(1) or”.</w:t>
      </w:r>
    </w:p>
    <w:p w14:paraId="5D13D59F" w14:textId="3D8BA079" w:rsidR="006475DB" w:rsidRDefault="00304C61" w:rsidP="007C79C2">
      <w:pPr>
        <w:pStyle w:val="ItemHead"/>
        <w:rPr>
          <w:lang w:val="pt-BR"/>
        </w:rPr>
      </w:pPr>
      <w:r>
        <w:rPr>
          <w:lang w:val="pt-BR"/>
        </w:rPr>
        <w:t>36</w:t>
      </w:r>
      <w:r w:rsidR="006475DB" w:rsidRPr="001501AB">
        <w:rPr>
          <w:lang w:val="pt-BR"/>
        </w:rPr>
        <w:t xml:space="preserve">  After </w:t>
      </w:r>
      <w:r w:rsidR="007C79C2">
        <w:rPr>
          <w:lang w:val="pt-BR"/>
        </w:rPr>
        <w:t>paragraph 1</w:t>
      </w:r>
      <w:r w:rsidR="001501AB" w:rsidRPr="001501AB">
        <w:rPr>
          <w:lang w:val="pt-BR"/>
        </w:rPr>
        <w:t>020E(1)(b)</w:t>
      </w:r>
    </w:p>
    <w:p w14:paraId="383B4907" w14:textId="07117946" w:rsidR="00CC3C31" w:rsidRPr="005A5FAA" w:rsidRDefault="00CC3C31" w:rsidP="007C79C2">
      <w:pPr>
        <w:pStyle w:val="Item"/>
      </w:pPr>
      <w:r w:rsidRPr="005A5FAA">
        <w:t>Insert:</w:t>
      </w:r>
    </w:p>
    <w:p w14:paraId="656B1481" w14:textId="7B727E4D" w:rsidR="00CC3C31" w:rsidRDefault="00CC3C31" w:rsidP="007C79C2">
      <w:pPr>
        <w:pStyle w:val="paragraph"/>
      </w:pPr>
      <w:r w:rsidRPr="005A5FAA">
        <w:tab/>
      </w:r>
      <w:r w:rsidRPr="00CC3C31">
        <w:t>(ba)</w:t>
      </w:r>
      <w:r w:rsidRPr="00CC3C31">
        <w:tab/>
        <w:t>a s</w:t>
      </w:r>
      <w:r>
        <w:t xml:space="preserve">tatement published on the internet under </w:t>
      </w:r>
      <w:r w:rsidR="007C79C2">
        <w:t>subsection 1</w:t>
      </w:r>
      <w:r>
        <w:t xml:space="preserve">017BAA(3) is defective (see </w:t>
      </w:r>
      <w:r w:rsidR="007C79C2">
        <w:t>subsection (</w:t>
      </w:r>
      <w:r w:rsidR="007B6178">
        <w:t>11)); or</w:t>
      </w:r>
    </w:p>
    <w:p w14:paraId="4AE598D6" w14:textId="56A8B032" w:rsidR="00D67858" w:rsidRDefault="00304C61" w:rsidP="007C79C2">
      <w:pPr>
        <w:pStyle w:val="ItemHead"/>
      </w:pPr>
      <w:r>
        <w:t>37</w:t>
      </w:r>
      <w:r w:rsidR="00D67858">
        <w:t xml:space="preserve">  </w:t>
      </w:r>
      <w:r w:rsidR="007C79C2">
        <w:t>Paragraph 1</w:t>
      </w:r>
      <w:r w:rsidR="00D67858">
        <w:t>020E(2)(b)</w:t>
      </w:r>
    </w:p>
    <w:p w14:paraId="2601802D" w14:textId="3E87E18D" w:rsidR="00D67858" w:rsidRDefault="00D67858" w:rsidP="007C79C2">
      <w:pPr>
        <w:pStyle w:val="Item"/>
      </w:pPr>
      <w:r>
        <w:t>After “(1)(b)”, insert “or (ba)”.</w:t>
      </w:r>
    </w:p>
    <w:p w14:paraId="6F40CA5C" w14:textId="59F76AA3" w:rsidR="00B00970" w:rsidRDefault="00304C61" w:rsidP="007C79C2">
      <w:pPr>
        <w:pStyle w:val="ItemHead"/>
      </w:pPr>
      <w:r>
        <w:t>38</w:t>
      </w:r>
      <w:r w:rsidR="00B00970">
        <w:t xml:space="preserve">  </w:t>
      </w:r>
      <w:r w:rsidR="007C79C2">
        <w:t>Subsection 1</w:t>
      </w:r>
      <w:r w:rsidR="00B00970">
        <w:t xml:space="preserve">020E(11) (after </w:t>
      </w:r>
      <w:r w:rsidR="007C79C2">
        <w:t>paragraph (</w:t>
      </w:r>
      <w:r w:rsidR="00B00970">
        <w:t xml:space="preserve">b) of the definition </w:t>
      </w:r>
      <w:r w:rsidR="00B00970" w:rsidRPr="00B00970">
        <w:t>of</w:t>
      </w:r>
      <w:r w:rsidR="00B00970" w:rsidRPr="00B00970">
        <w:rPr>
          <w:i/>
          <w:iCs/>
        </w:rPr>
        <w:t xml:space="preserve"> defective</w:t>
      </w:r>
      <w:r w:rsidR="00B00970">
        <w:t>)</w:t>
      </w:r>
    </w:p>
    <w:p w14:paraId="13B15D24" w14:textId="66F748FE" w:rsidR="00B00970" w:rsidRDefault="00B00970" w:rsidP="007C79C2">
      <w:pPr>
        <w:pStyle w:val="Item"/>
      </w:pPr>
      <w:r>
        <w:t>Insert:</w:t>
      </w:r>
    </w:p>
    <w:p w14:paraId="372DB842" w14:textId="5CDCFB7C" w:rsidR="00B00970" w:rsidRDefault="00B00970" w:rsidP="007C79C2">
      <w:pPr>
        <w:pStyle w:val="paragraph"/>
      </w:pPr>
      <w:r>
        <w:tab/>
        <w:t>(ba)</w:t>
      </w:r>
      <w:r>
        <w:tab/>
        <w:t xml:space="preserve">in relation to a statement published on the internet under </w:t>
      </w:r>
      <w:r w:rsidR="007C79C2">
        <w:t>s</w:t>
      </w:r>
      <w:r w:rsidR="005A5FAA">
        <w:t>ubs</w:t>
      </w:r>
      <w:r w:rsidR="007C79C2">
        <w:t>ection 1</w:t>
      </w:r>
      <w:r>
        <w:t>017BAA</w:t>
      </w:r>
      <w:r w:rsidR="005A5FAA">
        <w:t>(3)</w:t>
      </w:r>
      <w:r>
        <w:t>—means:</w:t>
      </w:r>
    </w:p>
    <w:p w14:paraId="4683304A" w14:textId="77777777" w:rsidR="00B00970" w:rsidRDefault="00B00970" w:rsidP="007C79C2">
      <w:pPr>
        <w:pStyle w:val="paragraphsub"/>
      </w:pPr>
      <w:r>
        <w:tab/>
        <w:t>(i)</w:t>
      </w:r>
      <w:r>
        <w:tab/>
        <w:t>the information set out in the statement is misleading or deceptive; or</w:t>
      </w:r>
    </w:p>
    <w:p w14:paraId="31E07242" w14:textId="6C19AA89" w:rsidR="00B00970" w:rsidRDefault="00B00970" w:rsidP="007C79C2">
      <w:pPr>
        <w:pStyle w:val="paragraphsub"/>
      </w:pPr>
      <w:r>
        <w:tab/>
        <w:t>(ii)</w:t>
      </w:r>
      <w:r>
        <w:tab/>
        <w:t>there is an omission from the information set out in the statement</w:t>
      </w:r>
      <w:r w:rsidR="00A874E1">
        <w:t>; and</w:t>
      </w:r>
    </w:p>
    <w:p w14:paraId="14742F8F" w14:textId="673CBAFE" w:rsidR="00BF0BB7" w:rsidRDefault="00304C61" w:rsidP="007C79C2">
      <w:pPr>
        <w:pStyle w:val="ItemHead"/>
      </w:pPr>
      <w:r>
        <w:t>39</w:t>
      </w:r>
      <w:r w:rsidR="00BF0BB7">
        <w:t xml:space="preserve">  After </w:t>
      </w:r>
      <w:r w:rsidR="007C79C2">
        <w:t>section 1</w:t>
      </w:r>
      <w:r w:rsidR="00BF0BB7">
        <w:t>021N</w:t>
      </w:r>
    </w:p>
    <w:p w14:paraId="3A0D6575" w14:textId="08F5F999" w:rsidR="00BF0BB7" w:rsidRDefault="00BF0BB7" w:rsidP="007C79C2">
      <w:pPr>
        <w:pStyle w:val="Item"/>
      </w:pPr>
      <w:r>
        <w:t>Insert:</w:t>
      </w:r>
    </w:p>
    <w:p w14:paraId="082A7E3A" w14:textId="77777777" w:rsidR="009C52FD" w:rsidRDefault="00840D50" w:rsidP="007C79C2">
      <w:pPr>
        <w:pStyle w:val="ActHead5"/>
      </w:pPr>
      <w:r w:rsidRPr="007C79C2">
        <w:rPr>
          <w:rStyle w:val="CharSectno"/>
        </w:rPr>
        <w:lastRenderedPageBreak/>
        <w:t>1021NAA</w:t>
      </w:r>
      <w:r>
        <w:t xml:space="preserve">  Offences relating to disclosure of </w:t>
      </w:r>
      <w:r w:rsidRPr="00BD4298">
        <w:t xml:space="preserve">information </w:t>
      </w:r>
      <w:r w:rsidR="009C52FD">
        <w:t>by tokenised stored value facility providers</w:t>
      </w:r>
    </w:p>
    <w:p w14:paraId="4BD003CA" w14:textId="43C52DA4" w:rsidR="00A259E7" w:rsidRDefault="00A259E7" w:rsidP="007C79C2">
      <w:pPr>
        <w:pStyle w:val="SubsectionHead"/>
      </w:pPr>
      <w:r>
        <w:t>Failure to comply with obligation to disclose information</w:t>
      </w:r>
    </w:p>
    <w:p w14:paraId="062E39F9" w14:textId="77777777" w:rsidR="00A259E7" w:rsidRDefault="00A259E7" w:rsidP="007C79C2">
      <w:pPr>
        <w:pStyle w:val="subsection"/>
      </w:pPr>
      <w:r>
        <w:tab/>
        <w:t>(1)</w:t>
      </w:r>
      <w:r>
        <w:tab/>
        <w:t>A person commits an offence if:</w:t>
      </w:r>
    </w:p>
    <w:p w14:paraId="3672B3EA" w14:textId="6E9A3B94" w:rsidR="00A259E7" w:rsidRDefault="00A259E7" w:rsidP="007C79C2">
      <w:pPr>
        <w:pStyle w:val="paragraph"/>
      </w:pPr>
      <w:r>
        <w:tab/>
        <w:t>(a)</w:t>
      </w:r>
      <w:r>
        <w:tab/>
        <w:t>the person is a tokenised stored value facility provider; and</w:t>
      </w:r>
    </w:p>
    <w:p w14:paraId="696CE329" w14:textId="4BD55E22" w:rsidR="00A259E7" w:rsidRDefault="00A259E7" w:rsidP="007C79C2">
      <w:pPr>
        <w:pStyle w:val="paragraph"/>
      </w:pPr>
      <w:r>
        <w:tab/>
        <w:t>(b)</w:t>
      </w:r>
      <w:r>
        <w:tab/>
        <w:t xml:space="preserve">the person is required, under </w:t>
      </w:r>
      <w:r w:rsidR="007C79C2">
        <w:t>subsection 1</w:t>
      </w:r>
      <w:r>
        <w:t>017BAA(3), to publish a statement on the internet; and</w:t>
      </w:r>
    </w:p>
    <w:p w14:paraId="41960A78" w14:textId="77777777" w:rsidR="00A259E7" w:rsidRDefault="00A259E7" w:rsidP="007C79C2">
      <w:pPr>
        <w:pStyle w:val="paragraph"/>
      </w:pPr>
      <w:r>
        <w:tab/>
        <w:t>(c)</w:t>
      </w:r>
      <w:r>
        <w:tab/>
        <w:t>the statement is not published on the internet as required by that subsection.</w:t>
      </w:r>
    </w:p>
    <w:p w14:paraId="5BEA542E" w14:textId="77777777" w:rsidR="00A259E7" w:rsidRDefault="00A259E7" w:rsidP="007C79C2">
      <w:pPr>
        <w:pStyle w:val="SubsectionHead"/>
      </w:pPr>
      <w:r>
        <w:t>Offence where information known to be defective</w:t>
      </w:r>
    </w:p>
    <w:p w14:paraId="47AC403A" w14:textId="77777777" w:rsidR="00A259E7" w:rsidRDefault="00A259E7" w:rsidP="007C79C2">
      <w:pPr>
        <w:pStyle w:val="subsection"/>
      </w:pPr>
      <w:r>
        <w:tab/>
        <w:t>(2)</w:t>
      </w:r>
      <w:r>
        <w:tab/>
        <w:t>A person commits an offence if:</w:t>
      </w:r>
    </w:p>
    <w:p w14:paraId="15A40ECC" w14:textId="77777777" w:rsidR="00A259E7" w:rsidRDefault="00A259E7" w:rsidP="007C79C2">
      <w:pPr>
        <w:pStyle w:val="paragraph"/>
      </w:pPr>
      <w:r>
        <w:tab/>
        <w:t>(a)</w:t>
      </w:r>
      <w:r>
        <w:tab/>
        <w:t>the person is a tokenised stored value facility provider; and</w:t>
      </w:r>
    </w:p>
    <w:p w14:paraId="7AC9339D" w14:textId="508E1DA6" w:rsidR="00294715" w:rsidRDefault="00471117" w:rsidP="007C79C2">
      <w:pPr>
        <w:pStyle w:val="paragraph"/>
      </w:pPr>
      <w:r>
        <w:tab/>
        <w:t>(b)</w:t>
      </w:r>
      <w:r>
        <w:tab/>
      </w:r>
      <w:r w:rsidR="00294715">
        <w:t xml:space="preserve">the person is required, under </w:t>
      </w:r>
      <w:r w:rsidR="007C79C2">
        <w:t>subsection 1</w:t>
      </w:r>
      <w:r w:rsidR="00294715">
        <w:t>017BAA(3), to publish a statement on the internet; and</w:t>
      </w:r>
    </w:p>
    <w:p w14:paraId="56E313F8" w14:textId="02230208" w:rsidR="00A259E7" w:rsidRDefault="00A259E7" w:rsidP="007C79C2">
      <w:pPr>
        <w:pStyle w:val="paragraph"/>
      </w:pPr>
      <w:r>
        <w:tab/>
        <w:t>(</w:t>
      </w:r>
      <w:r w:rsidR="00471117">
        <w:t>c</w:t>
      </w:r>
      <w:r>
        <w:t>)</w:t>
      </w:r>
      <w:r>
        <w:tab/>
        <w:t xml:space="preserve">a statement is published on the internet in purported compliance with </w:t>
      </w:r>
      <w:r w:rsidR="00294715">
        <w:t>that requirement</w:t>
      </w:r>
      <w:r>
        <w:t>; and</w:t>
      </w:r>
    </w:p>
    <w:p w14:paraId="6081FA11" w14:textId="3E5526D7" w:rsidR="00A259E7" w:rsidRDefault="00A259E7" w:rsidP="007C79C2">
      <w:pPr>
        <w:pStyle w:val="paragraph"/>
      </w:pPr>
      <w:r>
        <w:tab/>
        <w:t>(</w:t>
      </w:r>
      <w:r w:rsidR="00471117">
        <w:t>d</w:t>
      </w:r>
      <w:r>
        <w:t>)</w:t>
      </w:r>
      <w:r>
        <w:tab/>
        <w:t>the person knows that:</w:t>
      </w:r>
    </w:p>
    <w:p w14:paraId="7D290370" w14:textId="2CD6CF3F" w:rsidR="00A259E7" w:rsidRDefault="00A259E7" w:rsidP="007C79C2">
      <w:pPr>
        <w:pStyle w:val="paragraphsub"/>
      </w:pPr>
      <w:r>
        <w:tab/>
        <w:t>(i)</w:t>
      </w:r>
      <w:r>
        <w:tab/>
        <w:t>the information set out in the statement is misleading or deceptive; or</w:t>
      </w:r>
    </w:p>
    <w:p w14:paraId="2975D34E" w14:textId="1E4B0A6A" w:rsidR="00A259E7" w:rsidRDefault="00A259E7" w:rsidP="007C79C2">
      <w:pPr>
        <w:pStyle w:val="paragraphsub"/>
      </w:pPr>
      <w:r>
        <w:tab/>
        <w:t>(ii)</w:t>
      </w:r>
      <w:r>
        <w:tab/>
        <w:t>there is an omission from the information set out in the statement.</w:t>
      </w:r>
    </w:p>
    <w:p w14:paraId="2838154E" w14:textId="77777777" w:rsidR="00A259E7" w:rsidRDefault="00A259E7" w:rsidP="007C79C2">
      <w:pPr>
        <w:pStyle w:val="SubsectionHead"/>
      </w:pPr>
      <w:r>
        <w:t>Offence whether or not information known to be defective</w:t>
      </w:r>
    </w:p>
    <w:p w14:paraId="0A960D22" w14:textId="77777777" w:rsidR="00A259E7" w:rsidRDefault="00A259E7" w:rsidP="007C79C2">
      <w:pPr>
        <w:pStyle w:val="subsection"/>
      </w:pPr>
      <w:r>
        <w:tab/>
        <w:t>(3)</w:t>
      </w:r>
      <w:r>
        <w:tab/>
        <w:t>A person commits an offence if:</w:t>
      </w:r>
    </w:p>
    <w:p w14:paraId="05F77E6E" w14:textId="77777777" w:rsidR="00A259E7" w:rsidRDefault="00A259E7" w:rsidP="007C79C2">
      <w:pPr>
        <w:pStyle w:val="paragraph"/>
      </w:pPr>
      <w:r>
        <w:tab/>
        <w:t>(a)</w:t>
      </w:r>
      <w:r>
        <w:tab/>
        <w:t>the person is a tokenised stored value facility provider; and</w:t>
      </w:r>
    </w:p>
    <w:p w14:paraId="167C274B" w14:textId="60B6C4B9" w:rsidR="00294715" w:rsidRDefault="00294715" w:rsidP="007C79C2">
      <w:pPr>
        <w:pStyle w:val="paragraph"/>
      </w:pPr>
      <w:r>
        <w:tab/>
        <w:t>(b)</w:t>
      </w:r>
      <w:r>
        <w:tab/>
        <w:t xml:space="preserve">the person is required, under </w:t>
      </w:r>
      <w:r w:rsidR="007C79C2">
        <w:t>subsection 1</w:t>
      </w:r>
      <w:r>
        <w:t>017BAA(3), to publish a statement on the internet; and</w:t>
      </w:r>
    </w:p>
    <w:p w14:paraId="33FC186D" w14:textId="77777777" w:rsidR="00294715" w:rsidRDefault="00294715" w:rsidP="007C79C2">
      <w:pPr>
        <w:pStyle w:val="paragraph"/>
      </w:pPr>
      <w:r>
        <w:tab/>
        <w:t>(c)</w:t>
      </w:r>
      <w:r>
        <w:tab/>
        <w:t>a statement is published on the internet in purported compliance with that requirement; and</w:t>
      </w:r>
    </w:p>
    <w:p w14:paraId="64649A2B" w14:textId="7BDED850" w:rsidR="00A259E7" w:rsidRDefault="00A259E7" w:rsidP="007C79C2">
      <w:pPr>
        <w:pStyle w:val="paragraph"/>
      </w:pPr>
      <w:r>
        <w:tab/>
        <w:t>(</w:t>
      </w:r>
      <w:r w:rsidR="003C1C4A">
        <w:t>d</w:t>
      </w:r>
      <w:r>
        <w:t>)</w:t>
      </w:r>
      <w:r>
        <w:tab/>
        <w:t>either:</w:t>
      </w:r>
    </w:p>
    <w:p w14:paraId="71854D0F" w14:textId="77777777" w:rsidR="00544FCD" w:rsidRDefault="00544FCD" w:rsidP="007C79C2">
      <w:pPr>
        <w:pStyle w:val="paragraphsub"/>
      </w:pPr>
      <w:r>
        <w:tab/>
        <w:t>(i)</w:t>
      </w:r>
      <w:r>
        <w:tab/>
        <w:t>the information set out in the statement is misleading or deceptive; or</w:t>
      </w:r>
    </w:p>
    <w:p w14:paraId="21EA1FB4" w14:textId="77777777" w:rsidR="00544FCD" w:rsidRDefault="00544FCD" w:rsidP="007C79C2">
      <w:pPr>
        <w:pStyle w:val="paragraphsub"/>
      </w:pPr>
      <w:r>
        <w:tab/>
        <w:t>(ii)</w:t>
      </w:r>
      <w:r>
        <w:tab/>
        <w:t>there is an omission from the information set out in the statement.</w:t>
      </w:r>
    </w:p>
    <w:p w14:paraId="4786D3F0" w14:textId="34183631" w:rsidR="00A259E7" w:rsidRDefault="00A259E7" w:rsidP="007C79C2">
      <w:pPr>
        <w:pStyle w:val="subsection"/>
      </w:pPr>
      <w:r>
        <w:lastRenderedPageBreak/>
        <w:tab/>
        <w:t>(4)</w:t>
      </w:r>
      <w:r>
        <w:tab/>
        <w:t xml:space="preserve">For the purposes of an offence based on </w:t>
      </w:r>
      <w:r w:rsidR="007C79C2">
        <w:t>subsection (</w:t>
      </w:r>
      <w:r>
        <w:t xml:space="preserve">3), strict liability applies to the physical element of the offence specified in </w:t>
      </w:r>
      <w:r w:rsidR="00120E37">
        <w:t>sub</w:t>
      </w:r>
      <w:r w:rsidR="007C79C2">
        <w:t>paragraph (</w:t>
      </w:r>
      <w:r>
        <w:t>3)(</w:t>
      </w:r>
      <w:r w:rsidR="003C1C4A">
        <w:t>d</w:t>
      </w:r>
      <w:r>
        <w:t xml:space="preserve">)(i) </w:t>
      </w:r>
      <w:r w:rsidR="00544FCD">
        <w:t>or</w:t>
      </w:r>
      <w:r>
        <w:t xml:space="preserve"> (ii).</w:t>
      </w:r>
    </w:p>
    <w:p w14:paraId="57E8D371" w14:textId="77777777" w:rsidR="00A259E7" w:rsidRDefault="00A259E7" w:rsidP="007C79C2">
      <w:pPr>
        <w:pStyle w:val="SubsectionHead"/>
      </w:pPr>
      <w:r>
        <w:t>Defences</w:t>
      </w:r>
    </w:p>
    <w:p w14:paraId="3F9ED924" w14:textId="2534F9FF" w:rsidR="00544FCD" w:rsidRDefault="00544FCD" w:rsidP="007C79C2">
      <w:pPr>
        <w:pStyle w:val="subsection"/>
      </w:pPr>
      <w:r>
        <w:tab/>
        <w:t>(5)</w:t>
      </w:r>
      <w:r>
        <w:tab/>
        <w:t xml:space="preserve">In any proceedings against a tokenised stored value facility provider for an offence based on </w:t>
      </w:r>
      <w:r w:rsidR="007C79C2">
        <w:t>subsection (</w:t>
      </w:r>
      <w:r>
        <w:t>1), it is a defence if the statement would have been published on the internet but for the fact that the provider was unable to obtain information required to be set out in the statement after taking reasonable steps to do so.</w:t>
      </w:r>
    </w:p>
    <w:p w14:paraId="3AC740A2" w14:textId="25F4DEFC" w:rsidR="00544FCD" w:rsidRPr="00544FCD" w:rsidRDefault="00544FCD" w:rsidP="007C79C2">
      <w:pPr>
        <w:pStyle w:val="notetext"/>
      </w:pPr>
      <w:r>
        <w:t>Note:</w:t>
      </w:r>
      <w:r>
        <w:tab/>
        <w:t xml:space="preserve">A defendant bears an evidential burden in relation to the matters in </w:t>
      </w:r>
      <w:r w:rsidR="007C79C2">
        <w:t>subsection (</w:t>
      </w:r>
      <w:r>
        <w:t xml:space="preserve">5). See </w:t>
      </w:r>
      <w:r w:rsidR="007C79C2">
        <w:t>subsection 1</w:t>
      </w:r>
      <w:r>
        <w:t xml:space="preserve">3.3(3) of the </w:t>
      </w:r>
      <w:r w:rsidRPr="003C1C4A">
        <w:rPr>
          <w:i/>
          <w:iCs/>
        </w:rPr>
        <w:t>Criminal Code</w:t>
      </w:r>
      <w:r>
        <w:t>.</w:t>
      </w:r>
    </w:p>
    <w:p w14:paraId="1A047A15" w14:textId="50FEA326" w:rsidR="00A259E7" w:rsidRDefault="00A259E7" w:rsidP="007C79C2">
      <w:pPr>
        <w:pStyle w:val="subsection"/>
      </w:pPr>
      <w:r>
        <w:tab/>
        <w:t>(</w:t>
      </w:r>
      <w:r w:rsidR="00471117">
        <w:t>6</w:t>
      </w:r>
      <w:r>
        <w:t>)</w:t>
      </w:r>
      <w:r>
        <w:tab/>
        <w:t xml:space="preserve">In any proceedings against a </w:t>
      </w:r>
      <w:r w:rsidR="00544FCD">
        <w:t>tokenised stored value facility provider</w:t>
      </w:r>
      <w:r>
        <w:t xml:space="preserve"> for an offence based on </w:t>
      </w:r>
      <w:r w:rsidR="00120E37">
        <w:t>sub</w:t>
      </w:r>
      <w:r w:rsidR="007C79C2">
        <w:t>paragraph (</w:t>
      </w:r>
      <w:r>
        <w:t>2)(</w:t>
      </w:r>
      <w:r w:rsidR="005B4424">
        <w:t>d</w:t>
      </w:r>
      <w:r>
        <w:t>)(ii) or (3)(</w:t>
      </w:r>
      <w:r w:rsidR="005B4424">
        <w:t>d</w:t>
      </w:r>
      <w:r>
        <w:t>)(ii), it is a defence if:</w:t>
      </w:r>
    </w:p>
    <w:p w14:paraId="46AEF8EA" w14:textId="52CCEE66" w:rsidR="003C1C4A" w:rsidRDefault="003C1C4A" w:rsidP="007C79C2">
      <w:pPr>
        <w:pStyle w:val="paragraph"/>
      </w:pPr>
      <w:r w:rsidRPr="003C1C4A">
        <w:tab/>
        <w:t>(a)</w:t>
      </w:r>
      <w:r w:rsidRPr="003C1C4A">
        <w:tab/>
        <w:t xml:space="preserve">there was an omission from </w:t>
      </w:r>
      <w:r w:rsidR="006942DD">
        <w:t xml:space="preserve">information set out in </w:t>
      </w:r>
      <w:r w:rsidRPr="003C1C4A">
        <w:t xml:space="preserve">the </w:t>
      </w:r>
      <w:r>
        <w:t xml:space="preserve">statement </w:t>
      </w:r>
      <w:r w:rsidRPr="003C1C4A">
        <w:t xml:space="preserve">because the </w:t>
      </w:r>
      <w:r>
        <w:t xml:space="preserve">provider </w:t>
      </w:r>
      <w:r w:rsidRPr="003C1C4A">
        <w:t>was unable to obtain the information after taking reasonable steps to do so; or</w:t>
      </w:r>
    </w:p>
    <w:p w14:paraId="1CEE8670" w14:textId="3144E24B" w:rsidR="00A259E7" w:rsidRDefault="00A259E7" w:rsidP="007C79C2">
      <w:pPr>
        <w:pStyle w:val="paragraph"/>
      </w:pPr>
      <w:r>
        <w:tab/>
        <w:t>(</w:t>
      </w:r>
      <w:r w:rsidR="003C1C4A">
        <w:t>b</w:t>
      </w:r>
      <w:r>
        <w:t>)</w:t>
      </w:r>
      <w:r>
        <w:tab/>
        <w:t>both of the following apply:</w:t>
      </w:r>
    </w:p>
    <w:p w14:paraId="05A82A78" w14:textId="77777777" w:rsidR="00A259E7" w:rsidRDefault="00A259E7" w:rsidP="007C79C2">
      <w:pPr>
        <w:pStyle w:val="paragraphsub"/>
      </w:pPr>
      <w:r>
        <w:tab/>
        <w:t>(i)</w:t>
      </w:r>
      <w:r>
        <w:tab/>
        <w:t>the information was omitted because it would have been misleading or deceptive;</w:t>
      </w:r>
    </w:p>
    <w:p w14:paraId="1F71DE6A" w14:textId="2E3E12F7" w:rsidR="00A259E7" w:rsidRDefault="00A259E7" w:rsidP="007C79C2">
      <w:pPr>
        <w:pStyle w:val="paragraphsub"/>
      </w:pPr>
      <w:r>
        <w:tab/>
        <w:t>(ii)</w:t>
      </w:r>
      <w:r>
        <w:tab/>
        <w:t xml:space="preserve">the </w:t>
      </w:r>
      <w:r w:rsidR="00544FCD">
        <w:t>provider</w:t>
      </w:r>
      <w:r>
        <w:t xml:space="preserve"> took reasonable steps to obtain information that would not have been misleading or deceptive.</w:t>
      </w:r>
    </w:p>
    <w:p w14:paraId="6E6E5169" w14:textId="32323579" w:rsidR="00A259E7" w:rsidRDefault="00A259E7" w:rsidP="007C79C2">
      <w:pPr>
        <w:pStyle w:val="notetext"/>
      </w:pPr>
      <w:r>
        <w:t>Note:</w:t>
      </w:r>
      <w:r>
        <w:tab/>
        <w:t xml:space="preserve">A defendant bears an evidential burden in relation to the matters in </w:t>
      </w:r>
      <w:r w:rsidR="007C79C2">
        <w:t>subsection (</w:t>
      </w:r>
      <w:r w:rsidR="00471117">
        <w:t>6</w:t>
      </w:r>
      <w:r>
        <w:t xml:space="preserve">). See </w:t>
      </w:r>
      <w:r w:rsidR="007C79C2">
        <w:t>subsection 1</w:t>
      </w:r>
      <w:r>
        <w:t xml:space="preserve">3.3(3) of the </w:t>
      </w:r>
      <w:r w:rsidRPr="00A259E7">
        <w:rPr>
          <w:i/>
          <w:iCs/>
        </w:rPr>
        <w:t>Criminal Code</w:t>
      </w:r>
      <w:r>
        <w:t>.</w:t>
      </w:r>
    </w:p>
    <w:p w14:paraId="0D26E184" w14:textId="1119EDCE" w:rsidR="00A259E7" w:rsidRDefault="00A259E7" w:rsidP="007C79C2">
      <w:pPr>
        <w:pStyle w:val="subsection"/>
      </w:pPr>
      <w:r>
        <w:tab/>
        <w:t>(</w:t>
      </w:r>
      <w:r w:rsidR="00471117">
        <w:t>7</w:t>
      </w:r>
      <w:r>
        <w:t>)</w:t>
      </w:r>
      <w:r>
        <w:tab/>
        <w:t xml:space="preserve">In any proceedings against a </w:t>
      </w:r>
      <w:r w:rsidR="00544FCD">
        <w:t>tokenised stored value facility provider</w:t>
      </w:r>
      <w:r>
        <w:t xml:space="preserve"> for an offence based on </w:t>
      </w:r>
      <w:r w:rsidR="00120E37">
        <w:t>sub</w:t>
      </w:r>
      <w:r w:rsidR="007C79C2">
        <w:t>paragraph (</w:t>
      </w:r>
      <w:r>
        <w:t>3)(</w:t>
      </w:r>
      <w:r w:rsidR="005B4424">
        <w:t>d</w:t>
      </w:r>
      <w:r>
        <w:t xml:space="preserve">)(i), it is a defence if the </w:t>
      </w:r>
      <w:r w:rsidR="00544FCD">
        <w:t>provider</w:t>
      </w:r>
      <w:r>
        <w:t xml:space="preserve"> took reasonable steps to ensure that the information set out in the </w:t>
      </w:r>
      <w:r w:rsidR="00544FCD">
        <w:t>statement</w:t>
      </w:r>
      <w:r>
        <w:t xml:space="preserve"> would not be misleading or deceptive.</w:t>
      </w:r>
    </w:p>
    <w:p w14:paraId="3B3C352B" w14:textId="118F0E90" w:rsidR="00BF0BB7" w:rsidRPr="00BF0BB7" w:rsidRDefault="00A259E7" w:rsidP="007C79C2">
      <w:pPr>
        <w:pStyle w:val="notetext"/>
      </w:pPr>
      <w:r>
        <w:t>Note:</w:t>
      </w:r>
      <w:r>
        <w:tab/>
        <w:t xml:space="preserve">A defendant bears an evidential burden in relation to the matters in </w:t>
      </w:r>
      <w:r w:rsidR="007C79C2">
        <w:t>subsection (</w:t>
      </w:r>
      <w:r w:rsidR="00471117">
        <w:t>7</w:t>
      </w:r>
      <w:r>
        <w:t xml:space="preserve">). See </w:t>
      </w:r>
      <w:r w:rsidR="007C79C2">
        <w:t>subsection 1</w:t>
      </w:r>
      <w:r>
        <w:t xml:space="preserve">3.3(3) of the </w:t>
      </w:r>
      <w:r w:rsidRPr="00A259E7">
        <w:rPr>
          <w:i/>
          <w:iCs/>
        </w:rPr>
        <w:t>Criminal Code</w:t>
      </w:r>
      <w:r>
        <w:t>.</w:t>
      </w:r>
    </w:p>
    <w:p w14:paraId="041D7C21" w14:textId="3637EB9A" w:rsidR="00C6329B" w:rsidRDefault="00304C61" w:rsidP="007C79C2">
      <w:pPr>
        <w:pStyle w:val="ItemHead"/>
      </w:pPr>
      <w:r>
        <w:t>40</w:t>
      </w:r>
      <w:r w:rsidR="00C6329B">
        <w:t xml:space="preserve">  </w:t>
      </w:r>
      <w:r w:rsidR="007C79C2">
        <w:t>Paragraph 1</w:t>
      </w:r>
      <w:r w:rsidR="00C6329B">
        <w:t>022B(1)(e)</w:t>
      </w:r>
    </w:p>
    <w:p w14:paraId="50471408" w14:textId="530C6FA5" w:rsidR="00C6329B" w:rsidRDefault="00C6329B" w:rsidP="007C79C2">
      <w:pPr>
        <w:pStyle w:val="Item"/>
      </w:pPr>
      <w:r>
        <w:t>After “contravenes”, insert “</w:t>
      </w:r>
      <w:r w:rsidR="007C79C2">
        <w:t>subsection 1</w:t>
      </w:r>
      <w:r>
        <w:t>017BAA(1) or</w:t>
      </w:r>
      <w:r w:rsidR="00093395">
        <w:t>”.</w:t>
      </w:r>
    </w:p>
    <w:p w14:paraId="05B3EA55" w14:textId="7CD500CA" w:rsidR="00093395" w:rsidRDefault="00304C61" w:rsidP="007C79C2">
      <w:pPr>
        <w:pStyle w:val="ItemHead"/>
        <w:rPr>
          <w:lang w:val="pt-BR"/>
        </w:rPr>
      </w:pPr>
      <w:r>
        <w:rPr>
          <w:lang w:val="pt-BR"/>
        </w:rPr>
        <w:t>41</w:t>
      </w:r>
      <w:r w:rsidR="00093395" w:rsidRPr="00093395">
        <w:rPr>
          <w:lang w:val="pt-BR"/>
        </w:rPr>
        <w:t xml:space="preserve">  After </w:t>
      </w:r>
      <w:r w:rsidR="007C79C2">
        <w:rPr>
          <w:lang w:val="pt-BR"/>
        </w:rPr>
        <w:t>paragraph 1</w:t>
      </w:r>
      <w:r w:rsidR="00093395" w:rsidRPr="00093395">
        <w:rPr>
          <w:lang w:val="pt-BR"/>
        </w:rPr>
        <w:t>022B(1)</w:t>
      </w:r>
      <w:r w:rsidR="00093395">
        <w:rPr>
          <w:lang w:val="pt-BR"/>
        </w:rPr>
        <w:t>(</w:t>
      </w:r>
      <w:r w:rsidR="00093395" w:rsidRPr="00093395">
        <w:rPr>
          <w:lang w:val="pt-BR"/>
        </w:rPr>
        <w:t>e</w:t>
      </w:r>
      <w:r w:rsidR="00093395">
        <w:rPr>
          <w:lang w:val="pt-BR"/>
        </w:rPr>
        <w:t>)</w:t>
      </w:r>
    </w:p>
    <w:p w14:paraId="2A6ACEAD" w14:textId="3FCD5409" w:rsidR="00093395" w:rsidRPr="005A5FAA" w:rsidRDefault="00093395" w:rsidP="007C79C2">
      <w:pPr>
        <w:pStyle w:val="Item"/>
      </w:pPr>
      <w:r w:rsidRPr="005A5FAA">
        <w:t>Insert:</w:t>
      </w:r>
    </w:p>
    <w:p w14:paraId="7416DA5F" w14:textId="3F92D5BE" w:rsidR="00093395" w:rsidRDefault="00093395" w:rsidP="007C79C2">
      <w:pPr>
        <w:pStyle w:val="paragraph"/>
      </w:pPr>
      <w:r w:rsidRPr="005A5FAA">
        <w:lastRenderedPageBreak/>
        <w:tab/>
      </w:r>
      <w:r w:rsidRPr="00093395">
        <w:t>(ea)</w:t>
      </w:r>
      <w:r w:rsidRPr="00093395">
        <w:tab/>
        <w:t>a person is r</w:t>
      </w:r>
      <w:r>
        <w:t xml:space="preserve">equired by </w:t>
      </w:r>
      <w:r w:rsidR="007C79C2">
        <w:t>subsection 1</w:t>
      </w:r>
      <w:r>
        <w:t>017BAA(3) to publish a statement on the internet and any of the f</w:t>
      </w:r>
      <w:r w:rsidR="00BE735C">
        <w:t>ollowing circumstances apply:</w:t>
      </w:r>
    </w:p>
    <w:p w14:paraId="1B0E6F82" w14:textId="4F6CFCF4" w:rsidR="00BE735C" w:rsidRDefault="00BE735C" w:rsidP="007C79C2">
      <w:pPr>
        <w:pStyle w:val="paragraphsub"/>
      </w:pPr>
      <w:r>
        <w:tab/>
        <w:t>(i)</w:t>
      </w:r>
      <w:r>
        <w:tab/>
        <w:t>the statement is not published as required by that subsection;</w:t>
      </w:r>
    </w:p>
    <w:p w14:paraId="13D89F9A" w14:textId="4E111A9F" w:rsidR="00BE735C" w:rsidRDefault="00BE735C" w:rsidP="007C79C2">
      <w:pPr>
        <w:pStyle w:val="paragraphsub"/>
      </w:pPr>
      <w:r>
        <w:tab/>
        <w:t>(ii)</w:t>
      </w:r>
      <w:r>
        <w:tab/>
        <w:t>the information set out in the statement is misleading or deceptive;</w:t>
      </w:r>
    </w:p>
    <w:p w14:paraId="5B8DC8B2" w14:textId="6EB2B158" w:rsidR="00BE735C" w:rsidRDefault="00BE735C" w:rsidP="007C79C2">
      <w:pPr>
        <w:pStyle w:val="paragraphsub"/>
      </w:pPr>
      <w:r>
        <w:tab/>
        <w:t>(iii)</w:t>
      </w:r>
      <w:r>
        <w:tab/>
        <w:t>there is an omission from the information set out in the statement; or</w:t>
      </w:r>
    </w:p>
    <w:p w14:paraId="068F272C" w14:textId="2AF19642" w:rsidR="00BE735C" w:rsidRPr="005A5FAA" w:rsidRDefault="00304C61" w:rsidP="007C79C2">
      <w:pPr>
        <w:pStyle w:val="ItemHead"/>
      </w:pPr>
      <w:r>
        <w:t>42</w:t>
      </w:r>
      <w:r w:rsidR="00BE735C" w:rsidRPr="005A5FAA">
        <w:t xml:space="preserve">  </w:t>
      </w:r>
      <w:r w:rsidR="007C79C2" w:rsidRPr="005A5FAA">
        <w:t>Paragraph 1</w:t>
      </w:r>
      <w:r w:rsidR="00BE735C" w:rsidRPr="005A5FAA">
        <w:t>022B(2)(</w:t>
      </w:r>
      <w:r w:rsidR="009E7D32" w:rsidRPr="005A5FAA">
        <w:t>f)</w:t>
      </w:r>
    </w:p>
    <w:p w14:paraId="547D7674" w14:textId="15AC0C2B" w:rsidR="009E7D32" w:rsidRDefault="009E7D32" w:rsidP="007C79C2">
      <w:pPr>
        <w:pStyle w:val="Item"/>
      </w:pPr>
      <w:r w:rsidRPr="00DE60FA">
        <w:t>Omit “(1)(f)</w:t>
      </w:r>
      <w:r w:rsidR="00DE60FA" w:rsidRPr="00DE60FA">
        <w:t xml:space="preserve"> or (g) apply</w:t>
      </w:r>
      <w:r w:rsidRPr="00DE60FA">
        <w:t xml:space="preserve">”, substitute “(1)(ea), </w:t>
      </w:r>
      <w:r w:rsidR="00DE60FA" w:rsidRPr="00DE60FA">
        <w:t>(f) or (g) applies”</w:t>
      </w:r>
      <w:r w:rsidR="00DE60FA">
        <w:t>.</w:t>
      </w:r>
    </w:p>
    <w:p w14:paraId="3C2159F5" w14:textId="4C491C5F" w:rsidR="00DE60FA" w:rsidRDefault="00304C61" w:rsidP="007C79C2">
      <w:pPr>
        <w:pStyle w:val="ItemHead"/>
      </w:pPr>
      <w:r>
        <w:t>43</w:t>
      </w:r>
      <w:r w:rsidR="005645DB">
        <w:t xml:space="preserve">  </w:t>
      </w:r>
      <w:r w:rsidR="007C79C2">
        <w:t>Subsection 1</w:t>
      </w:r>
      <w:r w:rsidR="005645DB">
        <w:t>022B(2)</w:t>
      </w:r>
    </w:p>
    <w:p w14:paraId="0A15A86E" w14:textId="3ECA3C87" w:rsidR="005645DB" w:rsidRDefault="005645DB" w:rsidP="007C79C2">
      <w:pPr>
        <w:pStyle w:val="Item"/>
      </w:pPr>
      <w:r>
        <w:t>After “(e)” (last occurring), insert “</w:t>
      </w:r>
      <w:r w:rsidR="001E3E61">
        <w:t>, (ea)”.</w:t>
      </w:r>
    </w:p>
    <w:p w14:paraId="1304A675" w14:textId="3A797D30" w:rsidR="001E3E61" w:rsidRPr="005A5FAA" w:rsidRDefault="00304C61" w:rsidP="007C79C2">
      <w:pPr>
        <w:pStyle w:val="ItemHead"/>
      </w:pPr>
      <w:r>
        <w:t>44</w:t>
      </w:r>
      <w:r w:rsidR="001E3E61" w:rsidRPr="005A5FAA">
        <w:t xml:space="preserve">  After </w:t>
      </w:r>
      <w:r w:rsidR="007C79C2" w:rsidRPr="005A5FAA">
        <w:t>paragraph 1</w:t>
      </w:r>
      <w:r w:rsidR="001E3E61" w:rsidRPr="005A5FAA">
        <w:t>022B(3)(d)</w:t>
      </w:r>
    </w:p>
    <w:p w14:paraId="3434A35F" w14:textId="7AC1F343" w:rsidR="001E3E61" w:rsidRPr="005A5FAA" w:rsidRDefault="001E3E61" w:rsidP="007C79C2">
      <w:pPr>
        <w:pStyle w:val="Item"/>
      </w:pPr>
      <w:r w:rsidRPr="005A5FAA">
        <w:t>Insert:</w:t>
      </w:r>
    </w:p>
    <w:p w14:paraId="663EAB23" w14:textId="163EFAF4" w:rsidR="001E3E61" w:rsidRPr="001E3E61" w:rsidRDefault="001E3E61" w:rsidP="007C79C2">
      <w:pPr>
        <w:pStyle w:val="paragraph"/>
      </w:pPr>
      <w:r w:rsidRPr="005A5FAA">
        <w:tab/>
      </w:r>
      <w:r w:rsidRPr="001E3E61">
        <w:t>(da)</w:t>
      </w:r>
      <w:r w:rsidRPr="001E3E61">
        <w:tab/>
        <w:t xml:space="preserve">if </w:t>
      </w:r>
      <w:r w:rsidR="007C79C2">
        <w:t>paragraph (</w:t>
      </w:r>
      <w:r w:rsidRPr="001E3E61">
        <w:t>1)(ea) appl</w:t>
      </w:r>
      <w:r>
        <w:t xml:space="preserve">ies—the </w:t>
      </w:r>
      <w:r w:rsidR="00F767EC">
        <w:t>tokenised stored value facility provider that was required to publish the statement; or</w:t>
      </w:r>
    </w:p>
    <w:p w14:paraId="4668A75F" w14:textId="4A4E66B6" w:rsidR="00EE178C" w:rsidRPr="007C79C2" w:rsidRDefault="00304C61" w:rsidP="007C79C2">
      <w:pPr>
        <w:pStyle w:val="ItemHead"/>
      </w:pPr>
      <w:r>
        <w:t>45</w:t>
      </w:r>
      <w:r w:rsidR="00EE178C" w:rsidRPr="007C79C2">
        <w:t xml:space="preserve">  </w:t>
      </w:r>
      <w:r w:rsidR="007C79C2" w:rsidRPr="007C79C2">
        <w:t>Subsection 1</w:t>
      </w:r>
      <w:r w:rsidR="00EE178C" w:rsidRPr="007C79C2">
        <w:t>022B(7B)</w:t>
      </w:r>
    </w:p>
    <w:p w14:paraId="06E2C1F8" w14:textId="0813F5AB" w:rsidR="00EE178C" w:rsidRPr="007C79C2" w:rsidRDefault="00EE178C" w:rsidP="007C79C2">
      <w:pPr>
        <w:pStyle w:val="Item"/>
      </w:pPr>
      <w:r w:rsidRPr="007C79C2">
        <w:t>Omit “(1)(f)(iii)”, substitute “(1)(ea)(ii), (f)(iii)”.</w:t>
      </w:r>
    </w:p>
    <w:p w14:paraId="636B751E" w14:textId="42996663" w:rsidR="00EE178C" w:rsidRPr="007C79C2" w:rsidRDefault="00304C61" w:rsidP="007C79C2">
      <w:pPr>
        <w:pStyle w:val="ItemHead"/>
      </w:pPr>
      <w:r>
        <w:t>46</w:t>
      </w:r>
      <w:r w:rsidR="00EE178C" w:rsidRPr="007C79C2">
        <w:t xml:space="preserve">  </w:t>
      </w:r>
      <w:r w:rsidR="007C79C2" w:rsidRPr="007C79C2">
        <w:t>Subsection 1</w:t>
      </w:r>
      <w:r w:rsidR="00EE178C" w:rsidRPr="007C79C2">
        <w:t>022B(7C)</w:t>
      </w:r>
    </w:p>
    <w:p w14:paraId="25B44E59" w14:textId="06ABC870" w:rsidR="00EE178C" w:rsidRPr="007C79C2" w:rsidRDefault="00EE178C" w:rsidP="007C79C2">
      <w:pPr>
        <w:pStyle w:val="Item"/>
      </w:pPr>
      <w:r w:rsidRPr="007C79C2">
        <w:t>Omit “(1)(f)(iv)”, substitute “(1)(ea)(iii), (f)(iv)”.</w:t>
      </w:r>
    </w:p>
    <w:p w14:paraId="6B9035ED" w14:textId="36CDA42B" w:rsidR="00AC5226" w:rsidRPr="005A5FAA" w:rsidRDefault="00304C61" w:rsidP="007C79C2">
      <w:pPr>
        <w:pStyle w:val="ItemHead"/>
        <w:rPr>
          <w:lang w:val="pt-BR"/>
        </w:rPr>
      </w:pPr>
      <w:r>
        <w:rPr>
          <w:lang w:val="pt-BR"/>
        </w:rPr>
        <w:t>47</w:t>
      </w:r>
      <w:r w:rsidR="00AC5226" w:rsidRPr="005A5FAA">
        <w:rPr>
          <w:lang w:val="pt-BR"/>
        </w:rPr>
        <w:t xml:space="preserve">  </w:t>
      </w:r>
      <w:r w:rsidR="00120E37" w:rsidRPr="005A5FAA">
        <w:rPr>
          <w:lang w:val="pt-BR"/>
        </w:rPr>
        <w:t>Sub</w:t>
      </w:r>
      <w:r w:rsidR="007C79C2" w:rsidRPr="005A5FAA">
        <w:rPr>
          <w:lang w:val="pt-BR"/>
        </w:rPr>
        <w:t>paragraph 1</w:t>
      </w:r>
      <w:r w:rsidR="00AC5226" w:rsidRPr="005A5FAA">
        <w:rPr>
          <w:lang w:val="pt-BR"/>
        </w:rPr>
        <w:t>041H(3)(a)(iii)</w:t>
      </w:r>
    </w:p>
    <w:p w14:paraId="3C50235C" w14:textId="07AF21E5" w:rsidR="00AC5226" w:rsidRPr="006475DB" w:rsidRDefault="00F35A48" w:rsidP="007C79C2">
      <w:pPr>
        <w:pStyle w:val="Item"/>
      </w:pPr>
      <w:r w:rsidRPr="006475DB">
        <w:t>After “section”, insert “1021NAA,”.</w:t>
      </w:r>
    </w:p>
    <w:p w14:paraId="1D6E8B6E" w14:textId="05509215" w:rsidR="00F35A48" w:rsidRPr="00F35A48" w:rsidRDefault="00304C61" w:rsidP="007C79C2">
      <w:pPr>
        <w:pStyle w:val="ItemHead"/>
      </w:pPr>
      <w:r>
        <w:t>48</w:t>
      </w:r>
      <w:r w:rsidR="00F35A48" w:rsidRPr="00F35A48">
        <w:t xml:space="preserve">  </w:t>
      </w:r>
      <w:r w:rsidR="00120E37">
        <w:t>Sub</w:t>
      </w:r>
      <w:r w:rsidR="007C79C2">
        <w:t>paragraph 1</w:t>
      </w:r>
      <w:r w:rsidR="00F35A48" w:rsidRPr="00F35A48">
        <w:t>041</w:t>
      </w:r>
      <w:r w:rsidR="00A27D56">
        <w:t>K</w:t>
      </w:r>
      <w:r w:rsidR="00F35A48" w:rsidRPr="00F35A48">
        <w:t>(</w:t>
      </w:r>
      <w:r w:rsidR="00A27D56">
        <w:t>1</w:t>
      </w:r>
      <w:r w:rsidR="00F35A48" w:rsidRPr="00F35A48">
        <w:t>)(a)(iii)</w:t>
      </w:r>
    </w:p>
    <w:p w14:paraId="34E7B1E2" w14:textId="77777777" w:rsidR="00F35A48" w:rsidRPr="00A27D56" w:rsidRDefault="00F35A48" w:rsidP="007C79C2">
      <w:pPr>
        <w:pStyle w:val="Item"/>
      </w:pPr>
      <w:r w:rsidRPr="00A27D56">
        <w:t>After “section”, insert “1021NAA,”.</w:t>
      </w:r>
    </w:p>
    <w:p w14:paraId="14F7BA15" w14:textId="62E11447" w:rsidR="005C1A49" w:rsidRDefault="00304C61" w:rsidP="007C79C2">
      <w:pPr>
        <w:pStyle w:val="ItemHead"/>
      </w:pPr>
      <w:r>
        <w:t>49</w:t>
      </w:r>
      <w:r w:rsidR="005C1A49">
        <w:t xml:space="preserve">  </w:t>
      </w:r>
      <w:r w:rsidR="007C79C2">
        <w:t>Subsection 1</w:t>
      </w:r>
      <w:r w:rsidR="005C1A49">
        <w:t xml:space="preserve">317E(3) (after table item dealing with </w:t>
      </w:r>
      <w:r w:rsidR="00120E37">
        <w:t>subsection 9</w:t>
      </w:r>
      <w:r w:rsidR="002E2077">
        <w:t>22M(5)</w:t>
      </w:r>
      <w:r w:rsidR="00016881">
        <w:t>)</w:t>
      </w:r>
    </w:p>
    <w:p w14:paraId="37872A80" w14:textId="462529DB" w:rsidR="00016881" w:rsidRDefault="00016881" w:rsidP="007C79C2">
      <w:pPr>
        <w:pStyle w:val="Item"/>
      </w:pPr>
      <w:r>
        <w:t>Insert:</w:t>
      </w:r>
    </w:p>
    <w:p w14:paraId="6B23E5FC" w14:textId="77777777" w:rsidR="00224230" w:rsidRPr="00224230" w:rsidRDefault="00224230" w:rsidP="007C79C2">
      <w:pPr>
        <w:pStyle w:val="Tabletext"/>
      </w:pPr>
    </w:p>
    <w:tbl>
      <w:tblPr>
        <w:tblW w:w="7435" w:type="dxa"/>
        <w:tblInd w:w="-34" w:type="dxa"/>
        <w:tblLayout w:type="fixed"/>
        <w:tblLook w:val="0000" w:firstRow="0" w:lastRow="0" w:firstColumn="0" w:lastColumn="0" w:noHBand="0" w:noVBand="0"/>
      </w:tblPr>
      <w:tblGrid>
        <w:gridCol w:w="2410"/>
        <w:gridCol w:w="3119"/>
        <w:gridCol w:w="1906"/>
      </w:tblGrid>
      <w:tr w:rsidR="00EF19DF" w:rsidRPr="00056E11" w14:paraId="20E075DB" w14:textId="77777777" w:rsidTr="00E858E9">
        <w:tc>
          <w:tcPr>
            <w:tcW w:w="2410" w:type="dxa"/>
            <w:shd w:val="clear" w:color="auto" w:fill="auto"/>
          </w:tcPr>
          <w:p w14:paraId="24352F5C" w14:textId="1D0470F0" w:rsidR="00EF19DF" w:rsidRPr="00056E11" w:rsidRDefault="00120E37" w:rsidP="007C79C2">
            <w:pPr>
              <w:pStyle w:val="Tabletext"/>
            </w:pPr>
            <w:r>
              <w:lastRenderedPageBreak/>
              <w:t>subsection 9</w:t>
            </w:r>
            <w:r w:rsidR="00B778AC">
              <w:t>25K(3)</w:t>
            </w:r>
          </w:p>
        </w:tc>
        <w:tc>
          <w:tcPr>
            <w:tcW w:w="3119" w:type="dxa"/>
            <w:shd w:val="clear" w:color="auto" w:fill="auto"/>
          </w:tcPr>
          <w:p w14:paraId="2766972B" w14:textId="0A726A0E" w:rsidR="00EF19DF" w:rsidRPr="00056E11" w:rsidRDefault="000C1913" w:rsidP="007C79C2">
            <w:pPr>
              <w:pStyle w:val="Tabletext"/>
            </w:pPr>
            <w:r>
              <w:t xml:space="preserve">regulations requiring </w:t>
            </w:r>
            <w:r w:rsidR="002755F1">
              <w:t xml:space="preserve">certain </w:t>
            </w:r>
            <w:r>
              <w:t xml:space="preserve">unlicensed persons to give information to </w:t>
            </w:r>
            <w:r w:rsidR="002755F1">
              <w:t>ASIC</w:t>
            </w:r>
          </w:p>
        </w:tc>
        <w:tc>
          <w:tcPr>
            <w:tcW w:w="1906" w:type="dxa"/>
            <w:shd w:val="clear" w:color="auto" w:fill="auto"/>
          </w:tcPr>
          <w:p w14:paraId="25C20FAF" w14:textId="5A9E3DAF" w:rsidR="00EF19DF" w:rsidRPr="00056E11" w:rsidRDefault="002755F1" w:rsidP="007C79C2">
            <w:pPr>
              <w:pStyle w:val="Tabletext"/>
            </w:pPr>
            <w:r>
              <w:t>uncategorised</w:t>
            </w:r>
          </w:p>
        </w:tc>
      </w:tr>
    </w:tbl>
    <w:p w14:paraId="454C6838" w14:textId="2B1CA57D" w:rsidR="00224230" w:rsidRDefault="00304C61" w:rsidP="007C79C2">
      <w:pPr>
        <w:pStyle w:val="ItemHead"/>
      </w:pPr>
      <w:r>
        <w:t>50</w:t>
      </w:r>
      <w:r w:rsidR="00224230">
        <w:t xml:space="preserve">  </w:t>
      </w:r>
      <w:r w:rsidR="007C79C2">
        <w:t>Subsection 1</w:t>
      </w:r>
      <w:r w:rsidR="00224230">
        <w:t xml:space="preserve">317E(3) (after table item dealing with </w:t>
      </w:r>
      <w:r w:rsidR="007C79C2">
        <w:t>subsection 1</w:t>
      </w:r>
      <w:r w:rsidR="00224230">
        <w:t>012C(11))</w:t>
      </w:r>
    </w:p>
    <w:p w14:paraId="1F470CDB" w14:textId="77777777" w:rsidR="00224230" w:rsidRDefault="00224230" w:rsidP="007C79C2">
      <w:pPr>
        <w:pStyle w:val="Item"/>
      </w:pPr>
      <w:r>
        <w:t>Insert:</w:t>
      </w:r>
    </w:p>
    <w:p w14:paraId="03C4DF3D" w14:textId="77777777" w:rsidR="00224230" w:rsidRPr="00224230" w:rsidRDefault="00224230" w:rsidP="007C79C2">
      <w:pPr>
        <w:pStyle w:val="Tabletext"/>
      </w:pPr>
    </w:p>
    <w:tbl>
      <w:tblPr>
        <w:tblW w:w="7435" w:type="dxa"/>
        <w:tblInd w:w="-34" w:type="dxa"/>
        <w:tblLayout w:type="fixed"/>
        <w:tblLook w:val="0000" w:firstRow="0" w:lastRow="0" w:firstColumn="0" w:lastColumn="0" w:noHBand="0" w:noVBand="0"/>
      </w:tblPr>
      <w:tblGrid>
        <w:gridCol w:w="2410"/>
        <w:gridCol w:w="3119"/>
        <w:gridCol w:w="1906"/>
      </w:tblGrid>
      <w:tr w:rsidR="00224230" w:rsidRPr="00056E11" w14:paraId="49267530" w14:textId="77777777" w:rsidTr="00986BE5">
        <w:tc>
          <w:tcPr>
            <w:tcW w:w="2410" w:type="dxa"/>
            <w:shd w:val="clear" w:color="auto" w:fill="auto"/>
          </w:tcPr>
          <w:p w14:paraId="32B4EB0C" w14:textId="18901291" w:rsidR="00224230" w:rsidRPr="00056E11" w:rsidRDefault="007C79C2" w:rsidP="007C79C2">
            <w:pPr>
              <w:pStyle w:val="Tabletext"/>
            </w:pPr>
            <w:r>
              <w:t>subsection 1</w:t>
            </w:r>
            <w:r w:rsidR="00224230">
              <w:t>017BAA(3)</w:t>
            </w:r>
          </w:p>
        </w:tc>
        <w:tc>
          <w:tcPr>
            <w:tcW w:w="3119" w:type="dxa"/>
            <w:shd w:val="clear" w:color="auto" w:fill="auto"/>
          </w:tcPr>
          <w:p w14:paraId="61A9F490" w14:textId="21A000C7" w:rsidR="00224230" w:rsidRPr="00056E11" w:rsidRDefault="00224230" w:rsidP="007C79C2">
            <w:pPr>
              <w:pStyle w:val="Tabletext"/>
            </w:pPr>
            <w:r>
              <w:t xml:space="preserve">tokenised stored value facility providers—monthly disclosure of </w:t>
            </w:r>
            <w:r w:rsidRPr="00BD4298">
              <w:t>information about reserve assets</w:t>
            </w:r>
            <w:r>
              <w:t xml:space="preserve"> and outstanding liabilities</w:t>
            </w:r>
          </w:p>
        </w:tc>
        <w:tc>
          <w:tcPr>
            <w:tcW w:w="1906" w:type="dxa"/>
            <w:shd w:val="clear" w:color="auto" w:fill="auto"/>
          </w:tcPr>
          <w:p w14:paraId="501823E9" w14:textId="77777777" w:rsidR="00224230" w:rsidRPr="00056E11" w:rsidRDefault="00224230" w:rsidP="007C79C2">
            <w:pPr>
              <w:pStyle w:val="Tabletext"/>
            </w:pPr>
            <w:r>
              <w:t>uncategorised</w:t>
            </w:r>
          </w:p>
        </w:tc>
      </w:tr>
    </w:tbl>
    <w:p w14:paraId="68BBAB4D" w14:textId="3E192CA6" w:rsidR="00E01CAC" w:rsidRDefault="00304C61" w:rsidP="007C79C2">
      <w:pPr>
        <w:pStyle w:val="ItemHead"/>
      </w:pPr>
      <w:r>
        <w:t>51</w:t>
      </w:r>
      <w:r w:rsidR="00E01CAC">
        <w:t xml:space="preserve">  </w:t>
      </w:r>
      <w:r w:rsidR="00120E37">
        <w:t>Schedule 3</w:t>
      </w:r>
      <w:r w:rsidR="00D00E25">
        <w:t xml:space="preserve"> (</w:t>
      </w:r>
      <w:r w:rsidR="0006788A">
        <w:t>after</w:t>
      </w:r>
      <w:r w:rsidR="00D00E25">
        <w:t xml:space="preserve"> table item dealing with </w:t>
      </w:r>
      <w:r w:rsidR="00120E37">
        <w:t>subsection 9</w:t>
      </w:r>
      <w:r w:rsidR="00C02DD9">
        <w:t>23C(2))</w:t>
      </w:r>
    </w:p>
    <w:p w14:paraId="1B7E5AA3" w14:textId="3A7A9964" w:rsidR="00E01CAC" w:rsidRDefault="00E01CAC" w:rsidP="007C79C2">
      <w:pPr>
        <w:pStyle w:val="Item"/>
      </w:pPr>
      <w:r>
        <w:t>Insert:</w:t>
      </w:r>
    </w:p>
    <w:p w14:paraId="4F36CD4C" w14:textId="77777777" w:rsidR="00224230" w:rsidRPr="00224230" w:rsidRDefault="00224230" w:rsidP="007C79C2">
      <w:pPr>
        <w:pStyle w:val="Tabletext"/>
      </w:pPr>
    </w:p>
    <w:tbl>
      <w:tblPr>
        <w:tblW w:w="7372" w:type="dxa"/>
        <w:tblLayout w:type="fixed"/>
        <w:tblCellMar>
          <w:left w:w="107" w:type="dxa"/>
          <w:right w:w="107" w:type="dxa"/>
        </w:tblCellMar>
        <w:tblLook w:val="0000" w:firstRow="0" w:lastRow="0" w:firstColumn="0" w:lastColumn="0" w:noHBand="0" w:noVBand="0"/>
      </w:tblPr>
      <w:tblGrid>
        <w:gridCol w:w="3261"/>
        <w:gridCol w:w="4111"/>
      </w:tblGrid>
      <w:tr w:rsidR="00C02DD9" w:rsidRPr="00A32D06" w14:paraId="4ED5783B" w14:textId="77777777" w:rsidTr="0095135F">
        <w:tc>
          <w:tcPr>
            <w:tcW w:w="3261" w:type="dxa"/>
            <w:shd w:val="clear" w:color="auto" w:fill="auto"/>
          </w:tcPr>
          <w:p w14:paraId="66CF4F37" w14:textId="2EC2BF78" w:rsidR="00C02DD9" w:rsidRPr="00A32D06" w:rsidRDefault="00120E37" w:rsidP="007C79C2">
            <w:pPr>
              <w:pStyle w:val="Tabletext"/>
            </w:pPr>
            <w:r>
              <w:t>Subsection 9</w:t>
            </w:r>
            <w:r w:rsidR="00C02DD9">
              <w:t>25J(5)</w:t>
            </w:r>
          </w:p>
        </w:tc>
        <w:tc>
          <w:tcPr>
            <w:tcW w:w="4111" w:type="dxa"/>
            <w:shd w:val="clear" w:color="auto" w:fill="auto"/>
          </w:tcPr>
          <w:p w14:paraId="3A1EE8CB" w14:textId="21CD80C8" w:rsidR="00C02DD9" w:rsidRPr="00A32D06" w:rsidRDefault="00C02DD9" w:rsidP="007C79C2">
            <w:pPr>
              <w:pStyle w:val="Tabletext"/>
            </w:pPr>
            <w:r w:rsidRPr="00C02DD9">
              <w:t>2 years imprisonmen</w:t>
            </w:r>
            <w:r>
              <w:t>t</w:t>
            </w:r>
          </w:p>
        </w:tc>
      </w:tr>
    </w:tbl>
    <w:p w14:paraId="3B7B6F7E" w14:textId="3CD638C9" w:rsidR="00224230" w:rsidRDefault="00304C61" w:rsidP="007C79C2">
      <w:pPr>
        <w:pStyle w:val="ItemHead"/>
      </w:pPr>
      <w:r>
        <w:t>52</w:t>
      </w:r>
      <w:r w:rsidR="00224230">
        <w:t xml:space="preserve">  </w:t>
      </w:r>
      <w:r w:rsidR="00120E37">
        <w:t>Schedule 3</w:t>
      </w:r>
      <w:r w:rsidR="00224230">
        <w:t xml:space="preserve"> (after table item dealing with </w:t>
      </w:r>
      <w:r w:rsidR="007C79C2">
        <w:t>subsection 1</w:t>
      </w:r>
      <w:r w:rsidR="00224230">
        <w:t>017B(1))</w:t>
      </w:r>
    </w:p>
    <w:p w14:paraId="097110F0" w14:textId="77777777" w:rsidR="00224230" w:rsidRDefault="00224230" w:rsidP="007C79C2">
      <w:pPr>
        <w:pStyle w:val="Item"/>
      </w:pPr>
      <w:r>
        <w:t>Insert:</w:t>
      </w:r>
    </w:p>
    <w:p w14:paraId="352FD070" w14:textId="77777777" w:rsidR="00224230" w:rsidRPr="00224230" w:rsidRDefault="00224230" w:rsidP="007C79C2">
      <w:pPr>
        <w:pStyle w:val="Tabletext"/>
      </w:pPr>
    </w:p>
    <w:tbl>
      <w:tblPr>
        <w:tblW w:w="7372" w:type="dxa"/>
        <w:tblLayout w:type="fixed"/>
        <w:tblCellMar>
          <w:left w:w="107" w:type="dxa"/>
          <w:right w:w="107" w:type="dxa"/>
        </w:tblCellMar>
        <w:tblLook w:val="0000" w:firstRow="0" w:lastRow="0" w:firstColumn="0" w:lastColumn="0" w:noHBand="0" w:noVBand="0"/>
      </w:tblPr>
      <w:tblGrid>
        <w:gridCol w:w="3261"/>
        <w:gridCol w:w="4111"/>
      </w:tblGrid>
      <w:tr w:rsidR="00224230" w:rsidRPr="00A32D06" w14:paraId="2671E2F4" w14:textId="77777777" w:rsidTr="00986BE5">
        <w:tc>
          <w:tcPr>
            <w:tcW w:w="3261" w:type="dxa"/>
            <w:shd w:val="clear" w:color="auto" w:fill="auto"/>
          </w:tcPr>
          <w:p w14:paraId="51A38AB2" w14:textId="615086C7" w:rsidR="00224230" w:rsidRPr="00A32D06" w:rsidRDefault="007C79C2" w:rsidP="007C79C2">
            <w:pPr>
              <w:pStyle w:val="Tabletext"/>
            </w:pPr>
            <w:r>
              <w:t>Subsection 1</w:t>
            </w:r>
            <w:r w:rsidR="00224230">
              <w:t>017BAA(1)</w:t>
            </w:r>
          </w:p>
        </w:tc>
        <w:tc>
          <w:tcPr>
            <w:tcW w:w="4111" w:type="dxa"/>
            <w:shd w:val="clear" w:color="auto" w:fill="auto"/>
          </w:tcPr>
          <w:p w14:paraId="0A0CC1C2" w14:textId="63C394B6" w:rsidR="00224230" w:rsidRPr="00A32D06" w:rsidRDefault="00224230" w:rsidP="007C79C2">
            <w:pPr>
              <w:pStyle w:val="Tabletext"/>
            </w:pPr>
            <w:r>
              <w:t>5</w:t>
            </w:r>
            <w:r w:rsidRPr="00C02DD9">
              <w:t xml:space="preserve"> years imprisonmen</w:t>
            </w:r>
            <w:r>
              <w:t>t</w:t>
            </w:r>
          </w:p>
        </w:tc>
      </w:tr>
    </w:tbl>
    <w:p w14:paraId="579EC9CB" w14:textId="0E7455FA" w:rsidR="00062834" w:rsidRDefault="00304C61" w:rsidP="007C79C2">
      <w:pPr>
        <w:pStyle w:val="ItemHead"/>
      </w:pPr>
      <w:r>
        <w:t>53</w:t>
      </w:r>
      <w:r w:rsidR="00A27D56">
        <w:t xml:space="preserve">  </w:t>
      </w:r>
      <w:r w:rsidR="00120E37">
        <w:t>Schedule 3</w:t>
      </w:r>
      <w:r w:rsidR="00A27D56">
        <w:t xml:space="preserve"> </w:t>
      </w:r>
      <w:r w:rsidR="00062834">
        <w:t xml:space="preserve">(after table item dealing with </w:t>
      </w:r>
      <w:r w:rsidR="007C79C2">
        <w:t>section 1</w:t>
      </w:r>
      <w:r w:rsidR="00062834">
        <w:t>021N)</w:t>
      </w:r>
    </w:p>
    <w:p w14:paraId="01B05454" w14:textId="77777777" w:rsidR="00062834" w:rsidRDefault="00062834" w:rsidP="007C79C2">
      <w:pPr>
        <w:pStyle w:val="Item"/>
      </w:pPr>
      <w:r>
        <w:t>Insert:</w:t>
      </w:r>
    </w:p>
    <w:p w14:paraId="649FDD5A" w14:textId="77777777" w:rsidR="00062834" w:rsidRPr="00224230" w:rsidRDefault="00062834" w:rsidP="007C79C2">
      <w:pPr>
        <w:pStyle w:val="Tabletext"/>
      </w:pPr>
    </w:p>
    <w:tbl>
      <w:tblPr>
        <w:tblW w:w="7372" w:type="dxa"/>
        <w:tblLayout w:type="fixed"/>
        <w:tblCellMar>
          <w:left w:w="107" w:type="dxa"/>
          <w:right w:w="107" w:type="dxa"/>
        </w:tblCellMar>
        <w:tblLook w:val="0000" w:firstRow="0" w:lastRow="0" w:firstColumn="0" w:lastColumn="0" w:noHBand="0" w:noVBand="0"/>
      </w:tblPr>
      <w:tblGrid>
        <w:gridCol w:w="3261"/>
        <w:gridCol w:w="4111"/>
      </w:tblGrid>
      <w:tr w:rsidR="00062834" w:rsidRPr="00A32D06" w14:paraId="7E23636C" w14:textId="77777777" w:rsidTr="00986BE5">
        <w:tc>
          <w:tcPr>
            <w:tcW w:w="3261" w:type="dxa"/>
            <w:shd w:val="clear" w:color="auto" w:fill="auto"/>
          </w:tcPr>
          <w:p w14:paraId="63FBA06F" w14:textId="68D1C896" w:rsidR="00062834" w:rsidRPr="00A32D06" w:rsidRDefault="007C79C2" w:rsidP="007C79C2">
            <w:pPr>
              <w:pStyle w:val="Tabletext"/>
            </w:pPr>
            <w:r>
              <w:t>Subsection 1</w:t>
            </w:r>
            <w:r w:rsidR="00062834">
              <w:t>021NAA(1)</w:t>
            </w:r>
          </w:p>
        </w:tc>
        <w:tc>
          <w:tcPr>
            <w:tcW w:w="4111" w:type="dxa"/>
            <w:shd w:val="clear" w:color="auto" w:fill="auto"/>
          </w:tcPr>
          <w:p w14:paraId="4746B1E4" w14:textId="5106B13D" w:rsidR="00062834" w:rsidRPr="00A32D06" w:rsidRDefault="00062834" w:rsidP="007C79C2">
            <w:pPr>
              <w:pStyle w:val="Tabletext"/>
            </w:pPr>
            <w:r>
              <w:t>2</w:t>
            </w:r>
            <w:r w:rsidRPr="00C02DD9">
              <w:t xml:space="preserve"> years imprisonmen</w:t>
            </w:r>
            <w:r>
              <w:t>t</w:t>
            </w:r>
          </w:p>
        </w:tc>
      </w:tr>
      <w:tr w:rsidR="00062834" w:rsidRPr="00A32D06" w14:paraId="24833684" w14:textId="77777777" w:rsidTr="00986BE5">
        <w:tc>
          <w:tcPr>
            <w:tcW w:w="3261" w:type="dxa"/>
            <w:shd w:val="clear" w:color="auto" w:fill="auto"/>
          </w:tcPr>
          <w:p w14:paraId="7C707F4F" w14:textId="1BF00D1A" w:rsidR="00062834" w:rsidRPr="00A32D06" w:rsidRDefault="007C79C2" w:rsidP="007C79C2">
            <w:pPr>
              <w:pStyle w:val="Tabletext"/>
            </w:pPr>
            <w:r>
              <w:t>Subsection 1</w:t>
            </w:r>
            <w:r w:rsidR="00062834">
              <w:t>021NAA(2)</w:t>
            </w:r>
          </w:p>
        </w:tc>
        <w:tc>
          <w:tcPr>
            <w:tcW w:w="4111" w:type="dxa"/>
            <w:shd w:val="clear" w:color="auto" w:fill="auto"/>
          </w:tcPr>
          <w:p w14:paraId="02D0EF91" w14:textId="3DBA7B17" w:rsidR="00062834" w:rsidRDefault="00062834" w:rsidP="007C79C2">
            <w:pPr>
              <w:pStyle w:val="Tabletext"/>
            </w:pPr>
            <w:r>
              <w:t>5</w:t>
            </w:r>
            <w:r w:rsidRPr="00C02DD9">
              <w:t xml:space="preserve"> years imprisonmen</w:t>
            </w:r>
            <w:r>
              <w:t>t</w:t>
            </w:r>
          </w:p>
        </w:tc>
      </w:tr>
      <w:tr w:rsidR="00062834" w:rsidRPr="00A32D06" w14:paraId="1498BACD" w14:textId="77777777" w:rsidTr="00986BE5">
        <w:tc>
          <w:tcPr>
            <w:tcW w:w="3261" w:type="dxa"/>
            <w:shd w:val="clear" w:color="auto" w:fill="auto"/>
          </w:tcPr>
          <w:p w14:paraId="4A065BE0" w14:textId="478C2659" w:rsidR="00062834" w:rsidRDefault="007C79C2" w:rsidP="007C79C2">
            <w:pPr>
              <w:pStyle w:val="Tabletext"/>
            </w:pPr>
            <w:r>
              <w:t>Subsection 1</w:t>
            </w:r>
            <w:r w:rsidR="00062834">
              <w:t>021NAA(3)</w:t>
            </w:r>
          </w:p>
        </w:tc>
        <w:tc>
          <w:tcPr>
            <w:tcW w:w="4111" w:type="dxa"/>
            <w:shd w:val="clear" w:color="auto" w:fill="auto"/>
          </w:tcPr>
          <w:p w14:paraId="70FF7E2F" w14:textId="1FAA4010" w:rsidR="00062834" w:rsidRDefault="00062834" w:rsidP="007C79C2">
            <w:pPr>
              <w:pStyle w:val="Tabletext"/>
            </w:pPr>
            <w:r>
              <w:t>2 years imprisonment</w:t>
            </w:r>
          </w:p>
        </w:tc>
      </w:tr>
    </w:tbl>
    <w:p w14:paraId="65697640" w14:textId="4D639144" w:rsidR="00CB3915" w:rsidRDefault="00CB3915" w:rsidP="007C79C2">
      <w:pPr>
        <w:pStyle w:val="notedraft"/>
      </w:pPr>
    </w:p>
    <w:sectPr w:rsidR="00CB3915" w:rsidSect="007C79C2">
      <w:headerReference w:type="even" r:id="rId7"/>
      <w:headerReference w:type="default" r:id="rId8"/>
      <w:footerReference w:type="even" r:id="rId9"/>
      <w:footerReference w:type="default" r:id="rId10"/>
      <w:headerReference w:type="first" r:id="rId11"/>
      <w:footerReference w:type="first" r:id="rId12"/>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2CC9" w14:textId="77777777" w:rsidR="002937A1" w:rsidRDefault="002937A1" w:rsidP="00664C63">
      <w:pPr>
        <w:spacing w:line="240" w:lineRule="auto"/>
      </w:pPr>
      <w:r>
        <w:separator/>
      </w:r>
    </w:p>
  </w:endnote>
  <w:endnote w:type="continuationSeparator" w:id="0">
    <w:p w14:paraId="4CCCAFDD" w14:textId="77777777" w:rsidR="002937A1" w:rsidRDefault="002937A1"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DA1E" w14:textId="4DB0059E" w:rsidR="00664C63" w:rsidRPr="00BB4623" w:rsidRDefault="00664C63" w:rsidP="007C79C2">
    <w:pPr>
      <w:pBdr>
        <w:top w:val="single" w:sz="6" w:space="1" w:color="auto"/>
      </w:pBdr>
      <w:spacing w:before="120"/>
      <w:jc w:val="right"/>
      <w:rPr>
        <w:sz w:val="18"/>
      </w:rPr>
    </w:pPr>
  </w:p>
  <w:p w14:paraId="6BD56A71" w14:textId="77777777" w:rsidR="00664C63" w:rsidRPr="00BB4623" w:rsidRDefault="00F5076A" w:rsidP="00664C63">
    <w:pPr>
      <w:rPr>
        <w:i/>
        <w:sz w:val="18"/>
      </w:rPr>
    </w:pPr>
    <w:r w:rsidRPr="00BB4623">
      <w:rPr>
        <w:i/>
        <w:sz w:val="18"/>
      </w:rPr>
      <w:fldChar w:fldCharType="begin"/>
    </w:r>
    <w:r w:rsidR="00664C63" w:rsidRPr="00BB4623">
      <w:rPr>
        <w:i/>
        <w:sz w:val="18"/>
      </w:rPr>
      <w:instrText xml:space="preserve"> PAGE </w:instrText>
    </w:r>
    <w:r w:rsidRPr="00BB4623">
      <w:rPr>
        <w:i/>
        <w:sz w:val="18"/>
      </w:rPr>
      <w:fldChar w:fldCharType="separate"/>
    </w:r>
    <w:r w:rsidR="00664C63" w:rsidRPr="00BB4623">
      <w:rPr>
        <w:i/>
        <w:noProof/>
        <w:sz w:val="18"/>
      </w:rPr>
      <w:t>1</w:t>
    </w:r>
    <w:r w:rsidRPr="00BB4623">
      <w:rPr>
        <w:i/>
        <w:sz w:val="18"/>
      </w:rPr>
      <w:fldChar w:fldCharType="end"/>
    </w:r>
  </w:p>
  <w:p w14:paraId="75615E12" w14:textId="591D94FC" w:rsidR="00664C63" w:rsidRPr="00BB4623" w:rsidRDefault="00664C63"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71D8" w14:textId="6DC6F291" w:rsidR="0095602D" w:rsidRDefault="0095602D" w:rsidP="007C79C2">
    <w:pPr>
      <w:pBdr>
        <w:top w:val="single" w:sz="6" w:space="1" w:color="auto"/>
      </w:pBdr>
      <w:spacing w:before="120"/>
      <w:rPr>
        <w:sz w:val="18"/>
      </w:rPr>
    </w:pPr>
  </w:p>
  <w:tbl>
    <w:tblPr>
      <w:tblW w:w="0" w:type="auto"/>
      <w:tblLayout w:type="fixed"/>
      <w:tblLook w:val="0000" w:firstRow="0" w:lastRow="0" w:firstColumn="0" w:lastColumn="0" w:noHBand="0" w:noVBand="0"/>
    </w:tblPr>
    <w:tblGrid>
      <w:gridCol w:w="7087"/>
    </w:tblGrid>
    <w:tr w:rsidR="0095602D" w:rsidRPr="00B3608C" w14:paraId="5ACE478B" w14:textId="77777777" w:rsidTr="00A91C76">
      <w:trPr>
        <w:trHeight w:val="280"/>
      </w:trPr>
      <w:tc>
        <w:tcPr>
          <w:tcW w:w="7087" w:type="dxa"/>
        </w:tcPr>
        <w:p w14:paraId="481B4FB9" w14:textId="77777777" w:rsidR="0095602D" w:rsidRPr="00B3608C" w:rsidRDefault="0095602D" w:rsidP="00A91C76">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6E4AB2">
            <w:rPr>
              <w:i/>
              <w:noProof/>
              <w:sz w:val="18"/>
            </w:rPr>
            <w:t>1</w:t>
          </w:r>
          <w:r w:rsidRPr="00BB4623">
            <w:rPr>
              <w:i/>
              <w:sz w:val="18"/>
            </w:rPr>
            <w:fldChar w:fldCharType="end"/>
          </w:r>
        </w:p>
      </w:tc>
    </w:tr>
    <w:tr w:rsidR="0095602D" w:rsidRPr="00B3608C" w14:paraId="07F4AE1D" w14:textId="77777777" w:rsidTr="00A91C76">
      <w:tc>
        <w:tcPr>
          <w:tcW w:w="7087" w:type="dxa"/>
        </w:tcPr>
        <w:p w14:paraId="369B8972" w14:textId="3BA894DC" w:rsidR="0095602D" w:rsidRPr="00B3608C" w:rsidRDefault="0095602D" w:rsidP="00A91C76">
          <w:pPr>
            <w:rPr>
              <w:i/>
              <w:sz w:val="18"/>
            </w:rPr>
          </w:pPr>
          <w:r w:rsidRPr="00BB4623">
            <w:rPr>
              <w:i/>
              <w:sz w:val="18"/>
            </w:rPr>
            <w:t xml:space="preserve">  </w:t>
          </w:r>
        </w:p>
      </w:tc>
    </w:tr>
  </w:tbl>
  <w:p w14:paraId="50C83DE4" w14:textId="77777777" w:rsidR="00B3608C" w:rsidRPr="00BB4623" w:rsidRDefault="00931D06" w:rsidP="00B3608C">
    <w:pPr>
      <w:pStyle w:val="Tabletext"/>
      <w:spacing w:before="0"/>
    </w:pPr>
    <w:r w:rsidRPr="00324EB0">
      <w:rPr>
        <w:b/>
        <w:noProof/>
        <w:lang w:val="en-US"/>
      </w:rPr>
      <mc:AlternateContent>
        <mc:Choice Requires="wps">
          <w:drawing>
            <wp:anchor distT="0" distB="0" distL="114300" distR="114300" simplePos="0" relativeHeight="251658752" behindDoc="1" locked="1" layoutInCell="1" allowOverlap="1" wp14:anchorId="564080FF" wp14:editId="03A19008">
              <wp:simplePos x="0" y="0"/>
              <wp:positionH relativeFrom="page">
                <wp:align>center</wp:align>
              </wp:positionH>
              <wp:positionV relativeFrom="paragraph">
                <wp:posOffset>1533525</wp:posOffset>
              </wp:positionV>
              <wp:extent cx="5773003" cy="395785"/>
              <wp:effectExtent l="0" t="0" r="0" b="4445"/>
              <wp:wrapNone/>
              <wp:docPr id="7" name="Text Box 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F87CC4" w14:textId="175842F8" w:rsidR="00931D06" w:rsidRPr="00324EB0" w:rsidRDefault="007B4C74" w:rsidP="00324EB0">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4080FF" id="_x0000_t202" coordsize="21600,21600" o:spt="202" path="m,l,21600r21600,l21600,xe">
              <v:stroke joinstyle="miter"/>
              <v:path gradientshapeok="t" o:connecttype="rect"/>
            </v:shapetype>
            <v:shape id="Text Box 7" o:spid="_x0000_s1027" type="#_x0000_t202" alt="Sec-Footerprimary" style="position:absolute;margin-left:0;margin-top:120.75pt;width:454.55pt;height:31.15pt;z-index:-25165772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o8xYHdwAAAAIAQAADwAAAGRycy9kb3ducmV2LnhtbEyPzU7DMBCE70i8g7VI3Kid/qA2ZFMhJK5I&#10;tKVnN17iiHgd2W6b9ukxJ3oczWjmm2o9ul6cKMTOM0IxUSCIG286bhF22/enJYiYNBvdeyaEC0VY&#10;1/d3lS6NP/MnnTapFbmEY6kRbEpDKWVsLDkdJ34gzt63D06nLEMrTdDnXO56OVXqWTrdcV6weqA3&#10;S83P5ugQ9q277r+KIVjj+jl/XC/bne8QHx/G1xcQicb0H4Y//IwOdWY6+CObKHqEfCQhTOfFAkS2&#10;V2pVgDggzNRsCbKu5O2B+hcAAP//AwBQSwECLQAUAAYACAAAACEAtoM4kv4AAADhAQAAEwAAAAAA&#10;AAAAAAAAAAAAAAAAW0NvbnRlbnRfVHlwZXNdLnhtbFBLAQItABQABgAIAAAAIQA4/SH/1gAAAJQB&#10;AAALAAAAAAAAAAAAAAAAAC8BAABfcmVscy8ucmVsc1BLAQItABQABgAIAAAAIQDB+HVsfgIAAG0F&#10;AAAOAAAAAAAAAAAAAAAAAC4CAABkcnMvZTJvRG9jLnhtbFBLAQItABQABgAIAAAAIQCjzFgd3AAA&#10;AAgBAAAPAAAAAAAAAAAAAAAAANgEAABkcnMvZG93bnJldi54bWxQSwUGAAAAAAQABADzAAAA4QUA&#10;AAAA&#10;" stroked="f" strokeweight=".5pt">
              <v:textbox>
                <w:txbxContent>
                  <w:p w14:paraId="59F87CC4" w14:textId="175842F8" w:rsidR="00931D06" w:rsidRPr="00324EB0" w:rsidRDefault="007B4C74" w:rsidP="00324EB0">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22DA" w14:textId="77777777" w:rsidR="00664C63" w:rsidRPr="00BB4623" w:rsidRDefault="00664C63" w:rsidP="007C79C2">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1F386" w14:textId="77777777" w:rsidR="002937A1" w:rsidRDefault="002937A1" w:rsidP="00664C63">
      <w:pPr>
        <w:spacing w:line="240" w:lineRule="auto"/>
      </w:pPr>
      <w:r>
        <w:separator/>
      </w:r>
    </w:p>
  </w:footnote>
  <w:footnote w:type="continuationSeparator" w:id="0">
    <w:p w14:paraId="111A9854" w14:textId="77777777" w:rsidR="002937A1" w:rsidRDefault="002937A1"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DE2A" w14:textId="77777777" w:rsidR="00664C63" w:rsidRPr="00BB4623" w:rsidRDefault="00664C63" w:rsidP="00664C63">
    <w:pPr>
      <w:rPr>
        <w:sz w:val="24"/>
      </w:rPr>
    </w:pPr>
  </w:p>
  <w:p w14:paraId="60C9C986" w14:textId="77777777" w:rsidR="00664C63" w:rsidRPr="00BB4623" w:rsidRDefault="00664C63"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C8CC" w14:textId="77777777" w:rsidR="00664C63" w:rsidRPr="00BB4623" w:rsidRDefault="00931D06" w:rsidP="00664C63">
    <w:pPr>
      <w:jc w:val="right"/>
      <w:rPr>
        <w:sz w:val="24"/>
      </w:rPr>
    </w:pPr>
    <w:r w:rsidRPr="00931D06">
      <w:rPr>
        <w:b/>
        <w:noProof/>
        <w:sz w:val="24"/>
        <w:lang w:val="en-US"/>
      </w:rPr>
      <mc:AlternateContent>
        <mc:Choice Requires="wps">
          <w:drawing>
            <wp:anchor distT="0" distB="0" distL="114300" distR="114300" simplePos="0" relativeHeight="251659264" behindDoc="1" locked="1" layoutInCell="1" allowOverlap="1" wp14:anchorId="22DE5DE2" wp14:editId="47C4716F">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1F2AC4" w14:textId="54CC0ED5" w:rsidR="00931D06" w:rsidRPr="00324EB0" w:rsidRDefault="007B4C74" w:rsidP="00324EB0">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DE5DE2" id="_x0000_t202" coordsize="21600,21600" o:spt="202" path="m,l,21600r21600,l21600,xe">
              <v:stroke joinstyle="miter"/>
              <v:path gradientshapeok="t" o:connecttype="rect"/>
            </v:shapetype>
            <v:shape id="Text Box 107" o:spid="_x0000_s1026" type="#_x0000_t202" alt="Sec-Headerprimary" style="position:absolute;left:0;text-align:left;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681F2AC4" w14:textId="54CC0ED5" w:rsidR="00931D06" w:rsidRPr="00324EB0" w:rsidRDefault="007B4C74" w:rsidP="00324EB0">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p w14:paraId="2D2226D5" w14:textId="77777777" w:rsidR="00664C63" w:rsidRPr="00BB4623" w:rsidRDefault="00664C63"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D83E" w14:textId="77777777" w:rsidR="00664C63" w:rsidRPr="00BB4623" w:rsidRDefault="00664C63"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C01A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A1476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3825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7F610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5DEEB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A258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5E2C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DA24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2290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3CDD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46C3654D"/>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470F58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F613A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20617145">
    <w:abstractNumId w:val="9"/>
  </w:num>
  <w:num w:numId="2" w16cid:durableId="182789256">
    <w:abstractNumId w:val="7"/>
  </w:num>
  <w:num w:numId="3" w16cid:durableId="1225680946">
    <w:abstractNumId w:val="6"/>
  </w:num>
  <w:num w:numId="4" w16cid:durableId="1604922351">
    <w:abstractNumId w:val="5"/>
  </w:num>
  <w:num w:numId="5" w16cid:durableId="1741904498">
    <w:abstractNumId w:val="4"/>
  </w:num>
  <w:num w:numId="6" w16cid:durableId="331028719">
    <w:abstractNumId w:val="8"/>
  </w:num>
  <w:num w:numId="7" w16cid:durableId="352920822">
    <w:abstractNumId w:val="3"/>
  </w:num>
  <w:num w:numId="8" w16cid:durableId="602614441">
    <w:abstractNumId w:val="2"/>
  </w:num>
  <w:num w:numId="9" w16cid:durableId="1984772779">
    <w:abstractNumId w:val="1"/>
  </w:num>
  <w:num w:numId="10" w16cid:durableId="893276888">
    <w:abstractNumId w:val="0"/>
  </w:num>
  <w:num w:numId="11" w16cid:durableId="1586574229">
    <w:abstractNumId w:val="11"/>
  </w:num>
  <w:num w:numId="12" w16cid:durableId="389813516">
    <w:abstractNumId w:val="10"/>
  </w:num>
  <w:num w:numId="13" w16cid:durableId="166987829">
    <w:abstractNumId w:val="13"/>
  </w:num>
  <w:num w:numId="14" w16cid:durableId="210386512">
    <w:abstractNumId w:val="14"/>
  </w:num>
  <w:num w:numId="15" w16cid:durableId="18947778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7A1"/>
    <w:rsid w:val="00000D00"/>
    <w:rsid w:val="00002B7A"/>
    <w:rsid w:val="00003A90"/>
    <w:rsid w:val="00010F3A"/>
    <w:rsid w:val="00011D2E"/>
    <w:rsid w:val="000127FF"/>
    <w:rsid w:val="000136AF"/>
    <w:rsid w:val="00014B9A"/>
    <w:rsid w:val="0001668C"/>
    <w:rsid w:val="00016881"/>
    <w:rsid w:val="00026A30"/>
    <w:rsid w:val="00026EE4"/>
    <w:rsid w:val="00040E17"/>
    <w:rsid w:val="000500FC"/>
    <w:rsid w:val="00055D20"/>
    <w:rsid w:val="00057A19"/>
    <w:rsid w:val="000614BF"/>
    <w:rsid w:val="00061E24"/>
    <w:rsid w:val="000625C1"/>
    <w:rsid w:val="00062834"/>
    <w:rsid w:val="0006313A"/>
    <w:rsid w:val="0006788A"/>
    <w:rsid w:val="00073C5A"/>
    <w:rsid w:val="00077452"/>
    <w:rsid w:val="0008083E"/>
    <w:rsid w:val="0008091E"/>
    <w:rsid w:val="00087033"/>
    <w:rsid w:val="0009102B"/>
    <w:rsid w:val="00093395"/>
    <w:rsid w:val="000A11B8"/>
    <w:rsid w:val="000A6F0A"/>
    <w:rsid w:val="000A746D"/>
    <w:rsid w:val="000B2246"/>
    <w:rsid w:val="000B6755"/>
    <w:rsid w:val="000B7E68"/>
    <w:rsid w:val="000C1913"/>
    <w:rsid w:val="000C5A27"/>
    <w:rsid w:val="000C5F47"/>
    <w:rsid w:val="000C6D4E"/>
    <w:rsid w:val="000C74F9"/>
    <w:rsid w:val="000D05EF"/>
    <w:rsid w:val="000D3899"/>
    <w:rsid w:val="000D3C35"/>
    <w:rsid w:val="000D6CAC"/>
    <w:rsid w:val="000E1218"/>
    <w:rsid w:val="000E129C"/>
    <w:rsid w:val="000E17DA"/>
    <w:rsid w:val="000F00DB"/>
    <w:rsid w:val="000F21C1"/>
    <w:rsid w:val="000F4126"/>
    <w:rsid w:val="000F4266"/>
    <w:rsid w:val="000F462D"/>
    <w:rsid w:val="000F5588"/>
    <w:rsid w:val="0010130B"/>
    <w:rsid w:val="001016D1"/>
    <w:rsid w:val="00102363"/>
    <w:rsid w:val="0010240E"/>
    <w:rsid w:val="0010745C"/>
    <w:rsid w:val="00111526"/>
    <w:rsid w:val="0011206D"/>
    <w:rsid w:val="00112D79"/>
    <w:rsid w:val="00112E66"/>
    <w:rsid w:val="00116075"/>
    <w:rsid w:val="00117B0C"/>
    <w:rsid w:val="00120E37"/>
    <w:rsid w:val="00126A25"/>
    <w:rsid w:val="0012783D"/>
    <w:rsid w:val="001318C9"/>
    <w:rsid w:val="00131E2B"/>
    <w:rsid w:val="00143981"/>
    <w:rsid w:val="00147E0F"/>
    <w:rsid w:val="001501AB"/>
    <w:rsid w:val="001546BC"/>
    <w:rsid w:val="00154CD0"/>
    <w:rsid w:val="001558C4"/>
    <w:rsid w:val="00166C2F"/>
    <w:rsid w:val="00167064"/>
    <w:rsid w:val="00173B57"/>
    <w:rsid w:val="00174FEB"/>
    <w:rsid w:val="00182C9A"/>
    <w:rsid w:val="0018435F"/>
    <w:rsid w:val="001939E1"/>
    <w:rsid w:val="001945B6"/>
    <w:rsid w:val="00195382"/>
    <w:rsid w:val="001967A6"/>
    <w:rsid w:val="001976B3"/>
    <w:rsid w:val="001A08C3"/>
    <w:rsid w:val="001A723E"/>
    <w:rsid w:val="001A7F20"/>
    <w:rsid w:val="001B0F61"/>
    <w:rsid w:val="001B7333"/>
    <w:rsid w:val="001C69C4"/>
    <w:rsid w:val="001D1305"/>
    <w:rsid w:val="001D2052"/>
    <w:rsid w:val="001E2ED3"/>
    <w:rsid w:val="001E3590"/>
    <w:rsid w:val="001E3D1B"/>
    <w:rsid w:val="001E3E61"/>
    <w:rsid w:val="001E40AD"/>
    <w:rsid w:val="001E7407"/>
    <w:rsid w:val="001F11B9"/>
    <w:rsid w:val="001F6B34"/>
    <w:rsid w:val="001F6CC5"/>
    <w:rsid w:val="001F7492"/>
    <w:rsid w:val="001F764A"/>
    <w:rsid w:val="00200A3F"/>
    <w:rsid w:val="0020414A"/>
    <w:rsid w:val="002070BC"/>
    <w:rsid w:val="002101AF"/>
    <w:rsid w:val="0021123E"/>
    <w:rsid w:val="0021250A"/>
    <w:rsid w:val="00214387"/>
    <w:rsid w:val="002150C7"/>
    <w:rsid w:val="002170D8"/>
    <w:rsid w:val="002178AC"/>
    <w:rsid w:val="00224230"/>
    <w:rsid w:val="002258E9"/>
    <w:rsid w:val="0022625E"/>
    <w:rsid w:val="002277A0"/>
    <w:rsid w:val="002301BE"/>
    <w:rsid w:val="0023069C"/>
    <w:rsid w:val="00240749"/>
    <w:rsid w:val="002467A8"/>
    <w:rsid w:val="00261A30"/>
    <w:rsid w:val="00262762"/>
    <w:rsid w:val="002643BC"/>
    <w:rsid w:val="00267361"/>
    <w:rsid w:val="002755F1"/>
    <w:rsid w:val="002762E1"/>
    <w:rsid w:val="00276373"/>
    <w:rsid w:val="0027759C"/>
    <w:rsid w:val="00280A61"/>
    <w:rsid w:val="00284DF6"/>
    <w:rsid w:val="00290541"/>
    <w:rsid w:val="002937A1"/>
    <w:rsid w:val="0029458D"/>
    <w:rsid w:val="00294715"/>
    <w:rsid w:val="00296415"/>
    <w:rsid w:val="00297ECB"/>
    <w:rsid w:val="002A3C24"/>
    <w:rsid w:val="002B0B64"/>
    <w:rsid w:val="002B1D6F"/>
    <w:rsid w:val="002B5F47"/>
    <w:rsid w:val="002C085A"/>
    <w:rsid w:val="002D043A"/>
    <w:rsid w:val="002D094C"/>
    <w:rsid w:val="002E0CB7"/>
    <w:rsid w:val="002E2077"/>
    <w:rsid w:val="002E5800"/>
    <w:rsid w:val="002F08B3"/>
    <w:rsid w:val="002F1B74"/>
    <w:rsid w:val="002F3104"/>
    <w:rsid w:val="002F4D4E"/>
    <w:rsid w:val="002F6161"/>
    <w:rsid w:val="002F685F"/>
    <w:rsid w:val="002F6B54"/>
    <w:rsid w:val="00303BBA"/>
    <w:rsid w:val="00304C61"/>
    <w:rsid w:val="00310272"/>
    <w:rsid w:val="003117BE"/>
    <w:rsid w:val="003127B0"/>
    <w:rsid w:val="00312948"/>
    <w:rsid w:val="00313C6F"/>
    <w:rsid w:val="00315634"/>
    <w:rsid w:val="0032087E"/>
    <w:rsid w:val="003238D9"/>
    <w:rsid w:val="00326E35"/>
    <w:rsid w:val="003279EA"/>
    <w:rsid w:val="00330A37"/>
    <w:rsid w:val="003312E5"/>
    <w:rsid w:val="0033411C"/>
    <w:rsid w:val="00334771"/>
    <w:rsid w:val="0033797F"/>
    <w:rsid w:val="003415D3"/>
    <w:rsid w:val="003430A4"/>
    <w:rsid w:val="003430C1"/>
    <w:rsid w:val="003437A2"/>
    <w:rsid w:val="003452C1"/>
    <w:rsid w:val="0034711A"/>
    <w:rsid w:val="00352B0F"/>
    <w:rsid w:val="00355F59"/>
    <w:rsid w:val="00364F99"/>
    <w:rsid w:val="00365071"/>
    <w:rsid w:val="00365795"/>
    <w:rsid w:val="0036595E"/>
    <w:rsid w:val="00365E82"/>
    <w:rsid w:val="00366F28"/>
    <w:rsid w:val="0037094D"/>
    <w:rsid w:val="003721DB"/>
    <w:rsid w:val="00372350"/>
    <w:rsid w:val="003726E9"/>
    <w:rsid w:val="0038025C"/>
    <w:rsid w:val="00381E87"/>
    <w:rsid w:val="00387118"/>
    <w:rsid w:val="0039125B"/>
    <w:rsid w:val="0039195D"/>
    <w:rsid w:val="00392F32"/>
    <w:rsid w:val="0039527F"/>
    <w:rsid w:val="003A40C7"/>
    <w:rsid w:val="003A4CA0"/>
    <w:rsid w:val="003A5A02"/>
    <w:rsid w:val="003B0F1E"/>
    <w:rsid w:val="003B1079"/>
    <w:rsid w:val="003B4BDF"/>
    <w:rsid w:val="003B7BA0"/>
    <w:rsid w:val="003C1C4A"/>
    <w:rsid w:val="003C2270"/>
    <w:rsid w:val="003C2B72"/>
    <w:rsid w:val="003D0317"/>
    <w:rsid w:val="003D0BFE"/>
    <w:rsid w:val="003D2D96"/>
    <w:rsid w:val="003D5700"/>
    <w:rsid w:val="003E3C2F"/>
    <w:rsid w:val="003E5F94"/>
    <w:rsid w:val="003F360E"/>
    <w:rsid w:val="003F56F0"/>
    <w:rsid w:val="003F60D2"/>
    <w:rsid w:val="00401448"/>
    <w:rsid w:val="00402376"/>
    <w:rsid w:val="00402E5D"/>
    <w:rsid w:val="004043EE"/>
    <w:rsid w:val="0040616D"/>
    <w:rsid w:val="0041142D"/>
    <w:rsid w:val="004116CD"/>
    <w:rsid w:val="00414E4C"/>
    <w:rsid w:val="00415F84"/>
    <w:rsid w:val="004168B4"/>
    <w:rsid w:val="00423789"/>
    <w:rsid w:val="00424CA9"/>
    <w:rsid w:val="004256BB"/>
    <w:rsid w:val="00427D10"/>
    <w:rsid w:val="0043017D"/>
    <w:rsid w:val="004332DC"/>
    <w:rsid w:val="00441288"/>
    <w:rsid w:val="004426B9"/>
    <w:rsid w:val="0044291A"/>
    <w:rsid w:val="004506CB"/>
    <w:rsid w:val="00451196"/>
    <w:rsid w:val="004513A2"/>
    <w:rsid w:val="00451770"/>
    <w:rsid w:val="00456ADF"/>
    <w:rsid w:val="004617A7"/>
    <w:rsid w:val="00463607"/>
    <w:rsid w:val="004647D5"/>
    <w:rsid w:val="004678C2"/>
    <w:rsid w:val="00471117"/>
    <w:rsid w:val="00472950"/>
    <w:rsid w:val="00480E47"/>
    <w:rsid w:val="004827A0"/>
    <w:rsid w:val="004838C3"/>
    <w:rsid w:val="00490DD0"/>
    <w:rsid w:val="00496F97"/>
    <w:rsid w:val="004A2FF4"/>
    <w:rsid w:val="004A712C"/>
    <w:rsid w:val="004A7995"/>
    <w:rsid w:val="004B0E6F"/>
    <w:rsid w:val="004B5048"/>
    <w:rsid w:val="004B7F42"/>
    <w:rsid w:val="004C3834"/>
    <w:rsid w:val="004D0C3A"/>
    <w:rsid w:val="004D10ED"/>
    <w:rsid w:val="004D5986"/>
    <w:rsid w:val="004E3680"/>
    <w:rsid w:val="004E6B9A"/>
    <w:rsid w:val="004F1316"/>
    <w:rsid w:val="00501047"/>
    <w:rsid w:val="00502E83"/>
    <w:rsid w:val="00504070"/>
    <w:rsid w:val="00504C34"/>
    <w:rsid w:val="00506AC8"/>
    <w:rsid w:val="0050762E"/>
    <w:rsid w:val="005104CE"/>
    <w:rsid w:val="00510A14"/>
    <w:rsid w:val="00511763"/>
    <w:rsid w:val="005146E6"/>
    <w:rsid w:val="00516B8D"/>
    <w:rsid w:val="005211BF"/>
    <w:rsid w:val="00521C89"/>
    <w:rsid w:val="005253F6"/>
    <w:rsid w:val="00526887"/>
    <w:rsid w:val="005277D0"/>
    <w:rsid w:val="005312BE"/>
    <w:rsid w:val="00537F1B"/>
    <w:rsid w:val="00537FBC"/>
    <w:rsid w:val="00540A21"/>
    <w:rsid w:val="00543850"/>
    <w:rsid w:val="00544FCD"/>
    <w:rsid w:val="005455E0"/>
    <w:rsid w:val="00545DAE"/>
    <w:rsid w:val="00547C8B"/>
    <w:rsid w:val="00550673"/>
    <w:rsid w:val="00551316"/>
    <w:rsid w:val="005619AC"/>
    <w:rsid w:val="00561E80"/>
    <w:rsid w:val="005626FA"/>
    <w:rsid w:val="00562EEA"/>
    <w:rsid w:val="005645DB"/>
    <w:rsid w:val="00565BBC"/>
    <w:rsid w:val="00566586"/>
    <w:rsid w:val="00570095"/>
    <w:rsid w:val="005702C1"/>
    <w:rsid w:val="00577963"/>
    <w:rsid w:val="0058193D"/>
    <w:rsid w:val="00584052"/>
    <w:rsid w:val="00584811"/>
    <w:rsid w:val="00590858"/>
    <w:rsid w:val="00592D58"/>
    <w:rsid w:val="00593AA6"/>
    <w:rsid w:val="00594161"/>
    <w:rsid w:val="00594749"/>
    <w:rsid w:val="0059758F"/>
    <w:rsid w:val="005A250C"/>
    <w:rsid w:val="005A5FAA"/>
    <w:rsid w:val="005A646A"/>
    <w:rsid w:val="005A6F34"/>
    <w:rsid w:val="005A71E0"/>
    <w:rsid w:val="005A7882"/>
    <w:rsid w:val="005B09CB"/>
    <w:rsid w:val="005B0B2D"/>
    <w:rsid w:val="005B211C"/>
    <w:rsid w:val="005B4067"/>
    <w:rsid w:val="005B4424"/>
    <w:rsid w:val="005C162D"/>
    <w:rsid w:val="005C1A49"/>
    <w:rsid w:val="005C3F41"/>
    <w:rsid w:val="005C5800"/>
    <w:rsid w:val="005C6BFA"/>
    <w:rsid w:val="005D3BA3"/>
    <w:rsid w:val="005D3E15"/>
    <w:rsid w:val="005D4DEA"/>
    <w:rsid w:val="005D67BA"/>
    <w:rsid w:val="005D67DD"/>
    <w:rsid w:val="005D6BF8"/>
    <w:rsid w:val="005E25FD"/>
    <w:rsid w:val="005E3441"/>
    <w:rsid w:val="005E775A"/>
    <w:rsid w:val="005E785A"/>
    <w:rsid w:val="005F5E54"/>
    <w:rsid w:val="00600219"/>
    <w:rsid w:val="00602C7C"/>
    <w:rsid w:val="0060788D"/>
    <w:rsid w:val="00611C2E"/>
    <w:rsid w:val="0061332A"/>
    <w:rsid w:val="00613A0B"/>
    <w:rsid w:val="00615BCB"/>
    <w:rsid w:val="006234C1"/>
    <w:rsid w:val="00631758"/>
    <w:rsid w:val="006330DC"/>
    <w:rsid w:val="006347C9"/>
    <w:rsid w:val="00636F4F"/>
    <w:rsid w:val="006437FE"/>
    <w:rsid w:val="006444FB"/>
    <w:rsid w:val="00645F7B"/>
    <w:rsid w:val="006475DB"/>
    <w:rsid w:val="0065106B"/>
    <w:rsid w:val="00652620"/>
    <w:rsid w:val="006527A6"/>
    <w:rsid w:val="006530D4"/>
    <w:rsid w:val="006566A1"/>
    <w:rsid w:val="00662FAE"/>
    <w:rsid w:val="006644F9"/>
    <w:rsid w:val="00664A31"/>
    <w:rsid w:val="00664C63"/>
    <w:rsid w:val="00664ECC"/>
    <w:rsid w:val="0067080B"/>
    <w:rsid w:val="00671C25"/>
    <w:rsid w:val="006749BD"/>
    <w:rsid w:val="00677CC2"/>
    <w:rsid w:val="006805EE"/>
    <w:rsid w:val="006807EB"/>
    <w:rsid w:val="00681337"/>
    <w:rsid w:val="00681A4A"/>
    <w:rsid w:val="00687171"/>
    <w:rsid w:val="0069207B"/>
    <w:rsid w:val="00692D06"/>
    <w:rsid w:val="006942DD"/>
    <w:rsid w:val="006A2882"/>
    <w:rsid w:val="006B51F1"/>
    <w:rsid w:val="006B5BCC"/>
    <w:rsid w:val="006B5BE9"/>
    <w:rsid w:val="006C0CEC"/>
    <w:rsid w:val="006C1482"/>
    <w:rsid w:val="006C7F8C"/>
    <w:rsid w:val="006D2D2B"/>
    <w:rsid w:val="006D3764"/>
    <w:rsid w:val="006E2BFF"/>
    <w:rsid w:val="006E4AB2"/>
    <w:rsid w:val="006E697D"/>
    <w:rsid w:val="006E7776"/>
    <w:rsid w:val="006E7EBC"/>
    <w:rsid w:val="006F1EFB"/>
    <w:rsid w:val="006F6FF3"/>
    <w:rsid w:val="00700B2C"/>
    <w:rsid w:val="007018C6"/>
    <w:rsid w:val="007020DF"/>
    <w:rsid w:val="0070466C"/>
    <w:rsid w:val="00704E47"/>
    <w:rsid w:val="0070757D"/>
    <w:rsid w:val="00713084"/>
    <w:rsid w:val="007173B8"/>
    <w:rsid w:val="00727121"/>
    <w:rsid w:val="00731E00"/>
    <w:rsid w:val="00732A85"/>
    <w:rsid w:val="00733A8B"/>
    <w:rsid w:val="00735826"/>
    <w:rsid w:val="00736DD6"/>
    <w:rsid w:val="00737AD4"/>
    <w:rsid w:val="00741B68"/>
    <w:rsid w:val="00741D2B"/>
    <w:rsid w:val="00742048"/>
    <w:rsid w:val="007440B7"/>
    <w:rsid w:val="00744B2D"/>
    <w:rsid w:val="0074579F"/>
    <w:rsid w:val="00746ECA"/>
    <w:rsid w:val="00750E26"/>
    <w:rsid w:val="007511BE"/>
    <w:rsid w:val="007519C7"/>
    <w:rsid w:val="0075226A"/>
    <w:rsid w:val="00753792"/>
    <w:rsid w:val="007621E7"/>
    <w:rsid w:val="007627F4"/>
    <w:rsid w:val="007644BC"/>
    <w:rsid w:val="00764751"/>
    <w:rsid w:val="00770A58"/>
    <w:rsid w:val="0077153C"/>
    <w:rsid w:val="007715C9"/>
    <w:rsid w:val="0077443D"/>
    <w:rsid w:val="00774703"/>
    <w:rsid w:val="00774EDD"/>
    <w:rsid w:val="007757EC"/>
    <w:rsid w:val="00777B46"/>
    <w:rsid w:val="007829D7"/>
    <w:rsid w:val="007845BF"/>
    <w:rsid w:val="0078557A"/>
    <w:rsid w:val="0078593A"/>
    <w:rsid w:val="007920DE"/>
    <w:rsid w:val="00795FCE"/>
    <w:rsid w:val="00797A7A"/>
    <w:rsid w:val="007A4BDA"/>
    <w:rsid w:val="007A659A"/>
    <w:rsid w:val="007B0539"/>
    <w:rsid w:val="007B081F"/>
    <w:rsid w:val="007B4C74"/>
    <w:rsid w:val="007B6178"/>
    <w:rsid w:val="007B6D00"/>
    <w:rsid w:val="007B6F9D"/>
    <w:rsid w:val="007C048D"/>
    <w:rsid w:val="007C076A"/>
    <w:rsid w:val="007C11CC"/>
    <w:rsid w:val="007C4E68"/>
    <w:rsid w:val="007C5655"/>
    <w:rsid w:val="007C79C2"/>
    <w:rsid w:val="007D000A"/>
    <w:rsid w:val="007D6DA1"/>
    <w:rsid w:val="007D6F57"/>
    <w:rsid w:val="007E0949"/>
    <w:rsid w:val="007E4CC8"/>
    <w:rsid w:val="007E7E5E"/>
    <w:rsid w:val="007F1BFB"/>
    <w:rsid w:val="007F4753"/>
    <w:rsid w:val="007F5E52"/>
    <w:rsid w:val="007F6990"/>
    <w:rsid w:val="007F6C0F"/>
    <w:rsid w:val="00800C1E"/>
    <w:rsid w:val="0081218A"/>
    <w:rsid w:val="008121C7"/>
    <w:rsid w:val="00812A80"/>
    <w:rsid w:val="00815B0D"/>
    <w:rsid w:val="00823429"/>
    <w:rsid w:val="00823CB7"/>
    <w:rsid w:val="00830815"/>
    <w:rsid w:val="00831F48"/>
    <w:rsid w:val="00832735"/>
    <w:rsid w:val="00833606"/>
    <w:rsid w:val="0084009E"/>
    <w:rsid w:val="00840D50"/>
    <w:rsid w:val="00842958"/>
    <w:rsid w:val="008431C1"/>
    <w:rsid w:val="0084372A"/>
    <w:rsid w:val="008502BE"/>
    <w:rsid w:val="00852DA9"/>
    <w:rsid w:val="00855F02"/>
    <w:rsid w:val="00856A31"/>
    <w:rsid w:val="008607D1"/>
    <w:rsid w:val="0086334D"/>
    <w:rsid w:val="008649CE"/>
    <w:rsid w:val="00865ED0"/>
    <w:rsid w:val="00866A30"/>
    <w:rsid w:val="00867984"/>
    <w:rsid w:val="00872185"/>
    <w:rsid w:val="0087418A"/>
    <w:rsid w:val="008754D0"/>
    <w:rsid w:val="00875824"/>
    <w:rsid w:val="00883892"/>
    <w:rsid w:val="0088501B"/>
    <w:rsid w:val="00892DB2"/>
    <w:rsid w:val="00894C38"/>
    <w:rsid w:val="008A1D68"/>
    <w:rsid w:val="008A6470"/>
    <w:rsid w:val="008A66B6"/>
    <w:rsid w:val="008C08E9"/>
    <w:rsid w:val="008D0EE0"/>
    <w:rsid w:val="008D10B2"/>
    <w:rsid w:val="008D18B4"/>
    <w:rsid w:val="008D43DA"/>
    <w:rsid w:val="008D4B9B"/>
    <w:rsid w:val="008D58FB"/>
    <w:rsid w:val="008E05CA"/>
    <w:rsid w:val="008E52ED"/>
    <w:rsid w:val="008E66C9"/>
    <w:rsid w:val="008E6ECF"/>
    <w:rsid w:val="009000B4"/>
    <w:rsid w:val="00917FCE"/>
    <w:rsid w:val="00924E26"/>
    <w:rsid w:val="00925B70"/>
    <w:rsid w:val="00931D06"/>
    <w:rsid w:val="00932377"/>
    <w:rsid w:val="00932FA3"/>
    <w:rsid w:val="009345CC"/>
    <w:rsid w:val="009420D4"/>
    <w:rsid w:val="00946AFA"/>
    <w:rsid w:val="0095102F"/>
    <w:rsid w:val="00953A2E"/>
    <w:rsid w:val="0095602D"/>
    <w:rsid w:val="00956387"/>
    <w:rsid w:val="009620C2"/>
    <w:rsid w:val="00963AAD"/>
    <w:rsid w:val="00965224"/>
    <w:rsid w:val="00970FBB"/>
    <w:rsid w:val="009723D5"/>
    <w:rsid w:val="00976169"/>
    <w:rsid w:val="00976D36"/>
    <w:rsid w:val="0098042B"/>
    <w:rsid w:val="00992C60"/>
    <w:rsid w:val="009944BA"/>
    <w:rsid w:val="009945C3"/>
    <w:rsid w:val="00995EA2"/>
    <w:rsid w:val="009A131D"/>
    <w:rsid w:val="009A2201"/>
    <w:rsid w:val="009A3BC1"/>
    <w:rsid w:val="009A4B74"/>
    <w:rsid w:val="009B0E45"/>
    <w:rsid w:val="009B1AE9"/>
    <w:rsid w:val="009B1DAA"/>
    <w:rsid w:val="009B503A"/>
    <w:rsid w:val="009B65B8"/>
    <w:rsid w:val="009B68D1"/>
    <w:rsid w:val="009C52FD"/>
    <w:rsid w:val="009C618B"/>
    <w:rsid w:val="009C6B64"/>
    <w:rsid w:val="009D33EA"/>
    <w:rsid w:val="009D7A74"/>
    <w:rsid w:val="009D7FCC"/>
    <w:rsid w:val="009E277D"/>
    <w:rsid w:val="009E346A"/>
    <w:rsid w:val="009E61B2"/>
    <w:rsid w:val="009E62CA"/>
    <w:rsid w:val="009E710E"/>
    <w:rsid w:val="009E7D32"/>
    <w:rsid w:val="009F01E7"/>
    <w:rsid w:val="009F2E85"/>
    <w:rsid w:val="009F3FCC"/>
    <w:rsid w:val="00A120DD"/>
    <w:rsid w:val="00A15CD7"/>
    <w:rsid w:val="00A20789"/>
    <w:rsid w:val="00A231E2"/>
    <w:rsid w:val="00A25627"/>
    <w:rsid w:val="00A259E7"/>
    <w:rsid w:val="00A269DD"/>
    <w:rsid w:val="00A27D56"/>
    <w:rsid w:val="00A3484B"/>
    <w:rsid w:val="00A415B9"/>
    <w:rsid w:val="00A51C23"/>
    <w:rsid w:val="00A610E6"/>
    <w:rsid w:val="00A63DE9"/>
    <w:rsid w:val="00A64912"/>
    <w:rsid w:val="00A65C22"/>
    <w:rsid w:val="00A6749C"/>
    <w:rsid w:val="00A70A74"/>
    <w:rsid w:val="00A72A63"/>
    <w:rsid w:val="00A74230"/>
    <w:rsid w:val="00A7718D"/>
    <w:rsid w:val="00A80CBD"/>
    <w:rsid w:val="00A874E1"/>
    <w:rsid w:val="00A87CC5"/>
    <w:rsid w:val="00A87DE7"/>
    <w:rsid w:val="00A923C9"/>
    <w:rsid w:val="00A93639"/>
    <w:rsid w:val="00A96899"/>
    <w:rsid w:val="00AA0FB4"/>
    <w:rsid w:val="00AA20C5"/>
    <w:rsid w:val="00AA3754"/>
    <w:rsid w:val="00AA5445"/>
    <w:rsid w:val="00AB1ED8"/>
    <w:rsid w:val="00AB5A90"/>
    <w:rsid w:val="00AB757D"/>
    <w:rsid w:val="00AC0BCE"/>
    <w:rsid w:val="00AC3459"/>
    <w:rsid w:val="00AC5226"/>
    <w:rsid w:val="00AC78AE"/>
    <w:rsid w:val="00AD05F9"/>
    <w:rsid w:val="00AD07B4"/>
    <w:rsid w:val="00AD097E"/>
    <w:rsid w:val="00AD27B3"/>
    <w:rsid w:val="00AD3348"/>
    <w:rsid w:val="00AD48C1"/>
    <w:rsid w:val="00AD5641"/>
    <w:rsid w:val="00AD70E4"/>
    <w:rsid w:val="00AE1154"/>
    <w:rsid w:val="00AE11E7"/>
    <w:rsid w:val="00AE3621"/>
    <w:rsid w:val="00AE59F7"/>
    <w:rsid w:val="00AE7958"/>
    <w:rsid w:val="00AE7BD7"/>
    <w:rsid w:val="00AF2141"/>
    <w:rsid w:val="00AF615A"/>
    <w:rsid w:val="00AF6F52"/>
    <w:rsid w:val="00B006BB"/>
    <w:rsid w:val="00B00970"/>
    <w:rsid w:val="00B00F10"/>
    <w:rsid w:val="00B01258"/>
    <w:rsid w:val="00B017D2"/>
    <w:rsid w:val="00B0311A"/>
    <w:rsid w:val="00B05DED"/>
    <w:rsid w:val="00B11DD8"/>
    <w:rsid w:val="00B16936"/>
    <w:rsid w:val="00B21367"/>
    <w:rsid w:val="00B256C4"/>
    <w:rsid w:val="00B26413"/>
    <w:rsid w:val="00B27942"/>
    <w:rsid w:val="00B30BBF"/>
    <w:rsid w:val="00B313B6"/>
    <w:rsid w:val="00B32C91"/>
    <w:rsid w:val="00B33B3C"/>
    <w:rsid w:val="00B340B6"/>
    <w:rsid w:val="00B34BA8"/>
    <w:rsid w:val="00B35BEA"/>
    <w:rsid w:val="00B35EDF"/>
    <w:rsid w:val="00B3608C"/>
    <w:rsid w:val="00B372A6"/>
    <w:rsid w:val="00B37FAC"/>
    <w:rsid w:val="00B429C2"/>
    <w:rsid w:val="00B44D81"/>
    <w:rsid w:val="00B47B0D"/>
    <w:rsid w:val="00B529E2"/>
    <w:rsid w:val="00B554DA"/>
    <w:rsid w:val="00B563E6"/>
    <w:rsid w:val="00B61C25"/>
    <w:rsid w:val="00B64975"/>
    <w:rsid w:val="00B65DE9"/>
    <w:rsid w:val="00B66725"/>
    <w:rsid w:val="00B66C69"/>
    <w:rsid w:val="00B67306"/>
    <w:rsid w:val="00B70E56"/>
    <w:rsid w:val="00B718C6"/>
    <w:rsid w:val="00B73022"/>
    <w:rsid w:val="00B736CB"/>
    <w:rsid w:val="00B7580D"/>
    <w:rsid w:val="00B759FF"/>
    <w:rsid w:val="00B75D1E"/>
    <w:rsid w:val="00B778AC"/>
    <w:rsid w:val="00B83045"/>
    <w:rsid w:val="00B902D5"/>
    <w:rsid w:val="00B937DA"/>
    <w:rsid w:val="00B97A19"/>
    <w:rsid w:val="00BA25A5"/>
    <w:rsid w:val="00BA2ABB"/>
    <w:rsid w:val="00BA6201"/>
    <w:rsid w:val="00BB5FB5"/>
    <w:rsid w:val="00BB65B9"/>
    <w:rsid w:val="00BB66DA"/>
    <w:rsid w:val="00BC30F2"/>
    <w:rsid w:val="00BC4464"/>
    <w:rsid w:val="00BC59E8"/>
    <w:rsid w:val="00BC74E2"/>
    <w:rsid w:val="00BD09CE"/>
    <w:rsid w:val="00BD0C2D"/>
    <w:rsid w:val="00BD1655"/>
    <w:rsid w:val="00BD4298"/>
    <w:rsid w:val="00BD4C20"/>
    <w:rsid w:val="00BD7DC4"/>
    <w:rsid w:val="00BE0304"/>
    <w:rsid w:val="00BE261A"/>
    <w:rsid w:val="00BE2E2E"/>
    <w:rsid w:val="00BE38FC"/>
    <w:rsid w:val="00BE5F0E"/>
    <w:rsid w:val="00BE6D32"/>
    <w:rsid w:val="00BE719A"/>
    <w:rsid w:val="00BE720A"/>
    <w:rsid w:val="00BE735C"/>
    <w:rsid w:val="00BE785B"/>
    <w:rsid w:val="00BF0BB7"/>
    <w:rsid w:val="00BF42CB"/>
    <w:rsid w:val="00BF4D77"/>
    <w:rsid w:val="00C02DD9"/>
    <w:rsid w:val="00C036C6"/>
    <w:rsid w:val="00C07C2A"/>
    <w:rsid w:val="00C14BE8"/>
    <w:rsid w:val="00C163F4"/>
    <w:rsid w:val="00C2167D"/>
    <w:rsid w:val="00C21F7D"/>
    <w:rsid w:val="00C223CD"/>
    <w:rsid w:val="00C25F9E"/>
    <w:rsid w:val="00C2626E"/>
    <w:rsid w:val="00C357A4"/>
    <w:rsid w:val="00C42BF8"/>
    <w:rsid w:val="00C44092"/>
    <w:rsid w:val="00C44A15"/>
    <w:rsid w:val="00C50043"/>
    <w:rsid w:val="00C50A1C"/>
    <w:rsid w:val="00C53114"/>
    <w:rsid w:val="00C53420"/>
    <w:rsid w:val="00C54E14"/>
    <w:rsid w:val="00C56C70"/>
    <w:rsid w:val="00C624BD"/>
    <w:rsid w:val="00C631C2"/>
    <w:rsid w:val="00C6329B"/>
    <w:rsid w:val="00C714C7"/>
    <w:rsid w:val="00C723B9"/>
    <w:rsid w:val="00C73E7A"/>
    <w:rsid w:val="00C74BE4"/>
    <w:rsid w:val="00C7573B"/>
    <w:rsid w:val="00C77D10"/>
    <w:rsid w:val="00C819FF"/>
    <w:rsid w:val="00C947D5"/>
    <w:rsid w:val="00CA5963"/>
    <w:rsid w:val="00CA5C2C"/>
    <w:rsid w:val="00CA76EB"/>
    <w:rsid w:val="00CB0EA8"/>
    <w:rsid w:val="00CB3915"/>
    <w:rsid w:val="00CC3C31"/>
    <w:rsid w:val="00CC3E5B"/>
    <w:rsid w:val="00CC5180"/>
    <w:rsid w:val="00CC7A09"/>
    <w:rsid w:val="00CD2951"/>
    <w:rsid w:val="00CD4305"/>
    <w:rsid w:val="00CD463B"/>
    <w:rsid w:val="00CD4A81"/>
    <w:rsid w:val="00CD70AE"/>
    <w:rsid w:val="00CE14A7"/>
    <w:rsid w:val="00CE1F8A"/>
    <w:rsid w:val="00CE2054"/>
    <w:rsid w:val="00CE2106"/>
    <w:rsid w:val="00CF0BB2"/>
    <w:rsid w:val="00CF4975"/>
    <w:rsid w:val="00CF626F"/>
    <w:rsid w:val="00D00E25"/>
    <w:rsid w:val="00D04438"/>
    <w:rsid w:val="00D0508D"/>
    <w:rsid w:val="00D075CF"/>
    <w:rsid w:val="00D07733"/>
    <w:rsid w:val="00D13441"/>
    <w:rsid w:val="00D1558C"/>
    <w:rsid w:val="00D158D1"/>
    <w:rsid w:val="00D16A13"/>
    <w:rsid w:val="00D23CC9"/>
    <w:rsid w:val="00D2515B"/>
    <w:rsid w:val="00D26004"/>
    <w:rsid w:val="00D3213F"/>
    <w:rsid w:val="00D36375"/>
    <w:rsid w:val="00D374CE"/>
    <w:rsid w:val="00D40252"/>
    <w:rsid w:val="00D432F1"/>
    <w:rsid w:val="00D467B9"/>
    <w:rsid w:val="00D54352"/>
    <w:rsid w:val="00D6026A"/>
    <w:rsid w:val="00D63FD2"/>
    <w:rsid w:val="00D668AE"/>
    <w:rsid w:val="00D672D7"/>
    <w:rsid w:val="00D67311"/>
    <w:rsid w:val="00D67858"/>
    <w:rsid w:val="00D70DFB"/>
    <w:rsid w:val="00D7186F"/>
    <w:rsid w:val="00D766DF"/>
    <w:rsid w:val="00D8621C"/>
    <w:rsid w:val="00D8707C"/>
    <w:rsid w:val="00D9284D"/>
    <w:rsid w:val="00D940BA"/>
    <w:rsid w:val="00D96995"/>
    <w:rsid w:val="00DB301D"/>
    <w:rsid w:val="00DB363D"/>
    <w:rsid w:val="00DB465D"/>
    <w:rsid w:val="00DC0440"/>
    <w:rsid w:val="00DC6535"/>
    <w:rsid w:val="00DD314D"/>
    <w:rsid w:val="00DD495E"/>
    <w:rsid w:val="00DD4A45"/>
    <w:rsid w:val="00DD6A39"/>
    <w:rsid w:val="00DE296A"/>
    <w:rsid w:val="00DE3BAD"/>
    <w:rsid w:val="00DE3BFB"/>
    <w:rsid w:val="00DE45A8"/>
    <w:rsid w:val="00DE4D73"/>
    <w:rsid w:val="00DE60FA"/>
    <w:rsid w:val="00DF6536"/>
    <w:rsid w:val="00E01CAC"/>
    <w:rsid w:val="00E0394D"/>
    <w:rsid w:val="00E047BB"/>
    <w:rsid w:val="00E05704"/>
    <w:rsid w:val="00E0681D"/>
    <w:rsid w:val="00E07ACE"/>
    <w:rsid w:val="00E10FE4"/>
    <w:rsid w:val="00E11D20"/>
    <w:rsid w:val="00E12AA4"/>
    <w:rsid w:val="00E1363F"/>
    <w:rsid w:val="00E142BC"/>
    <w:rsid w:val="00E2443A"/>
    <w:rsid w:val="00E249D6"/>
    <w:rsid w:val="00E2733E"/>
    <w:rsid w:val="00E30587"/>
    <w:rsid w:val="00E34C15"/>
    <w:rsid w:val="00E34CFE"/>
    <w:rsid w:val="00E42456"/>
    <w:rsid w:val="00E4392A"/>
    <w:rsid w:val="00E47D30"/>
    <w:rsid w:val="00E50FA6"/>
    <w:rsid w:val="00E53FAC"/>
    <w:rsid w:val="00E54CAB"/>
    <w:rsid w:val="00E6157E"/>
    <w:rsid w:val="00E67118"/>
    <w:rsid w:val="00E67F91"/>
    <w:rsid w:val="00E729F0"/>
    <w:rsid w:val="00E74DC7"/>
    <w:rsid w:val="00E76D83"/>
    <w:rsid w:val="00E85CB9"/>
    <w:rsid w:val="00E910E1"/>
    <w:rsid w:val="00E947BC"/>
    <w:rsid w:val="00E94998"/>
    <w:rsid w:val="00E94C66"/>
    <w:rsid w:val="00EA12C2"/>
    <w:rsid w:val="00EA1D32"/>
    <w:rsid w:val="00EA20AB"/>
    <w:rsid w:val="00EA53FA"/>
    <w:rsid w:val="00EB0B22"/>
    <w:rsid w:val="00EB57A9"/>
    <w:rsid w:val="00EC186C"/>
    <w:rsid w:val="00EC6082"/>
    <w:rsid w:val="00ED136B"/>
    <w:rsid w:val="00ED1A6C"/>
    <w:rsid w:val="00ED28EF"/>
    <w:rsid w:val="00ED30EF"/>
    <w:rsid w:val="00ED3DD9"/>
    <w:rsid w:val="00ED6A9B"/>
    <w:rsid w:val="00EE178C"/>
    <w:rsid w:val="00EE17B3"/>
    <w:rsid w:val="00EE25A8"/>
    <w:rsid w:val="00EE6DCC"/>
    <w:rsid w:val="00EF19DF"/>
    <w:rsid w:val="00EF2E3A"/>
    <w:rsid w:val="00EF30FB"/>
    <w:rsid w:val="00EF3446"/>
    <w:rsid w:val="00F00CF4"/>
    <w:rsid w:val="00F0132A"/>
    <w:rsid w:val="00F033C7"/>
    <w:rsid w:val="00F040F7"/>
    <w:rsid w:val="00F04ACA"/>
    <w:rsid w:val="00F078DC"/>
    <w:rsid w:val="00F12355"/>
    <w:rsid w:val="00F1306A"/>
    <w:rsid w:val="00F14AEC"/>
    <w:rsid w:val="00F14E02"/>
    <w:rsid w:val="00F35A48"/>
    <w:rsid w:val="00F4008D"/>
    <w:rsid w:val="00F44617"/>
    <w:rsid w:val="00F5076A"/>
    <w:rsid w:val="00F71234"/>
    <w:rsid w:val="00F71706"/>
    <w:rsid w:val="00F767EC"/>
    <w:rsid w:val="00F77BC9"/>
    <w:rsid w:val="00F77D15"/>
    <w:rsid w:val="00F8103A"/>
    <w:rsid w:val="00F832EB"/>
    <w:rsid w:val="00F86E34"/>
    <w:rsid w:val="00F93CDE"/>
    <w:rsid w:val="00F943F7"/>
    <w:rsid w:val="00F94DDD"/>
    <w:rsid w:val="00F95685"/>
    <w:rsid w:val="00F97FFB"/>
    <w:rsid w:val="00FA346B"/>
    <w:rsid w:val="00FA3991"/>
    <w:rsid w:val="00FA4423"/>
    <w:rsid w:val="00FB3A25"/>
    <w:rsid w:val="00FC104F"/>
    <w:rsid w:val="00FC13E3"/>
    <w:rsid w:val="00FC4F88"/>
    <w:rsid w:val="00FC60BA"/>
    <w:rsid w:val="00FC6403"/>
    <w:rsid w:val="00FC6E12"/>
    <w:rsid w:val="00FD424A"/>
    <w:rsid w:val="00FE4AC4"/>
    <w:rsid w:val="00FF0CE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89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79C2"/>
    <w:pPr>
      <w:spacing w:line="260" w:lineRule="atLeast"/>
    </w:pPr>
    <w:rPr>
      <w:sz w:val="22"/>
    </w:rPr>
  </w:style>
  <w:style w:type="paragraph" w:styleId="Heading1">
    <w:name w:val="heading 1"/>
    <w:basedOn w:val="Normal"/>
    <w:next w:val="Normal"/>
    <w:link w:val="Heading1Char"/>
    <w:uiPriority w:val="9"/>
    <w:qFormat/>
    <w:rsid w:val="007C79C2"/>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C79C2"/>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C79C2"/>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C79C2"/>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C79C2"/>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C79C2"/>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C79C2"/>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C79C2"/>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C79C2"/>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C79C2"/>
  </w:style>
  <w:style w:type="paragraph" w:customStyle="1" w:styleId="OPCParaBase">
    <w:name w:val="OPCParaBase"/>
    <w:qFormat/>
    <w:rsid w:val="007C79C2"/>
    <w:pPr>
      <w:spacing w:line="260" w:lineRule="atLeast"/>
    </w:pPr>
    <w:rPr>
      <w:rFonts w:eastAsia="Times New Roman" w:cs="Times New Roman"/>
      <w:sz w:val="22"/>
      <w:lang w:eastAsia="en-AU"/>
    </w:rPr>
  </w:style>
  <w:style w:type="paragraph" w:customStyle="1" w:styleId="ShortT">
    <w:name w:val="ShortT"/>
    <w:basedOn w:val="OPCParaBase"/>
    <w:next w:val="Normal"/>
    <w:qFormat/>
    <w:rsid w:val="007C79C2"/>
    <w:pPr>
      <w:spacing w:line="240" w:lineRule="auto"/>
    </w:pPr>
    <w:rPr>
      <w:b/>
      <w:sz w:val="40"/>
    </w:rPr>
  </w:style>
  <w:style w:type="paragraph" w:customStyle="1" w:styleId="ActHead1">
    <w:name w:val="ActHead 1"/>
    <w:aliases w:val="c"/>
    <w:basedOn w:val="OPCParaBase"/>
    <w:next w:val="Normal"/>
    <w:qFormat/>
    <w:rsid w:val="007C79C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C79C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C79C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C79C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C79C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C79C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C79C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C79C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C79C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C79C2"/>
  </w:style>
  <w:style w:type="paragraph" w:customStyle="1" w:styleId="Blocks">
    <w:name w:val="Blocks"/>
    <w:aliases w:val="bb"/>
    <w:basedOn w:val="OPCParaBase"/>
    <w:qFormat/>
    <w:rsid w:val="007C79C2"/>
    <w:pPr>
      <w:spacing w:line="240" w:lineRule="auto"/>
    </w:pPr>
    <w:rPr>
      <w:sz w:val="24"/>
    </w:rPr>
  </w:style>
  <w:style w:type="paragraph" w:customStyle="1" w:styleId="BoxText">
    <w:name w:val="BoxText"/>
    <w:aliases w:val="bt"/>
    <w:basedOn w:val="OPCParaBase"/>
    <w:qFormat/>
    <w:rsid w:val="007C79C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C79C2"/>
    <w:rPr>
      <w:b/>
    </w:rPr>
  </w:style>
  <w:style w:type="paragraph" w:customStyle="1" w:styleId="BoxHeadItalic">
    <w:name w:val="BoxHeadItalic"/>
    <w:aliases w:val="bhi"/>
    <w:basedOn w:val="BoxText"/>
    <w:next w:val="BoxStep"/>
    <w:qFormat/>
    <w:rsid w:val="007C79C2"/>
    <w:rPr>
      <w:i/>
    </w:rPr>
  </w:style>
  <w:style w:type="paragraph" w:customStyle="1" w:styleId="BoxList">
    <w:name w:val="BoxList"/>
    <w:aliases w:val="bl"/>
    <w:basedOn w:val="BoxText"/>
    <w:qFormat/>
    <w:rsid w:val="007C79C2"/>
    <w:pPr>
      <w:ind w:left="1559" w:hanging="425"/>
    </w:pPr>
  </w:style>
  <w:style w:type="paragraph" w:customStyle="1" w:styleId="BoxNote">
    <w:name w:val="BoxNote"/>
    <w:aliases w:val="bn"/>
    <w:basedOn w:val="BoxText"/>
    <w:qFormat/>
    <w:rsid w:val="007C79C2"/>
    <w:pPr>
      <w:tabs>
        <w:tab w:val="left" w:pos="1985"/>
      </w:tabs>
      <w:spacing w:before="122" w:line="198" w:lineRule="exact"/>
      <w:ind w:left="2948" w:hanging="1814"/>
    </w:pPr>
    <w:rPr>
      <w:sz w:val="18"/>
    </w:rPr>
  </w:style>
  <w:style w:type="paragraph" w:customStyle="1" w:styleId="BoxPara">
    <w:name w:val="BoxPara"/>
    <w:aliases w:val="bp"/>
    <w:basedOn w:val="BoxText"/>
    <w:qFormat/>
    <w:rsid w:val="007C79C2"/>
    <w:pPr>
      <w:tabs>
        <w:tab w:val="right" w:pos="2268"/>
      </w:tabs>
      <w:ind w:left="2552" w:hanging="1418"/>
    </w:pPr>
  </w:style>
  <w:style w:type="paragraph" w:customStyle="1" w:styleId="BoxStep">
    <w:name w:val="BoxStep"/>
    <w:aliases w:val="bs"/>
    <w:basedOn w:val="BoxText"/>
    <w:qFormat/>
    <w:rsid w:val="007C79C2"/>
    <w:pPr>
      <w:ind w:left="1985" w:hanging="851"/>
    </w:pPr>
  </w:style>
  <w:style w:type="character" w:customStyle="1" w:styleId="CharAmPartNo">
    <w:name w:val="CharAmPartNo"/>
    <w:basedOn w:val="OPCCharBase"/>
    <w:qFormat/>
    <w:rsid w:val="007C79C2"/>
  </w:style>
  <w:style w:type="character" w:customStyle="1" w:styleId="CharAmPartText">
    <w:name w:val="CharAmPartText"/>
    <w:basedOn w:val="OPCCharBase"/>
    <w:qFormat/>
    <w:rsid w:val="007C79C2"/>
  </w:style>
  <w:style w:type="character" w:customStyle="1" w:styleId="CharAmSchNo">
    <w:name w:val="CharAmSchNo"/>
    <w:basedOn w:val="OPCCharBase"/>
    <w:qFormat/>
    <w:rsid w:val="007C79C2"/>
  </w:style>
  <w:style w:type="character" w:customStyle="1" w:styleId="CharAmSchText">
    <w:name w:val="CharAmSchText"/>
    <w:basedOn w:val="OPCCharBase"/>
    <w:qFormat/>
    <w:rsid w:val="007C79C2"/>
  </w:style>
  <w:style w:type="character" w:customStyle="1" w:styleId="CharBoldItalic">
    <w:name w:val="CharBoldItalic"/>
    <w:basedOn w:val="OPCCharBase"/>
    <w:uiPriority w:val="1"/>
    <w:qFormat/>
    <w:rsid w:val="007C79C2"/>
    <w:rPr>
      <w:b/>
      <w:i/>
    </w:rPr>
  </w:style>
  <w:style w:type="character" w:customStyle="1" w:styleId="CharChapNo">
    <w:name w:val="CharChapNo"/>
    <w:basedOn w:val="OPCCharBase"/>
    <w:uiPriority w:val="1"/>
    <w:qFormat/>
    <w:rsid w:val="007C79C2"/>
  </w:style>
  <w:style w:type="character" w:customStyle="1" w:styleId="CharChapText">
    <w:name w:val="CharChapText"/>
    <w:basedOn w:val="OPCCharBase"/>
    <w:uiPriority w:val="1"/>
    <w:qFormat/>
    <w:rsid w:val="007C79C2"/>
  </w:style>
  <w:style w:type="character" w:customStyle="1" w:styleId="CharDivNo">
    <w:name w:val="CharDivNo"/>
    <w:basedOn w:val="OPCCharBase"/>
    <w:uiPriority w:val="1"/>
    <w:qFormat/>
    <w:rsid w:val="007C79C2"/>
  </w:style>
  <w:style w:type="character" w:customStyle="1" w:styleId="CharDivText">
    <w:name w:val="CharDivText"/>
    <w:basedOn w:val="OPCCharBase"/>
    <w:uiPriority w:val="1"/>
    <w:qFormat/>
    <w:rsid w:val="007C79C2"/>
  </w:style>
  <w:style w:type="character" w:customStyle="1" w:styleId="CharItalic">
    <w:name w:val="CharItalic"/>
    <w:basedOn w:val="OPCCharBase"/>
    <w:uiPriority w:val="1"/>
    <w:qFormat/>
    <w:rsid w:val="007C79C2"/>
    <w:rPr>
      <w:i/>
    </w:rPr>
  </w:style>
  <w:style w:type="character" w:customStyle="1" w:styleId="CharPartNo">
    <w:name w:val="CharPartNo"/>
    <w:basedOn w:val="OPCCharBase"/>
    <w:uiPriority w:val="1"/>
    <w:qFormat/>
    <w:rsid w:val="007C79C2"/>
  </w:style>
  <w:style w:type="character" w:customStyle="1" w:styleId="CharPartText">
    <w:name w:val="CharPartText"/>
    <w:basedOn w:val="OPCCharBase"/>
    <w:uiPriority w:val="1"/>
    <w:qFormat/>
    <w:rsid w:val="007C79C2"/>
  </w:style>
  <w:style w:type="character" w:customStyle="1" w:styleId="CharSectno">
    <w:name w:val="CharSectno"/>
    <w:basedOn w:val="OPCCharBase"/>
    <w:qFormat/>
    <w:rsid w:val="007C79C2"/>
  </w:style>
  <w:style w:type="character" w:customStyle="1" w:styleId="CharSubdNo">
    <w:name w:val="CharSubdNo"/>
    <w:basedOn w:val="OPCCharBase"/>
    <w:uiPriority w:val="1"/>
    <w:qFormat/>
    <w:rsid w:val="007C79C2"/>
  </w:style>
  <w:style w:type="character" w:customStyle="1" w:styleId="CharSubdText">
    <w:name w:val="CharSubdText"/>
    <w:basedOn w:val="OPCCharBase"/>
    <w:uiPriority w:val="1"/>
    <w:qFormat/>
    <w:rsid w:val="007C79C2"/>
  </w:style>
  <w:style w:type="paragraph" w:customStyle="1" w:styleId="CTA--">
    <w:name w:val="CTA --"/>
    <w:basedOn w:val="OPCParaBase"/>
    <w:next w:val="Normal"/>
    <w:rsid w:val="007C79C2"/>
    <w:pPr>
      <w:spacing w:before="60" w:line="240" w:lineRule="atLeast"/>
      <w:ind w:left="142" w:hanging="142"/>
    </w:pPr>
    <w:rPr>
      <w:sz w:val="20"/>
    </w:rPr>
  </w:style>
  <w:style w:type="paragraph" w:customStyle="1" w:styleId="CTA-">
    <w:name w:val="CTA -"/>
    <w:basedOn w:val="OPCParaBase"/>
    <w:rsid w:val="007C79C2"/>
    <w:pPr>
      <w:spacing w:before="60" w:line="240" w:lineRule="atLeast"/>
      <w:ind w:left="85" w:hanging="85"/>
    </w:pPr>
    <w:rPr>
      <w:sz w:val="20"/>
    </w:rPr>
  </w:style>
  <w:style w:type="paragraph" w:customStyle="1" w:styleId="CTA---">
    <w:name w:val="CTA ---"/>
    <w:basedOn w:val="OPCParaBase"/>
    <w:next w:val="Normal"/>
    <w:rsid w:val="007C79C2"/>
    <w:pPr>
      <w:spacing w:before="60" w:line="240" w:lineRule="atLeast"/>
      <w:ind w:left="198" w:hanging="198"/>
    </w:pPr>
    <w:rPr>
      <w:sz w:val="20"/>
    </w:rPr>
  </w:style>
  <w:style w:type="paragraph" w:customStyle="1" w:styleId="CTA----">
    <w:name w:val="CTA ----"/>
    <w:basedOn w:val="OPCParaBase"/>
    <w:next w:val="Normal"/>
    <w:rsid w:val="007C79C2"/>
    <w:pPr>
      <w:spacing w:before="60" w:line="240" w:lineRule="atLeast"/>
      <w:ind w:left="255" w:hanging="255"/>
    </w:pPr>
    <w:rPr>
      <w:sz w:val="20"/>
    </w:rPr>
  </w:style>
  <w:style w:type="paragraph" w:customStyle="1" w:styleId="CTA1a">
    <w:name w:val="CTA 1(a)"/>
    <w:basedOn w:val="OPCParaBase"/>
    <w:rsid w:val="007C79C2"/>
    <w:pPr>
      <w:tabs>
        <w:tab w:val="right" w:pos="414"/>
      </w:tabs>
      <w:spacing w:before="40" w:line="240" w:lineRule="atLeast"/>
      <w:ind w:left="675" w:hanging="675"/>
    </w:pPr>
    <w:rPr>
      <w:sz w:val="20"/>
    </w:rPr>
  </w:style>
  <w:style w:type="paragraph" w:customStyle="1" w:styleId="CTA1ai">
    <w:name w:val="CTA 1(a)(i)"/>
    <w:basedOn w:val="OPCParaBase"/>
    <w:rsid w:val="007C79C2"/>
    <w:pPr>
      <w:tabs>
        <w:tab w:val="right" w:pos="1004"/>
      </w:tabs>
      <w:spacing w:before="40" w:line="240" w:lineRule="atLeast"/>
      <w:ind w:left="1253" w:hanging="1253"/>
    </w:pPr>
    <w:rPr>
      <w:sz w:val="20"/>
    </w:rPr>
  </w:style>
  <w:style w:type="paragraph" w:customStyle="1" w:styleId="CTA2a">
    <w:name w:val="CTA 2(a)"/>
    <w:basedOn w:val="OPCParaBase"/>
    <w:rsid w:val="007C79C2"/>
    <w:pPr>
      <w:tabs>
        <w:tab w:val="right" w:pos="482"/>
      </w:tabs>
      <w:spacing w:before="40" w:line="240" w:lineRule="atLeast"/>
      <w:ind w:left="748" w:hanging="748"/>
    </w:pPr>
    <w:rPr>
      <w:sz w:val="20"/>
    </w:rPr>
  </w:style>
  <w:style w:type="paragraph" w:customStyle="1" w:styleId="CTA2ai">
    <w:name w:val="CTA 2(a)(i)"/>
    <w:basedOn w:val="OPCParaBase"/>
    <w:rsid w:val="007C79C2"/>
    <w:pPr>
      <w:tabs>
        <w:tab w:val="right" w:pos="1089"/>
      </w:tabs>
      <w:spacing w:before="40" w:line="240" w:lineRule="atLeast"/>
      <w:ind w:left="1327" w:hanging="1327"/>
    </w:pPr>
    <w:rPr>
      <w:sz w:val="20"/>
    </w:rPr>
  </w:style>
  <w:style w:type="paragraph" w:customStyle="1" w:styleId="CTA3a">
    <w:name w:val="CTA 3(a)"/>
    <w:basedOn w:val="OPCParaBase"/>
    <w:rsid w:val="007C79C2"/>
    <w:pPr>
      <w:tabs>
        <w:tab w:val="right" w:pos="556"/>
      </w:tabs>
      <w:spacing w:before="40" w:line="240" w:lineRule="atLeast"/>
      <w:ind w:left="805" w:hanging="805"/>
    </w:pPr>
    <w:rPr>
      <w:sz w:val="20"/>
    </w:rPr>
  </w:style>
  <w:style w:type="paragraph" w:customStyle="1" w:styleId="CTA3ai">
    <w:name w:val="CTA 3(a)(i)"/>
    <w:basedOn w:val="OPCParaBase"/>
    <w:rsid w:val="007C79C2"/>
    <w:pPr>
      <w:tabs>
        <w:tab w:val="right" w:pos="1140"/>
      </w:tabs>
      <w:spacing w:before="40" w:line="240" w:lineRule="atLeast"/>
      <w:ind w:left="1361" w:hanging="1361"/>
    </w:pPr>
    <w:rPr>
      <w:sz w:val="20"/>
    </w:rPr>
  </w:style>
  <w:style w:type="paragraph" w:customStyle="1" w:styleId="CTA4a">
    <w:name w:val="CTA 4(a)"/>
    <w:basedOn w:val="OPCParaBase"/>
    <w:rsid w:val="007C79C2"/>
    <w:pPr>
      <w:tabs>
        <w:tab w:val="right" w:pos="624"/>
      </w:tabs>
      <w:spacing w:before="40" w:line="240" w:lineRule="atLeast"/>
      <w:ind w:left="873" w:hanging="873"/>
    </w:pPr>
    <w:rPr>
      <w:sz w:val="20"/>
    </w:rPr>
  </w:style>
  <w:style w:type="paragraph" w:customStyle="1" w:styleId="CTA4ai">
    <w:name w:val="CTA 4(a)(i)"/>
    <w:basedOn w:val="OPCParaBase"/>
    <w:rsid w:val="007C79C2"/>
    <w:pPr>
      <w:tabs>
        <w:tab w:val="right" w:pos="1213"/>
      </w:tabs>
      <w:spacing w:before="40" w:line="240" w:lineRule="atLeast"/>
      <w:ind w:left="1452" w:hanging="1452"/>
    </w:pPr>
    <w:rPr>
      <w:sz w:val="20"/>
    </w:rPr>
  </w:style>
  <w:style w:type="paragraph" w:customStyle="1" w:styleId="CTACAPS">
    <w:name w:val="CTA CAPS"/>
    <w:basedOn w:val="OPCParaBase"/>
    <w:rsid w:val="007C79C2"/>
    <w:pPr>
      <w:spacing w:before="60" w:line="240" w:lineRule="atLeast"/>
    </w:pPr>
    <w:rPr>
      <w:sz w:val="20"/>
    </w:rPr>
  </w:style>
  <w:style w:type="paragraph" w:customStyle="1" w:styleId="CTAright">
    <w:name w:val="CTA right"/>
    <w:basedOn w:val="OPCParaBase"/>
    <w:rsid w:val="007C79C2"/>
    <w:pPr>
      <w:spacing w:before="60" w:line="240" w:lineRule="auto"/>
      <w:jc w:val="right"/>
    </w:pPr>
    <w:rPr>
      <w:sz w:val="20"/>
    </w:rPr>
  </w:style>
  <w:style w:type="paragraph" w:customStyle="1" w:styleId="subsection">
    <w:name w:val="subsection"/>
    <w:aliases w:val="ss"/>
    <w:basedOn w:val="OPCParaBase"/>
    <w:link w:val="subsectionChar"/>
    <w:rsid w:val="007C79C2"/>
    <w:pPr>
      <w:tabs>
        <w:tab w:val="right" w:pos="1021"/>
      </w:tabs>
      <w:spacing w:before="180" w:line="240" w:lineRule="auto"/>
      <w:ind w:left="1134" w:hanging="1134"/>
    </w:pPr>
  </w:style>
  <w:style w:type="paragraph" w:customStyle="1" w:styleId="Definition">
    <w:name w:val="Definition"/>
    <w:aliases w:val="dd"/>
    <w:basedOn w:val="OPCParaBase"/>
    <w:rsid w:val="007C79C2"/>
    <w:pPr>
      <w:spacing w:before="180" w:line="240" w:lineRule="auto"/>
      <w:ind w:left="1134"/>
    </w:pPr>
  </w:style>
  <w:style w:type="paragraph" w:customStyle="1" w:styleId="ETAsubitem">
    <w:name w:val="ETA(subitem)"/>
    <w:basedOn w:val="OPCParaBase"/>
    <w:rsid w:val="007C79C2"/>
    <w:pPr>
      <w:tabs>
        <w:tab w:val="right" w:pos="340"/>
      </w:tabs>
      <w:spacing w:before="60" w:line="240" w:lineRule="auto"/>
      <w:ind w:left="454" w:hanging="454"/>
    </w:pPr>
    <w:rPr>
      <w:sz w:val="20"/>
    </w:rPr>
  </w:style>
  <w:style w:type="paragraph" w:customStyle="1" w:styleId="ETApara">
    <w:name w:val="ETA(para)"/>
    <w:basedOn w:val="OPCParaBase"/>
    <w:rsid w:val="007C79C2"/>
    <w:pPr>
      <w:tabs>
        <w:tab w:val="right" w:pos="754"/>
      </w:tabs>
      <w:spacing w:before="60" w:line="240" w:lineRule="auto"/>
      <w:ind w:left="828" w:hanging="828"/>
    </w:pPr>
    <w:rPr>
      <w:sz w:val="20"/>
    </w:rPr>
  </w:style>
  <w:style w:type="paragraph" w:customStyle="1" w:styleId="ETAsubpara">
    <w:name w:val="ETA(subpara)"/>
    <w:basedOn w:val="OPCParaBase"/>
    <w:rsid w:val="007C79C2"/>
    <w:pPr>
      <w:tabs>
        <w:tab w:val="right" w:pos="1083"/>
      </w:tabs>
      <w:spacing w:before="60" w:line="240" w:lineRule="auto"/>
      <w:ind w:left="1191" w:hanging="1191"/>
    </w:pPr>
    <w:rPr>
      <w:sz w:val="20"/>
    </w:rPr>
  </w:style>
  <w:style w:type="paragraph" w:customStyle="1" w:styleId="ETAsub-subpara">
    <w:name w:val="ETA(sub-subpara)"/>
    <w:basedOn w:val="OPCParaBase"/>
    <w:rsid w:val="007C79C2"/>
    <w:pPr>
      <w:tabs>
        <w:tab w:val="right" w:pos="1412"/>
      </w:tabs>
      <w:spacing w:before="60" w:line="240" w:lineRule="auto"/>
      <w:ind w:left="1525" w:hanging="1525"/>
    </w:pPr>
    <w:rPr>
      <w:sz w:val="20"/>
    </w:rPr>
  </w:style>
  <w:style w:type="paragraph" w:customStyle="1" w:styleId="Formula">
    <w:name w:val="Formula"/>
    <w:basedOn w:val="OPCParaBase"/>
    <w:rsid w:val="007C79C2"/>
    <w:pPr>
      <w:spacing w:line="240" w:lineRule="auto"/>
      <w:ind w:left="1134"/>
    </w:pPr>
    <w:rPr>
      <w:sz w:val="20"/>
    </w:rPr>
  </w:style>
  <w:style w:type="paragraph" w:styleId="Header">
    <w:name w:val="header"/>
    <w:basedOn w:val="OPCParaBase"/>
    <w:link w:val="HeaderChar"/>
    <w:unhideWhenUsed/>
    <w:rsid w:val="007C79C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C79C2"/>
    <w:rPr>
      <w:rFonts w:eastAsia="Times New Roman" w:cs="Times New Roman"/>
      <w:sz w:val="16"/>
      <w:lang w:eastAsia="en-AU"/>
    </w:rPr>
  </w:style>
  <w:style w:type="paragraph" w:customStyle="1" w:styleId="House">
    <w:name w:val="House"/>
    <w:basedOn w:val="OPCParaBase"/>
    <w:rsid w:val="007C79C2"/>
    <w:pPr>
      <w:spacing w:line="240" w:lineRule="auto"/>
    </w:pPr>
    <w:rPr>
      <w:sz w:val="28"/>
    </w:rPr>
  </w:style>
  <w:style w:type="paragraph" w:customStyle="1" w:styleId="Item">
    <w:name w:val="Item"/>
    <w:aliases w:val="i"/>
    <w:basedOn w:val="OPCParaBase"/>
    <w:next w:val="ItemHead"/>
    <w:rsid w:val="007C79C2"/>
    <w:pPr>
      <w:keepLines/>
      <w:spacing w:before="80" w:line="240" w:lineRule="auto"/>
      <w:ind w:left="709"/>
    </w:pPr>
  </w:style>
  <w:style w:type="paragraph" w:customStyle="1" w:styleId="ItemHead">
    <w:name w:val="ItemHead"/>
    <w:aliases w:val="ih"/>
    <w:basedOn w:val="OPCParaBase"/>
    <w:next w:val="Item"/>
    <w:rsid w:val="007C79C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C79C2"/>
    <w:pPr>
      <w:spacing w:line="240" w:lineRule="auto"/>
    </w:pPr>
    <w:rPr>
      <w:b/>
      <w:sz w:val="32"/>
    </w:rPr>
  </w:style>
  <w:style w:type="paragraph" w:customStyle="1" w:styleId="notedraft">
    <w:name w:val="note(draft)"/>
    <w:aliases w:val="nd"/>
    <w:basedOn w:val="OPCParaBase"/>
    <w:rsid w:val="007C79C2"/>
    <w:pPr>
      <w:spacing w:before="240" w:line="240" w:lineRule="auto"/>
      <w:ind w:left="284" w:hanging="284"/>
    </w:pPr>
    <w:rPr>
      <w:i/>
      <w:sz w:val="24"/>
    </w:rPr>
  </w:style>
  <w:style w:type="paragraph" w:customStyle="1" w:styleId="notemargin">
    <w:name w:val="note(margin)"/>
    <w:aliases w:val="nm"/>
    <w:basedOn w:val="OPCParaBase"/>
    <w:rsid w:val="007C79C2"/>
    <w:pPr>
      <w:tabs>
        <w:tab w:val="left" w:pos="709"/>
      </w:tabs>
      <w:spacing w:before="122" w:line="198" w:lineRule="exact"/>
      <w:ind w:left="709" w:hanging="709"/>
    </w:pPr>
    <w:rPr>
      <w:sz w:val="18"/>
    </w:rPr>
  </w:style>
  <w:style w:type="paragraph" w:customStyle="1" w:styleId="noteToPara">
    <w:name w:val="noteToPara"/>
    <w:aliases w:val="ntp"/>
    <w:basedOn w:val="OPCParaBase"/>
    <w:rsid w:val="007C79C2"/>
    <w:pPr>
      <w:spacing w:before="122" w:line="198" w:lineRule="exact"/>
      <w:ind w:left="2353" w:hanging="709"/>
    </w:pPr>
    <w:rPr>
      <w:sz w:val="18"/>
    </w:rPr>
  </w:style>
  <w:style w:type="paragraph" w:customStyle="1" w:styleId="noteParlAmend">
    <w:name w:val="note(ParlAmend)"/>
    <w:aliases w:val="npp"/>
    <w:basedOn w:val="OPCParaBase"/>
    <w:next w:val="ParlAmend"/>
    <w:rsid w:val="007C79C2"/>
    <w:pPr>
      <w:spacing w:line="240" w:lineRule="auto"/>
      <w:jc w:val="right"/>
    </w:pPr>
    <w:rPr>
      <w:rFonts w:ascii="Arial" w:hAnsi="Arial"/>
      <w:b/>
      <w:i/>
    </w:rPr>
  </w:style>
  <w:style w:type="paragraph" w:customStyle="1" w:styleId="Page1">
    <w:name w:val="Page1"/>
    <w:basedOn w:val="OPCParaBase"/>
    <w:rsid w:val="007C79C2"/>
    <w:pPr>
      <w:spacing w:before="5600" w:line="240" w:lineRule="auto"/>
    </w:pPr>
    <w:rPr>
      <w:b/>
      <w:sz w:val="32"/>
    </w:rPr>
  </w:style>
  <w:style w:type="paragraph" w:customStyle="1" w:styleId="PageBreak">
    <w:name w:val="PageBreak"/>
    <w:aliases w:val="pb"/>
    <w:basedOn w:val="OPCParaBase"/>
    <w:rsid w:val="007C79C2"/>
    <w:pPr>
      <w:spacing w:line="240" w:lineRule="auto"/>
    </w:pPr>
    <w:rPr>
      <w:sz w:val="20"/>
    </w:rPr>
  </w:style>
  <w:style w:type="paragraph" w:customStyle="1" w:styleId="paragraphsub">
    <w:name w:val="paragraph(sub)"/>
    <w:aliases w:val="aa"/>
    <w:basedOn w:val="OPCParaBase"/>
    <w:rsid w:val="007C79C2"/>
    <w:pPr>
      <w:tabs>
        <w:tab w:val="right" w:pos="1985"/>
      </w:tabs>
      <w:spacing w:before="40" w:line="240" w:lineRule="auto"/>
      <w:ind w:left="2098" w:hanging="2098"/>
    </w:pPr>
  </w:style>
  <w:style w:type="paragraph" w:customStyle="1" w:styleId="paragraphsub-sub">
    <w:name w:val="paragraph(sub-sub)"/>
    <w:aliases w:val="aaa"/>
    <w:basedOn w:val="OPCParaBase"/>
    <w:rsid w:val="007C79C2"/>
    <w:pPr>
      <w:tabs>
        <w:tab w:val="right" w:pos="2722"/>
      </w:tabs>
      <w:spacing w:before="40" w:line="240" w:lineRule="auto"/>
      <w:ind w:left="2835" w:hanging="2835"/>
    </w:pPr>
  </w:style>
  <w:style w:type="paragraph" w:customStyle="1" w:styleId="paragraph">
    <w:name w:val="paragraph"/>
    <w:aliases w:val="a"/>
    <w:basedOn w:val="OPCParaBase"/>
    <w:link w:val="paragraphChar"/>
    <w:rsid w:val="007C79C2"/>
    <w:pPr>
      <w:tabs>
        <w:tab w:val="right" w:pos="1531"/>
      </w:tabs>
      <w:spacing w:before="40" w:line="240" w:lineRule="auto"/>
      <w:ind w:left="1644" w:hanging="1644"/>
    </w:pPr>
  </w:style>
  <w:style w:type="paragraph" w:customStyle="1" w:styleId="ParlAmend">
    <w:name w:val="ParlAmend"/>
    <w:aliases w:val="pp"/>
    <w:basedOn w:val="OPCParaBase"/>
    <w:rsid w:val="007C79C2"/>
    <w:pPr>
      <w:spacing w:before="240" w:line="240" w:lineRule="atLeast"/>
      <w:ind w:hanging="567"/>
    </w:pPr>
    <w:rPr>
      <w:sz w:val="24"/>
    </w:rPr>
  </w:style>
  <w:style w:type="paragraph" w:customStyle="1" w:styleId="Penalty">
    <w:name w:val="Penalty"/>
    <w:basedOn w:val="OPCParaBase"/>
    <w:rsid w:val="007C79C2"/>
    <w:pPr>
      <w:tabs>
        <w:tab w:val="left" w:pos="2977"/>
      </w:tabs>
      <w:spacing w:before="180" w:line="240" w:lineRule="auto"/>
      <w:ind w:left="1985" w:hanging="851"/>
    </w:pPr>
  </w:style>
  <w:style w:type="paragraph" w:customStyle="1" w:styleId="Portfolio">
    <w:name w:val="Portfolio"/>
    <w:basedOn w:val="OPCParaBase"/>
    <w:rsid w:val="007C79C2"/>
    <w:pPr>
      <w:spacing w:line="240" w:lineRule="auto"/>
    </w:pPr>
    <w:rPr>
      <w:i/>
      <w:sz w:val="20"/>
    </w:rPr>
  </w:style>
  <w:style w:type="paragraph" w:customStyle="1" w:styleId="Preamble">
    <w:name w:val="Preamble"/>
    <w:basedOn w:val="OPCParaBase"/>
    <w:next w:val="Normal"/>
    <w:rsid w:val="007C79C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C79C2"/>
    <w:pPr>
      <w:spacing w:line="240" w:lineRule="auto"/>
    </w:pPr>
    <w:rPr>
      <w:i/>
      <w:sz w:val="20"/>
    </w:rPr>
  </w:style>
  <w:style w:type="paragraph" w:customStyle="1" w:styleId="Session">
    <w:name w:val="Session"/>
    <w:basedOn w:val="OPCParaBase"/>
    <w:rsid w:val="007C79C2"/>
    <w:pPr>
      <w:spacing w:line="240" w:lineRule="auto"/>
    </w:pPr>
    <w:rPr>
      <w:sz w:val="28"/>
    </w:rPr>
  </w:style>
  <w:style w:type="paragraph" w:customStyle="1" w:styleId="Sponsor">
    <w:name w:val="Sponsor"/>
    <w:basedOn w:val="OPCParaBase"/>
    <w:rsid w:val="007C79C2"/>
    <w:pPr>
      <w:spacing w:line="240" w:lineRule="auto"/>
    </w:pPr>
    <w:rPr>
      <w:i/>
    </w:rPr>
  </w:style>
  <w:style w:type="paragraph" w:customStyle="1" w:styleId="Subitem">
    <w:name w:val="Subitem"/>
    <w:aliases w:val="iss"/>
    <w:basedOn w:val="OPCParaBase"/>
    <w:rsid w:val="007C79C2"/>
    <w:pPr>
      <w:spacing w:before="180" w:line="240" w:lineRule="auto"/>
      <w:ind w:left="709" w:hanging="709"/>
    </w:pPr>
  </w:style>
  <w:style w:type="paragraph" w:customStyle="1" w:styleId="SubitemHead">
    <w:name w:val="SubitemHead"/>
    <w:aliases w:val="issh"/>
    <w:basedOn w:val="OPCParaBase"/>
    <w:rsid w:val="007C79C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C79C2"/>
    <w:pPr>
      <w:spacing w:before="40" w:line="240" w:lineRule="auto"/>
      <w:ind w:left="1134"/>
    </w:pPr>
  </w:style>
  <w:style w:type="paragraph" w:customStyle="1" w:styleId="SubsectionHead">
    <w:name w:val="SubsectionHead"/>
    <w:aliases w:val="ssh"/>
    <w:basedOn w:val="OPCParaBase"/>
    <w:next w:val="subsection"/>
    <w:rsid w:val="007C79C2"/>
    <w:pPr>
      <w:keepNext/>
      <w:keepLines/>
      <w:spacing w:before="240" w:line="240" w:lineRule="auto"/>
      <w:ind w:left="1134"/>
    </w:pPr>
    <w:rPr>
      <w:i/>
    </w:rPr>
  </w:style>
  <w:style w:type="paragraph" w:customStyle="1" w:styleId="Tablea">
    <w:name w:val="Table(a)"/>
    <w:aliases w:val="ta"/>
    <w:basedOn w:val="OPCParaBase"/>
    <w:rsid w:val="007C79C2"/>
    <w:pPr>
      <w:spacing w:before="60" w:line="240" w:lineRule="auto"/>
      <w:ind w:left="284" w:hanging="284"/>
    </w:pPr>
    <w:rPr>
      <w:sz w:val="20"/>
    </w:rPr>
  </w:style>
  <w:style w:type="paragraph" w:customStyle="1" w:styleId="TableAA">
    <w:name w:val="Table(AA)"/>
    <w:aliases w:val="taaa"/>
    <w:basedOn w:val="OPCParaBase"/>
    <w:rsid w:val="007C79C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C79C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7C79C2"/>
    <w:pPr>
      <w:spacing w:before="60" w:line="240" w:lineRule="atLeast"/>
    </w:pPr>
    <w:rPr>
      <w:sz w:val="20"/>
    </w:rPr>
  </w:style>
  <w:style w:type="paragraph" w:customStyle="1" w:styleId="TLPBoxTextnote">
    <w:name w:val="TLPBoxText(note"/>
    <w:aliases w:val="right)"/>
    <w:basedOn w:val="OPCParaBase"/>
    <w:rsid w:val="007C79C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C79C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C79C2"/>
    <w:pPr>
      <w:spacing w:before="122" w:line="198" w:lineRule="exact"/>
      <w:ind w:left="1985" w:hanging="851"/>
      <w:jc w:val="right"/>
    </w:pPr>
    <w:rPr>
      <w:sz w:val="18"/>
    </w:rPr>
  </w:style>
  <w:style w:type="paragraph" w:customStyle="1" w:styleId="TLPTableBullet">
    <w:name w:val="TLPTableBullet"/>
    <w:aliases w:val="ttb"/>
    <w:basedOn w:val="OPCParaBase"/>
    <w:rsid w:val="007C79C2"/>
    <w:pPr>
      <w:spacing w:line="240" w:lineRule="exact"/>
      <w:ind w:left="284" w:hanging="284"/>
    </w:pPr>
    <w:rPr>
      <w:sz w:val="20"/>
    </w:rPr>
  </w:style>
  <w:style w:type="paragraph" w:styleId="TOC1">
    <w:name w:val="toc 1"/>
    <w:basedOn w:val="OPCParaBase"/>
    <w:next w:val="Normal"/>
    <w:uiPriority w:val="39"/>
    <w:semiHidden/>
    <w:unhideWhenUsed/>
    <w:rsid w:val="007C79C2"/>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7C79C2"/>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7C79C2"/>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7C79C2"/>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semiHidden/>
    <w:unhideWhenUsed/>
    <w:rsid w:val="007C79C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7C79C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C79C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C79C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7C79C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C79C2"/>
    <w:pPr>
      <w:keepLines/>
      <w:spacing w:before="240" w:after="120" w:line="240" w:lineRule="auto"/>
      <w:ind w:left="794"/>
    </w:pPr>
    <w:rPr>
      <w:b/>
      <w:kern w:val="28"/>
      <w:sz w:val="20"/>
    </w:rPr>
  </w:style>
  <w:style w:type="paragraph" w:customStyle="1" w:styleId="TofSectsHeading">
    <w:name w:val="TofSects(Heading)"/>
    <w:basedOn w:val="OPCParaBase"/>
    <w:rsid w:val="007C79C2"/>
    <w:pPr>
      <w:spacing w:before="240" w:after="120" w:line="240" w:lineRule="auto"/>
    </w:pPr>
    <w:rPr>
      <w:b/>
      <w:sz w:val="24"/>
    </w:rPr>
  </w:style>
  <w:style w:type="paragraph" w:customStyle="1" w:styleId="TofSectsSection">
    <w:name w:val="TofSects(Section)"/>
    <w:basedOn w:val="OPCParaBase"/>
    <w:rsid w:val="007C79C2"/>
    <w:pPr>
      <w:keepLines/>
      <w:spacing w:before="40" w:line="240" w:lineRule="auto"/>
      <w:ind w:left="1588" w:hanging="794"/>
    </w:pPr>
    <w:rPr>
      <w:kern w:val="28"/>
      <w:sz w:val="18"/>
    </w:rPr>
  </w:style>
  <w:style w:type="paragraph" w:customStyle="1" w:styleId="TofSectsSubdiv">
    <w:name w:val="TofSects(Subdiv)"/>
    <w:basedOn w:val="OPCParaBase"/>
    <w:rsid w:val="007C79C2"/>
    <w:pPr>
      <w:keepLines/>
      <w:spacing w:before="80" w:line="240" w:lineRule="auto"/>
      <w:ind w:left="1588" w:hanging="794"/>
    </w:pPr>
    <w:rPr>
      <w:kern w:val="28"/>
    </w:rPr>
  </w:style>
  <w:style w:type="paragraph" w:customStyle="1" w:styleId="WRStyle">
    <w:name w:val="WR Style"/>
    <w:aliases w:val="WR"/>
    <w:basedOn w:val="OPCParaBase"/>
    <w:rsid w:val="007C79C2"/>
    <w:pPr>
      <w:spacing w:before="240" w:line="240" w:lineRule="auto"/>
      <w:ind w:left="284" w:hanging="284"/>
    </w:pPr>
    <w:rPr>
      <w:b/>
      <w:i/>
      <w:kern w:val="28"/>
      <w:sz w:val="24"/>
    </w:rPr>
  </w:style>
  <w:style w:type="paragraph" w:customStyle="1" w:styleId="notepara">
    <w:name w:val="note(para)"/>
    <w:aliases w:val="na"/>
    <w:basedOn w:val="OPCParaBase"/>
    <w:rsid w:val="007C79C2"/>
    <w:pPr>
      <w:spacing w:before="40" w:line="198" w:lineRule="exact"/>
      <w:ind w:left="2354" w:hanging="369"/>
    </w:pPr>
    <w:rPr>
      <w:sz w:val="18"/>
    </w:rPr>
  </w:style>
  <w:style w:type="paragraph" w:styleId="Footer">
    <w:name w:val="footer"/>
    <w:link w:val="FooterChar"/>
    <w:rsid w:val="007C79C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C79C2"/>
    <w:rPr>
      <w:rFonts w:eastAsia="Times New Roman" w:cs="Times New Roman"/>
      <w:sz w:val="22"/>
      <w:szCs w:val="24"/>
      <w:lang w:eastAsia="en-AU"/>
    </w:rPr>
  </w:style>
  <w:style w:type="character" w:styleId="LineNumber">
    <w:name w:val="line number"/>
    <w:basedOn w:val="OPCCharBase"/>
    <w:uiPriority w:val="99"/>
    <w:semiHidden/>
    <w:unhideWhenUsed/>
    <w:rsid w:val="007C79C2"/>
    <w:rPr>
      <w:sz w:val="16"/>
    </w:rPr>
  </w:style>
  <w:style w:type="table" w:customStyle="1" w:styleId="CFlag">
    <w:name w:val="CFlag"/>
    <w:basedOn w:val="TableNormal"/>
    <w:uiPriority w:val="99"/>
    <w:rsid w:val="007C79C2"/>
    <w:rPr>
      <w:rFonts w:eastAsia="Times New Roman" w:cs="Times New Roman"/>
      <w:lang w:eastAsia="en-AU"/>
    </w:rPr>
    <w:tblPr/>
  </w:style>
  <w:style w:type="paragraph" w:customStyle="1" w:styleId="CompiledActNo">
    <w:name w:val="CompiledActNo"/>
    <w:basedOn w:val="OPCParaBase"/>
    <w:next w:val="Normal"/>
    <w:rsid w:val="007C79C2"/>
    <w:rPr>
      <w:b/>
      <w:sz w:val="24"/>
      <w:szCs w:val="24"/>
    </w:rPr>
  </w:style>
  <w:style w:type="paragraph" w:customStyle="1" w:styleId="CompiledMadeUnder">
    <w:name w:val="CompiledMadeUnder"/>
    <w:basedOn w:val="OPCParaBase"/>
    <w:next w:val="Normal"/>
    <w:rsid w:val="007C79C2"/>
    <w:rPr>
      <w:i/>
      <w:sz w:val="24"/>
      <w:szCs w:val="24"/>
    </w:rPr>
  </w:style>
  <w:style w:type="paragraph" w:customStyle="1" w:styleId="ENotesText">
    <w:name w:val="ENotesText"/>
    <w:aliases w:val="Ent"/>
    <w:basedOn w:val="OPCParaBase"/>
    <w:next w:val="Normal"/>
    <w:rsid w:val="007C79C2"/>
    <w:pPr>
      <w:spacing w:before="120"/>
    </w:pPr>
  </w:style>
  <w:style w:type="paragraph" w:customStyle="1" w:styleId="Paragraphsub-sub-sub">
    <w:name w:val="Paragraph(sub-sub-sub)"/>
    <w:aliases w:val="aaaa"/>
    <w:basedOn w:val="OPCParaBase"/>
    <w:rsid w:val="007C79C2"/>
    <w:pPr>
      <w:tabs>
        <w:tab w:val="right" w:pos="3402"/>
      </w:tabs>
      <w:spacing w:before="40" w:line="240" w:lineRule="auto"/>
      <w:ind w:left="3402" w:hanging="3402"/>
    </w:pPr>
  </w:style>
  <w:style w:type="paragraph" w:customStyle="1" w:styleId="NoteToSubpara">
    <w:name w:val="NoteToSubpara"/>
    <w:aliases w:val="nts"/>
    <w:basedOn w:val="OPCParaBase"/>
    <w:rsid w:val="007C79C2"/>
    <w:pPr>
      <w:spacing w:before="40" w:line="198" w:lineRule="exact"/>
      <w:ind w:left="2835" w:hanging="709"/>
    </w:pPr>
    <w:rPr>
      <w:sz w:val="18"/>
    </w:rPr>
  </w:style>
  <w:style w:type="paragraph" w:customStyle="1" w:styleId="ENoteTableHeading">
    <w:name w:val="ENoteTableHeading"/>
    <w:aliases w:val="enth"/>
    <w:basedOn w:val="OPCParaBase"/>
    <w:rsid w:val="007C79C2"/>
    <w:pPr>
      <w:keepNext/>
      <w:spacing w:before="60" w:line="240" w:lineRule="atLeast"/>
    </w:pPr>
    <w:rPr>
      <w:rFonts w:ascii="Arial" w:hAnsi="Arial"/>
      <w:b/>
      <w:sz w:val="16"/>
    </w:rPr>
  </w:style>
  <w:style w:type="paragraph" w:customStyle="1" w:styleId="ENoteTTi">
    <w:name w:val="ENoteTTi"/>
    <w:aliases w:val="entti"/>
    <w:basedOn w:val="OPCParaBase"/>
    <w:rsid w:val="007C79C2"/>
    <w:pPr>
      <w:keepNext/>
      <w:spacing w:before="60" w:line="240" w:lineRule="atLeast"/>
      <w:ind w:left="170"/>
    </w:pPr>
    <w:rPr>
      <w:sz w:val="16"/>
    </w:rPr>
  </w:style>
  <w:style w:type="paragraph" w:customStyle="1" w:styleId="ENotesHeading1">
    <w:name w:val="ENotesHeading 1"/>
    <w:aliases w:val="Enh1"/>
    <w:basedOn w:val="OPCParaBase"/>
    <w:next w:val="Normal"/>
    <w:rsid w:val="007C79C2"/>
    <w:pPr>
      <w:spacing w:before="120"/>
      <w:outlineLvl w:val="0"/>
    </w:pPr>
    <w:rPr>
      <w:b/>
      <w:sz w:val="28"/>
      <w:szCs w:val="28"/>
    </w:rPr>
  </w:style>
  <w:style w:type="paragraph" w:customStyle="1" w:styleId="ENotesHeading2">
    <w:name w:val="ENotesHeading 2"/>
    <w:aliases w:val="Enh2"/>
    <w:basedOn w:val="OPCParaBase"/>
    <w:next w:val="Normal"/>
    <w:rsid w:val="007C79C2"/>
    <w:pPr>
      <w:spacing w:before="120" w:after="120"/>
      <w:outlineLvl w:val="1"/>
    </w:pPr>
    <w:rPr>
      <w:b/>
      <w:sz w:val="24"/>
      <w:szCs w:val="28"/>
    </w:rPr>
  </w:style>
  <w:style w:type="paragraph" w:customStyle="1" w:styleId="ENoteTTIndentHeading">
    <w:name w:val="ENoteTTIndentHeading"/>
    <w:aliases w:val="enTTHi"/>
    <w:basedOn w:val="OPCParaBase"/>
    <w:rsid w:val="007C79C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C79C2"/>
    <w:pPr>
      <w:spacing w:before="60" w:line="240" w:lineRule="atLeast"/>
    </w:pPr>
    <w:rPr>
      <w:sz w:val="16"/>
    </w:rPr>
  </w:style>
  <w:style w:type="paragraph" w:customStyle="1" w:styleId="MadeunderText">
    <w:name w:val="MadeunderText"/>
    <w:basedOn w:val="OPCParaBase"/>
    <w:next w:val="Normal"/>
    <w:rsid w:val="007C79C2"/>
    <w:pPr>
      <w:spacing w:before="240"/>
    </w:pPr>
    <w:rPr>
      <w:sz w:val="24"/>
      <w:szCs w:val="24"/>
    </w:rPr>
  </w:style>
  <w:style w:type="paragraph" w:customStyle="1" w:styleId="ENotesHeading3">
    <w:name w:val="ENotesHeading 3"/>
    <w:aliases w:val="Enh3"/>
    <w:basedOn w:val="OPCParaBase"/>
    <w:next w:val="Normal"/>
    <w:rsid w:val="007C79C2"/>
    <w:pPr>
      <w:keepNext/>
      <w:spacing w:before="120" w:line="240" w:lineRule="auto"/>
      <w:outlineLvl w:val="4"/>
    </w:pPr>
    <w:rPr>
      <w:b/>
      <w:szCs w:val="24"/>
    </w:rPr>
  </w:style>
  <w:style w:type="character" w:customStyle="1" w:styleId="CharSubPartTextCASA">
    <w:name w:val="CharSubPartText(CASA)"/>
    <w:basedOn w:val="OPCCharBase"/>
    <w:uiPriority w:val="1"/>
    <w:rsid w:val="007C79C2"/>
  </w:style>
  <w:style w:type="character" w:customStyle="1" w:styleId="CharSubPartNoCASA">
    <w:name w:val="CharSubPartNo(CASA)"/>
    <w:basedOn w:val="OPCCharBase"/>
    <w:uiPriority w:val="1"/>
    <w:rsid w:val="007C79C2"/>
  </w:style>
  <w:style w:type="paragraph" w:customStyle="1" w:styleId="ENoteTTIndentHeadingSub">
    <w:name w:val="ENoteTTIndentHeadingSub"/>
    <w:aliases w:val="enTTHis"/>
    <w:basedOn w:val="OPCParaBase"/>
    <w:rsid w:val="007C79C2"/>
    <w:pPr>
      <w:keepNext/>
      <w:spacing w:before="60" w:line="240" w:lineRule="atLeast"/>
      <w:ind w:left="340"/>
    </w:pPr>
    <w:rPr>
      <w:b/>
      <w:sz w:val="16"/>
    </w:rPr>
  </w:style>
  <w:style w:type="paragraph" w:customStyle="1" w:styleId="ENoteTTiSub">
    <w:name w:val="ENoteTTiSub"/>
    <w:aliases w:val="enttis"/>
    <w:basedOn w:val="OPCParaBase"/>
    <w:rsid w:val="007C79C2"/>
    <w:pPr>
      <w:keepNext/>
      <w:spacing w:before="60" w:line="240" w:lineRule="atLeast"/>
      <w:ind w:left="340"/>
    </w:pPr>
    <w:rPr>
      <w:sz w:val="16"/>
    </w:rPr>
  </w:style>
  <w:style w:type="paragraph" w:customStyle="1" w:styleId="SubDivisionMigration">
    <w:name w:val="SubDivisionMigration"/>
    <w:aliases w:val="sdm"/>
    <w:basedOn w:val="OPCParaBase"/>
    <w:rsid w:val="007C79C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C79C2"/>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C79C2"/>
    <w:pPr>
      <w:spacing w:before="122" w:line="240" w:lineRule="auto"/>
      <w:ind w:left="1985" w:hanging="851"/>
    </w:pPr>
    <w:rPr>
      <w:sz w:val="18"/>
    </w:rPr>
  </w:style>
  <w:style w:type="paragraph" w:customStyle="1" w:styleId="FreeForm">
    <w:name w:val="FreeForm"/>
    <w:rsid w:val="007C79C2"/>
    <w:rPr>
      <w:rFonts w:ascii="Arial" w:hAnsi="Arial"/>
      <w:sz w:val="22"/>
    </w:rPr>
  </w:style>
  <w:style w:type="paragraph" w:customStyle="1" w:styleId="SOText">
    <w:name w:val="SO Text"/>
    <w:aliases w:val="sot"/>
    <w:link w:val="SOTextChar"/>
    <w:rsid w:val="007C79C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C79C2"/>
    <w:rPr>
      <w:sz w:val="22"/>
    </w:rPr>
  </w:style>
  <w:style w:type="paragraph" w:customStyle="1" w:styleId="SOTextNote">
    <w:name w:val="SO TextNote"/>
    <w:aliases w:val="sont"/>
    <w:basedOn w:val="SOText"/>
    <w:qFormat/>
    <w:rsid w:val="007C79C2"/>
    <w:pPr>
      <w:spacing w:before="122" w:line="198" w:lineRule="exact"/>
      <w:ind w:left="1843" w:hanging="709"/>
    </w:pPr>
    <w:rPr>
      <w:sz w:val="18"/>
    </w:rPr>
  </w:style>
  <w:style w:type="paragraph" w:customStyle="1" w:styleId="SOPara">
    <w:name w:val="SO Para"/>
    <w:aliases w:val="soa"/>
    <w:basedOn w:val="SOText"/>
    <w:link w:val="SOParaChar"/>
    <w:qFormat/>
    <w:rsid w:val="007C79C2"/>
    <w:pPr>
      <w:tabs>
        <w:tab w:val="right" w:pos="1786"/>
      </w:tabs>
      <w:spacing w:before="40"/>
      <w:ind w:left="2070" w:hanging="936"/>
    </w:pPr>
  </w:style>
  <w:style w:type="character" w:customStyle="1" w:styleId="SOParaChar">
    <w:name w:val="SO Para Char"/>
    <w:aliases w:val="soa Char"/>
    <w:basedOn w:val="DefaultParagraphFont"/>
    <w:link w:val="SOPara"/>
    <w:rsid w:val="007C79C2"/>
    <w:rPr>
      <w:sz w:val="22"/>
    </w:rPr>
  </w:style>
  <w:style w:type="paragraph" w:customStyle="1" w:styleId="FileName">
    <w:name w:val="FileName"/>
    <w:basedOn w:val="Normal"/>
    <w:rsid w:val="007C79C2"/>
  </w:style>
  <w:style w:type="paragraph" w:customStyle="1" w:styleId="TableHeading">
    <w:name w:val="TableHeading"/>
    <w:aliases w:val="th"/>
    <w:basedOn w:val="OPCParaBase"/>
    <w:next w:val="Tabletext"/>
    <w:rsid w:val="007C79C2"/>
    <w:pPr>
      <w:keepNext/>
      <w:spacing w:before="60" w:line="240" w:lineRule="atLeast"/>
    </w:pPr>
    <w:rPr>
      <w:b/>
      <w:sz w:val="20"/>
    </w:rPr>
  </w:style>
  <w:style w:type="paragraph" w:customStyle="1" w:styleId="SOHeadBold">
    <w:name w:val="SO HeadBold"/>
    <w:aliases w:val="sohb"/>
    <w:basedOn w:val="SOText"/>
    <w:next w:val="SOText"/>
    <w:link w:val="SOHeadBoldChar"/>
    <w:qFormat/>
    <w:rsid w:val="007C79C2"/>
    <w:rPr>
      <w:b/>
    </w:rPr>
  </w:style>
  <w:style w:type="character" w:customStyle="1" w:styleId="SOHeadBoldChar">
    <w:name w:val="SO HeadBold Char"/>
    <w:aliases w:val="sohb Char"/>
    <w:basedOn w:val="DefaultParagraphFont"/>
    <w:link w:val="SOHeadBold"/>
    <w:rsid w:val="007C79C2"/>
    <w:rPr>
      <w:b/>
      <w:sz w:val="22"/>
    </w:rPr>
  </w:style>
  <w:style w:type="paragraph" w:customStyle="1" w:styleId="SOHeadItalic">
    <w:name w:val="SO HeadItalic"/>
    <w:aliases w:val="sohi"/>
    <w:basedOn w:val="SOText"/>
    <w:next w:val="SOText"/>
    <w:link w:val="SOHeadItalicChar"/>
    <w:qFormat/>
    <w:rsid w:val="007C79C2"/>
    <w:rPr>
      <w:i/>
    </w:rPr>
  </w:style>
  <w:style w:type="character" w:customStyle="1" w:styleId="SOHeadItalicChar">
    <w:name w:val="SO HeadItalic Char"/>
    <w:aliases w:val="sohi Char"/>
    <w:basedOn w:val="DefaultParagraphFont"/>
    <w:link w:val="SOHeadItalic"/>
    <w:rsid w:val="007C79C2"/>
    <w:rPr>
      <w:i/>
      <w:sz w:val="22"/>
    </w:rPr>
  </w:style>
  <w:style w:type="paragraph" w:customStyle="1" w:styleId="SOBullet">
    <w:name w:val="SO Bullet"/>
    <w:aliases w:val="sotb"/>
    <w:basedOn w:val="SOText"/>
    <w:link w:val="SOBulletChar"/>
    <w:qFormat/>
    <w:rsid w:val="007C79C2"/>
    <w:pPr>
      <w:ind w:left="1559" w:hanging="425"/>
    </w:pPr>
  </w:style>
  <w:style w:type="character" w:customStyle="1" w:styleId="SOBulletChar">
    <w:name w:val="SO Bullet Char"/>
    <w:aliases w:val="sotb Char"/>
    <w:basedOn w:val="DefaultParagraphFont"/>
    <w:link w:val="SOBullet"/>
    <w:rsid w:val="007C79C2"/>
    <w:rPr>
      <w:sz w:val="22"/>
    </w:rPr>
  </w:style>
  <w:style w:type="paragraph" w:customStyle="1" w:styleId="SOBulletNote">
    <w:name w:val="SO BulletNote"/>
    <w:aliases w:val="sonb"/>
    <w:basedOn w:val="SOTextNote"/>
    <w:link w:val="SOBulletNoteChar"/>
    <w:qFormat/>
    <w:rsid w:val="007C79C2"/>
    <w:pPr>
      <w:tabs>
        <w:tab w:val="left" w:pos="1560"/>
      </w:tabs>
      <w:ind w:left="2268" w:hanging="1134"/>
    </w:pPr>
  </w:style>
  <w:style w:type="character" w:customStyle="1" w:styleId="SOBulletNoteChar">
    <w:name w:val="SO BulletNote Char"/>
    <w:aliases w:val="sonb Char"/>
    <w:basedOn w:val="DefaultParagraphFont"/>
    <w:link w:val="SOBulletNote"/>
    <w:rsid w:val="007C79C2"/>
    <w:rPr>
      <w:sz w:val="18"/>
    </w:rPr>
  </w:style>
  <w:style w:type="paragraph" w:customStyle="1" w:styleId="SOText2">
    <w:name w:val="SO Text2"/>
    <w:aliases w:val="sot2"/>
    <w:basedOn w:val="Normal"/>
    <w:next w:val="SOText"/>
    <w:link w:val="SOText2Char"/>
    <w:rsid w:val="007C79C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C79C2"/>
    <w:rPr>
      <w:sz w:val="22"/>
    </w:rPr>
  </w:style>
  <w:style w:type="paragraph" w:customStyle="1" w:styleId="SubPartCASA">
    <w:name w:val="SubPart(CASA)"/>
    <w:aliases w:val="csp"/>
    <w:basedOn w:val="OPCParaBase"/>
    <w:next w:val="ActHead3"/>
    <w:rsid w:val="007C79C2"/>
    <w:pPr>
      <w:keepNext/>
      <w:keepLines/>
      <w:spacing w:before="280"/>
      <w:ind w:left="1134" w:hanging="1134"/>
      <w:outlineLvl w:val="1"/>
    </w:pPr>
    <w:rPr>
      <w:b/>
      <w:kern w:val="28"/>
      <w:sz w:val="32"/>
    </w:rPr>
  </w:style>
  <w:style w:type="paragraph" w:customStyle="1" w:styleId="NotesHeading1">
    <w:name w:val="NotesHeading 1"/>
    <w:basedOn w:val="OPCParaBase"/>
    <w:next w:val="Normal"/>
    <w:rsid w:val="007C79C2"/>
    <w:rPr>
      <w:b/>
      <w:sz w:val="28"/>
      <w:szCs w:val="28"/>
    </w:rPr>
  </w:style>
  <w:style w:type="paragraph" w:customStyle="1" w:styleId="NotesHeading2">
    <w:name w:val="NotesHeading 2"/>
    <w:basedOn w:val="OPCParaBase"/>
    <w:next w:val="Normal"/>
    <w:rsid w:val="007C79C2"/>
    <w:rPr>
      <w:b/>
      <w:sz w:val="28"/>
      <w:szCs w:val="28"/>
    </w:rPr>
  </w:style>
  <w:style w:type="paragraph" w:customStyle="1" w:styleId="SignCoverPageEnd">
    <w:name w:val="SignCoverPageEnd"/>
    <w:basedOn w:val="OPCParaBase"/>
    <w:next w:val="Normal"/>
    <w:rsid w:val="007C79C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C79C2"/>
    <w:pPr>
      <w:pBdr>
        <w:top w:val="single" w:sz="4" w:space="1" w:color="auto"/>
      </w:pBdr>
      <w:spacing w:before="360"/>
      <w:ind w:right="397"/>
      <w:jc w:val="both"/>
    </w:pPr>
  </w:style>
  <w:style w:type="paragraph" w:customStyle="1" w:styleId="EndNotespara">
    <w:name w:val="EndNotes(para)"/>
    <w:aliases w:val="eta"/>
    <w:basedOn w:val="OPCParaBase"/>
    <w:next w:val="EndNotessubpara"/>
    <w:rsid w:val="007C79C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C79C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C79C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C79C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C79C2"/>
    <w:pPr>
      <w:spacing w:before="60" w:line="240" w:lineRule="auto"/>
    </w:pPr>
    <w:rPr>
      <w:rFonts w:cs="Arial"/>
      <w:sz w:val="20"/>
      <w:szCs w:val="22"/>
    </w:rPr>
  </w:style>
  <w:style w:type="table" w:styleId="TableGrid">
    <w:name w:val="Table Grid"/>
    <w:basedOn w:val="TableNormal"/>
    <w:uiPriority w:val="59"/>
    <w:rsid w:val="007C7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7C79C2"/>
  </w:style>
  <w:style w:type="numbering" w:styleId="111111">
    <w:name w:val="Outline List 2"/>
    <w:basedOn w:val="NoList"/>
    <w:uiPriority w:val="99"/>
    <w:semiHidden/>
    <w:unhideWhenUsed/>
    <w:rsid w:val="007C79C2"/>
    <w:pPr>
      <w:numPr>
        <w:numId w:val="13"/>
      </w:numPr>
    </w:pPr>
  </w:style>
  <w:style w:type="numbering" w:styleId="1ai">
    <w:name w:val="Outline List 1"/>
    <w:basedOn w:val="NoList"/>
    <w:uiPriority w:val="99"/>
    <w:semiHidden/>
    <w:unhideWhenUsed/>
    <w:rsid w:val="007C79C2"/>
    <w:pPr>
      <w:numPr>
        <w:numId w:val="14"/>
      </w:numPr>
    </w:pPr>
  </w:style>
  <w:style w:type="character" w:customStyle="1" w:styleId="Heading1Char">
    <w:name w:val="Heading 1 Char"/>
    <w:basedOn w:val="DefaultParagraphFont"/>
    <w:link w:val="Heading1"/>
    <w:uiPriority w:val="9"/>
    <w:rsid w:val="007C79C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C79C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C79C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C79C2"/>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7C79C2"/>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7C79C2"/>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7C79C2"/>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7C79C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C79C2"/>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7C79C2"/>
    <w:pPr>
      <w:numPr>
        <w:numId w:val="15"/>
      </w:numPr>
    </w:pPr>
  </w:style>
  <w:style w:type="paragraph" w:styleId="BalloonText">
    <w:name w:val="Balloon Text"/>
    <w:basedOn w:val="Normal"/>
    <w:link w:val="BalloonTextChar"/>
    <w:uiPriority w:val="99"/>
    <w:semiHidden/>
    <w:unhideWhenUsed/>
    <w:rsid w:val="007C79C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9C2"/>
    <w:rPr>
      <w:rFonts w:ascii="Segoe UI" w:hAnsi="Segoe UI" w:cs="Segoe UI"/>
      <w:sz w:val="18"/>
      <w:szCs w:val="18"/>
    </w:rPr>
  </w:style>
  <w:style w:type="paragraph" w:styleId="Bibliography">
    <w:name w:val="Bibliography"/>
    <w:basedOn w:val="Normal"/>
    <w:next w:val="Normal"/>
    <w:uiPriority w:val="37"/>
    <w:semiHidden/>
    <w:unhideWhenUsed/>
    <w:rsid w:val="007C79C2"/>
  </w:style>
  <w:style w:type="paragraph" w:styleId="BlockText">
    <w:name w:val="Block Text"/>
    <w:basedOn w:val="Normal"/>
    <w:uiPriority w:val="99"/>
    <w:semiHidden/>
    <w:unhideWhenUsed/>
    <w:rsid w:val="007C79C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7C79C2"/>
    <w:pPr>
      <w:spacing w:after="120"/>
    </w:pPr>
  </w:style>
  <w:style w:type="character" w:customStyle="1" w:styleId="BodyTextChar">
    <w:name w:val="Body Text Char"/>
    <w:basedOn w:val="DefaultParagraphFont"/>
    <w:link w:val="BodyText"/>
    <w:uiPriority w:val="99"/>
    <w:semiHidden/>
    <w:rsid w:val="007C79C2"/>
    <w:rPr>
      <w:sz w:val="22"/>
    </w:rPr>
  </w:style>
  <w:style w:type="paragraph" w:styleId="BodyText2">
    <w:name w:val="Body Text 2"/>
    <w:basedOn w:val="Normal"/>
    <w:link w:val="BodyText2Char"/>
    <w:uiPriority w:val="99"/>
    <w:semiHidden/>
    <w:unhideWhenUsed/>
    <w:rsid w:val="007C79C2"/>
    <w:pPr>
      <w:spacing w:after="120" w:line="480" w:lineRule="auto"/>
    </w:pPr>
  </w:style>
  <w:style w:type="character" w:customStyle="1" w:styleId="BodyText2Char">
    <w:name w:val="Body Text 2 Char"/>
    <w:basedOn w:val="DefaultParagraphFont"/>
    <w:link w:val="BodyText2"/>
    <w:uiPriority w:val="99"/>
    <w:semiHidden/>
    <w:rsid w:val="007C79C2"/>
    <w:rPr>
      <w:sz w:val="22"/>
    </w:rPr>
  </w:style>
  <w:style w:type="paragraph" w:styleId="BodyText3">
    <w:name w:val="Body Text 3"/>
    <w:basedOn w:val="Normal"/>
    <w:link w:val="BodyText3Char"/>
    <w:uiPriority w:val="99"/>
    <w:semiHidden/>
    <w:unhideWhenUsed/>
    <w:rsid w:val="007C79C2"/>
    <w:pPr>
      <w:spacing w:after="120"/>
    </w:pPr>
    <w:rPr>
      <w:sz w:val="16"/>
      <w:szCs w:val="16"/>
    </w:rPr>
  </w:style>
  <w:style w:type="character" w:customStyle="1" w:styleId="BodyText3Char">
    <w:name w:val="Body Text 3 Char"/>
    <w:basedOn w:val="DefaultParagraphFont"/>
    <w:link w:val="BodyText3"/>
    <w:uiPriority w:val="99"/>
    <w:semiHidden/>
    <w:rsid w:val="007C79C2"/>
    <w:rPr>
      <w:sz w:val="16"/>
      <w:szCs w:val="16"/>
    </w:rPr>
  </w:style>
  <w:style w:type="paragraph" w:styleId="BodyTextFirstIndent">
    <w:name w:val="Body Text First Indent"/>
    <w:basedOn w:val="BodyText"/>
    <w:link w:val="BodyTextFirstIndentChar"/>
    <w:uiPriority w:val="99"/>
    <w:semiHidden/>
    <w:unhideWhenUsed/>
    <w:rsid w:val="007C79C2"/>
    <w:pPr>
      <w:spacing w:after="0"/>
      <w:ind w:firstLine="360"/>
    </w:pPr>
  </w:style>
  <w:style w:type="character" w:customStyle="1" w:styleId="BodyTextFirstIndentChar">
    <w:name w:val="Body Text First Indent Char"/>
    <w:basedOn w:val="BodyTextChar"/>
    <w:link w:val="BodyTextFirstIndent"/>
    <w:uiPriority w:val="99"/>
    <w:semiHidden/>
    <w:rsid w:val="007C79C2"/>
    <w:rPr>
      <w:sz w:val="22"/>
    </w:rPr>
  </w:style>
  <w:style w:type="paragraph" w:styleId="BodyTextIndent">
    <w:name w:val="Body Text Indent"/>
    <w:basedOn w:val="Normal"/>
    <w:link w:val="BodyTextIndentChar"/>
    <w:uiPriority w:val="99"/>
    <w:semiHidden/>
    <w:unhideWhenUsed/>
    <w:rsid w:val="007C79C2"/>
    <w:pPr>
      <w:spacing w:after="120"/>
      <w:ind w:left="283"/>
    </w:pPr>
  </w:style>
  <w:style w:type="character" w:customStyle="1" w:styleId="BodyTextIndentChar">
    <w:name w:val="Body Text Indent Char"/>
    <w:basedOn w:val="DefaultParagraphFont"/>
    <w:link w:val="BodyTextIndent"/>
    <w:uiPriority w:val="99"/>
    <w:semiHidden/>
    <w:rsid w:val="007C79C2"/>
    <w:rPr>
      <w:sz w:val="22"/>
    </w:rPr>
  </w:style>
  <w:style w:type="paragraph" w:styleId="BodyTextFirstIndent2">
    <w:name w:val="Body Text First Indent 2"/>
    <w:basedOn w:val="BodyTextIndent"/>
    <w:link w:val="BodyTextFirstIndent2Char"/>
    <w:uiPriority w:val="99"/>
    <w:semiHidden/>
    <w:unhideWhenUsed/>
    <w:rsid w:val="007C79C2"/>
    <w:pPr>
      <w:spacing w:after="0"/>
      <w:ind w:left="360" w:firstLine="360"/>
    </w:pPr>
  </w:style>
  <w:style w:type="character" w:customStyle="1" w:styleId="BodyTextFirstIndent2Char">
    <w:name w:val="Body Text First Indent 2 Char"/>
    <w:basedOn w:val="BodyTextIndentChar"/>
    <w:link w:val="BodyTextFirstIndent2"/>
    <w:uiPriority w:val="99"/>
    <w:semiHidden/>
    <w:rsid w:val="007C79C2"/>
    <w:rPr>
      <w:sz w:val="22"/>
    </w:rPr>
  </w:style>
  <w:style w:type="paragraph" w:styleId="BodyTextIndent2">
    <w:name w:val="Body Text Indent 2"/>
    <w:basedOn w:val="Normal"/>
    <w:link w:val="BodyTextIndent2Char"/>
    <w:uiPriority w:val="99"/>
    <w:semiHidden/>
    <w:unhideWhenUsed/>
    <w:rsid w:val="007C79C2"/>
    <w:pPr>
      <w:spacing w:after="120" w:line="480" w:lineRule="auto"/>
      <w:ind w:left="283"/>
    </w:pPr>
  </w:style>
  <w:style w:type="character" w:customStyle="1" w:styleId="BodyTextIndent2Char">
    <w:name w:val="Body Text Indent 2 Char"/>
    <w:basedOn w:val="DefaultParagraphFont"/>
    <w:link w:val="BodyTextIndent2"/>
    <w:uiPriority w:val="99"/>
    <w:semiHidden/>
    <w:rsid w:val="007C79C2"/>
    <w:rPr>
      <w:sz w:val="22"/>
    </w:rPr>
  </w:style>
  <w:style w:type="paragraph" w:styleId="BodyTextIndent3">
    <w:name w:val="Body Text Indent 3"/>
    <w:basedOn w:val="Normal"/>
    <w:link w:val="BodyTextIndent3Char"/>
    <w:uiPriority w:val="99"/>
    <w:semiHidden/>
    <w:unhideWhenUsed/>
    <w:rsid w:val="007C79C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9C2"/>
    <w:rPr>
      <w:sz w:val="16"/>
      <w:szCs w:val="16"/>
    </w:rPr>
  </w:style>
  <w:style w:type="character" w:styleId="BookTitle">
    <w:name w:val="Book Title"/>
    <w:basedOn w:val="DefaultParagraphFont"/>
    <w:uiPriority w:val="33"/>
    <w:qFormat/>
    <w:rsid w:val="007C79C2"/>
    <w:rPr>
      <w:b/>
      <w:bCs/>
      <w:i/>
      <w:iCs/>
      <w:spacing w:val="5"/>
    </w:rPr>
  </w:style>
  <w:style w:type="paragraph" w:styleId="Caption">
    <w:name w:val="caption"/>
    <w:basedOn w:val="Normal"/>
    <w:next w:val="Normal"/>
    <w:uiPriority w:val="35"/>
    <w:semiHidden/>
    <w:unhideWhenUsed/>
    <w:qFormat/>
    <w:rsid w:val="007C79C2"/>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7C79C2"/>
    <w:pPr>
      <w:spacing w:line="240" w:lineRule="auto"/>
      <w:ind w:left="4252"/>
    </w:pPr>
  </w:style>
  <w:style w:type="character" w:customStyle="1" w:styleId="ClosingChar">
    <w:name w:val="Closing Char"/>
    <w:basedOn w:val="DefaultParagraphFont"/>
    <w:link w:val="Closing"/>
    <w:uiPriority w:val="99"/>
    <w:semiHidden/>
    <w:rsid w:val="007C79C2"/>
    <w:rPr>
      <w:sz w:val="22"/>
    </w:rPr>
  </w:style>
  <w:style w:type="table" w:styleId="ColorfulGrid">
    <w:name w:val="Colorful Grid"/>
    <w:basedOn w:val="TableNormal"/>
    <w:uiPriority w:val="73"/>
    <w:semiHidden/>
    <w:unhideWhenUsed/>
    <w:rsid w:val="007C79C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C79C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C79C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C79C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C79C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C79C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C79C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C79C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C79C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C79C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C79C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C79C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C79C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C79C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C79C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C79C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C79C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C79C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C79C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C79C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C79C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7C79C2"/>
    <w:rPr>
      <w:sz w:val="16"/>
      <w:szCs w:val="16"/>
    </w:rPr>
  </w:style>
  <w:style w:type="paragraph" w:styleId="CommentText">
    <w:name w:val="annotation text"/>
    <w:basedOn w:val="Normal"/>
    <w:link w:val="CommentTextChar"/>
    <w:uiPriority w:val="99"/>
    <w:semiHidden/>
    <w:unhideWhenUsed/>
    <w:rsid w:val="007C79C2"/>
    <w:pPr>
      <w:spacing w:line="240" w:lineRule="auto"/>
    </w:pPr>
    <w:rPr>
      <w:sz w:val="20"/>
    </w:rPr>
  </w:style>
  <w:style w:type="character" w:customStyle="1" w:styleId="CommentTextChar">
    <w:name w:val="Comment Text Char"/>
    <w:basedOn w:val="DefaultParagraphFont"/>
    <w:link w:val="CommentText"/>
    <w:uiPriority w:val="99"/>
    <w:semiHidden/>
    <w:rsid w:val="007C79C2"/>
  </w:style>
  <w:style w:type="paragraph" w:styleId="CommentSubject">
    <w:name w:val="annotation subject"/>
    <w:basedOn w:val="CommentText"/>
    <w:next w:val="CommentText"/>
    <w:link w:val="CommentSubjectChar"/>
    <w:uiPriority w:val="99"/>
    <w:semiHidden/>
    <w:unhideWhenUsed/>
    <w:rsid w:val="007C79C2"/>
    <w:rPr>
      <w:b/>
      <w:bCs/>
    </w:rPr>
  </w:style>
  <w:style w:type="character" w:customStyle="1" w:styleId="CommentSubjectChar">
    <w:name w:val="Comment Subject Char"/>
    <w:basedOn w:val="CommentTextChar"/>
    <w:link w:val="CommentSubject"/>
    <w:uiPriority w:val="99"/>
    <w:semiHidden/>
    <w:rsid w:val="007C79C2"/>
    <w:rPr>
      <w:b/>
      <w:bCs/>
    </w:rPr>
  </w:style>
  <w:style w:type="table" w:styleId="DarkList">
    <w:name w:val="Dark List"/>
    <w:basedOn w:val="TableNormal"/>
    <w:uiPriority w:val="70"/>
    <w:semiHidden/>
    <w:unhideWhenUsed/>
    <w:rsid w:val="007C79C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C79C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C79C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C79C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C79C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C79C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C79C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7C79C2"/>
  </w:style>
  <w:style w:type="character" w:customStyle="1" w:styleId="DateChar">
    <w:name w:val="Date Char"/>
    <w:basedOn w:val="DefaultParagraphFont"/>
    <w:link w:val="Date"/>
    <w:uiPriority w:val="99"/>
    <w:semiHidden/>
    <w:rsid w:val="007C79C2"/>
    <w:rPr>
      <w:sz w:val="22"/>
    </w:rPr>
  </w:style>
  <w:style w:type="paragraph" w:styleId="DocumentMap">
    <w:name w:val="Document Map"/>
    <w:basedOn w:val="Normal"/>
    <w:link w:val="DocumentMapChar"/>
    <w:uiPriority w:val="99"/>
    <w:semiHidden/>
    <w:unhideWhenUsed/>
    <w:rsid w:val="007C79C2"/>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C79C2"/>
    <w:rPr>
      <w:rFonts w:ascii="Segoe UI" w:hAnsi="Segoe UI" w:cs="Segoe UI"/>
      <w:sz w:val="16"/>
      <w:szCs w:val="16"/>
    </w:rPr>
  </w:style>
  <w:style w:type="paragraph" w:styleId="E-mailSignature">
    <w:name w:val="E-mail Signature"/>
    <w:basedOn w:val="Normal"/>
    <w:link w:val="E-mailSignatureChar"/>
    <w:uiPriority w:val="99"/>
    <w:semiHidden/>
    <w:unhideWhenUsed/>
    <w:rsid w:val="007C79C2"/>
    <w:pPr>
      <w:spacing w:line="240" w:lineRule="auto"/>
    </w:pPr>
  </w:style>
  <w:style w:type="character" w:customStyle="1" w:styleId="E-mailSignatureChar">
    <w:name w:val="E-mail Signature Char"/>
    <w:basedOn w:val="DefaultParagraphFont"/>
    <w:link w:val="E-mailSignature"/>
    <w:uiPriority w:val="99"/>
    <w:semiHidden/>
    <w:rsid w:val="007C79C2"/>
    <w:rPr>
      <w:sz w:val="22"/>
    </w:rPr>
  </w:style>
  <w:style w:type="character" w:styleId="Emphasis">
    <w:name w:val="Emphasis"/>
    <w:basedOn w:val="DefaultParagraphFont"/>
    <w:uiPriority w:val="20"/>
    <w:qFormat/>
    <w:rsid w:val="007C79C2"/>
    <w:rPr>
      <w:i/>
      <w:iCs/>
    </w:rPr>
  </w:style>
  <w:style w:type="character" w:styleId="EndnoteReference">
    <w:name w:val="endnote reference"/>
    <w:basedOn w:val="DefaultParagraphFont"/>
    <w:uiPriority w:val="99"/>
    <w:semiHidden/>
    <w:unhideWhenUsed/>
    <w:rsid w:val="007C79C2"/>
    <w:rPr>
      <w:vertAlign w:val="superscript"/>
    </w:rPr>
  </w:style>
  <w:style w:type="paragraph" w:styleId="EndnoteText">
    <w:name w:val="endnote text"/>
    <w:basedOn w:val="Normal"/>
    <w:link w:val="EndnoteTextChar"/>
    <w:uiPriority w:val="99"/>
    <w:semiHidden/>
    <w:unhideWhenUsed/>
    <w:rsid w:val="007C79C2"/>
    <w:pPr>
      <w:spacing w:line="240" w:lineRule="auto"/>
    </w:pPr>
    <w:rPr>
      <w:sz w:val="20"/>
    </w:rPr>
  </w:style>
  <w:style w:type="character" w:customStyle="1" w:styleId="EndnoteTextChar">
    <w:name w:val="Endnote Text Char"/>
    <w:basedOn w:val="DefaultParagraphFont"/>
    <w:link w:val="EndnoteText"/>
    <w:uiPriority w:val="99"/>
    <w:semiHidden/>
    <w:rsid w:val="007C79C2"/>
  </w:style>
  <w:style w:type="paragraph" w:styleId="EnvelopeAddress">
    <w:name w:val="envelope address"/>
    <w:basedOn w:val="Normal"/>
    <w:uiPriority w:val="99"/>
    <w:semiHidden/>
    <w:unhideWhenUsed/>
    <w:rsid w:val="007C79C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C79C2"/>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C79C2"/>
    <w:rPr>
      <w:color w:val="800080" w:themeColor="followedHyperlink"/>
      <w:u w:val="single"/>
    </w:rPr>
  </w:style>
  <w:style w:type="character" w:styleId="FootnoteReference">
    <w:name w:val="footnote reference"/>
    <w:basedOn w:val="DefaultParagraphFont"/>
    <w:uiPriority w:val="99"/>
    <w:semiHidden/>
    <w:unhideWhenUsed/>
    <w:rsid w:val="007C79C2"/>
    <w:rPr>
      <w:vertAlign w:val="superscript"/>
    </w:rPr>
  </w:style>
  <w:style w:type="paragraph" w:styleId="FootnoteText">
    <w:name w:val="footnote text"/>
    <w:basedOn w:val="Normal"/>
    <w:link w:val="FootnoteTextChar"/>
    <w:uiPriority w:val="99"/>
    <w:semiHidden/>
    <w:unhideWhenUsed/>
    <w:rsid w:val="007C79C2"/>
    <w:pPr>
      <w:spacing w:line="240" w:lineRule="auto"/>
    </w:pPr>
    <w:rPr>
      <w:sz w:val="20"/>
    </w:rPr>
  </w:style>
  <w:style w:type="character" w:customStyle="1" w:styleId="FootnoteTextChar">
    <w:name w:val="Footnote Text Char"/>
    <w:basedOn w:val="DefaultParagraphFont"/>
    <w:link w:val="FootnoteText"/>
    <w:uiPriority w:val="99"/>
    <w:semiHidden/>
    <w:rsid w:val="007C79C2"/>
  </w:style>
  <w:style w:type="table" w:styleId="GridTable1Light">
    <w:name w:val="Grid Table 1 Light"/>
    <w:basedOn w:val="TableNormal"/>
    <w:uiPriority w:val="46"/>
    <w:rsid w:val="007C79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C79C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C79C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C79C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C79C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C79C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C79C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C79C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C79C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C79C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C79C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C79C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C79C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C79C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C79C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C79C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C79C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C79C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C79C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C79C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C79C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C79C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C79C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C79C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C79C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C79C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C79C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C79C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C79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C79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C79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C79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C79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C79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C79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C79C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C79C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C79C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C79C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C79C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C79C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C79C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C79C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C79C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C79C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C79C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C79C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C79C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C79C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7C79C2"/>
    <w:rPr>
      <w:color w:val="2B579A"/>
      <w:shd w:val="clear" w:color="auto" w:fill="E1DFDD"/>
    </w:rPr>
  </w:style>
  <w:style w:type="character" w:styleId="HTMLAcronym">
    <w:name w:val="HTML Acronym"/>
    <w:basedOn w:val="DefaultParagraphFont"/>
    <w:uiPriority w:val="99"/>
    <w:semiHidden/>
    <w:unhideWhenUsed/>
    <w:rsid w:val="007C79C2"/>
  </w:style>
  <w:style w:type="paragraph" w:styleId="HTMLAddress">
    <w:name w:val="HTML Address"/>
    <w:basedOn w:val="Normal"/>
    <w:link w:val="HTMLAddressChar"/>
    <w:uiPriority w:val="99"/>
    <w:semiHidden/>
    <w:unhideWhenUsed/>
    <w:rsid w:val="007C79C2"/>
    <w:pPr>
      <w:spacing w:line="240" w:lineRule="auto"/>
    </w:pPr>
    <w:rPr>
      <w:i/>
      <w:iCs/>
    </w:rPr>
  </w:style>
  <w:style w:type="character" w:customStyle="1" w:styleId="HTMLAddressChar">
    <w:name w:val="HTML Address Char"/>
    <w:basedOn w:val="DefaultParagraphFont"/>
    <w:link w:val="HTMLAddress"/>
    <w:uiPriority w:val="99"/>
    <w:semiHidden/>
    <w:rsid w:val="007C79C2"/>
    <w:rPr>
      <w:i/>
      <w:iCs/>
      <w:sz w:val="22"/>
    </w:rPr>
  </w:style>
  <w:style w:type="character" w:styleId="HTMLCite">
    <w:name w:val="HTML Cite"/>
    <w:basedOn w:val="DefaultParagraphFont"/>
    <w:uiPriority w:val="99"/>
    <w:semiHidden/>
    <w:unhideWhenUsed/>
    <w:rsid w:val="007C79C2"/>
    <w:rPr>
      <w:i/>
      <w:iCs/>
    </w:rPr>
  </w:style>
  <w:style w:type="character" w:styleId="HTMLCode">
    <w:name w:val="HTML Code"/>
    <w:basedOn w:val="DefaultParagraphFont"/>
    <w:uiPriority w:val="99"/>
    <w:semiHidden/>
    <w:unhideWhenUsed/>
    <w:rsid w:val="007C79C2"/>
    <w:rPr>
      <w:rFonts w:ascii="Consolas" w:hAnsi="Consolas"/>
      <w:sz w:val="20"/>
      <w:szCs w:val="20"/>
    </w:rPr>
  </w:style>
  <w:style w:type="character" w:styleId="HTMLDefinition">
    <w:name w:val="HTML Definition"/>
    <w:basedOn w:val="DefaultParagraphFont"/>
    <w:uiPriority w:val="99"/>
    <w:semiHidden/>
    <w:unhideWhenUsed/>
    <w:rsid w:val="007C79C2"/>
    <w:rPr>
      <w:i/>
      <w:iCs/>
    </w:rPr>
  </w:style>
  <w:style w:type="character" w:styleId="HTMLKeyboard">
    <w:name w:val="HTML Keyboard"/>
    <w:basedOn w:val="DefaultParagraphFont"/>
    <w:uiPriority w:val="99"/>
    <w:semiHidden/>
    <w:unhideWhenUsed/>
    <w:rsid w:val="007C79C2"/>
    <w:rPr>
      <w:rFonts w:ascii="Consolas" w:hAnsi="Consolas"/>
      <w:sz w:val="20"/>
      <w:szCs w:val="20"/>
    </w:rPr>
  </w:style>
  <w:style w:type="paragraph" w:styleId="HTMLPreformatted">
    <w:name w:val="HTML Preformatted"/>
    <w:basedOn w:val="Normal"/>
    <w:link w:val="HTMLPreformattedChar"/>
    <w:uiPriority w:val="99"/>
    <w:semiHidden/>
    <w:unhideWhenUsed/>
    <w:rsid w:val="007C79C2"/>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7C79C2"/>
    <w:rPr>
      <w:rFonts w:ascii="Consolas" w:hAnsi="Consolas"/>
    </w:rPr>
  </w:style>
  <w:style w:type="character" w:styleId="HTMLSample">
    <w:name w:val="HTML Sample"/>
    <w:basedOn w:val="DefaultParagraphFont"/>
    <w:uiPriority w:val="99"/>
    <w:semiHidden/>
    <w:unhideWhenUsed/>
    <w:rsid w:val="007C79C2"/>
    <w:rPr>
      <w:rFonts w:ascii="Consolas" w:hAnsi="Consolas"/>
      <w:sz w:val="24"/>
      <w:szCs w:val="24"/>
    </w:rPr>
  </w:style>
  <w:style w:type="character" w:styleId="HTMLTypewriter">
    <w:name w:val="HTML Typewriter"/>
    <w:basedOn w:val="DefaultParagraphFont"/>
    <w:uiPriority w:val="99"/>
    <w:semiHidden/>
    <w:unhideWhenUsed/>
    <w:rsid w:val="007C79C2"/>
    <w:rPr>
      <w:rFonts w:ascii="Consolas" w:hAnsi="Consolas"/>
      <w:sz w:val="20"/>
      <w:szCs w:val="20"/>
    </w:rPr>
  </w:style>
  <w:style w:type="character" w:styleId="HTMLVariable">
    <w:name w:val="HTML Variable"/>
    <w:basedOn w:val="DefaultParagraphFont"/>
    <w:uiPriority w:val="99"/>
    <w:semiHidden/>
    <w:unhideWhenUsed/>
    <w:rsid w:val="007C79C2"/>
    <w:rPr>
      <w:i/>
      <w:iCs/>
    </w:rPr>
  </w:style>
  <w:style w:type="character" w:styleId="Hyperlink">
    <w:name w:val="Hyperlink"/>
    <w:basedOn w:val="DefaultParagraphFont"/>
    <w:uiPriority w:val="99"/>
    <w:semiHidden/>
    <w:unhideWhenUsed/>
    <w:rsid w:val="007C79C2"/>
    <w:rPr>
      <w:color w:val="0000FF" w:themeColor="hyperlink"/>
      <w:u w:val="single"/>
    </w:rPr>
  </w:style>
  <w:style w:type="paragraph" w:styleId="Index1">
    <w:name w:val="index 1"/>
    <w:basedOn w:val="Normal"/>
    <w:next w:val="Normal"/>
    <w:autoRedefine/>
    <w:uiPriority w:val="99"/>
    <w:semiHidden/>
    <w:unhideWhenUsed/>
    <w:rsid w:val="007C79C2"/>
    <w:pPr>
      <w:spacing w:line="240" w:lineRule="auto"/>
      <w:ind w:left="220" w:hanging="220"/>
    </w:pPr>
  </w:style>
  <w:style w:type="paragraph" w:styleId="Index2">
    <w:name w:val="index 2"/>
    <w:basedOn w:val="Normal"/>
    <w:next w:val="Normal"/>
    <w:autoRedefine/>
    <w:uiPriority w:val="99"/>
    <w:semiHidden/>
    <w:unhideWhenUsed/>
    <w:rsid w:val="007C79C2"/>
    <w:pPr>
      <w:spacing w:line="240" w:lineRule="auto"/>
      <w:ind w:left="440" w:hanging="220"/>
    </w:pPr>
  </w:style>
  <w:style w:type="paragraph" w:styleId="Index3">
    <w:name w:val="index 3"/>
    <w:basedOn w:val="Normal"/>
    <w:next w:val="Normal"/>
    <w:autoRedefine/>
    <w:uiPriority w:val="99"/>
    <w:semiHidden/>
    <w:unhideWhenUsed/>
    <w:rsid w:val="007C79C2"/>
    <w:pPr>
      <w:spacing w:line="240" w:lineRule="auto"/>
      <w:ind w:left="660" w:hanging="220"/>
    </w:pPr>
  </w:style>
  <w:style w:type="paragraph" w:styleId="Index4">
    <w:name w:val="index 4"/>
    <w:basedOn w:val="Normal"/>
    <w:next w:val="Normal"/>
    <w:autoRedefine/>
    <w:uiPriority w:val="99"/>
    <w:semiHidden/>
    <w:unhideWhenUsed/>
    <w:rsid w:val="007C79C2"/>
    <w:pPr>
      <w:spacing w:line="240" w:lineRule="auto"/>
      <w:ind w:left="880" w:hanging="220"/>
    </w:pPr>
  </w:style>
  <w:style w:type="paragraph" w:styleId="Index5">
    <w:name w:val="index 5"/>
    <w:basedOn w:val="Normal"/>
    <w:next w:val="Normal"/>
    <w:autoRedefine/>
    <w:uiPriority w:val="99"/>
    <w:semiHidden/>
    <w:unhideWhenUsed/>
    <w:rsid w:val="007C79C2"/>
    <w:pPr>
      <w:spacing w:line="240" w:lineRule="auto"/>
      <w:ind w:left="1100" w:hanging="220"/>
    </w:pPr>
  </w:style>
  <w:style w:type="paragraph" w:styleId="Index6">
    <w:name w:val="index 6"/>
    <w:basedOn w:val="Normal"/>
    <w:next w:val="Normal"/>
    <w:autoRedefine/>
    <w:uiPriority w:val="99"/>
    <w:semiHidden/>
    <w:unhideWhenUsed/>
    <w:rsid w:val="007C79C2"/>
    <w:pPr>
      <w:spacing w:line="240" w:lineRule="auto"/>
      <w:ind w:left="1320" w:hanging="220"/>
    </w:pPr>
  </w:style>
  <w:style w:type="paragraph" w:styleId="Index7">
    <w:name w:val="index 7"/>
    <w:basedOn w:val="Normal"/>
    <w:next w:val="Normal"/>
    <w:autoRedefine/>
    <w:uiPriority w:val="99"/>
    <w:semiHidden/>
    <w:unhideWhenUsed/>
    <w:rsid w:val="007C79C2"/>
    <w:pPr>
      <w:spacing w:line="240" w:lineRule="auto"/>
      <w:ind w:left="1540" w:hanging="220"/>
    </w:pPr>
  </w:style>
  <w:style w:type="paragraph" w:styleId="Index8">
    <w:name w:val="index 8"/>
    <w:basedOn w:val="Normal"/>
    <w:next w:val="Normal"/>
    <w:autoRedefine/>
    <w:uiPriority w:val="99"/>
    <w:semiHidden/>
    <w:unhideWhenUsed/>
    <w:rsid w:val="007C79C2"/>
    <w:pPr>
      <w:spacing w:line="240" w:lineRule="auto"/>
      <w:ind w:left="1760" w:hanging="220"/>
    </w:pPr>
  </w:style>
  <w:style w:type="paragraph" w:styleId="Index9">
    <w:name w:val="index 9"/>
    <w:basedOn w:val="Normal"/>
    <w:next w:val="Normal"/>
    <w:autoRedefine/>
    <w:uiPriority w:val="99"/>
    <w:semiHidden/>
    <w:unhideWhenUsed/>
    <w:rsid w:val="007C79C2"/>
    <w:pPr>
      <w:spacing w:line="240" w:lineRule="auto"/>
      <w:ind w:left="1980" w:hanging="220"/>
    </w:pPr>
  </w:style>
  <w:style w:type="paragraph" w:styleId="IndexHeading">
    <w:name w:val="index heading"/>
    <w:basedOn w:val="Normal"/>
    <w:next w:val="Index1"/>
    <w:uiPriority w:val="99"/>
    <w:semiHidden/>
    <w:unhideWhenUsed/>
    <w:rsid w:val="007C79C2"/>
    <w:rPr>
      <w:rFonts w:asciiTheme="majorHAnsi" w:eastAsiaTheme="majorEastAsia" w:hAnsiTheme="majorHAnsi" w:cstheme="majorBidi"/>
      <w:b/>
      <w:bCs/>
    </w:rPr>
  </w:style>
  <w:style w:type="character" w:styleId="IntenseEmphasis">
    <w:name w:val="Intense Emphasis"/>
    <w:basedOn w:val="DefaultParagraphFont"/>
    <w:uiPriority w:val="21"/>
    <w:qFormat/>
    <w:rsid w:val="007C79C2"/>
    <w:rPr>
      <w:i/>
      <w:iCs/>
      <w:color w:val="4F81BD" w:themeColor="accent1"/>
    </w:rPr>
  </w:style>
  <w:style w:type="paragraph" w:styleId="IntenseQuote">
    <w:name w:val="Intense Quote"/>
    <w:basedOn w:val="Normal"/>
    <w:next w:val="Normal"/>
    <w:link w:val="IntenseQuoteChar"/>
    <w:uiPriority w:val="30"/>
    <w:qFormat/>
    <w:rsid w:val="007C79C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C79C2"/>
    <w:rPr>
      <w:i/>
      <w:iCs/>
      <w:color w:val="4F81BD" w:themeColor="accent1"/>
      <w:sz w:val="22"/>
    </w:rPr>
  </w:style>
  <w:style w:type="character" w:styleId="IntenseReference">
    <w:name w:val="Intense Reference"/>
    <w:basedOn w:val="DefaultParagraphFont"/>
    <w:uiPriority w:val="32"/>
    <w:qFormat/>
    <w:rsid w:val="007C79C2"/>
    <w:rPr>
      <w:b/>
      <w:bCs/>
      <w:smallCaps/>
      <w:color w:val="4F81BD" w:themeColor="accent1"/>
      <w:spacing w:val="5"/>
    </w:rPr>
  </w:style>
  <w:style w:type="table" w:styleId="LightGrid">
    <w:name w:val="Light Grid"/>
    <w:basedOn w:val="TableNormal"/>
    <w:uiPriority w:val="62"/>
    <w:semiHidden/>
    <w:unhideWhenUsed/>
    <w:rsid w:val="007C79C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C79C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C79C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C79C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C79C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C79C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C79C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C79C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C79C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C79C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C79C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C79C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C79C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C79C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C79C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C79C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C79C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C79C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C79C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C79C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C79C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7C79C2"/>
    <w:pPr>
      <w:ind w:left="283" w:hanging="283"/>
      <w:contextualSpacing/>
    </w:pPr>
  </w:style>
  <w:style w:type="paragraph" w:styleId="List2">
    <w:name w:val="List 2"/>
    <w:basedOn w:val="Normal"/>
    <w:uiPriority w:val="99"/>
    <w:semiHidden/>
    <w:unhideWhenUsed/>
    <w:rsid w:val="007C79C2"/>
    <w:pPr>
      <w:ind w:left="566" w:hanging="283"/>
      <w:contextualSpacing/>
    </w:pPr>
  </w:style>
  <w:style w:type="paragraph" w:styleId="List3">
    <w:name w:val="List 3"/>
    <w:basedOn w:val="Normal"/>
    <w:uiPriority w:val="99"/>
    <w:semiHidden/>
    <w:unhideWhenUsed/>
    <w:rsid w:val="007C79C2"/>
    <w:pPr>
      <w:ind w:left="849" w:hanging="283"/>
      <w:contextualSpacing/>
    </w:pPr>
  </w:style>
  <w:style w:type="paragraph" w:styleId="List4">
    <w:name w:val="List 4"/>
    <w:basedOn w:val="Normal"/>
    <w:uiPriority w:val="99"/>
    <w:semiHidden/>
    <w:unhideWhenUsed/>
    <w:rsid w:val="007C79C2"/>
    <w:pPr>
      <w:ind w:left="1132" w:hanging="283"/>
      <w:contextualSpacing/>
    </w:pPr>
  </w:style>
  <w:style w:type="paragraph" w:styleId="List5">
    <w:name w:val="List 5"/>
    <w:basedOn w:val="Normal"/>
    <w:uiPriority w:val="99"/>
    <w:semiHidden/>
    <w:unhideWhenUsed/>
    <w:rsid w:val="007C79C2"/>
    <w:pPr>
      <w:ind w:left="1415" w:hanging="283"/>
      <w:contextualSpacing/>
    </w:pPr>
  </w:style>
  <w:style w:type="paragraph" w:styleId="ListBullet">
    <w:name w:val="List Bullet"/>
    <w:basedOn w:val="Normal"/>
    <w:uiPriority w:val="99"/>
    <w:semiHidden/>
    <w:unhideWhenUsed/>
    <w:rsid w:val="007C79C2"/>
    <w:pPr>
      <w:numPr>
        <w:numId w:val="1"/>
      </w:numPr>
      <w:contextualSpacing/>
    </w:pPr>
  </w:style>
  <w:style w:type="paragraph" w:styleId="ListBullet2">
    <w:name w:val="List Bullet 2"/>
    <w:basedOn w:val="Normal"/>
    <w:uiPriority w:val="99"/>
    <w:semiHidden/>
    <w:unhideWhenUsed/>
    <w:rsid w:val="007C79C2"/>
    <w:pPr>
      <w:numPr>
        <w:numId w:val="2"/>
      </w:numPr>
      <w:contextualSpacing/>
    </w:pPr>
  </w:style>
  <w:style w:type="paragraph" w:styleId="ListBullet3">
    <w:name w:val="List Bullet 3"/>
    <w:basedOn w:val="Normal"/>
    <w:uiPriority w:val="99"/>
    <w:semiHidden/>
    <w:unhideWhenUsed/>
    <w:rsid w:val="007C79C2"/>
    <w:pPr>
      <w:numPr>
        <w:numId w:val="3"/>
      </w:numPr>
      <w:contextualSpacing/>
    </w:pPr>
  </w:style>
  <w:style w:type="paragraph" w:styleId="ListBullet4">
    <w:name w:val="List Bullet 4"/>
    <w:basedOn w:val="Normal"/>
    <w:uiPriority w:val="99"/>
    <w:semiHidden/>
    <w:unhideWhenUsed/>
    <w:rsid w:val="007C79C2"/>
    <w:pPr>
      <w:numPr>
        <w:numId w:val="4"/>
      </w:numPr>
      <w:contextualSpacing/>
    </w:pPr>
  </w:style>
  <w:style w:type="paragraph" w:styleId="ListBullet5">
    <w:name w:val="List Bullet 5"/>
    <w:basedOn w:val="Normal"/>
    <w:uiPriority w:val="99"/>
    <w:semiHidden/>
    <w:unhideWhenUsed/>
    <w:rsid w:val="007C79C2"/>
    <w:pPr>
      <w:numPr>
        <w:numId w:val="5"/>
      </w:numPr>
      <w:contextualSpacing/>
    </w:pPr>
  </w:style>
  <w:style w:type="paragraph" w:styleId="ListContinue">
    <w:name w:val="List Continue"/>
    <w:basedOn w:val="Normal"/>
    <w:uiPriority w:val="99"/>
    <w:semiHidden/>
    <w:unhideWhenUsed/>
    <w:rsid w:val="007C79C2"/>
    <w:pPr>
      <w:spacing w:after="120"/>
      <w:ind w:left="283"/>
      <w:contextualSpacing/>
    </w:pPr>
  </w:style>
  <w:style w:type="paragraph" w:styleId="ListContinue2">
    <w:name w:val="List Continue 2"/>
    <w:basedOn w:val="Normal"/>
    <w:uiPriority w:val="99"/>
    <w:semiHidden/>
    <w:unhideWhenUsed/>
    <w:rsid w:val="007C79C2"/>
    <w:pPr>
      <w:spacing w:after="120"/>
      <w:ind w:left="566"/>
      <w:contextualSpacing/>
    </w:pPr>
  </w:style>
  <w:style w:type="paragraph" w:styleId="ListContinue3">
    <w:name w:val="List Continue 3"/>
    <w:basedOn w:val="Normal"/>
    <w:uiPriority w:val="99"/>
    <w:semiHidden/>
    <w:unhideWhenUsed/>
    <w:rsid w:val="007C79C2"/>
    <w:pPr>
      <w:spacing w:after="120"/>
      <w:ind w:left="849"/>
      <w:contextualSpacing/>
    </w:pPr>
  </w:style>
  <w:style w:type="paragraph" w:styleId="ListContinue4">
    <w:name w:val="List Continue 4"/>
    <w:basedOn w:val="Normal"/>
    <w:uiPriority w:val="99"/>
    <w:semiHidden/>
    <w:unhideWhenUsed/>
    <w:rsid w:val="007C79C2"/>
    <w:pPr>
      <w:spacing w:after="120"/>
      <w:ind w:left="1132"/>
      <w:contextualSpacing/>
    </w:pPr>
  </w:style>
  <w:style w:type="paragraph" w:styleId="ListContinue5">
    <w:name w:val="List Continue 5"/>
    <w:basedOn w:val="Normal"/>
    <w:uiPriority w:val="99"/>
    <w:semiHidden/>
    <w:unhideWhenUsed/>
    <w:rsid w:val="007C79C2"/>
    <w:pPr>
      <w:spacing w:after="120"/>
      <w:ind w:left="1415"/>
      <w:contextualSpacing/>
    </w:pPr>
  </w:style>
  <w:style w:type="paragraph" w:styleId="ListNumber">
    <w:name w:val="List Number"/>
    <w:basedOn w:val="Normal"/>
    <w:uiPriority w:val="99"/>
    <w:semiHidden/>
    <w:unhideWhenUsed/>
    <w:rsid w:val="007C79C2"/>
    <w:pPr>
      <w:numPr>
        <w:numId w:val="6"/>
      </w:numPr>
      <w:contextualSpacing/>
    </w:pPr>
  </w:style>
  <w:style w:type="paragraph" w:styleId="ListNumber2">
    <w:name w:val="List Number 2"/>
    <w:basedOn w:val="Normal"/>
    <w:uiPriority w:val="99"/>
    <w:semiHidden/>
    <w:unhideWhenUsed/>
    <w:rsid w:val="007C79C2"/>
    <w:pPr>
      <w:numPr>
        <w:numId w:val="7"/>
      </w:numPr>
      <w:contextualSpacing/>
    </w:pPr>
  </w:style>
  <w:style w:type="paragraph" w:styleId="ListNumber3">
    <w:name w:val="List Number 3"/>
    <w:basedOn w:val="Normal"/>
    <w:uiPriority w:val="99"/>
    <w:semiHidden/>
    <w:unhideWhenUsed/>
    <w:rsid w:val="007C79C2"/>
    <w:pPr>
      <w:numPr>
        <w:numId w:val="8"/>
      </w:numPr>
      <w:contextualSpacing/>
    </w:pPr>
  </w:style>
  <w:style w:type="paragraph" w:styleId="ListNumber4">
    <w:name w:val="List Number 4"/>
    <w:basedOn w:val="Normal"/>
    <w:uiPriority w:val="99"/>
    <w:semiHidden/>
    <w:unhideWhenUsed/>
    <w:rsid w:val="007C79C2"/>
    <w:pPr>
      <w:numPr>
        <w:numId w:val="9"/>
      </w:numPr>
      <w:contextualSpacing/>
    </w:pPr>
  </w:style>
  <w:style w:type="paragraph" w:styleId="ListNumber5">
    <w:name w:val="List Number 5"/>
    <w:basedOn w:val="Normal"/>
    <w:uiPriority w:val="99"/>
    <w:semiHidden/>
    <w:unhideWhenUsed/>
    <w:rsid w:val="007C79C2"/>
    <w:pPr>
      <w:numPr>
        <w:numId w:val="10"/>
      </w:numPr>
      <w:contextualSpacing/>
    </w:pPr>
  </w:style>
  <w:style w:type="paragraph" w:styleId="ListParagraph">
    <w:name w:val="List Paragraph"/>
    <w:basedOn w:val="Normal"/>
    <w:uiPriority w:val="34"/>
    <w:qFormat/>
    <w:rsid w:val="007C79C2"/>
    <w:pPr>
      <w:ind w:left="720"/>
      <w:contextualSpacing/>
    </w:pPr>
  </w:style>
  <w:style w:type="table" w:styleId="ListTable1Light">
    <w:name w:val="List Table 1 Light"/>
    <w:basedOn w:val="TableNormal"/>
    <w:uiPriority w:val="46"/>
    <w:rsid w:val="007C79C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C79C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C79C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C79C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C79C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C79C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C79C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C79C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C79C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C79C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C79C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C79C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C79C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C79C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C79C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C79C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C79C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C79C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C79C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C79C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C79C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C79C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C79C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C79C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C79C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C79C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C79C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C79C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C79C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C79C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C79C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C79C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C79C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C79C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C79C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C79C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C79C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C79C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C79C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C79C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C79C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C79C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C79C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C79C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C79C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C79C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C79C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C79C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C79C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C79C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7C79C2"/>
    <w:rPr>
      <w:rFonts w:ascii="Consolas" w:hAnsi="Consolas"/>
    </w:rPr>
  </w:style>
  <w:style w:type="table" w:styleId="MediumGrid1">
    <w:name w:val="Medium Grid 1"/>
    <w:basedOn w:val="TableNormal"/>
    <w:uiPriority w:val="67"/>
    <w:semiHidden/>
    <w:unhideWhenUsed/>
    <w:rsid w:val="007C79C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C79C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C79C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C79C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C79C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C79C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C79C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C79C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C79C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C79C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C79C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C79C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C79C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C79C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C79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C79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C79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C79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C79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C79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C79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C79C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C79C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C79C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C79C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C79C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C79C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C79C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C79C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C79C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C79C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C79C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C79C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C79C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C79C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C79C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C79C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C79C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C79C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C79C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C79C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C79C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C79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C79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C79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C79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C79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C79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C79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7C79C2"/>
    <w:rPr>
      <w:color w:val="2B579A"/>
      <w:shd w:val="clear" w:color="auto" w:fill="E1DFDD"/>
    </w:rPr>
  </w:style>
  <w:style w:type="paragraph" w:styleId="MessageHeader">
    <w:name w:val="Message Header"/>
    <w:basedOn w:val="Normal"/>
    <w:link w:val="MessageHeaderChar"/>
    <w:uiPriority w:val="99"/>
    <w:semiHidden/>
    <w:unhideWhenUsed/>
    <w:rsid w:val="007C79C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C79C2"/>
    <w:rPr>
      <w:rFonts w:asciiTheme="majorHAnsi" w:eastAsiaTheme="majorEastAsia" w:hAnsiTheme="majorHAnsi" w:cstheme="majorBidi"/>
      <w:sz w:val="24"/>
      <w:szCs w:val="24"/>
      <w:shd w:val="pct20" w:color="auto" w:fill="auto"/>
    </w:rPr>
  </w:style>
  <w:style w:type="paragraph" w:styleId="NoSpacing">
    <w:name w:val="No Spacing"/>
    <w:uiPriority w:val="1"/>
    <w:qFormat/>
    <w:rsid w:val="007C79C2"/>
    <w:rPr>
      <w:sz w:val="22"/>
    </w:rPr>
  </w:style>
  <w:style w:type="paragraph" w:styleId="NormalWeb">
    <w:name w:val="Normal (Web)"/>
    <w:basedOn w:val="Normal"/>
    <w:uiPriority w:val="99"/>
    <w:semiHidden/>
    <w:unhideWhenUsed/>
    <w:rsid w:val="007C79C2"/>
    <w:rPr>
      <w:rFonts w:cs="Times New Roman"/>
      <w:sz w:val="24"/>
      <w:szCs w:val="24"/>
    </w:rPr>
  </w:style>
  <w:style w:type="paragraph" w:styleId="NormalIndent">
    <w:name w:val="Normal Indent"/>
    <w:basedOn w:val="Normal"/>
    <w:uiPriority w:val="99"/>
    <w:semiHidden/>
    <w:unhideWhenUsed/>
    <w:rsid w:val="007C79C2"/>
    <w:pPr>
      <w:ind w:left="720"/>
    </w:pPr>
  </w:style>
  <w:style w:type="paragraph" w:styleId="NoteHeading">
    <w:name w:val="Note Heading"/>
    <w:basedOn w:val="Normal"/>
    <w:next w:val="Normal"/>
    <w:link w:val="NoteHeadingChar"/>
    <w:uiPriority w:val="99"/>
    <w:semiHidden/>
    <w:unhideWhenUsed/>
    <w:rsid w:val="007C79C2"/>
    <w:pPr>
      <w:spacing w:line="240" w:lineRule="auto"/>
    </w:pPr>
  </w:style>
  <w:style w:type="character" w:customStyle="1" w:styleId="NoteHeadingChar">
    <w:name w:val="Note Heading Char"/>
    <w:basedOn w:val="DefaultParagraphFont"/>
    <w:link w:val="NoteHeading"/>
    <w:uiPriority w:val="99"/>
    <w:semiHidden/>
    <w:rsid w:val="007C79C2"/>
    <w:rPr>
      <w:sz w:val="22"/>
    </w:rPr>
  </w:style>
  <w:style w:type="character" w:styleId="PageNumber">
    <w:name w:val="page number"/>
    <w:basedOn w:val="DefaultParagraphFont"/>
    <w:uiPriority w:val="99"/>
    <w:semiHidden/>
    <w:unhideWhenUsed/>
    <w:rsid w:val="007C79C2"/>
  </w:style>
  <w:style w:type="character" w:styleId="PlaceholderText">
    <w:name w:val="Placeholder Text"/>
    <w:basedOn w:val="DefaultParagraphFont"/>
    <w:uiPriority w:val="99"/>
    <w:semiHidden/>
    <w:rsid w:val="007C79C2"/>
    <w:rPr>
      <w:color w:val="808080"/>
    </w:rPr>
  </w:style>
  <w:style w:type="table" w:styleId="PlainTable1">
    <w:name w:val="Plain Table 1"/>
    <w:basedOn w:val="TableNormal"/>
    <w:uiPriority w:val="41"/>
    <w:rsid w:val="007C79C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C79C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C79C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C79C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C79C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C79C2"/>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79C2"/>
    <w:rPr>
      <w:rFonts w:ascii="Consolas" w:hAnsi="Consolas"/>
      <w:sz w:val="21"/>
      <w:szCs w:val="21"/>
    </w:rPr>
  </w:style>
  <w:style w:type="paragraph" w:styleId="Quote">
    <w:name w:val="Quote"/>
    <w:basedOn w:val="Normal"/>
    <w:next w:val="Normal"/>
    <w:link w:val="QuoteChar"/>
    <w:uiPriority w:val="29"/>
    <w:qFormat/>
    <w:rsid w:val="007C79C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C79C2"/>
    <w:rPr>
      <w:i/>
      <w:iCs/>
      <w:color w:val="404040" w:themeColor="text1" w:themeTint="BF"/>
      <w:sz w:val="22"/>
    </w:rPr>
  </w:style>
  <w:style w:type="paragraph" w:styleId="Salutation">
    <w:name w:val="Salutation"/>
    <w:basedOn w:val="Normal"/>
    <w:next w:val="Normal"/>
    <w:link w:val="SalutationChar"/>
    <w:uiPriority w:val="99"/>
    <w:semiHidden/>
    <w:unhideWhenUsed/>
    <w:rsid w:val="007C79C2"/>
  </w:style>
  <w:style w:type="character" w:customStyle="1" w:styleId="SalutationChar">
    <w:name w:val="Salutation Char"/>
    <w:basedOn w:val="DefaultParagraphFont"/>
    <w:link w:val="Salutation"/>
    <w:uiPriority w:val="99"/>
    <w:semiHidden/>
    <w:rsid w:val="007C79C2"/>
    <w:rPr>
      <w:sz w:val="22"/>
    </w:rPr>
  </w:style>
  <w:style w:type="paragraph" w:styleId="Signature">
    <w:name w:val="Signature"/>
    <w:basedOn w:val="Normal"/>
    <w:link w:val="SignatureChar"/>
    <w:uiPriority w:val="99"/>
    <w:semiHidden/>
    <w:unhideWhenUsed/>
    <w:rsid w:val="007C79C2"/>
    <w:pPr>
      <w:spacing w:line="240" w:lineRule="auto"/>
      <w:ind w:left="4252"/>
    </w:pPr>
  </w:style>
  <w:style w:type="character" w:customStyle="1" w:styleId="SignatureChar">
    <w:name w:val="Signature Char"/>
    <w:basedOn w:val="DefaultParagraphFont"/>
    <w:link w:val="Signature"/>
    <w:uiPriority w:val="99"/>
    <w:semiHidden/>
    <w:rsid w:val="007C79C2"/>
    <w:rPr>
      <w:sz w:val="22"/>
    </w:rPr>
  </w:style>
  <w:style w:type="character" w:styleId="SmartHyperlink">
    <w:name w:val="Smart Hyperlink"/>
    <w:basedOn w:val="DefaultParagraphFont"/>
    <w:uiPriority w:val="99"/>
    <w:semiHidden/>
    <w:unhideWhenUsed/>
    <w:rsid w:val="007C79C2"/>
    <w:rPr>
      <w:u w:val="dotted"/>
    </w:rPr>
  </w:style>
  <w:style w:type="character" w:styleId="Strong">
    <w:name w:val="Strong"/>
    <w:basedOn w:val="DefaultParagraphFont"/>
    <w:uiPriority w:val="22"/>
    <w:qFormat/>
    <w:rsid w:val="007C79C2"/>
    <w:rPr>
      <w:b/>
      <w:bCs/>
    </w:rPr>
  </w:style>
  <w:style w:type="paragraph" w:styleId="Subtitle">
    <w:name w:val="Subtitle"/>
    <w:basedOn w:val="Normal"/>
    <w:next w:val="Normal"/>
    <w:link w:val="SubtitleChar"/>
    <w:uiPriority w:val="11"/>
    <w:qFormat/>
    <w:rsid w:val="007C79C2"/>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7C79C2"/>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7C79C2"/>
    <w:rPr>
      <w:i/>
      <w:iCs/>
      <w:color w:val="404040" w:themeColor="text1" w:themeTint="BF"/>
    </w:rPr>
  </w:style>
  <w:style w:type="character" w:styleId="SubtleReference">
    <w:name w:val="Subtle Reference"/>
    <w:basedOn w:val="DefaultParagraphFont"/>
    <w:uiPriority w:val="31"/>
    <w:qFormat/>
    <w:rsid w:val="007C79C2"/>
    <w:rPr>
      <w:smallCaps/>
      <w:color w:val="5A5A5A" w:themeColor="text1" w:themeTint="A5"/>
    </w:rPr>
  </w:style>
  <w:style w:type="table" w:styleId="Table3Deffects1">
    <w:name w:val="Table 3D effects 1"/>
    <w:basedOn w:val="TableNormal"/>
    <w:uiPriority w:val="99"/>
    <w:semiHidden/>
    <w:unhideWhenUsed/>
    <w:rsid w:val="007C79C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C79C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C79C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C79C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C79C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C79C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C79C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C79C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C79C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C79C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C79C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C79C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C79C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C79C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C79C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C79C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C79C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C79C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C79C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C79C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C79C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C79C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C79C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C79C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C79C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C79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C79C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C79C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C79C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C79C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C79C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C79C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C79C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C79C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C79C2"/>
    <w:pPr>
      <w:ind w:left="220" w:hanging="220"/>
    </w:pPr>
  </w:style>
  <w:style w:type="paragraph" w:styleId="TableofFigures">
    <w:name w:val="table of figures"/>
    <w:basedOn w:val="Normal"/>
    <w:next w:val="Normal"/>
    <w:uiPriority w:val="99"/>
    <w:semiHidden/>
    <w:unhideWhenUsed/>
    <w:rsid w:val="007C79C2"/>
  </w:style>
  <w:style w:type="table" w:styleId="TableProfessional">
    <w:name w:val="Table Professional"/>
    <w:basedOn w:val="TableNormal"/>
    <w:uiPriority w:val="99"/>
    <w:semiHidden/>
    <w:unhideWhenUsed/>
    <w:rsid w:val="007C79C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C79C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C79C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C79C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C79C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C79C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C79C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C79C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C79C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C79C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7C79C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9C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C79C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C79C2"/>
    <w:pPr>
      <w:numPr>
        <w:numId w:val="0"/>
      </w:numPr>
      <w:outlineLvl w:val="9"/>
    </w:pPr>
  </w:style>
  <w:style w:type="character" w:styleId="UnresolvedMention">
    <w:name w:val="Unresolved Mention"/>
    <w:basedOn w:val="DefaultParagraphFont"/>
    <w:uiPriority w:val="99"/>
    <w:semiHidden/>
    <w:unhideWhenUsed/>
    <w:rsid w:val="007C79C2"/>
    <w:rPr>
      <w:color w:val="605E5C"/>
      <w:shd w:val="clear" w:color="auto" w:fill="E1DFDD"/>
    </w:rPr>
  </w:style>
  <w:style w:type="character" w:customStyle="1" w:styleId="TabletextChar">
    <w:name w:val="Tabletext Char"/>
    <w:aliases w:val="tt Char"/>
    <w:basedOn w:val="DefaultParagraphFont"/>
    <w:link w:val="Tabletext"/>
    <w:rsid w:val="009E710E"/>
    <w:rPr>
      <w:rFonts w:eastAsia="Times New Roman" w:cs="Times New Roman"/>
      <w:lang w:eastAsia="en-AU"/>
    </w:rPr>
  </w:style>
  <w:style w:type="character" w:customStyle="1" w:styleId="paragraphChar">
    <w:name w:val="paragraph Char"/>
    <w:aliases w:val="a Char"/>
    <w:link w:val="paragraph"/>
    <w:rsid w:val="0008083E"/>
    <w:rPr>
      <w:rFonts w:eastAsia="Times New Roman" w:cs="Times New Roman"/>
      <w:sz w:val="22"/>
      <w:lang w:eastAsia="en-AU"/>
    </w:rPr>
  </w:style>
  <w:style w:type="character" w:customStyle="1" w:styleId="subsectionChar">
    <w:name w:val="subsection Char"/>
    <w:aliases w:val="ss Char"/>
    <w:link w:val="subsection"/>
    <w:rsid w:val="0008083E"/>
    <w:rPr>
      <w:rFonts w:eastAsia="Times New Roman" w:cs="Times New Roman"/>
      <w:sz w:val="22"/>
      <w:lang w:eastAsia="en-AU"/>
    </w:rPr>
  </w:style>
  <w:style w:type="character" w:customStyle="1" w:styleId="notetextChar">
    <w:name w:val="note(text) Char"/>
    <w:aliases w:val="n Char"/>
    <w:link w:val="notetext"/>
    <w:rsid w:val="0008083E"/>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086109">
      <w:bodyDiv w:val="1"/>
      <w:marLeft w:val="0"/>
      <w:marRight w:val="0"/>
      <w:marTop w:val="0"/>
      <w:marBottom w:val="0"/>
      <w:divBdr>
        <w:top w:val="none" w:sz="0" w:space="0" w:color="auto"/>
        <w:left w:val="none" w:sz="0" w:space="0" w:color="auto"/>
        <w:bottom w:val="none" w:sz="0" w:space="0" w:color="auto"/>
        <w:right w:val="none" w:sz="0" w:space="0" w:color="auto"/>
      </w:divBdr>
    </w:div>
    <w:div w:id="190933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bill_ins.dotx</Template>
  <TotalTime>0</TotalTime>
  <Pages>21</Pages>
  <Words>4616</Words>
  <Characters>26312</Characters>
  <Application>Microsoft Office Word</Application>
  <DocSecurity>2</DocSecurity>
  <PresentationFormat/>
  <Lines>219</Lines>
  <Paragraphs>61</Paragraphs>
  <ScaleCrop>false</ScaleCrop>
  <HeadingPairs>
    <vt:vector size="2" baseType="variant">
      <vt:variant>
        <vt:lpstr>Title</vt:lpstr>
      </vt:variant>
      <vt:variant>
        <vt:i4>1</vt:i4>
      </vt:variant>
    </vt:vector>
  </HeadingPairs>
  <TitlesOfParts>
    <vt:vector size="1" baseType="lpstr">
      <vt:lpstr>Exposure draft: Treasury Laws Amendment Bill 2025: Payments System Modernisation—amendment of the Corporations Act 2001</vt:lpstr>
    </vt:vector>
  </TitlesOfParts>
  <Manager/>
  <Company/>
  <LinksUpToDate>false</LinksUpToDate>
  <CharactersWithSpaces>30867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Treasury Laws Amendment Bill 2025: Payments System Modernisation—amendment of the Corporations Act 2001</dc:title>
  <dc:subject/>
  <dc:creator>Treasury</dc:creator>
  <cp:keywords/>
  <dc:description/>
  <cp:lastModifiedBy/>
  <cp:revision>1</cp:revision>
  <cp:lastPrinted>2025-09-09T00:25:00Z</cp:lastPrinted>
  <dcterms:created xsi:type="dcterms:W3CDTF">2025-09-09T06:49:00Z</dcterms:created>
  <dcterms:modified xsi:type="dcterms:W3CDTF">2025-09-23T23:14:00Z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INS</vt:lpwstr>
  </property>
  <property fmtid="{D5CDD505-2E9C-101B-9397-08002B2CF9AE}" pid="3" name="DLM">
    <vt:lpwstr> </vt:lpwstr>
  </property>
  <property fmtid="{D5CDD505-2E9C-101B-9397-08002B2CF9AE}" pid="4" name="Classification">
    <vt:lpwstr>EXPOSURE DRAFT</vt:lpwstr>
  </property>
  <property fmtid="{D5CDD505-2E9C-101B-9397-08002B2CF9AE}" pid="5" name="ShortT">
    <vt:lpwstr>Treasury Laws Amendment Bill 2025: Payments System Modernisation—amendment of the Corporations Act 2001</vt:lpwstr>
  </property>
  <property fmtid="{D5CDD505-2E9C-101B-9397-08002B2CF9AE}" pid="6" name="Actno">
    <vt:lpwstr/>
  </property>
  <property fmtid="{D5CDD505-2E9C-101B-9397-08002B2CF9AE}" pid="7" name="ID">
    <vt:lpwstr>OPC8746</vt:lpwstr>
  </property>
  <property fmtid="{D5CDD505-2E9C-101B-9397-08002B2CF9AE}" pid="8" name="DoNotAsk">
    <vt:lpwstr>0</vt:lpwstr>
  </property>
  <property fmtid="{D5CDD505-2E9C-101B-9397-08002B2CF9AE}" pid="9" name="ChangedTitle">
    <vt:lpwstr/>
  </property>
  <property fmtid="{D5CDD505-2E9C-101B-9397-08002B2CF9AE}" pid="10" name="TrimID">
    <vt:lpwstr>PC:D25/10535</vt:lpwstr>
  </property>
  <property fmtid="{D5CDD505-2E9C-101B-9397-08002B2CF9AE}" pid="11" name="MSIP_Label_4f932d64-9ab1-4d9b-81d2-a3a8b82dd47d_Enabled">
    <vt:lpwstr>true</vt:lpwstr>
  </property>
  <property fmtid="{D5CDD505-2E9C-101B-9397-08002B2CF9AE}" pid="12" name="MSIP_Label_4f932d64-9ab1-4d9b-81d2-a3a8b82dd47d_SetDate">
    <vt:lpwstr>2025-09-23T23:14:10Z</vt:lpwstr>
  </property>
  <property fmtid="{D5CDD505-2E9C-101B-9397-08002B2CF9AE}" pid="13" name="MSIP_Label_4f932d64-9ab1-4d9b-81d2-a3a8b82dd47d_Method">
    <vt:lpwstr>Privileged</vt:lpwstr>
  </property>
  <property fmtid="{D5CDD505-2E9C-101B-9397-08002B2CF9AE}" pid="14" name="MSIP_Label_4f932d64-9ab1-4d9b-81d2-a3a8b82dd47d_Name">
    <vt:lpwstr>OFFICIAL No Visual Marking</vt:lpwstr>
  </property>
  <property fmtid="{D5CDD505-2E9C-101B-9397-08002B2CF9AE}" pid="15" name="MSIP_Label_4f932d64-9ab1-4d9b-81d2-a3a8b82dd47d_SiteId">
    <vt:lpwstr>214f1646-2021-47cc-8397-e3d3a7ba7d9d</vt:lpwstr>
  </property>
  <property fmtid="{D5CDD505-2E9C-101B-9397-08002B2CF9AE}" pid="16" name="MSIP_Label_4f932d64-9ab1-4d9b-81d2-a3a8b82dd47d_ActionId">
    <vt:lpwstr>ce33c204-ebf7-4805-99d1-0f3a99e4c3d3</vt:lpwstr>
  </property>
  <property fmtid="{D5CDD505-2E9C-101B-9397-08002B2CF9AE}" pid="17" name="MSIP_Label_4f932d64-9ab1-4d9b-81d2-a3a8b82dd47d_ContentBits">
    <vt:lpwstr>0</vt:lpwstr>
  </property>
  <property fmtid="{D5CDD505-2E9C-101B-9397-08002B2CF9AE}" pid="18" name="MSIP_Label_4f932d64-9ab1-4d9b-81d2-a3a8b82dd47d_Tag">
    <vt:lpwstr>10, 0, 1, 1</vt:lpwstr>
  </property>
</Properties>
</file>