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642C" w14:textId="05002BFB" w:rsidR="00986A46" w:rsidRPr="006A14E3" w:rsidRDefault="006A14E3" w:rsidP="00F365D3">
      <w:pPr>
        <w:pStyle w:val="Factsheettitle"/>
        <w:spacing w:before="1200" w:after="240"/>
      </w:pPr>
      <w:r w:rsidRPr="006A14E3">
        <w:t xml:space="preserve">Regulating digital asset </w:t>
      </w:r>
      <w:r w:rsidR="008C05E0">
        <w:t>and tokenised custody platforms</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5CFF29BB" w14:textId="77777777" w:rsidTr="3FF1F077">
        <w:tc>
          <w:tcPr>
            <w:tcW w:w="8498" w:type="dxa"/>
          </w:tcPr>
          <w:p w14:paraId="58A8C0F4" w14:textId="0796BEB5" w:rsidR="00FC2E34" w:rsidRPr="00344C3F" w:rsidRDefault="006A14E3" w:rsidP="002B6924">
            <w:pPr>
              <w:pStyle w:val="Introtext"/>
              <w:spacing w:after="360"/>
              <w:ind w:left="-100"/>
              <w:jc w:val="both"/>
              <w:rPr>
                <w:sz w:val="24"/>
                <w:szCs w:val="24"/>
              </w:rPr>
            </w:pPr>
            <w:r w:rsidRPr="00344C3F">
              <w:rPr>
                <w:sz w:val="24"/>
                <w:szCs w:val="24"/>
              </w:rPr>
              <w:t xml:space="preserve">The </w:t>
            </w:r>
            <w:r w:rsidRPr="00344C3F" w:rsidDel="00785AC3">
              <w:rPr>
                <w:sz w:val="24"/>
                <w:szCs w:val="24"/>
              </w:rPr>
              <w:t>Albanese</w:t>
            </w:r>
            <w:r w:rsidR="0038651C" w:rsidRPr="00344C3F" w:rsidDel="00785AC3">
              <w:rPr>
                <w:sz w:val="24"/>
                <w:szCs w:val="24"/>
              </w:rPr>
              <w:t xml:space="preserve"> </w:t>
            </w:r>
            <w:r w:rsidR="0038651C" w:rsidRPr="00344C3F">
              <w:rPr>
                <w:sz w:val="24"/>
                <w:szCs w:val="24"/>
              </w:rPr>
              <w:t xml:space="preserve">Government is introducing new rules for digital asset </w:t>
            </w:r>
            <w:r w:rsidR="000E63BF">
              <w:rPr>
                <w:sz w:val="24"/>
                <w:szCs w:val="24"/>
              </w:rPr>
              <w:t xml:space="preserve">and tokenised custody </w:t>
            </w:r>
            <w:r w:rsidR="0038651C" w:rsidRPr="00344C3F">
              <w:rPr>
                <w:sz w:val="24"/>
                <w:szCs w:val="24"/>
              </w:rPr>
              <w:t>platforms in Australia. These platforms hold billions of dollars in assets for Australians. Digital asset innovations have the potential to boost competition and productivity in the financial sector</w:t>
            </w:r>
            <w:r w:rsidR="00942745">
              <w:rPr>
                <w:sz w:val="24"/>
                <w:szCs w:val="24"/>
              </w:rPr>
              <w:t xml:space="preserve">, and regulatory certainty will </w:t>
            </w:r>
            <w:r w:rsidR="008A68D5">
              <w:rPr>
                <w:sz w:val="24"/>
                <w:szCs w:val="24"/>
              </w:rPr>
              <w:t>better enable this</w:t>
            </w:r>
            <w:r w:rsidR="0038651C" w:rsidRPr="00344C3F">
              <w:rPr>
                <w:sz w:val="24"/>
                <w:szCs w:val="24"/>
              </w:rPr>
              <w:t>. But repeated failures of major platforms, both overseas and in Australia, show the need for stronger safeguards to protect consumers and ensure market integrity.</w:t>
            </w:r>
          </w:p>
        </w:tc>
      </w:tr>
    </w:tbl>
    <w:p w14:paraId="0715B156" w14:textId="77777777" w:rsidR="0042603E" w:rsidRDefault="0042603E" w:rsidP="0042603E"/>
    <w:tbl>
      <w:tblPr>
        <w:tblW w:w="5000" w:type="pct"/>
        <w:shd w:val="clear" w:color="auto" w:fill="F2F9FC"/>
        <w:tblCellMar>
          <w:top w:w="227" w:type="dxa"/>
          <w:left w:w="227" w:type="dxa"/>
          <w:bottom w:w="227" w:type="dxa"/>
          <w:right w:w="227" w:type="dxa"/>
        </w:tblCellMar>
        <w:tblLook w:val="0620" w:firstRow="1" w:lastRow="0" w:firstColumn="0" w:lastColumn="0" w:noHBand="1" w:noVBand="1"/>
      </w:tblPr>
      <w:tblGrid>
        <w:gridCol w:w="8504"/>
      </w:tblGrid>
      <w:tr w:rsidR="0042603E" w14:paraId="14F7BA29" w14:textId="77777777" w:rsidTr="00DF7521">
        <w:tc>
          <w:tcPr>
            <w:tcW w:w="5000" w:type="pct"/>
            <w:shd w:val="clear" w:color="auto" w:fill="F2F9FC"/>
          </w:tcPr>
          <w:p w14:paraId="239D0A9F" w14:textId="1E8D9C21" w:rsidR="0042603E" w:rsidRPr="0090719E" w:rsidRDefault="006F017A" w:rsidP="000C3915">
            <w:pPr>
              <w:pStyle w:val="BoxHeading"/>
              <w:keepNext w:val="0"/>
              <w:spacing w:before="0" w:after="240"/>
              <w:rPr>
                <w:szCs w:val="28"/>
              </w:rPr>
            </w:pPr>
            <w:r>
              <w:t>Key Concepts</w:t>
            </w:r>
          </w:p>
          <w:p w14:paraId="0D1C2767" w14:textId="3BA83A85" w:rsidR="003C2A98" w:rsidRDefault="003C2A98" w:rsidP="003C2A98">
            <w:r>
              <w:t xml:space="preserve">A </w:t>
            </w:r>
            <w:r w:rsidRPr="00EB793D">
              <w:rPr>
                <w:b/>
                <w:bCs/>
              </w:rPr>
              <w:t>digital token</w:t>
            </w:r>
            <w:r>
              <w:t xml:space="preserve"> is digital information that can be controlled and transferred, often by using cryptographic keys. It </w:t>
            </w:r>
            <w:r w:rsidR="006E03A0">
              <w:t>is used as an identifier in the</w:t>
            </w:r>
            <w:r w:rsidR="00EB793D">
              <w:t xml:space="preserve"> same way as</w:t>
            </w:r>
            <w:r w:rsidR="006E03A0">
              <w:t xml:space="preserve"> </w:t>
            </w:r>
            <w:r w:rsidR="00FD13ED">
              <w:t xml:space="preserve">physical tokens (e.g. </w:t>
            </w:r>
            <w:r w:rsidR="006A3023">
              <w:t xml:space="preserve">like </w:t>
            </w:r>
            <w:r w:rsidR="006E03A0">
              <w:t>the</w:t>
            </w:r>
            <w:r w:rsidR="00EB793D">
              <w:t xml:space="preserve"> </w:t>
            </w:r>
            <w:r w:rsidRPr="00EB793D">
              <w:rPr>
                <w:i/>
                <w:iCs/>
              </w:rPr>
              <w:t>paper</w:t>
            </w:r>
            <w:r w:rsidR="00EB793D">
              <w:t xml:space="preserve"> </w:t>
            </w:r>
            <w:r w:rsidR="00FD13ED">
              <w:t>of</w:t>
            </w:r>
            <w:r w:rsidR="00EB793D">
              <w:t xml:space="preserve"> </w:t>
            </w:r>
            <w:r w:rsidR="006A3023">
              <w:t xml:space="preserve">a </w:t>
            </w:r>
            <w:r w:rsidR="00EB793D">
              <w:t xml:space="preserve">bearer bond, </w:t>
            </w:r>
            <w:r w:rsidR="006E03A0">
              <w:t xml:space="preserve">the </w:t>
            </w:r>
            <w:r w:rsidR="00EB793D" w:rsidRPr="00EB793D">
              <w:rPr>
                <w:i/>
                <w:iCs/>
              </w:rPr>
              <w:t>cardboard</w:t>
            </w:r>
            <w:r w:rsidR="00EB793D">
              <w:t xml:space="preserve"> </w:t>
            </w:r>
            <w:r w:rsidR="00FD13ED">
              <w:t>of</w:t>
            </w:r>
            <w:r w:rsidR="00EB793D">
              <w:t xml:space="preserve"> a movie ticket, or</w:t>
            </w:r>
            <w:r w:rsidR="006E03A0">
              <w:t xml:space="preserve"> the</w:t>
            </w:r>
            <w:r w:rsidR="00EB793D">
              <w:t xml:space="preserve"> </w:t>
            </w:r>
            <w:r w:rsidR="00EB793D" w:rsidRPr="00EB793D">
              <w:rPr>
                <w:i/>
                <w:iCs/>
              </w:rPr>
              <w:t>plastic</w:t>
            </w:r>
            <w:r w:rsidR="00EB793D">
              <w:t xml:space="preserve"> </w:t>
            </w:r>
            <w:r w:rsidR="00FD13ED">
              <w:t>of</w:t>
            </w:r>
            <w:r w:rsidR="00EB793D">
              <w:t xml:space="preserve"> a banknote</w:t>
            </w:r>
            <w:r w:rsidR="00FD13ED">
              <w:t>)</w:t>
            </w:r>
            <w:r w:rsidR="00EB793D">
              <w:t xml:space="preserve">.  </w:t>
            </w:r>
          </w:p>
          <w:p w14:paraId="44A8A611" w14:textId="0CC85EDD" w:rsidR="0042603E" w:rsidRPr="00BA123B" w:rsidRDefault="003C2A98" w:rsidP="003C2A98">
            <w:pPr>
              <w:pStyle w:val="Bullet"/>
              <w:numPr>
                <w:ilvl w:val="0"/>
                <w:numId w:val="0"/>
              </w:numPr>
            </w:pPr>
            <w:r>
              <w:t xml:space="preserve">A </w:t>
            </w:r>
            <w:r w:rsidRPr="00EB793D">
              <w:rPr>
                <w:b/>
                <w:bCs/>
              </w:rPr>
              <w:t>digital asset</w:t>
            </w:r>
            <w:r>
              <w:t xml:space="preserve"> is the </w:t>
            </w:r>
            <w:r w:rsidR="00EB793D">
              <w:t>bundle</w:t>
            </w:r>
            <w:r>
              <w:t xml:space="preserve"> of legal rights linked to a digital token. It is like the </w:t>
            </w:r>
            <w:r w:rsidRPr="00EB793D">
              <w:rPr>
                <w:i/>
                <w:iCs/>
              </w:rPr>
              <w:t>value</w:t>
            </w:r>
            <w:r>
              <w:t xml:space="preserve"> of a bearer bond, banknote, or movie ticket—</w:t>
            </w:r>
            <w:r w:rsidR="002512EC">
              <w:t xml:space="preserve">but </w:t>
            </w:r>
            <w:r w:rsidR="008654DB">
              <w:t>packaged</w:t>
            </w:r>
            <w:r w:rsidR="002512EC">
              <w:t xml:space="preserve"> in such a way</w:t>
            </w:r>
            <w:r>
              <w:t xml:space="preserve"> that </w:t>
            </w:r>
            <w:r w:rsidR="00E1659B">
              <w:t>the value is digitally transferrable</w:t>
            </w:r>
            <w:r>
              <w:t xml:space="preserve"> without an intermediary.</w:t>
            </w:r>
          </w:p>
        </w:tc>
      </w:tr>
    </w:tbl>
    <w:p w14:paraId="0A69404D" w14:textId="28482A04" w:rsidR="007278A3" w:rsidRPr="0051763B" w:rsidRDefault="007278A3" w:rsidP="007278A3">
      <w:pPr>
        <w:pStyle w:val="Heading2"/>
      </w:pPr>
      <w:r>
        <w:t xml:space="preserve">Regulations that </w:t>
      </w:r>
      <w:r w:rsidRPr="0051763B">
        <w:t>are fit for purpose</w:t>
      </w:r>
    </w:p>
    <w:p w14:paraId="02D47942" w14:textId="3D1EDA21" w:rsidR="007278A3" w:rsidRDefault="007278A3" w:rsidP="007278A3">
      <w:r>
        <w:t xml:space="preserve">The </w:t>
      </w:r>
      <w:r w:rsidR="00557DD9">
        <w:t>g</w:t>
      </w:r>
      <w:r>
        <w:t xml:space="preserve">overnment is introducing a regulatory regime tailored to the </w:t>
      </w:r>
      <w:r w:rsidR="00DB796B">
        <w:t>main risks that arise in the digital asset space.</w:t>
      </w:r>
      <w:r>
        <w:t xml:space="preserve"> The focus</w:t>
      </w:r>
      <w:r w:rsidR="00B62A44">
        <w:t xml:space="preserve"> of the framework</w:t>
      </w:r>
      <w:r>
        <w:t xml:space="preserve"> is </w:t>
      </w:r>
      <w:r w:rsidR="00EE1B8E">
        <w:t xml:space="preserve">businesses that </w:t>
      </w:r>
      <w:r>
        <w:t>hold assets on behalf of clients, rather than on the digital assets themselves. This approach:</w:t>
      </w:r>
    </w:p>
    <w:p w14:paraId="2C3C7DB1" w14:textId="77777777" w:rsidR="007278A3" w:rsidRDefault="007278A3" w:rsidP="007278A3">
      <w:pPr>
        <w:pStyle w:val="Bullet"/>
      </w:pPr>
      <w:r>
        <w:t>closes regulatory gaps and reduces the risk of exploitation through loopholes</w:t>
      </w:r>
    </w:p>
    <w:p w14:paraId="27AEC94B" w14:textId="77777777" w:rsidR="007278A3" w:rsidRDefault="007278A3" w:rsidP="007278A3">
      <w:pPr>
        <w:pStyle w:val="Bullet"/>
      </w:pPr>
      <w:r>
        <w:t>is technologically neutral, so it can adapt as new forms of tokenisation and services emerge</w:t>
      </w:r>
    </w:p>
    <w:p w14:paraId="776D127E" w14:textId="7C27A734" w:rsidR="007278A3" w:rsidRDefault="00162835" w:rsidP="007278A3">
      <w:pPr>
        <w:pStyle w:val="Bullet"/>
      </w:pPr>
      <w:r>
        <w:t xml:space="preserve">mitigates risk by applying </w:t>
      </w:r>
      <w:r w:rsidR="00F407E5">
        <w:t xml:space="preserve">well-understood and </w:t>
      </w:r>
      <w:r w:rsidR="00CA30A0">
        <w:t>time-tested</w:t>
      </w:r>
      <w:r w:rsidR="00F407E5">
        <w:t xml:space="preserve"> </w:t>
      </w:r>
      <w:r>
        <w:t xml:space="preserve">frameworks designed specifically to mitigate the target risks. </w:t>
      </w:r>
      <w:r w:rsidR="00715933">
        <w:t xml:space="preserve"> </w:t>
      </w:r>
    </w:p>
    <w:p w14:paraId="2E6B5A38" w14:textId="2CB2DC9D" w:rsidR="007278A3" w:rsidRDefault="007278A3" w:rsidP="007278A3">
      <w:r>
        <w:t xml:space="preserve">The new framework does not displace existing laws generally. Where digital assets already fall within existing financial product definitions, the current laws will </w:t>
      </w:r>
      <w:r w:rsidR="00B864AD">
        <w:t>largely</w:t>
      </w:r>
      <w:r>
        <w:t xml:space="preserve"> apply </w:t>
      </w:r>
      <w:r w:rsidR="003745FE">
        <w:t xml:space="preserve">to </w:t>
      </w:r>
      <w:r w:rsidR="00B864AD">
        <w:t xml:space="preserve">activities involving those assets in the same way they do now. </w:t>
      </w:r>
      <w:r>
        <w:t xml:space="preserve"> However, the</w:t>
      </w:r>
      <w:r w:rsidR="003745FE">
        <w:t>y</w:t>
      </w:r>
      <w:r>
        <w:t xml:space="preserve"> </w:t>
      </w:r>
      <w:r w:rsidR="00B864AD">
        <w:t xml:space="preserve">introduce targeted </w:t>
      </w:r>
      <w:r w:rsidR="0018013C">
        <w:t xml:space="preserve">elements of </w:t>
      </w:r>
      <w:r w:rsidR="00B864AD">
        <w:t>risk mitigation</w:t>
      </w:r>
      <w:r w:rsidR="00BE7B10">
        <w:t xml:space="preserve">, </w:t>
      </w:r>
      <w:r w:rsidR="0018013C">
        <w:t>regulatory clarity, and “</w:t>
      </w:r>
      <w:r>
        <w:t>right-siz</w:t>
      </w:r>
      <w:r w:rsidR="0018013C">
        <w:t>ed” obligations</w:t>
      </w:r>
      <w:r w:rsidR="00CA30A0">
        <w:t xml:space="preserve"> </w:t>
      </w:r>
      <w:r>
        <w:t xml:space="preserve">– in a way that facilitates innovations without sacrificing consumer protections. </w:t>
      </w:r>
    </w:p>
    <w:p w14:paraId="068E938C" w14:textId="3BA23845" w:rsidR="00952F2F" w:rsidRPr="00E11105" w:rsidRDefault="00AD3505" w:rsidP="00CE0C8D">
      <w:pPr>
        <w:pStyle w:val="Heading2"/>
        <w:spacing w:after="0"/>
      </w:pPr>
      <w:r>
        <w:lastRenderedPageBreak/>
        <w:t>Dual</w:t>
      </w:r>
      <w:r w:rsidR="00513508">
        <w:t xml:space="preserve"> aims of the reforms</w:t>
      </w:r>
    </w:p>
    <w:p w14:paraId="41370E16" w14:textId="626A720D" w:rsidR="000331E6" w:rsidRDefault="000331E6" w:rsidP="000331E6">
      <w:pPr>
        <w:pStyle w:val="Heading3"/>
      </w:pPr>
      <w:r>
        <w:t xml:space="preserve">Managing </w:t>
      </w:r>
      <w:r w:rsidR="004C6A5E">
        <w:t xml:space="preserve">Key </w:t>
      </w:r>
      <w:r>
        <w:t>Risks in Digital Asset Markets</w:t>
      </w:r>
    </w:p>
    <w:p w14:paraId="579FD855" w14:textId="0EB5A116" w:rsidR="00FF092A" w:rsidRPr="00FF092A" w:rsidRDefault="00FF092A" w:rsidP="00FF092A">
      <w:r w:rsidRPr="00FF092A">
        <w:t xml:space="preserve">Digital assets already fall within Australia’s existing legal and regulatory frameworks. They are treated under </w:t>
      </w:r>
      <w:r w:rsidR="008528B6">
        <w:t>general frameworks (</w:t>
      </w:r>
      <w:r w:rsidRPr="00FF092A">
        <w:t>such as property, insolvency, criminal, family and tax</w:t>
      </w:r>
      <w:r w:rsidR="008528B6">
        <w:t xml:space="preserve"> law)</w:t>
      </w:r>
      <w:r w:rsidRPr="00FF092A">
        <w:t xml:space="preserve"> in the same way as other assets. Specialised frameworks also apply depending on the </w:t>
      </w:r>
      <w:r w:rsidR="008528B6">
        <w:t xml:space="preserve">asset or </w:t>
      </w:r>
      <w:r w:rsidRPr="00FF092A">
        <w:t>activity</w:t>
      </w:r>
      <w:r w:rsidR="008528B6">
        <w:t>. For example</w:t>
      </w:r>
      <w:r w:rsidRPr="00FF092A">
        <w:t>: ASIC regulates financial products and services involving digital assets, APRA oversee</w:t>
      </w:r>
      <w:r w:rsidR="008528B6">
        <w:t>s</w:t>
      </w:r>
      <w:r w:rsidRPr="00FF092A">
        <w:t xml:space="preserve"> </w:t>
      </w:r>
      <w:r w:rsidR="008528B6">
        <w:t>banks</w:t>
      </w:r>
      <w:r w:rsidRPr="00FF092A">
        <w:t xml:space="preserve">, insurers and super funds with digital asset exposure, and agencies such as the ACCC, ACMA and IP Australia </w:t>
      </w:r>
      <w:r w:rsidR="008528B6">
        <w:t xml:space="preserve">may </w:t>
      </w:r>
      <w:r w:rsidRPr="00FF092A">
        <w:t xml:space="preserve">regulate </w:t>
      </w:r>
      <w:r w:rsidR="00D47F35">
        <w:t>digital assets</w:t>
      </w:r>
      <w:r w:rsidR="008528B6">
        <w:t xml:space="preserve"> activities</w:t>
      </w:r>
      <w:r w:rsidR="008A78D4">
        <w:t xml:space="preserve"> in</w:t>
      </w:r>
      <w:r w:rsidRPr="00FF092A">
        <w:t xml:space="preserve"> their respective domains.</w:t>
      </w:r>
    </w:p>
    <w:p w14:paraId="1A15A22F" w14:textId="3DC68EFE" w:rsidR="00C90E7D" w:rsidRDefault="00FF092A" w:rsidP="00FF092A">
      <w:r w:rsidRPr="00FF092A">
        <w:t xml:space="preserve">Despite this </w:t>
      </w:r>
      <w:r w:rsidR="007729D9">
        <w:t xml:space="preserve">existing legal and regulatory </w:t>
      </w:r>
      <w:r w:rsidRPr="00FF092A">
        <w:t xml:space="preserve">coverage, failures of digital asset intermediaries have caused major losses for consumers, including in Australia. Treasury’s consultations confirmed that the main unmitigated risks arise in custody-based </w:t>
      </w:r>
      <w:r w:rsidR="00D775BF">
        <w:t xml:space="preserve">business models, which </w:t>
      </w:r>
      <w:r w:rsidR="00CD576A">
        <w:t>are common across the digital asset space (e.g.</w:t>
      </w:r>
      <w:r w:rsidRPr="00FF092A">
        <w:t xml:space="preserve"> trading</w:t>
      </w:r>
      <w:r w:rsidR="00CD576A">
        <w:t xml:space="preserve"> platforms</w:t>
      </w:r>
      <w:r w:rsidRPr="00FF092A">
        <w:t xml:space="preserve">, </w:t>
      </w:r>
      <w:r w:rsidR="005774C9">
        <w:t xml:space="preserve">brokerage services, </w:t>
      </w:r>
      <w:r w:rsidRPr="00FF092A">
        <w:t>wallet</w:t>
      </w:r>
      <w:r w:rsidR="00CD576A">
        <w:t>s, and</w:t>
      </w:r>
      <w:r w:rsidRPr="00FF092A">
        <w:t xml:space="preserve"> tokenisation </w:t>
      </w:r>
      <w:r w:rsidR="00CD576A">
        <w:t xml:space="preserve">products </w:t>
      </w:r>
      <w:r w:rsidR="005774C9">
        <w:t>are typically custody-based)</w:t>
      </w:r>
      <w:r w:rsidRPr="00FF092A">
        <w:t xml:space="preserve">. </w:t>
      </w:r>
    </w:p>
    <w:p w14:paraId="385CC73F" w14:textId="63A2FC8D" w:rsidR="00FF092A" w:rsidRPr="00FF092A" w:rsidRDefault="00FF092A" w:rsidP="00FF092A">
      <w:r w:rsidRPr="00FF092A">
        <w:t xml:space="preserve">While some of these </w:t>
      </w:r>
      <w:r w:rsidR="00C90E7D">
        <w:t>intermediaries</w:t>
      </w:r>
      <w:r w:rsidRPr="00FF092A">
        <w:t xml:space="preserve"> are already regulated, a gap exists when intermediaries hold large volumes of digital assets</w:t>
      </w:r>
      <w:r w:rsidR="001B7BED">
        <w:t xml:space="preserve"> that aren’t financial products</w:t>
      </w:r>
      <w:r w:rsidRPr="00FF092A">
        <w:t xml:space="preserve">. </w:t>
      </w:r>
      <w:r w:rsidR="009D0908" w:rsidRPr="00F21F05">
        <w:t>Outside the digital asset space, this</w:t>
      </w:r>
      <w:r w:rsidR="009D0908">
        <w:t xml:space="preserve"> “gap”</w:t>
      </w:r>
      <w:r w:rsidR="009D0908" w:rsidRPr="00F21F05">
        <w:t xml:space="preserve"> has not been a major concern, but digital tokens make it far easier to </w:t>
      </w:r>
      <w:r w:rsidR="009D0908">
        <w:t xml:space="preserve">transfer and </w:t>
      </w:r>
      <w:r w:rsidR="009D0908" w:rsidRPr="00F21F05">
        <w:t xml:space="preserve">pool assets at </w:t>
      </w:r>
      <w:r w:rsidR="009D0908">
        <w:t xml:space="preserve">speed and at </w:t>
      </w:r>
      <w:r w:rsidR="009D0908" w:rsidRPr="00F21F05">
        <w:t>scale</w:t>
      </w:r>
      <w:r w:rsidR="008B4FCE">
        <w:t xml:space="preserve"> –</w:t>
      </w:r>
      <w:r w:rsidR="0070153A">
        <w:t xml:space="preserve"> </w:t>
      </w:r>
      <w:r w:rsidR="008B4FCE">
        <w:t xml:space="preserve">leading </w:t>
      </w:r>
      <w:r w:rsidR="0070153A">
        <w:t>in more than one case to</w:t>
      </w:r>
      <w:r w:rsidR="008B4FCE">
        <w:t xml:space="preserve"> </w:t>
      </w:r>
      <w:r w:rsidR="008B4FCE" w:rsidRPr="00FF092A">
        <w:t xml:space="preserve">billions of dollars in client assets </w:t>
      </w:r>
      <w:r w:rsidR="008B4FCE">
        <w:t xml:space="preserve">being held by </w:t>
      </w:r>
      <w:r w:rsidR="00D077E5">
        <w:t>a single unregulated intermediary. T</w:t>
      </w:r>
      <w:r w:rsidRPr="00FF092A">
        <w:t xml:space="preserve">he consequences </w:t>
      </w:r>
      <w:r w:rsidR="00144B87">
        <w:t xml:space="preserve">for </w:t>
      </w:r>
      <w:r w:rsidR="00956B6A">
        <w:t xml:space="preserve">consumers </w:t>
      </w:r>
      <w:r w:rsidR="00D077E5">
        <w:t>have</w:t>
      </w:r>
      <w:r w:rsidR="008B4FCE">
        <w:t xml:space="preserve"> </w:t>
      </w:r>
      <w:r w:rsidRPr="00FF092A">
        <w:t xml:space="preserve">been clear: frozen withdrawals, insolvency </w:t>
      </w:r>
      <w:r w:rsidR="0070153A">
        <w:t>proceedings</w:t>
      </w:r>
      <w:r w:rsidRPr="00FF092A">
        <w:t xml:space="preserve">, commingling with provider funds, undisclosed proprietary trading, weak governance and disclosure, fraud, </w:t>
      </w:r>
      <w:r w:rsidR="0070153A">
        <w:t xml:space="preserve">and </w:t>
      </w:r>
      <w:r w:rsidRPr="00FF092A">
        <w:t>cyber theft. These harms are symptomatic of large, unregulated custodial arrangements.</w:t>
      </w:r>
    </w:p>
    <w:p w14:paraId="569C0A03" w14:textId="7EBFA1E2" w:rsidR="001B7BED" w:rsidRDefault="00FF092A" w:rsidP="0027212F">
      <w:pPr>
        <w:spacing w:after="60"/>
      </w:pPr>
      <w:r w:rsidRPr="00FF092A">
        <w:t xml:space="preserve">The draft </w:t>
      </w:r>
      <w:r w:rsidR="001B7BED">
        <w:t xml:space="preserve">legislation </w:t>
      </w:r>
      <w:r w:rsidRPr="00FF092A">
        <w:t xml:space="preserve">addresses these risks by extending established financial services frameworks </w:t>
      </w:r>
      <w:r w:rsidR="00B56596">
        <w:t xml:space="preserve">to </w:t>
      </w:r>
      <w:r w:rsidR="00D333E1">
        <w:t>the</w:t>
      </w:r>
      <w:r w:rsidR="00404C20">
        <w:t xml:space="preserve"> target intermediaries</w:t>
      </w:r>
      <w:r w:rsidR="00507F57">
        <w:t>. This will bring them under the same rules</w:t>
      </w:r>
      <w:r w:rsidR="00507F57" w:rsidRPr="00507F57">
        <w:t xml:space="preserve"> already applied to intermediaries with similar product offerings, such as operators of investor-directed portfolio services, managed discretionary accounts, and registered schemes.</w:t>
      </w:r>
    </w:p>
    <w:p w14:paraId="19F871BD" w14:textId="18B25430" w:rsidR="00AA5264" w:rsidRDefault="00FF092A" w:rsidP="0027212F">
      <w:pPr>
        <w:spacing w:after="60"/>
      </w:pPr>
      <w:r w:rsidRPr="00FF092A">
        <w:t xml:space="preserve">This </w:t>
      </w:r>
      <w:r w:rsidR="00507F57">
        <w:t>approach</w:t>
      </w:r>
      <w:r w:rsidR="002E5542">
        <w:t xml:space="preserve">: </w:t>
      </w:r>
    </w:p>
    <w:p w14:paraId="00930F47" w14:textId="4A76C487" w:rsidR="00AA5264" w:rsidRDefault="00AA5264" w:rsidP="0027212F">
      <w:pPr>
        <w:pStyle w:val="Dash"/>
        <w:spacing w:after="60"/>
        <w:ind w:left="284"/>
      </w:pPr>
      <w:r>
        <w:t>ensure</w:t>
      </w:r>
      <w:r w:rsidR="00BE23BE">
        <w:t>s</w:t>
      </w:r>
      <w:r>
        <w:t xml:space="preserve"> </w:t>
      </w:r>
      <w:r w:rsidR="002E5542" w:rsidRPr="002E5542">
        <w:t xml:space="preserve">equivalent safeguards for similar products and </w:t>
      </w:r>
      <w:proofErr w:type="gramStart"/>
      <w:r w:rsidR="002E5542" w:rsidRPr="002E5542">
        <w:t>services;</w:t>
      </w:r>
      <w:proofErr w:type="gramEnd"/>
      <w:r w:rsidR="002E5542" w:rsidRPr="002E5542">
        <w:t xml:space="preserve"> </w:t>
      </w:r>
    </w:p>
    <w:p w14:paraId="0832B8CD" w14:textId="77777777" w:rsidR="00AA5264" w:rsidRDefault="00AA5264" w:rsidP="0027212F">
      <w:pPr>
        <w:pStyle w:val="Dash"/>
        <w:spacing w:after="60"/>
        <w:ind w:left="284"/>
      </w:pPr>
      <w:r>
        <w:t>provides a framework for monitoring</w:t>
      </w:r>
      <w:r w:rsidR="002E5542" w:rsidRPr="002E5542">
        <w:t xml:space="preserve"> financial stability as digital asset use grows; and </w:t>
      </w:r>
    </w:p>
    <w:p w14:paraId="0685A7E9" w14:textId="5173682F" w:rsidR="002E5542" w:rsidRDefault="002E5542" w:rsidP="0027212F">
      <w:pPr>
        <w:pStyle w:val="Dash"/>
        <w:ind w:left="284"/>
      </w:pPr>
      <w:r w:rsidRPr="002E5542">
        <w:t>aligns with the “same activity, same risk, same regulation” principles</w:t>
      </w:r>
      <w:r w:rsidR="00AA5264">
        <w:t xml:space="preserve"> – maintaining consistency with peer jurisdictions and the recommendations of international regulatory bodies.</w:t>
      </w:r>
    </w:p>
    <w:p w14:paraId="425C7E48" w14:textId="09165381" w:rsidR="000331E6" w:rsidRDefault="00AF0794" w:rsidP="000331E6">
      <w:pPr>
        <w:pStyle w:val="Heading3"/>
      </w:pPr>
      <w:r>
        <w:t xml:space="preserve">Addressing </w:t>
      </w:r>
      <w:r w:rsidR="000331E6">
        <w:t>Regulatory Uncertainty</w:t>
      </w:r>
      <w:r w:rsidR="009F4887">
        <w:t xml:space="preserve"> to Unlock Innovation</w:t>
      </w:r>
    </w:p>
    <w:p w14:paraId="2732565B" w14:textId="0C547D4C" w:rsidR="00AD170A" w:rsidRDefault="00AD170A" w:rsidP="007314BA">
      <w:r w:rsidRPr="00AD170A">
        <w:t xml:space="preserve">Broad financial product definitions have created significant uncertainty about the regulatory status of some digital asset products and services. </w:t>
      </w:r>
      <w:r w:rsidR="001B7BED" w:rsidRPr="001B7BED">
        <w:t>This lack of clarity has left many participants unsure of how to operate under Australian law, limiting the sector’s capacity to innovate and grow.</w:t>
      </w:r>
    </w:p>
    <w:p w14:paraId="59417D16" w14:textId="38FB551C" w:rsidR="000331E6" w:rsidRDefault="00E36B50" w:rsidP="007314BA">
      <w:r w:rsidRPr="00E36B50">
        <w:t xml:space="preserve">Part of this uncertainty arises from the characteristics of digital assets themselves. They can be transferred without </w:t>
      </w:r>
      <w:r w:rsidR="00AB3C3D" w:rsidRPr="00E36B50">
        <w:t>intermediaries,</w:t>
      </w:r>
      <w:r w:rsidRPr="00E36B50">
        <w:t xml:space="preserve"> and </w:t>
      </w:r>
      <w:r>
        <w:t xml:space="preserve">some </w:t>
      </w:r>
      <w:r w:rsidRPr="00E36B50">
        <w:t xml:space="preserve">may have no identifiable issuer. This does not sit neatly within </w:t>
      </w:r>
      <w:r>
        <w:t>a framework</w:t>
      </w:r>
      <w:r w:rsidRPr="00E36B50">
        <w:t xml:space="preserve"> designed </w:t>
      </w:r>
      <w:r>
        <w:t>to regulate financial promises made by</w:t>
      </w:r>
      <w:r w:rsidRPr="00E36B50">
        <w:t xml:space="preserve"> intermediaries, such as product issuers </w:t>
      </w:r>
      <w:r w:rsidR="00260255">
        <w:t xml:space="preserve">and </w:t>
      </w:r>
      <w:r w:rsidRPr="00E36B50">
        <w:t>service providers.</w:t>
      </w:r>
      <w:r w:rsidR="00E468D5">
        <w:t xml:space="preserve">  </w:t>
      </w:r>
    </w:p>
    <w:p w14:paraId="0CE14285" w14:textId="2FF30937" w:rsidR="00260255" w:rsidRDefault="00260255" w:rsidP="007314BA">
      <w:r w:rsidRPr="00260255">
        <w:t>Other uncertaint</w:t>
      </w:r>
      <w:r w:rsidR="0093023C">
        <w:t>ies</w:t>
      </w:r>
      <w:r w:rsidRPr="00260255">
        <w:t xml:space="preserve"> arise from</w:t>
      </w:r>
      <w:r>
        <w:t xml:space="preserve"> the</w:t>
      </w:r>
      <w:r w:rsidRPr="00260255">
        <w:t xml:space="preserve"> novel </w:t>
      </w:r>
      <w:r w:rsidR="0093023C">
        <w:t xml:space="preserve">nature of the </w:t>
      </w:r>
      <w:r w:rsidRPr="00260255">
        <w:t>products and services</w:t>
      </w:r>
      <w:r>
        <w:t xml:space="preserve"> that are available </w:t>
      </w:r>
      <w:r w:rsidRPr="00D23A5B">
        <w:t>for</w:t>
      </w:r>
      <w:r w:rsidRPr="00BF5335">
        <w:t xml:space="preserve"> </w:t>
      </w:r>
      <w:r>
        <w:t>digital assets</w:t>
      </w:r>
      <w:r w:rsidRPr="00260255">
        <w:t xml:space="preserve">. Activities such as staking and wrapping can still fall within existing </w:t>
      </w:r>
      <w:r w:rsidR="0093023C">
        <w:t xml:space="preserve">financial product </w:t>
      </w:r>
      <w:r w:rsidRPr="00260255">
        <w:t>definitions</w:t>
      </w:r>
      <w:r w:rsidR="0093023C">
        <w:t xml:space="preserve">, despite having no clear </w:t>
      </w:r>
      <w:r w:rsidR="0093023C" w:rsidRPr="00260255">
        <w:t xml:space="preserve">financial </w:t>
      </w:r>
      <w:r w:rsidR="0093023C">
        <w:t xml:space="preserve">system </w:t>
      </w:r>
      <w:r w:rsidR="0093023C" w:rsidRPr="00260255">
        <w:t>analogu</w:t>
      </w:r>
      <w:r w:rsidR="0093023C">
        <w:t xml:space="preserve">es or </w:t>
      </w:r>
      <w:r w:rsidR="00732053">
        <w:t xml:space="preserve">sharing risks with the </w:t>
      </w:r>
      <w:r w:rsidR="00732053">
        <w:lastRenderedPageBreak/>
        <w:t>activities</w:t>
      </w:r>
      <w:r w:rsidR="0093023C">
        <w:t xml:space="preserve"> </w:t>
      </w:r>
      <w:r w:rsidR="00732053">
        <w:t>originally targeted by those definitions</w:t>
      </w:r>
      <w:r w:rsidRPr="00260255">
        <w:t xml:space="preserve">. ASIC’s recent draft guidance on digital assets highlights the resulting </w:t>
      </w:r>
      <w:r w:rsidR="00732053">
        <w:t xml:space="preserve">complexity and </w:t>
      </w:r>
      <w:r w:rsidRPr="00260255">
        <w:t>compliance challenges.</w:t>
      </w:r>
    </w:p>
    <w:p w14:paraId="029795F0" w14:textId="77777777" w:rsidR="00253E14" w:rsidRDefault="0034171D" w:rsidP="0027212F">
      <w:pPr>
        <w:spacing w:after="60"/>
      </w:pPr>
      <w:r>
        <w:t xml:space="preserve">While these </w:t>
      </w:r>
      <w:r w:rsidRPr="0034171D">
        <w:t>reforms are not intended to remove all uncertainty</w:t>
      </w:r>
      <w:r>
        <w:t xml:space="preserve">, they do provide </w:t>
      </w:r>
      <w:r w:rsidRPr="0034171D">
        <w:t>clarity</w:t>
      </w:r>
      <w:r>
        <w:t xml:space="preserve"> and certainty</w:t>
      </w:r>
      <w:r w:rsidRPr="0034171D">
        <w:t xml:space="preserve"> by reduc</w:t>
      </w:r>
      <w:r w:rsidR="0009221F">
        <w:t>ing</w:t>
      </w:r>
      <w:r w:rsidRPr="0034171D">
        <w:t xml:space="preserve"> reliance on ill-fitting product definitions </w:t>
      </w:r>
      <w:r w:rsidR="00DE3169">
        <w:t xml:space="preserve">in </w:t>
      </w:r>
      <w:r w:rsidR="004D0342">
        <w:t>relation to</w:t>
      </w:r>
      <w:r w:rsidR="00ED4A51">
        <w:t xml:space="preserve"> key</w:t>
      </w:r>
      <w:r w:rsidR="00A15A15">
        <w:t xml:space="preserve"> activities in the digital asset space, including: </w:t>
      </w:r>
    </w:p>
    <w:p w14:paraId="5E3558D7" w14:textId="77777777" w:rsidR="00253E14" w:rsidRDefault="00280A8A" w:rsidP="00891FDA">
      <w:pPr>
        <w:pStyle w:val="Bullet"/>
      </w:pPr>
      <w:r>
        <w:t xml:space="preserve">creating and dealing in </w:t>
      </w:r>
      <w:r w:rsidR="00C918D9">
        <w:t xml:space="preserve">wrapped </w:t>
      </w:r>
      <w:proofErr w:type="gramStart"/>
      <w:r w:rsidR="00C918D9">
        <w:t>tokens;</w:t>
      </w:r>
      <w:proofErr w:type="gramEnd"/>
      <w:r w:rsidR="00C918D9">
        <w:t xml:space="preserve"> </w:t>
      </w:r>
    </w:p>
    <w:p w14:paraId="30E950CB" w14:textId="65CA28BE" w:rsidR="0027212F" w:rsidRDefault="007D20D7" w:rsidP="00891FDA">
      <w:pPr>
        <w:pStyle w:val="Bullet"/>
      </w:pPr>
      <w:r>
        <w:t xml:space="preserve">participating in the operation </w:t>
      </w:r>
      <w:r w:rsidR="0027212F">
        <w:t xml:space="preserve">or development </w:t>
      </w:r>
      <w:r>
        <w:t xml:space="preserve">of </w:t>
      </w:r>
      <w:r w:rsidR="00CD7764">
        <w:t>pub</w:t>
      </w:r>
      <w:r w:rsidR="0013713D">
        <w:t>l</w:t>
      </w:r>
      <w:r w:rsidR="00CD7764">
        <w:t xml:space="preserve">ic digital token infrastructure; </w:t>
      </w:r>
      <w:r w:rsidR="0027212F">
        <w:t>and</w:t>
      </w:r>
    </w:p>
    <w:p w14:paraId="178FFC4D" w14:textId="67287AB7" w:rsidR="0034171D" w:rsidRDefault="0013713D" w:rsidP="00891FDA">
      <w:pPr>
        <w:pStyle w:val="Bullet"/>
      </w:pPr>
      <w:r>
        <w:t xml:space="preserve">acting as an intermediary to </w:t>
      </w:r>
      <w:r w:rsidR="005F638B">
        <w:t xml:space="preserve">a client’s </w:t>
      </w:r>
      <w:r>
        <w:t xml:space="preserve">staking </w:t>
      </w:r>
      <w:r w:rsidR="005F638B">
        <w:t>activities</w:t>
      </w:r>
      <w:r w:rsidR="0034171D" w:rsidRPr="0034171D">
        <w:t>.</w:t>
      </w:r>
    </w:p>
    <w:p w14:paraId="60317633" w14:textId="5F0EDAA0" w:rsidR="00EA455A" w:rsidRDefault="00EA455A" w:rsidP="00891FDA">
      <w:pPr>
        <w:pStyle w:val="Heading2"/>
        <w:spacing w:after="0"/>
      </w:pPr>
      <w:r>
        <w:t>Unlocking potential for Australia</w:t>
      </w:r>
    </w:p>
    <w:p w14:paraId="4B76A7FE" w14:textId="20578781" w:rsidR="00EA455A" w:rsidRPr="00EA455A" w:rsidRDefault="00EA455A" w:rsidP="00891FDA">
      <w:pPr>
        <w:pStyle w:val="Dash"/>
        <w:numPr>
          <w:ilvl w:val="0"/>
          <w:numId w:val="0"/>
        </w:numPr>
      </w:pPr>
      <w:r w:rsidRPr="00EA455A">
        <w:t>These changes will unlock the potential for digital assets to grow the innovative capacity of Australia’s financial services sector.</w:t>
      </w:r>
      <w:r>
        <w:t xml:space="preserve"> </w:t>
      </w:r>
      <w:r w:rsidRPr="00EA455A">
        <w:t xml:space="preserve">They will </w:t>
      </w:r>
      <w:r w:rsidR="009B508E">
        <w:t>assist</w:t>
      </w:r>
      <w:r w:rsidRPr="00EA455A">
        <w:t>:</w:t>
      </w:r>
    </w:p>
    <w:p w14:paraId="2217A6A6" w14:textId="27088B45" w:rsidR="00EA455A" w:rsidRPr="00EA455A" w:rsidRDefault="00EA455A" w:rsidP="00891FDA">
      <w:pPr>
        <w:pStyle w:val="Bullet"/>
      </w:pPr>
      <w:r w:rsidRPr="00E84DDD">
        <w:rPr>
          <w:b/>
        </w:rPr>
        <w:t>Banks and fintechs</w:t>
      </w:r>
      <w:r w:rsidRPr="00EA455A">
        <w:t xml:space="preserve"> to safely offer new products like tokenised deposits, programmable payments, and digital wallets backed by regulated custody</w:t>
      </w:r>
      <w:r w:rsidR="00BA5CDA" w:rsidRPr="00BA5CDA">
        <w:t xml:space="preserve">—cutting merchant </w:t>
      </w:r>
      <w:proofErr w:type="gramStart"/>
      <w:r w:rsidR="00BA5CDA" w:rsidRPr="00BA5CDA">
        <w:t>costs, and</w:t>
      </w:r>
      <w:proofErr w:type="gramEnd"/>
      <w:r w:rsidR="00BA5CDA" w:rsidRPr="00BA5CDA">
        <w:t xml:space="preserve"> simplifying cross-border transactions</w:t>
      </w:r>
      <w:r w:rsidRPr="00EA455A">
        <w:t>.</w:t>
      </w:r>
    </w:p>
    <w:p w14:paraId="0060ECF3" w14:textId="77777777" w:rsidR="00EA455A" w:rsidRPr="00EA455A" w:rsidRDefault="00EA455A" w:rsidP="00891FDA">
      <w:pPr>
        <w:pStyle w:val="Bullet"/>
      </w:pPr>
      <w:r w:rsidRPr="00E84DDD">
        <w:rPr>
          <w:b/>
        </w:rPr>
        <w:t>Start-ups</w:t>
      </w:r>
      <w:r w:rsidRPr="00EA455A">
        <w:t xml:space="preserve"> to build next-generation financial infrastructure—such as decentralised finance (DeFi) platforms, asset tokenisation services, and blockchain-based lending—without regulatory uncertainty holding them back.</w:t>
      </w:r>
    </w:p>
    <w:p w14:paraId="216ED410" w14:textId="58F630DC" w:rsidR="00EA455A" w:rsidRPr="00EA455A" w:rsidRDefault="00EA455A" w:rsidP="00891FDA">
      <w:pPr>
        <w:pStyle w:val="Bullet"/>
      </w:pPr>
      <w:r w:rsidRPr="00E84DDD">
        <w:rPr>
          <w:b/>
        </w:rPr>
        <w:t>Institutional investors</w:t>
      </w:r>
      <w:r w:rsidRPr="00EA455A">
        <w:t xml:space="preserve"> </w:t>
      </w:r>
      <w:r w:rsidR="00DC3415">
        <w:t xml:space="preserve">to </w:t>
      </w:r>
      <w:r w:rsidR="00380063" w:rsidRPr="00380063">
        <w:t>access more liquid and efficient markets in bonds, commodities and private equity, with shorter settlement cycles</w:t>
      </w:r>
      <w:r w:rsidR="007750CE" w:rsidRPr="00BA5CDA">
        <w:t>—</w:t>
      </w:r>
      <w:r w:rsidRPr="00EA455A">
        <w:t>knowing that platforms are licensed, assets are safeguarded, and consumer protections are in place.</w:t>
      </w:r>
    </w:p>
    <w:p w14:paraId="33CA1C9E" w14:textId="3136D867" w:rsidR="00EA455A" w:rsidRPr="00EA455A" w:rsidRDefault="00EA455A" w:rsidP="00891FDA">
      <w:pPr>
        <w:pStyle w:val="Bullet"/>
      </w:pPr>
      <w:r w:rsidRPr="00E84DDD">
        <w:rPr>
          <w:b/>
        </w:rPr>
        <w:t>Traditional industries</w:t>
      </w:r>
      <w:r w:rsidRPr="00EA455A">
        <w:t xml:space="preserve"> (like agriculture, energy, and real estate) to explore tokenised asset models that improve liquidity, transparency, and access to capital</w:t>
      </w:r>
      <w:r w:rsidR="005C5F69" w:rsidRPr="005C5F69">
        <w:t>—for example, carbon or biodiversity credits, or fractional ownership of farmland and renewables</w:t>
      </w:r>
      <w:r w:rsidRPr="00EA455A">
        <w:t>.</w:t>
      </w:r>
    </w:p>
    <w:p w14:paraId="3CE15A3F" w14:textId="2E74DA5C" w:rsidR="00E84DDD" w:rsidRPr="00EA455A" w:rsidRDefault="00E84DDD" w:rsidP="00891FDA">
      <w:pPr>
        <w:pStyle w:val="Bullet"/>
      </w:pPr>
      <w:r w:rsidRPr="00E84DDD">
        <w:rPr>
          <w:b/>
          <w:bCs/>
        </w:rPr>
        <w:t>Creative sectors</w:t>
      </w:r>
      <w:r w:rsidRPr="00E84DDD">
        <w:t xml:space="preserve"> (gaming, entertainment) </w:t>
      </w:r>
      <w:r>
        <w:t>to create</w:t>
      </w:r>
      <w:r w:rsidRPr="00E84DDD">
        <w:t xml:space="preserve"> tradable digital objects such as in-game items or event tickets, </w:t>
      </w:r>
      <w:r w:rsidR="00DB7E19">
        <w:t xml:space="preserve">knowing that </w:t>
      </w:r>
      <w:r w:rsidR="00062598">
        <w:t>regulated</w:t>
      </w:r>
      <w:r w:rsidR="00DB7E19">
        <w:t xml:space="preserve"> secondary markets </w:t>
      </w:r>
      <w:r w:rsidR="00062598">
        <w:t>exist for those assets</w:t>
      </w:r>
      <w:r w:rsidRPr="00E84DDD">
        <w:t>.</w:t>
      </w:r>
    </w:p>
    <w:p w14:paraId="6BB8A11A" w14:textId="53BFA9BD" w:rsidR="00EA455A" w:rsidRPr="00EA455A" w:rsidRDefault="00EA455A" w:rsidP="00891FDA">
      <w:pPr>
        <w:pStyle w:val="Bullet"/>
      </w:pPr>
      <w:r w:rsidRPr="00E84DDD">
        <w:rPr>
          <w:b/>
        </w:rPr>
        <w:t>Global firms</w:t>
      </w:r>
      <w:r w:rsidRPr="00EA455A">
        <w:t xml:space="preserve"> to see Australia as a credible, well-regulated hub for digital asset innovation—</w:t>
      </w:r>
      <w:r w:rsidR="000440E0" w:rsidRPr="000440E0">
        <w:t xml:space="preserve">reducing regulatory arbitrage and </w:t>
      </w:r>
      <w:r w:rsidRPr="00EA455A">
        <w:t>attracting investment, talent, and partnerships.</w:t>
      </w:r>
    </w:p>
    <w:p w14:paraId="6376B01F" w14:textId="780250A7" w:rsidR="00511C5B" w:rsidRDefault="008F1709" w:rsidP="002E7445">
      <w:pPr>
        <w:pStyle w:val="Heading2"/>
        <w:spacing w:after="120"/>
      </w:pPr>
      <w:r>
        <w:t>Leveraging Australia</w:t>
      </w:r>
      <w:r w:rsidR="00CE065C">
        <w:t>’</w:t>
      </w:r>
      <w:r w:rsidR="0042603E">
        <w:t>s</w:t>
      </w:r>
      <w:r>
        <w:t xml:space="preserve"> financial services laws</w:t>
      </w:r>
    </w:p>
    <w:p w14:paraId="4BE4032F" w14:textId="1D1CC848" w:rsidR="005E3461" w:rsidRDefault="00CD02A6" w:rsidP="002E7445">
      <w:pPr>
        <w:pStyle w:val="Heading3"/>
        <w:spacing w:before="120"/>
      </w:pPr>
      <w:r>
        <w:t>New types of</w:t>
      </w:r>
      <w:r w:rsidR="005E3461">
        <w:t xml:space="preserve"> financial products</w:t>
      </w:r>
    </w:p>
    <w:p w14:paraId="74C0A9C6" w14:textId="2CE3FBCF" w:rsidR="00E13C0E" w:rsidRPr="00EA455A" w:rsidRDefault="00881D3C" w:rsidP="00114993">
      <w:r>
        <w:t>T</w:t>
      </w:r>
      <w:r w:rsidRPr="00881D3C">
        <w:t xml:space="preserve">o close these </w:t>
      </w:r>
      <w:r w:rsidRPr="00EA455A">
        <w:t xml:space="preserve">regulatory gaps and reduce regulatory uncertainty, the Government will extend Australia’s financial services laws to target </w:t>
      </w:r>
      <w:r w:rsidR="00B35D93" w:rsidRPr="00EA455A">
        <w:t>two type</w:t>
      </w:r>
      <w:r w:rsidR="00C97B97" w:rsidRPr="00EA455A">
        <w:t>s</w:t>
      </w:r>
      <w:r w:rsidR="00B35D93" w:rsidRPr="00EA455A">
        <w:t xml:space="preserve"> of </w:t>
      </w:r>
      <w:r w:rsidRPr="00EA455A">
        <w:t>custodial arrangements</w:t>
      </w:r>
      <w:r w:rsidR="00B35D93" w:rsidRPr="00EA455A">
        <w:t xml:space="preserve"> common in the digital asset space</w:t>
      </w:r>
      <w:r w:rsidRPr="00EA455A">
        <w:t xml:space="preserve">. This will be done by defining two new types of </w:t>
      </w:r>
      <w:r w:rsidRPr="00891FDA">
        <w:t>financial products</w:t>
      </w:r>
      <w:r w:rsidRPr="00EA455A">
        <w:t>: Digital Asset Platforms (DAPs) and Tokenised Custody Platforms (TCPs).</w:t>
      </w:r>
      <w:r w:rsidR="00114993" w:rsidRPr="00EA455A">
        <w:t xml:space="preserve"> </w:t>
      </w:r>
    </w:p>
    <w:p w14:paraId="52CB3709" w14:textId="6D1FB71C" w:rsidR="00114993" w:rsidRPr="00EA455A" w:rsidRDefault="00114993" w:rsidP="00CD02A6">
      <w:pPr>
        <w:keepNext/>
      </w:pPr>
      <w:r w:rsidRPr="00EA455A">
        <w:t xml:space="preserve">Treating DAPs and TCPs as financial products means the </w:t>
      </w:r>
      <w:r w:rsidRPr="00891FDA">
        <w:t>full suite of consumer protections and licensing rules automatically apply</w:t>
      </w:r>
      <w:r w:rsidRPr="00EA455A">
        <w:t>. This includes:</w:t>
      </w:r>
    </w:p>
    <w:p w14:paraId="590B2BEF" w14:textId="6F9204CF" w:rsidR="00114993" w:rsidRPr="00114993" w:rsidRDefault="00C3388E" w:rsidP="00891FDA">
      <w:pPr>
        <w:pStyle w:val="Bullet"/>
      </w:pPr>
      <w:r>
        <w:t>prohibitions</w:t>
      </w:r>
      <w:r w:rsidR="00114993" w:rsidRPr="00114993">
        <w:t xml:space="preserve"> on misleading</w:t>
      </w:r>
      <w:r>
        <w:t xml:space="preserve"> and deceptive</w:t>
      </w:r>
      <w:r w:rsidR="00114993" w:rsidRPr="00114993">
        <w:t xml:space="preserve"> conduct</w:t>
      </w:r>
    </w:p>
    <w:p w14:paraId="1CA15D99" w14:textId="19F1190F" w:rsidR="00114993" w:rsidRPr="00114993" w:rsidRDefault="00C3388E" w:rsidP="00891FDA">
      <w:pPr>
        <w:pStyle w:val="Bullet"/>
      </w:pPr>
      <w:r>
        <w:t>prohibitions on unfair contract terms</w:t>
      </w:r>
    </w:p>
    <w:p w14:paraId="75906E07" w14:textId="77777777" w:rsidR="00114993" w:rsidRPr="00114993" w:rsidRDefault="00114993" w:rsidP="00891FDA">
      <w:pPr>
        <w:pStyle w:val="Bullet"/>
      </w:pPr>
      <w:r w:rsidRPr="00114993">
        <w:t>design and distribution obligations</w:t>
      </w:r>
    </w:p>
    <w:p w14:paraId="40D9EC44" w14:textId="690C1396" w:rsidR="00114993" w:rsidRPr="00114993" w:rsidRDefault="007D73D4" w:rsidP="00891FDA">
      <w:pPr>
        <w:pStyle w:val="Bullet"/>
      </w:pPr>
      <w:r>
        <w:t>administration,</w:t>
      </w:r>
      <w:r w:rsidR="00114993" w:rsidRPr="00114993">
        <w:t xml:space="preserve"> supervision</w:t>
      </w:r>
      <w:r>
        <w:t>,</w:t>
      </w:r>
      <w:r w:rsidR="00114993" w:rsidRPr="00114993">
        <w:t xml:space="preserve"> and enforcement by ASIC.</w:t>
      </w:r>
    </w:p>
    <w:p w14:paraId="392F2F17" w14:textId="126C31C3" w:rsidR="00902313" w:rsidRDefault="00612454" w:rsidP="00E7500F">
      <w:pPr>
        <w:pStyle w:val="Heading4"/>
        <w:rPr>
          <w:rFonts w:cs="Times New Roman"/>
          <w:color w:val="auto"/>
          <w:kern w:val="0"/>
          <w:szCs w:val="20"/>
        </w:rPr>
      </w:pPr>
      <w:r w:rsidRPr="00612454">
        <w:rPr>
          <w:rFonts w:cs="Times New Roman"/>
          <w:color w:val="auto"/>
          <w:kern w:val="0"/>
          <w:szCs w:val="20"/>
        </w:rPr>
        <w:t xml:space="preserve">The common feature of all DAPs and TCPs is that an operator, not the client, holds the underlying assets. This creates significant risks when large volumes of assets are pooled </w:t>
      </w:r>
      <w:r w:rsidRPr="00612454">
        <w:rPr>
          <w:rFonts w:cs="Times New Roman"/>
          <w:color w:val="auto"/>
          <w:kern w:val="0"/>
          <w:szCs w:val="20"/>
        </w:rPr>
        <w:lastRenderedPageBreak/>
        <w:t>together, including fraud, mismanagement, and operational failures. Regulating these arrangements as new financial products allows the proven safeguards of the financial services framework to apply directly. It ensures consumers receive the same protections already in place for comparable custodial products, while giving industry clarity and consistency.</w:t>
      </w:r>
    </w:p>
    <w:p w14:paraId="2E6DE045" w14:textId="5A819B49" w:rsidR="00E7500F" w:rsidRDefault="00E7500F" w:rsidP="00E7500F">
      <w:pPr>
        <w:pStyle w:val="Heading4"/>
      </w:pPr>
      <w:r>
        <w:t xml:space="preserve">What is a Digital Asset Platform? </w:t>
      </w:r>
    </w:p>
    <w:p w14:paraId="306DB112" w14:textId="42934743" w:rsidR="00D11185" w:rsidRDefault="00D11185" w:rsidP="00D11185">
      <w:r>
        <w:t xml:space="preserve">A </w:t>
      </w:r>
      <w:r w:rsidR="00ED74A0">
        <w:t>DAP</w:t>
      </w:r>
      <w:r>
        <w:t xml:space="preserve"> is a </w:t>
      </w:r>
      <w:r w:rsidR="001C3DE8">
        <w:t>product</w:t>
      </w:r>
      <w:r>
        <w:t xml:space="preserve"> where an operator </w:t>
      </w:r>
      <w:r w:rsidR="006319E9">
        <w:t>hold</w:t>
      </w:r>
      <w:r w:rsidR="00191CCE">
        <w:t>s</w:t>
      </w:r>
      <w:r w:rsidR="006319E9">
        <w:t xml:space="preserve"> digital tokens </w:t>
      </w:r>
      <w:r w:rsidR="0073000C">
        <w:t>on behalf of</w:t>
      </w:r>
      <w:r>
        <w:t xml:space="preserve"> clients. The operator may also </w:t>
      </w:r>
      <w:r w:rsidR="00191CCE">
        <w:t>provide</w:t>
      </w:r>
      <w:r>
        <w:t xml:space="preserve"> </w:t>
      </w:r>
      <w:r w:rsidR="001C3DE8">
        <w:t>transaction</w:t>
      </w:r>
      <w:r w:rsidR="00191CCE">
        <w:t>al</w:t>
      </w:r>
      <w:r w:rsidR="001C3DE8">
        <w:t xml:space="preserve"> functions</w:t>
      </w:r>
      <w:r>
        <w:t xml:space="preserve"> </w:t>
      </w:r>
      <w:r w:rsidR="009E1A0D">
        <w:t>in respect of th</w:t>
      </w:r>
      <w:r w:rsidR="00B1271E">
        <w:t>e digital tokens</w:t>
      </w:r>
      <w:r>
        <w:t xml:space="preserve"> (such as transferring</w:t>
      </w:r>
      <w:r w:rsidR="00AF5E27">
        <w:t xml:space="preserve"> them</w:t>
      </w:r>
      <w:r>
        <w:t xml:space="preserve">, </w:t>
      </w:r>
      <w:r w:rsidR="00D03C92">
        <w:t>buying</w:t>
      </w:r>
      <w:r w:rsidR="00F92385">
        <w:t xml:space="preserve"> or </w:t>
      </w:r>
      <w:r w:rsidR="00D03C92">
        <w:t>selling</w:t>
      </w:r>
      <w:r w:rsidR="00F92385">
        <w:t xml:space="preserve"> them</w:t>
      </w:r>
      <w:r>
        <w:t>, staking</w:t>
      </w:r>
      <w:r w:rsidR="00F92385">
        <w:t xml:space="preserve"> them</w:t>
      </w:r>
      <w:r w:rsidR="001C3DE8">
        <w:t>, or otherwise using them</w:t>
      </w:r>
      <w:r>
        <w:t>) at the client’s direction.</w:t>
      </w:r>
    </w:p>
    <w:p w14:paraId="4AE3E31F" w14:textId="77259949" w:rsidR="00D11185" w:rsidRDefault="00AC7785" w:rsidP="00D11185">
      <w:r w:rsidRPr="00AC7785">
        <w:t xml:space="preserve">In traditional finance, a “platform” </w:t>
      </w:r>
      <w:r w:rsidR="009A1763">
        <w:t>is</w:t>
      </w:r>
      <w:r w:rsidRPr="00AC7785">
        <w:t xml:space="preserve"> an </w:t>
      </w:r>
      <w:r w:rsidR="009A1763">
        <w:t>arrangement</w:t>
      </w:r>
      <w:r w:rsidRPr="00AC7785">
        <w:t xml:space="preserve"> for </w:t>
      </w:r>
      <w:r w:rsidR="00F31943">
        <w:t>a provider</w:t>
      </w:r>
      <w:r w:rsidR="003349C4">
        <w:t xml:space="preserve"> to</w:t>
      </w:r>
      <w:r w:rsidRPr="00AC7785">
        <w:t xml:space="preserve"> hold, deal in, and </w:t>
      </w:r>
      <w:r w:rsidR="003349C4">
        <w:t>administer</w:t>
      </w:r>
      <w:r w:rsidRPr="00AC7785">
        <w:t xml:space="preserve"> </w:t>
      </w:r>
      <w:r w:rsidR="00A003F3">
        <w:t xml:space="preserve">pools of </w:t>
      </w:r>
      <w:r w:rsidRPr="00AC7785">
        <w:t xml:space="preserve">investments chosen by individual </w:t>
      </w:r>
      <w:r w:rsidR="006B4C06">
        <w:t>clients</w:t>
      </w:r>
      <w:r w:rsidRPr="00AC7785">
        <w:t xml:space="preserve">. DAPs are the digital asset equivalent: they offer the same functions for </w:t>
      </w:r>
      <w:r w:rsidR="004A377B">
        <w:t xml:space="preserve">investments involving </w:t>
      </w:r>
      <w:r w:rsidR="00803937">
        <w:t>digital</w:t>
      </w:r>
      <w:r w:rsidRPr="00AC7785">
        <w:t xml:space="preserve"> tokens.</w:t>
      </w:r>
    </w:p>
    <w:p w14:paraId="74D7F1F0" w14:textId="77777777" w:rsidR="00D11185" w:rsidRDefault="00D11185" w:rsidP="00D11185">
      <w:r>
        <w:t>Examples of DAPs include:</w:t>
      </w:r>
    </w:p>
    <w:p w14:paraId="1B697B8D" w14:textId="78767336" w:rsidR="00D11185" w:rsidRDefault="004B426E" w:rsidP="00D11185">
      <w:pPr>
        <w:pStyle w:val="Bullet"/>
      </w:pPr>
      <w:r>
        <w:t xml:space="preserve">multilateral trading </w:t>
      </w:r>
      <w:r w:rsidR="00D72656">
        <w:t>platforms</w:t>
      </w:r>
      <w:r>
        <w:t xml:space="preserve"> </w:t>
      </w:r>
      <w:r w:rsidR="00470B94">
        <w:t xml:space="preserve">– where </w:t>
      </w:r>
      <w:r>
        <w:t xml:space="preserve">operators facilitate </w:t>
      </w:r>
      <w:r w:rsidR="007501F0">
        <w:t xml:space="preserve">the </w:t>
      </w:r>
      <w:r w:rsidR="00A6128D">
        <w:t xml:space="preserve">platform </w:t>
      </w:r>
      <w:r w:rsidR="009873CB">
        <w:t>on</w:t>
      </w:r>
      <w:r w:rsidR="000301C9">
        <w:t xml:space="preserve"> </w:t>
      </w:r>
      <w:r w:rsidR="007501F0">
        <w:t xml:space="preserve">which </w:t>
      </w:r>
      <w:r w:rsidR="00D11185">
        <w:t>clients exchan</w:t>
      </w:r>
      <w:r>
        <w:t>g</w:t>
      </w:r>
      <w:r w:rsidR="00972EAA">
        <w:t>e</w:t>
      </w:r>
      <w:r w:rsidR="00D11185">
        <w:t xml:space="preserve"> digital </w:t>
      </w:r>
      <w:r w:rsidR="00470B94">
        <w:t>tokens</w:t>
      </w:r>
      <w:r w:rsidR="000301C9">
        <w:t xml:space="preserve"> with each other</w:t>
      </w:r>
      <w:r w:rsidR="00D11185">
        <w:t>.</w:t>
      </w:r>
    </w:p>
    <w:p w14:paraId="6342B958" w14:textId="7449D48F" w:rsidR="00B32D4E" w:rsidRDefault="00D72656" w:rsidP="00D11185">
      <w:pPr>
        <w:pStyle w:val="Bullet"/>
      </w:pPr>
      <w:r>
        <w:t>b</w:t>
      </w:r>
      <w:r w:rsidR="00B32D4E">
        <w:t>rokerage</w:t>
      </w:r>
      <w:r w:rsidR="00D91F97">
        <w:t xml:space="preserve"> </w:t>
      </w:r>
      <w:r>
        <w:t>platforms</w:t>
      </w:r>
      <w:r w:rsidR="00B32D4E">
        <w:t xml:space="preserve"> </w:t>
      </w:r>
      <w:r w:rsidR="004B426E">
        <w:t xml:space="preserve">– where operators </w:t>
      </w:r>
      <w:r w:rsidR="00D91F97">
        <w:t>buy and sell digital tokens on behalf of clients</w:t>
      </w:r>
      <w:r w:rsidR="00B61F6C">
        <w:t>.</w:t>
      </w:r>
    </w:p>
    <w:p w14:paraId="18108239" w14:textId="5DFC515E" w:rsidR="00D72656" w:rsidRDefault="002519A0" w:rsidP="00D11185">
      <w:pPr>
        <w:pStyle w:val="Bullet"/>
      </w:pPr>
      <w:r>
        <w:t>m</w:t>
      </w:r>
      <w:r w:rsidR="00D72656">
        <w:t>arket making</w:t>
      </w:r>
      <w:r>
        <w:t xml:space="preserve"> platforms – where operators </w:t>
      </w:r>
      <w:r w:rsidR="00611970">
        <w:t>buy or sell digital tokens to clients from their own stockpiles</w:t>
      </w:r>
      <w:r w:rsidR="00B61F6C">
        <w:t>.</w:t>
      </w:r>
    </w:p>
    <w:p w14:paraId="38B59156" w14:textId="5DA260E8" w:rsidR="00D11185" w:rsidRDefault="00D72656" w:rsidP="00D11185">
      <w:pPr>
        <w:pStyle w:val="Bullet"/>
      </w:pPr>
      <w:r>
        <w:t>w</w:t>
      </w:r>
      <w:r w:rsidR="00D11185">
        <w:t xml:space="preserve">allet </w:t>
      </w:r>
      <w:r w:rsidR="00470B94">
        <w:t xml:space="preserve">and custody </w:t>
      </w:r>
      <w:r>
        <w:t>platforms</w:t>
      </w:r>
      <w:r w:rsidR="00D11185">
        <w:t xml:space="preserve"> – </w:t>
      </w:r>
      <w:r w:rsidR="00470B94">
        <w:t>where operators store</w:t>
      </w:r>
      <w:r w:rsidR="00D11185">
        <w:t xml:space="preserve"> and safeguard </w:t>
      </w:r>
      <w:r w:rsidR="00470B94">
        <w:t>digital tokens</w:t>
      </w:r>
      <w:r w:rsidR="008B137D">
        <w:t xml:space="preserve"> on behalf of clients</w:t>
      </w:r>
      <w:r w:rsidR="00D11185">
        <w:t>.</w:t>
      </w:r>
    </w:p>
    <w:p w14:paraId="0966AB01" w14:textId="0A7B4C66" w:rsidR="00D11185" w:rsidRDefault="00D72656" w:rsidP="00D11185">
      <w:pPr>
        <w:pStyle w:val="Bullet"/>
      </w:pPr>
      <w:r>
        <w:t>s</w:t>
      </w:r>
      <w:r w:rsidR="00CF63CC">
        <w:t xml:space="preserve">taking </w:t>
      </w:r>
      <w:r>
        <w:t>platforms</w:t>
      </w:r>
      <w:r w:rsidR="00D11185">
        <w:t xml:space="preserve"> – </w:t>
      </w:r>
      <w:r w:rsidR="00470B94">
        <w:t xml:space="preserve">where operators </w:t>
      </w:r>
      <w:r w:rsidR="00E31515">
        <w:t xml:space="preserve">contribute to </w:t>
      </w:r>
      <w:r w:rsidR="008408C8">
        <w:t>the maintenance of a public network</w:t>
      </w:r>
      <w:r w:rsidR="00E31515">
        <w:t xml:space="preserve"> in return for a reward</w:t>
      </w:r>
      <w:r w:rsidR="00943615">
        <w:t xml:space="preserve"> </w:t>
      </w:r>
      <w:r w:rsidR="008408C8">
        <w:t xml:space="preserve">that is shared with </w:t>
      </w:r>
      <w:r w:rsidR="00943615">
        <w:t>clients</w:t>
      </w:r>
      <w:r w:rsidR="00D11185">
        <w:t>.</w:t>
      </w:r>
    </w:p>
    <w:p w14:paraId="3EEBED42" w14:textId="3A7BD9A2" w:rsidR="008C6F39" w:rsidRDefault="008F3F47" w:rsidP="008C6F39">
      <w:r>
        <w:t>DAPs do not include s</w:t>
      </w:r>
      <w:r w:rsidR="00F04FCA" w:rsidRPr="00F04FCA">
        <w:t>oftware programs</w:t>
      </w:r>
      <w:r w:rsidR="000D64A7" w:rsidRPr="000D64A7">
        <w:t xml:space="preserve"> </w:t>
      </w:r>
      <w:r w:rsidR="00766AA3">
        <w:t>that</w:t>
      </w:r>
      <w:r w:rsidR="003C1FA8">
        <w:t xml:space="preserve"> do not involve an </w:t>
      </w:r>
      <w:r w:rsidR="000D64A7" w:rsidRPr="00F04FCA">
        <w:t>operator tak</w:t>
      </w:r>
      <w:r w:rsidR="003C1FA8">
        <w:t>ing</w:t>
      </w:r>
      <w:r w:rsidR="000D64A7" w:rsidRPr="00F04FCA">
        <w:t xml:space="preserve"> possession of </w:t>
      </w:r>
      <w:r w:rsidR="003C1FA8">
        <w:t xml:space="preserve">digital </w:t>
      </w:r>
      <w:r w:rsidR="000D64A7" w:rsidRPr="00F04FCA">
        <w:t>tokens</w:t>
      </w:r>
      <w:r w:rsidR="003C1FA8">
        <w:t xml:space="preserve"> on behalf of a client</w:t>
      </w:r>
      <w:r w:rsidR="00F04FCA" w:rsidRPr="00F04FCA">
        <w:t xml:space="preserve">, such as self-hosted wallet applications or automated market makers. </w:t>
      </w:r>
    </w:p>
    <w:p w14:paraId="3F7DF19A" w14:textId="07E616A1" w:rsidR="00E7500F" w:rsidRDefault="00E7500F" w:rsidP="00E7500F">
      <w:pPr>
        <w:pStyle w:val="Heading4"/>
      </w:pPr>
      <w:r>
        <w:t xml:space="preserve">What is a Tokenised Custody Platform? </w:t>
      </w:r>
    </w:p>
    <w:p w14:paraId="23516DDD" w14:textId="732EDBD2" w:rsidR="00983878" w:rsidRDefault="00B16F50" w:rsidP="00983878">
      <w:r w:rsidRPr="00B16F50">
        <w:t xml:space="preserve">A </w:t>
      </w:r>
      <w:r w:rsidR="00ED74A0">
        <w:t>TCP</w:t>
      </w:r>
      <w:r w:rsidRPr="00B16F50">
        <w:t xml:space="preserve"> is a product where an operator holds underlying assets (of any type) and creates tokens to identify the </w:t>
      </w:r>
      <w:r w:rsidR="008A67AA">
        <w:t>people</w:t>
      </w:r>
      <w:r w:rsidR="008A67AA" w:rsidRPr="00B16F50">
        <w:t xml:space="preserve"> </w:t>
      </w:r>
      <w:r w:rsidRPr="00B16F50">
        <w:t xml:space="preserve">who can redeem, or direct the delivery of, those assets. Like with DAPs, the operator may also provide transactional functions with respect to the underlying assets (such as transferring them, </w:t>
      </w:r>
      <w:r w:rsidR="00B33ED6">
        <w:t>buying</w:t>
      </w:r>
      <w:r w:rsidRPr="00B16F50">
        <w:t xml:space="preserve"> or </w:t>
      </w:r>
      <w:r w:rsidR="00B33ED6">
        <w:t>selling</w:t>
      </w:r>
      <w:r w:rsidRPr="00B16F50">
        <w:t xml:space="preserve"> them, or otherwise using them) at the client’s direction.</w:t>
      </w:r>
    </w:p>
    <w:p w14:paraId="7797DA55" w14:textId="191405AE" w:rsidR="00983878" w:rsidRDefault="002C24E1" w:rsidP="00983878">
      <w:r w:rsidRPr="002C24E1">
        <w:t xml:space="preserve">TCPs are </w:t>
      </w:r>
      <w:proofErr w:type="gramStart"/>
      <w:r w:rsidR="00BA41BF">
        <w:t>similar to</w:t>
      </w:r>
      <w:proofErr w:type="gramEnd"/>
      <w:r w:rsidR="00BA41BF">
        <w:t xml:space="preserve"> DAPs in that they too are </w:t>
      </w:r>
      <w:r w:rsidRPr="002C24E1">
        <w:t xml:space="preserve">the digital asset equivalent of </w:t>
      </w:r>
      <w:r w:rsidR="00BA41BF">
        <w:t>custodial platforms in traditional finance,</w:t>
      </w:r>
      <w:r w:rsidR="00F52433">
        <w:t xml:space="preserve"> </w:t>
      </w:r>
      <w:r w:rsidR="00BA41BF">
        <w:t>except</w:t>
      </w:r>
      <w:r w:rsidRPr="002C24E1">
        <w:t xml:space="preserve"> they use tokens (rather than accounts) to record who the operator is holding assets for. </w:t>
      </w:r>
      <w:r w:rsidR="000720F4">
        <w:t xml:space="preserve">The tokens created </w:t>
      </w:r>
      <w:r w:rsidR="00D562E0">
        <w:t xml:space="preserve">through TCPs </w:t>
      </w:r>
      <w:r w:rsidR="004F21D5">
        <w:t xml:space="preserve">represent “interests” in the underlying assets. </w:t>
      </w:r>
      <w:r w:rsidR="00E15607">
        <w:t>If the underlying assets are financial products</w:t>
      </w:r>
      <w:r w:rsidR="00265D55">
        <w:t>,</w:t>
      </w:r>
      <w:r w:rsidR="00E15607">
        <w:t xml:space="preserve"> the “i</w:t>
      </w:r>
      <w:r w:rsidR="004F21D5">
        <w:t xml:space="preserve">nterests” </w:t>
      </w:r>
      <w:r w:rsidR="00E15607">
        <w:t xml:space="preserve">in those underlying assets </w:t>
      </w:r>
      <w:r w:rsidR="00255457">
        <w:t>are also</w:t>
      </w:r>
      <w:r w:rsidR="00E15607">
        <w:t xml:space="preserve"> financial products. </w:t>
      </w:r>
    </w:p>
    <w:p w14:paraId="69AA3828" w14:textId="77777777" w:rsidR="00983878" w:rsidRDefault="00983878" w:rsidP="00842036">
      <w:pPr>
        <w:keepNext/>
      </w:pPr>
      <w:r>
        <w:t>Examples of TCPs include:</w:t>
      </w:r>
    </w:p>
    <w:p w14:paraId="3AE932C0" w14:textId="26C1747F" w:rsidR="002C24E1" w:rsidRDefault="002C24E1" w:rsidP="002C24E1">
      <w:pPr>
        <w:pStyle w:val="Bullet"/>
      </w:pPr>
      <w:r>
        <w:t>tokenised physical asset platforms – where the operator holds physical assets (such as gold bullion) and creates tokens to identify the persons entitled to those assets.</w:t>
      </w:r>
    </w:p>
    <w:p w14:paraId="1F4CD37C" w14:textId="41E49FAE" w:rsidR="002C24E1" w:rsidRDefault="002C24E1" w:rsidP="002C24E1">
      <w:pPr>
        <w:pStyle w:val="Bullet"/>
      </w:pPr>
      <w:r>
        <w:t>tokenised intangible asset platforms – where the operator holds existing intangible assets (such as shares or bonds) and creates tokens to identify the persons entitled to those assets.</w:t>
      </w:r>
    </w:p>
    <w:p w14:paraId="011A716D" w14:textId="434E8FA4" w:rsidR="00983878" w:rsidRDefault="0059541B" w:rsidP="002C24E1">
      <w:pPr>
        <w:pStyle w:val="Bullet"/>
      </w:pPr>
      <w:r>
        <w:t>b</w:t>
      </w:r>
      <w:r w:rsidR="002C24E1">
        <w:t>ridg</w:t>
      </w:r>
      <w:r>
        <w:t>ing</w:t>
      </w:r>
      <w:r w:rsidR="002C24E1">
        <w:t xml:space="preserve"> and wrapping platforms – where the operator holds digital tokens on behalf of clients and creates new tokens (on a different network or in a different form) to identify the persons entitled to the original tokens.</w:t>
      </w:r>
    </w:p>
    <w:p w14:paraId="53CE297B" w14:textId="77777777" w:rsidR="0004741B" w:rsidRDefault="00983878" w:rsidP="00983878">
      <w:r>
        <w:lastRenderedPageBreak/>
        <w:t>TCPs do not include</w:t>
      </w:r>
      <w:r w:rsidR="0004741B">
        <w:t>:</w:t>
      </w:r>
    </w:p>
    <w:p w14:paraId="71182E4C" w14:textId="1E51F6A7" w:rsidR="00482C45" w:rsidRDefault="0004741B">
      <w:pPr>
        <w:pStyle w:val="Bullet"/>
      </w:pPr>
      <w:r>
        <w:t>s</w:t>
      </w:r>
      <w:r w:rsidR="00A11AAA" w:rsidRPr="00F04FCA">
        <w:t xml:space="preserve">oftware programs, such as </w:t>
      </w:r>
      <w:r>
        <w:t xml:space="preserve">non-custodial bridges or wrapping protocols, </w:t>
      </w:r>
      <w:r w:rsidR="00A11AAA" w:rsidRPr="00F04FCA">
        <w:t>where no operator takes possession of client tokens</w:t>
      </w:r>
      <w:r w:rsidR="00502657">
        <w:t>; or</w:t>
      </w:r>
    </w:p>
    <w:p w14:paraId="705F163E" w14:textId="76E94B94" w:rsidR="00502657" w:rsidRPr="00E7500F" w:rsidRDefault="00502657" w:rsidP="00502657">
      <w:pPr>
        <w:pStyle w:val="Bullet"/>
      </w:pPr>
      <w:r>
        <w:t>platforms that tokenise “money”</w:t>
      </w:r>
      <w:r w:rsidR="009E2E3F">
        <w:t xml:space="preserve"> to create stablecoins</w:t>
      </w:r>
      <w:r>
        <w:t xml:space="preserve">, as these types of platforms will instead be subject to the separate </w:t>
      </w:r>
      <w:r w:rsidR="009E2E3F">
        <w:t>s</w:t>
      </w:r>
      <w:r w:rsidR="00805738">
        <w:t xml:space="preserve">tored </w:t>
      </w:r>
      <w:r w:rsidR="009E2E3F">
        <w:t>v</w:t>
      </w:r>
      <w:r w:rsidR="00805738">
        <w:t xml:space="preserve">alue </w:t>
      </w:r>
      <w:r w:rsidR="009E2E3F">
        <w:t>f</w:t>
      </w:r>
      <w:r w:rsidR="00805738">
        <w:t>acility</w:t>
      </w:r>
      <w:r>
        <w:t xml:space="preserve"> framework</w:t>
      </w:r>
      <w:r w:rsidR="00805738">
        <w:t xml:space="preserve"> as part of the broader payments licensing reforms</w:t>
      </w:r>
      <w:r>
        <w:t>.</w:t>
      </w:r>
    </w:p>
    <w:p w14:paraId="21F6E40A" w14:textId="77777777" w:rsidR="00E13C0E" w:rsidRDefault="00114993" w:rsidP="00E13C0E">
      <w:pPr>
        <w:pStyle w:val="Heading3"/>
      </w:pPr>
      <w:r w:rsidRPr="00114993">
        <w:t>Licensing and obligations</w:t>
      </w:r>
    </w:p>
    <w:p w14:paraId="42078083" w14:textId="79B43C33" w:rsidR="00114993" w:rsidRPr="00114993" w:rsidRDefault="00114993" w:rsidP="00114993">
      <w:r w:rsidRPr="00114993">
        <w:t xml:space="preserve">Anyone providing </w:t>
      </w:r>
      <w:r w:rsidR="000150C2">
        <w:t xml:space="preserve">specified </w:t>
      </w:r>
      <w:r w:rsidRPr="00114993">
        <w:t xml:space="preserve">services in relation to DAPs or TCPs will be treated as providing a </w:t>
      </w:r>
      <w:r w:rsidRPr="00891FDA">
        <w:t>financial service</w:t>
      </w:r>
      <w:r w:rsidRPr="00114993">
        <w:t>. This makes activities such as advising on, or dealing in,</w:t>
      </w:r>
      <w:r w:rsidR="00AE7567">
        <w:t xml:space="preserve"> or arranging for others to deal in,</w:t>
      </w:r>
      <w:r w:rsidRPr="00114993">
        <w:t xml:space="preserve"> DAPs or TCPs regulated activities.</w:t>
      </w:r>
    </w:p>
    <w:p w14:paraId="43B9818F" w14:textId="0D21AD71" w:rsidR="00020D87" w:rsidRDefault="00114993" w:rsidP="00114993">
      <w:r w:rsidRPr="00114993">
        <w:t xml:space="preserve">Providers </w:t>
      </w:r>
      <w:r w:rsidR="007D73D4">
        <w:t xml:space="preserve">of financial services </w:t>
      </w:r>
      <w:r w:rsidRPr="00114993">
        <w:t xml:space="preserve">will need to hold an </w:t>
      </w:r>
      <w:r w:rsidRPr="00891FDA">
        <w:t>Australian Financial Services Licence (AFSL)</w:t>
      </w:r>
      <w:r w:rsidRPr="005D648C">
        <w:t xml:space="preserve">, </w:t>
      </w:r>
      <w:r w:rsidRPr="00114993">
        <w:t>the same licence required for other financial service providers. AFSL obligations require services to be delivered efficiently, honestly and fairly, and ensure providers meet</w:t>
      </w:r>
      <w:r w:rsidR="00020D87">
        <w:t xml:space="preserve"> a variety of well-understood</w:t>
      </w:r>
      <w:r w:rsidRPr="00114993">
        <w:t xml:space="preserve"> conduct, reporting</w:t>
      </w:r>
      <w:r w:rsidR="00020D87">
        <w:t>,</w:t>
      </w:r>
      <w:r w:rsidRPr="00114993">
        <w:t xml:space="preserve"> and compliance requirements.</w:t>
      </w:r>
    </w:p>
    <w:p w14:paraId="279B6A24" w14:textId="48AA2E28" w:rsidR="00114993" w:rsidRPr="00114993" w:rsidRDefault="00114993" w:rsidP="00114993">
      <w:r w:rsidRPr="00114993">
        <w:t>Using the existing AFSL framework avoids the need for a new licensing regime. It</w:t>
      </w:r>
      <w:r w:rsidR="00020D87">
        <w:t xml:space="preserve"> also</w:t>
      </w:r>
      <w:r w:rsidRPr="00114993">
        <w:t xml:space="preserve"> reduces complexity and gives industry and consumers the benefit of familiar rules and protections.</w:t>
      </w:r>
    </w:p>
    <w:p w14:paraId="6E1402AA" w14:textId="77777777" w:rsidR="00114993" w:rsidRDefault="00114993" w:rsidP="00114993">
      <w:pPr>
        <w:pStyle w:val="Heading4"/>
      </w:pPr>
      <w:r>
        <w:t>Operators of DAPs and TCPs</w:t>
      </w:r>
    </w:p>
    <w:p w14:paraId="719238EB" w14:textId="7DD2DE13" w:rsidR="00EA7771" w:rsidRPr="00EA7771" w:rsidRDefault="00EA7771" w:rsidP="00EA7771">
      <w:r w:rsidRPr="00EA7771">
        <w:t xml:space="preserve">In addition to the baseline AFSL obligations, operators of DAPs and TCPs will need to comply with new </w:t>
      </w:r>
      <w:r w:rsidR="008F0233">
        <w:t>m</w:t>
      </w:r>
      <w:r w:rsidR="008F0233" w:rsidRPr="00891FDA">
        <w:t xml:space="preserve">inimum </w:t>
      </w:r>
      <w:r w:rsidR="008F0233">
        <w:t>s</w:t>
      </w:r>
      <w:r w:rsidR="008F0233" w:rsidRPr="00891FDA">
        <w:t>tandards</w:t>
      </w:r>
      <w:r w:rsidRPr="00EA7771">
        <w:t>, to be developed by ASIC. These will focus on two areas:</w:t>
      </w:r>
    </w:p>
    <w:p w14:paraId="119E8CE1" w14:textId="1D9E675B" w:rsidR="00EA7771" w:rsidRPr="00EA7771" w:rsidRDefault="00D931DF" w:rsidP="00891FDA">
      <w:pPr>
        <w:pStyle w:val="Bullet"/>
      </w:pPr>
      <w:r>
        <w:t>the</w:t>
      </w:r>
      <w:r w:rsidR="00EA7771" w:rsidRPr="00EA7771">
        <w:t xml:space="preserve"> platform’s </w:t>
      </w:r>
      <w:r w:rsidR="00EA7771" w:rsidRPr="00891FDA">
        <w:t>transaction and settlement functions</w:t>
      </w:r>
    </w:p>
    <w:p w14:paraId="546F190C" w14:textId="092DAEE1" w:rsidR="008029A3" w:rsidRDefault="00EA7771" w:rsidP="00891FDA">
      <w:pPr>
        <w:pStyle w:val="Bullet"/>
      </w:pPr>
      <w:r w:rsidRPr="00EA7771">
        <w:t xml:space="preserve">the platform’s </w:t>
      </w:r>
      <w:r w:rsidRPr="00891FDA">
        <w:t>arrangements for holding client assets</w:t>
      </w:r>
      <w:r w:rsidRPr="00EA7771">
        <w:t>.</w:t>
      </w:r>
    </w:p>
    <w:p w14:paraId="1730BB83" w14:textId="77777777" w:rsidR="00DA29B1" w:rsidRDefault="00EA7771" w:rsidP="00EA7771">
      <w:r w:rsidRPr="00EA7771">
        <w:t xml:space="preserve">This approach mirrors how </w:t>
      </w:r>
      <w:r w:rsidR="00E12533">
        <w:t xml:space="preserve">ASIC is responsible for setting rules for similar </w:t>
      </w:r>
      <w:r w:rsidRPr="00EA7771">
        <w:t xml:space="preserve">functions </w:t>
      </w:r>
      <w:r w:rsidR="00E12533">
        <w:t>across the</w:t>
      </w:r>
      <w:r w:rsidRPr="00EA7771">
        <w:t xml:space="preserve"> financial services framework.</w:t>
      </w:r>
    </w:p>
    <w:p w14:paraId="371BCA19" w14:textId="6999D633" w:rsidR="00EA7771" w:rsidRPr="00EA7771" w:rsidRDefault="00EA7771" w:rsidP="00EA7771">
      <w:r w:rsidRPr="00EA7771">
        <w:t xml:space="preserve">Operators will also follow a </w:t>
      </w:r>
      <w:r w:rsidRPr="00891FDA">
        <w:t>tailored disclosure regime</w:t>
      </w:r>
      <w:r w:rsidRPr="00EA7771">
        <w:t xml:space="preserve">. Clients must receive the same disclosure about the underlying assets they acquire through a DAP or TCP as they would have received if they had </w:t>
      </w:r>
      <w:r w:rsidR="0087508E">
        <w:t xml:space="preserve">acquired those assets </w:t>
      </w:r>
      <w:r w:rsidRPr="00EA7771">
        <w:t xml:space="preserve">directly. On top of this, the operator will issue a </w:t>
      </w:r>
      <w:r w:rsidRPr="00891FDA">
        <w:t>Platform Guide</w:t>
      </w:r>
      <w:r w:rsidRPr="00EA7771">
        <w:t>. This guide explains how the service itself works, covering:</w:t>
      </w:r>
    </w:p>
    <w:p w14:paraId="40250410" w14:textId="77777777" w:rsidR="00EA7771" w:rsidRPr="00EA7771" w:rsidRDefault="00EA7771" w:rsidP="00891FDA">
      <w:pPr>
        <w:pStyle w:val="Bullet"/>
      </w:pPr>
      <w:r w:rsidRPr="00EA7771">
        <w:t>how the platform handles custody, transfers and client instructions</w:t>
      </w:r>
    </w:p>
    <w:p w14:paraId="1F2CBCB2" w14:textId="01E747A4" w:rsidR="00DD4B19" w:rsidRDefault="00A966A4" w:rsidP="00891FDA">
      <w:pPr>
        <w:pStyle w:val="Bullet"/>
      </w:pPr>
      <w:r>
        <w:t xml:space="preserve">the ways in which clients </w:t>
      </w:r>
      <w:r w:rsidR="00BB05FB">
        <w:t>can</w:t>
      </w:r>
      <w:r>
        <w:t xml:space="preserve"> use their digital tokens </w:t>
      </w:r>
      <w:r w:rsidR="00BB05FB">
        <w:t>on</w:t>
      </w:r>
      <w:r>
        <w:t xml:space="preserve"> the platform</w:t>
      </w:r>
    </w:p>
    <w:p w14:paraId="6719B1A0" w14:textId="0CD6955D" w:rsidR="00EA7771" w:rsidRPr="00EA7771" w:rsidRDefault="00EA7771" w:rsidP="00891FDA">
      <w:pPr>
        <w:pStyle w:val="Bullet"/>
      </w:pPr>
      <w:r w:rsidRPr="00EA7771">
        <w:t>the operator’s fees and charges</w:t>
      </w:r>
    </w:p>
    <w:p w14:paraId="5FC042D4" w14:textId="77777777" w:rsidR="00EA7771" w:rsidRPr="00EA7771" w:rsidRDefault="00EA7771" w:rsidP="00891FDA">
      <w:pPr>
        <w:pStyle w:val="Bullet"/>
      </w:pPr>
      <w:r w:rsidRPr="00EA7771">
        <w:t>the risks of using the service (such as operational, liquidity or counterparty risks)</w:t>
      </w:r>
    </w:p>
    <w:p w14:paraId="6DD0BAF2" w14:textId="77777777" w:rsidR="00EA7771" w:rsidRPr="00EA7771" w:rsidRDefault="00EA7771" w:rsidP="00891FDA">
      <w:pPr>
        <w:pStyle w:val="Bullet"/>
      </w:pPr>
      <w:r w:rsidRPr="00EA7771">
        <w:t>the reporting and rights available to clients.</w:t>
      </w:r>
    </w:p>
    <w:p w14:paraId="7BA0C062" w14:textId="77777777" w:rsidR="00EA7771" w:rsidRPr="00EA7771" w:rsidRDefault="00EA7771" w:rsidP="00EA7771">
      <w:r w:rsidRPr="00EA7771">
        <w:t>The Platform Guide replaces the need for duplicative product disclosure documents, and ensures investors get information that is specific to the service they are using.</w:t>
      </w:r>
    </w:p>
    <w:p w14:paraId="618565A9" w14:textId="1FDCE6D4" w:rsidR="00FD4CF9" w:rsidRDefault="00FD4CF9" w:rsidP="00FD4CF9">
      <w:pPr>
        <w:pStyle w:val="Heading3"/>
      </w:pPr>
      <w:r>
        <w:t>Interactions with existing financial services laws</w:t>
      </w:r>
    </w:p>
    <w:p w14:paraId="6A89C738" w14:textId="46C8A568" w:rsidR="003E38C7" w:rsidRDefault="00C47544" w:rsidP="0098625C">
      <w:r>
        <w:t>The framework for regulating DAPs and TCPs relies heavily on Australia’s existing financial services laws.</w:t>
      </w:r>
      <w:r w:rsidR="00AD08EE">
        <w:t xml:space="preserve"> </w:t>
      </w:r>
      <w:r w:rsidR="00817EFD" w:rsidRPr="00817EFD">
        <w:t>Adding DAPs and TCPs as new financial products does not generally displace those laws.</w:t>
      </w:r>
    </w:p>
    <w:tbl>
      <w:tblPr>
        <w:tblStyle w:val="TableGrid"/>
        <w:tblW w:w="8079" w:type="dxa"/>
        <w:tblInd w:w="421" w:type="dxa"/>
        <w:tblLook w:val="04A0" w:firstRow="1" w:lastRow="0" w:firstColumn="1" w:lastColumn="0" w:noHBand="0" w:noVBand="1"/>
      </w:tblPr>
      <w:tblGrid>
        <w:gridCol w:w="8079"/>
      </w:tblGrid>
      <w:tr w:rsidR="000A18CF" w14:paraId="27DE1DCF" w14:textId="77777777" w:rsidTr="0098625C">
        <w:tc>
          <w:tcPr>
            <w:tcW w:w="8079" w:type="dxa"/>
          </w:tcPr>
          <w:p w14:paraId="5E34BA5B" w14:textId="792A95A1" w:rsidR="000A18CF" w:rsidRPr="000A18CF" w:rsidRDefault="000A18CF" w:rsidP="009E08A4">
            <w:pPr>
              <w:rPr>
                <w:i/>
                <w:iCs/>
              </w:rPr>
            </w:pPr>
            <w:r w:rsidRPr="006F0D0D">
              <w:rPr>
                <w:b/>
                <w:bCs/>
              </w:rPr>
              <w:lastRenderedPageBreak/>
              <w:t>Example</w:t>
            </w:r>
            <w:r>
              <w:rPr>
                <w:i/>
                <w:iCs/>
              </w:rPr>
              <w:t xml:space="preserve">: </w:t>
            </w:r>
            <w:r w:rsidRPr="002B0F1D">
              <w:rPr>
                <w:i/>
                <w:iCs/>
              </w:rPr>
              <w:t xml:space="preserve">A TCP operator </w:t>
            </w:r>
            <w:r w:rsidR="00FA566D">
              <w:rPr>
                <w:i/>
                <w:iCs/>
              </w:rPr>
              <w:t>has provided</w:t>
            </w:r>
            <w:r w:rsidRPr="002B0F1D">
              <w:rPr>
                <w:i/>
                <w:iCs/>
              </w:rPr>
              <w:t xml:space="preserve"> the financial service of </w:t>
            </w:r>
            <w:r w:rsidRPr="0017434F">
              <w:rPr>
                <w:b/>
                <w:bCs/>
                <w:i/>
                <w:iCs/>
              </w:rPr>
              <w:t>dealing in securities</w:t>
            </w:r>
            <w:r w:rsidRPr="002B0F1D">
              <w:rPr>
                <w:i/>
                <w:iCs/>
              </w:rPr>
              <w:t xml:space="preserve"> if</w:t>
            </w:r>
            <w:r w:rsidR="00FA566D">
              <w:rPr>
                <w:i/>
                <w:iCs/>
              </w:rPr>
              <w:t>,</w:t>
            </w:r>
            <w:r w:rsidRPr="002B0F1D">
              <w:rPr>
                <w:i/>
                <w:iCs/>
              </w:rPr>
              <w:t xml:space="preserve"> through the transactional functions of the platform</w:t>
            </w:r>
            <w:r w:rsidR="00FA566D">
              <w:rPr>
                <w:i/>
                <w:iCs/>
              </w:rPr>
              <w:t xml:space="preserve">, </w:t>
            </w:r>
            <w:r w:rsidRPr="002B0F1D">
              <w:rPr>
                <w:i/>
                <w:iCs/>
              </w:rPr>
              <w:t xml:space="preserve">the operator acquired securities </w:t>
            </w:r>
            <w:r w:rsidR="0076577C">
              <w:rPr>
                <w:i/>
                <w:iCs/>
              </w:rPr>
              <w:t xml:space="preserve">to hold </w:t>
            </w:r>
            <w:r w:rsidRPr="002B0F1D">
              <w:rPr>
                <w:i/>
                <w:iCs/>
              </w:rPr>
              <w:t xml:space="preserve">on behalf of </w:t>
            </w:r>
            <w:r w:rsidR="00FA566D">
              <w:rPr>
                <w:i/>
                <w:iCs/>
              </w:rPr>
              <w:t xml:space="preserve">a </w:t>
            </w:r>
            <w:r w:rsidRPr="002B0F1D">
              <w:rPr>
                <w:i/>
                <w:iCs/>
              </w:rPr>
              <w:t xml:space="preserve">client </w:t>
            </w:r>
            <w:r>
              <w:rPr>
                <w:i/>
                <w:iCs/>
              </w:rPr>
              <w:t>(in advance of ‘tokenising’ those securities)</w:t>
            </w:r>
            <w:r w:rsidRPr="002B0F1D">
              <w:rPr>
                <w:i/>
                <w:iCs/>
              </w:rPr>
              <w:t xml:space="preserve">. </w:t>
            </w:r>
          </w:p>
        </w:tc>
      </w:tr>
    </w:tbl>
    <w:p w14:paraId="30183BC2" w14:textId="79C6E0D2" w:rsidR="00277495" w:rsidRDefault="00681403" w:rsidP="006A6172">
      <w:pPr>
        <w:spacing w:before="240"/>
      </w:pPr>
      <w:r>
        <w:t>The</w:t>
      </w:r>
      <w:r w:rsidR="00907BE0">
        <w:t xml:space="preserve"> existing framework </w:t>
      </w:r>
      <w:r w:rsidR="003E1FD6">
        <w:t xml:space="preserve">is also relied on to determine when </w:t>
      </w:r>
      <w:r w:rsidR="003E38C7">
        <w:t>an arrangement (such as a contractual agreement)</w:t>
      </w:r>
      <w:r w:rsidR="003E1FD6">
        <w:t xml:space="preserve"> is a financial product.</w:t>
      </w:r>
      <w:r w:rsidR="00685441">
        <w:t xml:space="preserve"> </w:t>
      </w:r>
      <w:r w:rsidR="002B0E01">
        <w:t>This include</w:t>
      </w:r>
      <w:r w:rsidR="005C6E6D">
        <w:t>s</w:t>
      </w:r>
      <w:r w:rsidR="003B478D">
        <w:t xml:space="preserve"> circumstances</w:t>
      </w:r>
      <w:r w:rsidR="002B0E01">
        <w:t xml:space="preserve"> </w:t>
      </w:r>
      <w:r w:rsidR="003D00AA">
        <w:t xml:space="preserve">where identifying the “holder” of a financial product involves </w:t>
      </w:r>
      <w:r w:rsidR="00DC7563">
        <w:t>identifying the person in possession of a digital token.</w:t>
      </w:r>
      <w:r w:rsidR="003D00AA">
        <w:t xml:space="preserve"> </w:t>
      </w:r>
    </w:p>
    <w:tbl>
      <w:tblPr>
        <w:tblStyle w:val="TableGrid"/>
        <w:tblW w:w="8079" w:type="dxa"/>
        <w:tblInd w:w="421" w:type="dxa"/>
        <w:tblLook w:val="04A0" w:firstRow="1" w:lastRow="0" w:firstColumn="1" w:lastColumn="0" w:noHBand="0" w:noVBand="1"/>
      </w:tblPr>
      <w:tblGrid>
        <w:gridCol w:w="8079"/>
      </w:tblGrid>
      <w:tr w:rsidR="00277495" w14:paraId="02D257E7" w14:textId="77777777" w:rsidTr="0098625C">
        <w:tc>
          <w:tcPr>
            <w:tcW w:w="8079" w:type="dxa"/>
          </w:tcPr>
          <w:p w14:paraId="0F96E826" w14:textId="7A53D0A7" w:rsidR="00277495" w:rsidRPr="002B0F1D" w:rsidRDefault="00277495" w:rsidP="00277495">
            <w:pPr>
              <w:spacing w:after="0"/>
              <w:rPr>
                <w:i/>
                <w:iCs/>
              </w:rPr>
            </w:pPr>
            <w:r w:rsidRPr="006F0D0D">
              <w:rPr>
                <w:b/>
                <w:bCs/>
              </w:rPr>
              <w:t>Example</w:t>
            </w:r>
            <w:r>
              <w:rPr>
                <w:i/>
                <w:iCs/>
              </w:rPr>
              <w:t xml:space="preserve">: </w:t>
            </w:r>
            <w:r w:rsidRPr="002B0F1D">
              <w:rPr>
                <w:i/>
                <w:iCs/>
              </w:rPr>
              <w:t xml:space="preserve">A person who transfers a digital token </w:t>
            </w:r>
            <w:r w:rsidR="00DC7563">
              <w:rPr>
                <w:i/>
                <w:iCs/>
              </w:rPr>
              <w:t xml:space="preserve">also transfers </w:t>
            </w:r>
            <w:r w:rsidRPr="002B0F1D">
              <w:rPr>
                <w:i/>
                <w:iCs/>
              </w:rPr>
              <w:t xml:space="preserve">a financial product </w:t>
            </w:r>
            <w:r w:rsidR="00DC7563">
              <w:rPr>
                <w:i/>
                <w:iCs/>
              </w:rPr>
              <w:t>where</w:t>
            </w:r>
            <w:r w:rsidRPr="002B0F1D">
              <w:rPr>
                <w:i/>
                <w:iCs/>
              </w:rPr>
              <w:t>:</w:t>
            </w:r>
          </w:p>
          <w:p w14:paraId="2B54B141" w14:textId="2C6FE17A" w:rsidR="00277495" w:rsidRPr="002B0F1D" w:rsidRDefault="00277495" w:rsidP="00277495">
            <w:pPr>
              <w:pStyle w:val="OutlineNumbered1"/>
              <w:numPr>
                <w:ilvl w:val="0"/>
                <w:numId w:val="22"/>
              </w:numPr>
              <w:tabs>
                <w:tab w:val="num" w:pos="453"/>
              </w:tabs>
              <w:spacing w:before="80" w:after="0"/>
              <w:ind w:left="453" w:hanging="426"/>
              <w:rPr>
                <w:i/>
                <w:iCs/>
              </w:rPr>
            </w:pPr>
            <w:r w:rsidRPr="002B0F1D">
              <w:rPr>
                <w:i/>
                <w:iCs/>
              </w:rPr>
              <w:t xml:space="preserve">a contractual agreement exists that meets </w:t>
            </w:r>
            <w:r w:rsidR="00487AA0">
              <w:rPr>
                <w:i/>
                <w:iCs/>
              </w:rPr>
              <w:t>one of the existing</w:t>
            </w:r>
            <w:r w:rsidRPr="002B0F1D">
              <w:rPr>
                <w:i/>
                <w:iCs/>
              </w:rPr>
              <w:t xml:space="preserve"> ‘financial product’ </w:t>
            </w:r>
            <w:r w:rsidR="00487AA0">
              <w:rPr>
                <w:i/>
                <w:iCs/>
              </w:rPr>
              <w:t>definition</w:t>
            </w:r>
            <w:r w:rsidR="003B478D">
              <w:rPr>
                <w:i/>
                <w:iCs/>
              </w:rPr>
              <w:t>s</w:t>
            </w:r>
            <w:r w:rsidRPr="002B0F1D">
              <w:rPr>
                <w:i/>
                <w:iCs/>
              </w:rPr>
              <w:t xml:space="preserve">; and  </w:t>
            </w:r>
          </w:p>
          <w:p w14:paraId="7B6F95CA" w14:textId="53C5959D" w:rsidR="00277495" w:rsidRPr="00277495" w:rsidRDefault="00277495" w:rsidP="00277495">
            <w:pPr>
              <w:pStyle w:val="OutlineNumbered1"/>
              <w:numPr>
                <w:ilvl w:val="0"/>
                <w:numId w:val="22"/>
              </w:numPr>
              <w:tabs>
                <w:tab w:val="num" w:pos="453"/>
              </w:tabs>
              <w:spacing w:before="80"/>
              <w:ind w:left="453" w:hanging="425"/>
              <w:rPr>
                <w:i/>
                <w:iCs/>
              </w:rPr>
            </w:pPr>
            <w:r w:rsidRPr="002B0F1D">
              <w:rPr>
                <w:i/>
                <w:iCs/>
              </w:rPr>
              <w:t xml:space="preserve">the terms of that </w:t>
            </w:r>
            <w:r w:rsidR="003B478D">
              <w:rPr>
                <w:i/>
                <w:iCs/>
              </w:rPr>
              <w:t xml:space="preserve">contractual </w:t>
            </w:r>
            <w:r w:rsidRPr="002B0F1D">
              <w:rPr>
                <w:i/>
                <w:iCs/>
              </w:rPr>
              <w:t xml:space="preserve">agreement </w:t>
            </w:r>
            <w:r>
              <w:rPr>
                <w:i/>
                <w:iCs/>
              </w:rPr>
              <w:t xml:space="preserve">are such </w:t>
            </w:r>
            <w:r w:rsidRPr="002B0F1D">
              <w:rPr>
                <w:i/>
                <w:iCs/>
              </w:rPr>
              <w:t xml:space="preserve">that a person in possession of </w:t>
            </w:r>
            <w:r w:rsidR="003C19D7">
              <w:rPr>
                <w:i/>
                <w:iCs/>
              </w:rPr>
              <w:t>that</w:t>
            </w:r>
            <w:r w:rsidRPr="002B0F1D">
              <w:rPr>
                <w:i/>
                <w:iCs/>
              </w:rPr>
              <w:t xml:space="preserve"> digital token is the </w:t>
            </w:r>
            <w:r w:rsidR="003D00AA">
              <w:rPr>
                <w:i/>
                <w:iCs/>
              </w:rPr>
              <w:t>“</w:t>
            </w:r>
            <w:r w:rsidRPr="002B0F1D">
              <w:rPr>
                <w:i/>
                <w:iCs/>
              </w:rPr>
              <w:t>holder</w:t>
            </w:r>
            <w:r w:rsidR="003D00AA">
              <w:rPr>
                <w:i/>
                <w:iCs/>
              </w:rPr>
              <w:t>”</w:t>
            </w:r>
            <w:r w:rsidRPr="002B0F1D">
              <w:rPr>
                <w:i/>
                <w:iCs/>
              </w:rPr>
              <w:t xml:space="preserve"> of that financial product. </w:t>
            </w:r>
          </w:p>
        </w:tc>
      </w:tr>
    </w:tbl>
    <w:p w14:paraId="5BD79E06" w14:textId="3F5E8730" w:rsidR="00277495" w:rsidRDefault="00336C37" w:rsidP="006A6172">
      <w:pPr>
        <w:spacing w:before="240"/>
      </w:pPr>
      <w:r>
        <w:t>Similarly, t</w:t>
      </w:r>
      <w:r w:rsidR="00C21F78" w:rsidRPr="00C21F78">
        <w:t xml:space="preserve">here is no special test for deciding whether </w:t>
      </w:r>
      <w:r w:rsidR="00C21F78">
        <w:t xml:space="preserve">activities involving </w:t>
      </w:r>
      <w:r w:rsidR="00C21F78" w:rsidRPr="00C21F78">
        <w:t xml:space="preserve">digital </w:t>
      </w:r>
      <w:r w:rsidR="00C21F78">
        <w:t>tokens</w:t>
      </w:r>
      <w:r w:rsidR="00C21F78" w:rsidRPr="00C21F78">
        <w:t xml:space="preserve"> are regulated</w:t>
      </w:r>
      <w:r w:rsidR="00C21F78">
        <w:t xml:space="preserve"> under the existing financial services laws</w:t>
      </w:r>
      <w:r w:rsidR="00C75D76">
        <w:t>. Rather, t</w:t>
      </w:r>
      <w:r w:rsidR="00C75D76" w:rsidRPr="00C75D76">
        <w:t>he existing financial services law continues to apply</w:t>
      </w:r>
      <w:r w:rsidR="00C75D76">
        <w:t>,</w:t>
      </w:r>
      <w:r w:rsidR="00C75D76" w:rsidRPr="00C75D76">
        <w:t xml:space="preserve"> </w:t>
      </w:r>
      <w:r w:rsidR="003C2B3F" w:rsidRPr="003C2B3F">
        <w:t xml:space="preserve">unless the </w:t>
      </w:r>
      <w:r w:rsidR="003C2B3F">
        <w:t>reforms</w:t>
      </w:r>
      <w:r w:rsidR="003C2B3F" w:rsidRPr="003C2B3F">
        <w:t xml:space="preserve"> expressly relieve DAP/TCP operators from specific obligations</w:t>
      </w:r>
      <w:r w:rsidR="00C75D76" w:rsidRPr="00C75D76">
        <w:t>.</w:t>
      </w:r>
      <w:r w:rsidR="00AD08EE" w:rsidRPr="008B664B">
        <w:t xml:space="preserve">  </w:t>
      </w:r>
    </w:p>
    <w:tbl>
      <w:tblPr>
        <w:tblStyle w:val="TableGrid"/>
        <w:tblW w:w="8079" w:type="dxa"/>
        <w:tblInd w:w="421" w:type="dxa"/>
        <w:tblLook w:val="04A0" w:firstRow="1" w:lastRow="0" w:firstColumn="1" w:lastColumn="0" w:noHBand="0" w:noVBand="1"/>
      </w:tblPr>
      <w:tblGrid>
        <w:gridCol w:w="8079"/>
      </w:tblGrid>
      <w:tr w:rsidR="00277495" w14:paraId="473ECC21" w14:textId="77777777" w:rsidTr="0098625C">
        <w:tc>
          <w:tcPr>
            <w:tcW w:w="8079" w:type="dxa"/>
          </w:tcPr>
          <w:p w14:paraId="7DCD478C" w14:textId="6BA6FDEF" w:rsidR="00277495" w:rsidRPr="00277495" w:rsidRDefault="00277495" w:rsidP="006F0D0D">
            <w:pPr>
              <w:rPr>
                <w:i/>
                <w:iCs/>
              </w:rPr>
            </w:pPr>
            <w:r w:rsidRPr="006F0D0D">
              <w:rPr>
                <w:b/>
                <w:bCs/>
              </w:rPr>
              <w:t>Example</w:t>
            </w:r>
            <w:r>
              <w:rPr>
                <w:i/>
                <w:iCs/>
              </w:rPr>
              <w:t>:</w:t>
            </w:r>
            <w:r w:rsidR="006F0D0D">
              <w:t xml:space="preserve"> </w:t>
            </w:r>
            <w:r w:rsidR="006F0D0D" w:rsidRPr="006F0D0D">
              <w:rPr>
                <w:i/>
                <w:iCs/>
              </w:rPr>
              <w:t xml:space="preserve">A person operating a facility where offers to acquire or dispose of digital tokens are regularly made, will be a financial market operator – if the transfer of digital tokens between facility participants </w:t>
            </w:r>
            <w:r w:rsidR="0097512D">
              <w:rPr>
                <w:i/>
                <w:iCs/>
              </w:rPr>
              <w:t>e</w:t>
            </w:r>
            <w:r w:rsidR="006F0D0D" w:rsidRPr="006F0D0D">
              <w:rPr>
                <w:i/>
                <w:iCs/>
              </w:rPr>
              <w:t xml:space="preserve">ffects a transfer of financial products between those participants. </w:t>
            </w:r>
            <w:r w:rsidRPr="002B0F1D">
              <w:rPr>
                <w:i/>
                <w:iCs/>
              </w:rPr>
              <w:t xml:space="preserve"> </w:t>
            </w:r>
          </w:p>
        </w:tc>
      </w:tr>
    </w:tbl>
    <w:p w14:paraId="3447B86F" w14:textId="1F4B22E3" w:rsidR="00030026" w:rsidRDefault="006F0D0D" w:rsidP="006A6172">
      <w:pPr>
        <w:spacing w:before="240"/>
      </w:pPr>
      <w:r>
        <w:t xml:space="preserve">The reforms expressly </w:t>
      </w:r>
      <w:r w:rsidR="003C2B3F" w:rsidRPr="003C2B3F">
        <w:t xml:space="preserve">relieve DAP/TCP operators </w:t>
      </w:r>
      <w:r w:rsidR="003C2B3F">
        <w:t>from certain obligations for</w:t>
      </w:r>
      <w:r w:rsidR="00964D78">
        <w:t xml:space="preserve"> a range reasons</w:t>
      </w:r>
      <w:r w:rsidR="00175F2F">
        <w:t>, including to</w:t>
      </w:r>
      <w:r w:rsidR="00871710">
        <w:t xml:space="preserve"> avoid regulatory </w:t>
      </w:r>
      <w:r w:rsidR="002511CA">
        <w:t>duplication</w:t>
      </w:r>
      <w:r w:rsidR="00CB2B6E">
        <w:t xml:space="preserve"> or to mitigate unique risks. In most cases, </w:t>
      </w:r>
      <w:r w:rsidR="002511CA">
        <w:t xml:space="preserve">the </w:t>
      </w:r>
      <w:r w:rsidR="00030026">
        <w:t>r</w:t>
      </w:r>
      <w:r w:rsidR="00CB2B6E">
        <w:t xml:space="preserve">elief </w:t>
      </w:r>
      <w:r w:rsidR="00030026">
        <w:t xml:space="preserve">replicates </w:t>
      </w:r>
      <w:r w:rsidR="00015842">
        <w:t>existing</w:t>
      </w:r>
      <w:r w:rsidR="00CB2B6E">
        <w:t xml:space="preserve"> relief provided</w:t>
      </w:r>
      <w:r w:rsidR="00015842">
        <w:t xml:space="preserve"> to similar product</w:t>
      </w:r>
      <w:r w:rsidR="008C35DE">
        <w:t>s</w:t>
      </w:r>
      <w:r w:rsidR="00015842">
        <w:t xml:space="preserve"> issue</w:t>
      </w:r>
      <w:r w:rsidR="008C35DE">
        <w:t>d</w:t>
      </w:r>
      <w:r w:rsidR="00CB2B6E">
        <w:t xml:space="preserve"> </w:t>
      </w:r>
      <w:r w:rsidR="002C58E3">
        <w:t xml:space="preserve">under the </w:t>
      </w:r>
      <w:r w:rsidR="00015842">
        <w:t xml:space="preserve">existing frameworks. </w:t>
      </w:r>
      <w:r w:rsidR="00871710">
        <w:t xml:space="preserve"> </w:t>
      </w:r>
      <w:r w:rsidR="00871710" w:rsidRPr="008B664B">
        <w:t xml:space="preserve">   </w:t>
      </w:r>
    </w:p>
    <w:tbl>
      <w:tblPr>
        <w:tblStyle w:val="TableGrid"/>
        <w:tblW w:w="8079" w:type="dxa"/>
        <w:tblInd w:w="421" w:type="dxa"/>
        <w:tblLook w:val="04A0" w:firstRow="1" w:lastRow="0" w:firstColumn="1" w:lastColumn="0" w:noHBand="0" w:noVBand="1"/>
      </w:tblPr>
      <w:tblGrid>
        <w:gridCol w:w="8079"/>
      </w:tblGrid>
      <w:tr w:rsidR="00030026" w14:paraId="192285EB" w14:textId="77777777" w:rsidTr="0098625C">
        <w:tc>
          <w:tcPr>
            <w:tcW w:w="8079" w:type="dxa"/>
          </w:tcPr>
          <w:p w14:paraId="3E7B3EBC" w14:textId="109A8243" w:rsidR="00030026" w:rsidRPr="00277495" w:rsidRDefault="00030026">
            <w:pPr>
              <w:rPr>
                <w:i/>
                <w:iCs/>
              </w:rPr>
            </w:pPr>
            <w:r w:rsidRPr="006F0D0D">
              <w:rPr>
                <w:b/>
                <w:bCs/>
              </w:rPr>
              <w:t>Example</w:t>
            </w:r>
            <w:r>
              <w:rPr>
                <w:i/>
                <w:iCs/>
              </w:rPr>
              <w:t>:</w:t>
            </w:r>
            <w:r>
              <w:t xml:space="preserve"> </w:t>
            </w:r>
            <w:r w:rsidRPr="00030026">
              <w:rPr>
                <w:i/>
                <w:iCs/>
              </w:rPr>
              <w:t xml:space="preserve">A person operating a DAP will </w:t>
            </w:r>
            <w:r w:rsidRPr="00030026">
              <w:rPr>
                <w:b/>
                <w:bCs/>
                <w:i/>
                <w:iCs/>
              </w:rPr>
              <w:t>not</w:t>
            </w:r>
            <w:r w:rsidRPr="00030026">
              <w:rPr>
                <w:i/>
                <w:iCs/>
              </w:rPr>
              <w:t xml:space="preserve"> be providing a “custod</w:t>
            </w:r>
            <w:r>
              <w:rPr>
                <w:i/>
                <w:iCs/>
              </w:rPr>
              <w:t>ial</w:t>
            </w:r>
            <w:r w:rsidRPr="00030026">
              <w:rPr>
                <w:i/>
                <w:iCs/>
              </w:rPr>
              <w:t xml:space="preserve"> and depository service” – even where, by possessing client digital tokens, the operator is holding client financial products</w:t>
            </w:r>
            <w:r>
              <w:rPr>
                <w:i/>
                <w:iCs/>
              </w:rPr>
              <w:t xml:space="preserve"> – because</w:t>
            </w:r>
            <w:r w:rsidR="00B4590A">
              <w:rPr>
                <w:i/>
                <w:iCs/>
              </w:rPr>
              <w:t xml:space="preserve"> </w:t>
            </w:r>
            <w:r w:rsidR="00125D18">
              <w:rPr>
                <w:i/>
                <w:iCs/>
              </w:rPr>
              <w:t xml:space="preserve">this will </w:t>
            </w:r>
            <w:r w:rsidR="00F84DAB">
              <w:rPr>
                <w:i/>
                <w:iCs/>
              </w:rPr>
              <w:t xml:space="preserve">already be covered by the new minimum standards. This is the same approach as for </w:t>
            </w:r>
            <w:r w:rsidR="004A1FA2">
              <w:rPr>
                <w:i/>
                <w:iCs/>
              </w:rPr>
              <w:t xml:space="preserve">issuers of </w:t>
            </w:r>
            <w:r w:rsidR="00F84DAB">
              <w:rPr>
                <w:i/>
                <w:iCs/>
              </w:rPr>
              <w:t xml:space="preserve">other </w:t>
            </w:r>
            <w:r w:rsidR="00F52418">
              <w:rPr>
                <w:i/>
                <w:iCs/>
              </w:rPr>
              <w:t>‘custody-based’ financial products</w:t>
            </w:r>
            <w:r w:rsidR="003A2B47">
              <w:rPr>
                <w:i/>
                <w:iCs/>
              </w:rPr>
              <w:t xml:space="preserve">. </w:t>
            </w:r>
            <w:r w:rsidR="00B4590A">
              <w:rPr>
                <w:i/>
                <w:iCs/>
              </w:rPr>
              <w:t xml:space="preserve"> </w:t>
            </w:r>
            <w:r w:rsidR="00F52418">
              <w:rPr>
                <w:i/>
                <w:iCs/>
              </w:rPr>
              <w:t xml:space="preserve"> </w:t>
            </w:r>
          </w:p>
        </w:tc>
      </w:tr>
    </w:tbl>
    <w:p w14:paraId="48B19EAB" w14:textId="579CA10D" w:rsidR="00AB6C49" w:rsidRDefault="00E36180" w:rsidP="006C383B">
      <w:pPr>
        <w:pStyle w:val="Heading2"/>
      </w:pPr>
      <w:r w:rsidRPr="00E36180">
        <w:t xml:space="preserve">Futureproofing </w:t>
      </w:r>
      <w:r>
        <w:t>with</w:t>
      </w:r>
      <w:r w:rsidRPr="00E36180">
        <w:t xml:space="preserve"> flexib</w:t>
      </w:r>
      <w:r>
        <w:t>ility</w:t>
      </w:r>
    </w:p>
    <w:p w14:paraId="160656A4" w14:textId="78B155AC" w:rsidR="00A17954" w:rsidRDefault="00AB7C60" w:rsidP="00444AAD">
      <w:pPr>
        <w:keepNext/>
        <w:spacing w:after="0"/>
      </w:pPr>
      <w:r w:rsidRPr="00AB7C60">
        <w:t>The framework has been designed to adapt to future risks while also supporting innovation. Digital asset markets evolve rapidly, and rigid rules would either leave gaps or stifle new business models. The regime instead uses mechanisms that allow obligations to be adjusted, expanded or narrowed, giving regulators and operators the tools to strengthen safeguards when new risks arise and the space to adapt as technologies and services develop.</w:t>
      </w:r>
    </w:p>
    <w:p w14:paraId="75001D86" w14:textId="77777777" w:rsidR="00FF73CA" w:rsidRDefault="00FF73CA" w:rsidP="00444AAD">
      <w:pPr>
        <w:keepNext/>
        <w:spacing w:after="0"/>
      </w:pPr>
      <w:r w:rsidRPr="00FF73CA">
        <w:t xml:space="preserve">One example is the use of </w:t>
      </w:r>
      <w:r w:rsidRPr="00AB0DFA">
        <w:t>minimum standards</w:t>
      </w:r>
      <w:r w:rsidRPr="00FF73CA">
        <w:t>. ASIC already regulates custody-based products through principle-based standards, and the Bill extends this approach to transactional and settlement functions. These standards will be outcomes-based and proportionate, so they can apply across different platforms without creating unnecessary barriers for smaller or innovative operators.</w:t>
      </w:r>
    </w:p>
    <w:p w14:paraId="21402F97" w14:textId="6C0632F5" w:rsidR="00184BE8" w:rsidRDefault="00184BE8" w:rsidP="00444AAD">
      <w:pPr>
        <w:keepNext/>
        <w:spacing w:after="0"/>
      </w:pPr>
      <w:r w:rsidRPr="00184BE8">
        <w:t xml:space="preserve">Flexibility is also built in through the requirement that all DAPs and TCPs establish and enforce </w:t>
      </w:r>
      <w:r w:rsidRPr="00AB0DFA">
        <w:t>platform rules</w:t>
      </w:r>
      <w:r w:rsidRPr="00184BE8">
        <w:t xml:space="preserve">. These rules must cover key matters such as client eligibility, </w:t>
      </w:r>
      <w:r w:rsidR="00364C23">
        <w:t xml:space="preserve">execution methods, and </w:t>
      </w:r>
      <w:r w:rsidRPr="00184BE8">
        <w:t xml:space="preserve">settlement </w:t>
      </w:r>
      <w:r w:rsidR="00364C23">
        <w:t xml:space="preserve">arrangements, and will </w:t>
      </w:r>
      <w:r w:rsidRPr="00184BE8">
        <w:t xml:space="preserve">operate as a contract between the operator and its </w:t>
      </w:r>
      <w:r w:rsidRPr="00184BE8">
        <w:lastRenderedPageBreak/>
        <w:t xml:space="preserve">clients (and, in some cases, between clients </w:t>
      </w:r>
      <w:r w:rsidR="00364C23">
        <w:t>of the platform</w:t>
      </w:r>
      <w:r w:rsidRPr="00184BE8">
        <w:t xml:space="preserve">). </w:t>
      </w:r>
      <w:r w:rsidR="00EF5EBE" w:rsidRPr="00EF5EBE">
        <w:t>Th</w:t>
      </w:r>
      <w:r w:rsidR="00EF5EBE">
        <w:t>e rules are</w:t>
      </w:r>
      <w:r w:rsidR="00EF5EBE" w:rsidRPr="00EF5EBE">
        <w:t xml:space="preserve"> aim</w:t>
      </w:r>
      <w:r w:rsidR="00EF5EBE">
        <w:t xml:space="preserve">ed to be implementable </w:t>
      </w:r>
      <w:r w:rsidRPr="00184BE8">
        <w:t xml:space="preserve">through automated systems such as smart contracts, enabling regulatorily compliant protocols like automated market makers or programmable assets. This approach ensures transparency and accountability </w:t>
      </w:r>
      <w:r w:rsidR="00DD2C0D">
        <w:t xml:space="preserve">to clients </w:t>
      </w:r>
      <w:r w:rsidRPr="00184BE8">
        <w:t xml:space="preserve">while leaving </w:t>
      </w:r>
      <w:r w:rsidR="00DD2C0D">
        <w:t xml:space="preserve">ample flexibility </w:t>
      </w:r>
      <w:r w:rsidRPr="00184BE8">
        <w:t xml:space="preserve">for innovation in how </w:t>
      </w:r>
      <w:r w:rsidR="00C34571">
        <w:t>operators</w:t>
      </w:r>
      <w:r w:rsidRPr="00184BE8">
        <w:t xml:space="preserve"> design </w:t>
      </w:r>
      <w:r w:rsidR="00C34571">
        <w:t>their platform offering</w:t>
      </w:r>
      <w:r w:rsidRPr="00184BE8">
        <w:t>.</w:t>
      </w:r>
    </w:p>
    <w:p w14:paraId="4EB8A0F8" w14:textId="60EFC9A0" w:rsidR="00043AB5" w:rsidRDefault="00C32E62" w:rsidP="00444AAD">
      <w:pPr>
        <w:keepNext/>
        <w:spacing w:after="0"/>
      </w:pPr>
      <w:r w:rsidRPr="00C32E62">
        <w:t xml:space="preserve">Finally, the framework gives the </w:t>
      </w:r>
      <w:r w:rsidRPr="00AB0DFA">
        <w:t xml:space="preserve">targeted </w:t>
      </w:r>
      <w:r w:rsidR="00827290" w:rsidRPr="00AB0DFA">
        <w:t xml:space="preserve">ministerial </w:t>
      </w:r>
      <w:r w:rsidRPr="00AB0DFA">
        <w:t>powers</w:t>
      </w:r>
      <w:r w:rsidRPr="00C32E62">
        <w:t xml:space="preserve"> to adjust how facilities are regulated as markets evolve. The </w:t>
      </w:r>
      <w:r w:rsidR="00223792">
        <w:t>m</w:t>
      </w:r>
      <w:r w:rsidR="00223792" w:rsidRPr="00C32E62">
        <w:t xml:space="preserve">inister </w:t>
      </w:r>
      <w:r w:rsidRPr="00C32E62">
        <w:t>can declare a facility to be treated as a financial market or clearing and settlement facility. Conversely, the Minister can declare a facility to be treated instead as a digital asset platform</w:t>
      </w:r>
      <w:r>
        <w:t xml:space="preserve">. </w:t>
      </w:r>
      <w:r w:rsidRPr="00C32E62">
        <w:t xml:space="preserve">The Minister may also prohibit specified products from being offered through platforms if they create systemic risks. These powers allow regulation to be “right-sized” in either direction—tightened where new risks </w:t>
      </w:r>
      <w:proofErr w:type="gramStart"/>
      <w:r w:rsidRPr="00C32E62">
        <w:t>emerge, or</w:t>
      </w:r>
      <w:proofErr w:type="gramEnd"/>
      <w:r w:rsidRPr="00C32E62">
        <w:t xml:space="preserve"> eased where obligations are disproportionate or inconsistent with technological innovation—without the need for new legislation or regulations.</w:t>
      </w:r>
    </w:p>
    <w:p w14:paraId="37C13D59" w14:textId="77777777" w:rsidR="007D1347" w:rsidRDefault="007D1347" w:rsidP="00F365D3">
      <w:pPr>
        <w:pStyle w:val="NoSpacing"/>
      </w:pPr>
    </w:p>
    <w:tbl>
      <w:tblPr>
        <w:tblW w:w="5000" w:type="pct"/>
        <w:shd w:val="clear" w:color="auto" w:fill="F2F9FC"/>
        <w:tblCellMar>
          <w:top w:w="227" w:type="dxa"/>
          <w:left w:w="227" w:type="dxa"/>
          <w:bottom w:w="227" w:type="dxa"/>
          <w:right w:w="227" w:type="dxa"/>
        </w:tblCellMar>
        <w:tblLook w:val="0620" w:firstRow="1" w:lastRow="0" w:firstColumn="0" w:lastColumn="0" w:noHBand="1" w:noVBand="1"/>
      </w:tblPr>
      <w:tblGrid>
        <w:gridCol w:w="8504"/>
      </w:tblGrid>
      <w:tr w:rsidR="007F53C0" w14:paraId="2602D1BF" w14:textId="77777777" w:rsidTr="00DF7521">
        <w:tc>
          <w:tcPr>
            <w:tcW w:w="5000" w:type="pct"/>
            <w:shd w:val="clear" w:color="auto" w:fill="F2F9FC"/>
          </w:tcPr>
          <w:p w14:paraId="68461235" w14:textId="49FAA0C7" w:rsidR="007F53C0" w:rsidRPr="0090719E" w:rsidRDefault="00384150" w:rsidP="002618CF">
            <w:pPr>
              <w:pStyle w:val="BoxHeading"/>
              <w:spacing w:before="0" w:after="240"/>
              <w:rPr>
                <w:szCs w:val="28"/>
              </w:rPr>
            </w:pPr>
            <w:r>
              <w:t>Next steps</w:t>
            </w:r>
          </w:p>
          <w:p w14:paraId="633566D9" w14:textId="788AA336" w:rsidR="007F53C0" w:rsidRPr="003F20CE" w:rsidRDefault="008F1709" w:rsidP="00DF7521">
            <w:pPr>
              <w:pStyle w:val="BoxText"/>
            </w:pPr>
            <w:r>
              <w:t xml:space="preserve">Consultation </w:t>
            </w:r>
            <w:r w:rsidR="005139F1">
              <w:t xml:space="preserve">on exposure draft legislation closes </w:t>
            </w:r>
            <w:r w:rsidR="00EF5BAC">
              <w:t>on</w:t>
            </w:r>
            <w:r w:rsidR="005B61CB">
              <w:t xml:space="preserve"> 2</w:t>
            </w:r>
            <w:r w:rsidR="004C328F">
              <w:t>4</w:t>
            </w:r>
            <w:r w:rsidR="005B61CB">
              <w:t xml:space="preserve"> October 2025</w:t>
            </w:r>
            <w:r>
              <w:t>.</w:t>
            </w:r>
            <w:r w:rsidR="003F20CE">
              <w:t xml:space="preserve"> </w:t>
            </w:r>
            <w:r w:rsidR="003F20CE" w:rsidRPr="003F20CE">
              <w:t xml:space="preserve">The timing of any further work </w:t>
            </w:r>
            <w:r w:rsidR="00175822">
              <w:t>depends</w:t>
            </w:r>
            <w:r w:rsidR="003F20CE" w:rsidRPr="003F20CE">
              <w:t xml:space="preserve"> on the outcomes of exposure draft legislation.</w:t>
            </w:r>
            <w:r w:rsidR="003F20CE" w:rsidRPr="003F20CE">
              <w:rPr>
                <w:i/>
                <w:iCs/>
              </w:rPr>
              <w:t> </w:t>
            </w:r>
          </w:p>
          <w:p w14:paraId="4120E520" w14:textId="1FF32BE9" w:rsidR="0051763B" w:rsidRPr="00BA123B" w:rsidRDefault="0051763B" w:rsidP="008F1709">
            <w:pPr>
              <w:pStyle w:val="Boxdoubledot"/>
              <w:numPr>
                <w:ilvl w:val="0"/>
                <w:numId w:val="0"/>
              </w:numPr>
            </w:pPr>
          </w:p>
        </w:tc>
      </w:tr>
    </w:tbl>
    <w:p w14:paraId="5DBA46AD" w14:textId="77777777" w:rsidR="00DE74EC" w:rsidRPr="00045C24" w:rsidRDefault="00DE74EC" w:rsidP="008F2212"/>
    <w:sectPr w:rsidR="00DE74EC" w:rsidRPr="00045C24" w:rsidSect="00CE065C">
      <w:headerReference w:type="default" r:id="rId7"/>
      <w:footerReference w:type="default" r:id="rId8"/>
      <w:headerReference w:type="first" r:id="rId9"/>
      <w:footerReference w:type="first" r:id="rId10"/>
      <w:pgSz w:w="11906" w:h="16838" w:code="9"/>
      <w:pgMar w:top="1702" w:right="1701" w:bottom="1021" w:left="1701" w:header="567" w:footer="42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DECF" w14:textId="77777777" w:rsidR="005E54D3" w:rsidRDefault="005E54D3" w:rsidP="00886BC4">
      <w:r>
        <w:separator/>
      </w:r>
    </w:p>
    <w:p w14:paraId="77447C1E" w14:textId="77777777" w:rsidR="005E54D3" w:rsidRDefault="005E54D3"/>
  </w:endnote>
  <w:endnote w:type="continuationSeparator" w:id="0">
    <w:p w14:paraId="42942AD0" w14:textId="77777777" w:rsidR="005E54D3" w:rsidRDefault="005E54D3" w:rsidP="00886BC4">
      <w:r>
        <w:continuationSeparator/>
      </w:r>
    </w:p>
    <w:p w14:paraId="493B3C89" w14:textId="77777777" w:rsidR="005E54D3" w:rsidRDefault="005E54D3"/>
  </w:endnote>
  <w:endnote w:type="continuationNotice" w:id="1">
    <w:p w14:paraId="6C0DAD99" w14:textId="77777777" w:rsidR="005E54D3" w:rsidRDefault="005E5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2EBF" w14:textId="48C7EC8F" w:rsidR="00A15DB7" w:rsidRPr="00E81A92" w:rsidRDefault="00E81A92" w:rsidP="007936DC">
    <w:pPr>
      <w:pStyle w:val="Footer"/>
    </w:pPr>
    <w:r w:rsidRPr="00AC3B66">
      <w:rPr>
        <w:noProof/>
        <w:position w:val="-10"/>
      </w:rPr>
      <w:drawing>
        <wp:inline distT="0" distB="0" distL="0" distR="0" wp14:anchorId="53C3383D" wp14:editId="0351564E">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B51F7B">
      <w:tab/>
    </w:r>
    <w:r>
      <w:t xml:space="preserve">| </w:t>
    </w:r>
    <w:r w:rsidRPr="00565A52">
      <w:t xml:space="preserve"> </w:t>
    </w:r>
    <w:r w:rsidRPr="00CE065C">
      <w:rPr>
        <w:rStyle w:val="PageNumber"/>
      </w:rPr>
      <w:fldChar w:fldCharType="begin"/>
    </w:r>
    <w:r w:rsidRPr="00CE065C">
      <w:rPr>
        <w:rStyle w:val="PageNumber"/>
      </w:rPr>
      <w:instrText xml:space="preserve"> PAGE   \* MERGEFORMAT </w:instrText>
    </w:r>
    <w:r w:rsidRPr="00CE065C">
      <w:rPr>
        <w:rStyle w:val="PageNumber"/>
      </w:rPr>
      <w:fldChar w:fldCharType="separate"/>
    </w:r>
    <w:r w:rsidRPr="00CE065C">
      <w:rPr>
        <w:rStyle w:val="PageNumber"/>
      </w:rPr>
      <w:t>1</w:t>
    </w:r>
    <w:r w:rsidRPr="00CE065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12A1" w14:textId="5651E9CB"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6125416A" wp14:editId="6D4B5A78">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F5EFF" w14:textId="77777777" w:rsidR="005E54D3" w:rsidRDefault="005E54D3" w:rsidP="00886BC4">
      <w:r>
        <w:separator/>
      </w:r>
    </w:p>
    <w:p w14:paraId="303C4DC8" w14:textId="77777777" w:rsidR="005E54D3" w:rsidRDefault="005E54D3"/>
  </w:footnote>
  <w:footnote w:type="continuationSeparator" w:id="0">
    <w:p w14:paraId="27E9C867" w14:textId="77777777" w:rsidR="005E54D3" w:rsidRDefault="005E54D3" w:rsidP="00886BC4">
      <w:r>
        <w:continuationSeparator/>
      </w:r>
    </w:p>
    <w:p w14:paraId="4EB9DED3" w14:textId="77777777" w:rsidR="005E54D3" w:rsidRDefault="005E54D3"/>
  </w:footnote>
  <w:footnote w:type="continuationNotice" w:id="1">
    <w:p w14:paraId="3F84F297" w14:textId="77777777" w:rsidR="005E54D3" w:rsidRDefault="005E5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1588" w14:textId="2D17C064" w:rsidR="006D3EE7" w:rsidRPr="0024182E" w:rsidRDefault="00FC2E34" w:rsidP="00B51F7B">
    <w:pPr>
      <w:pStyle w:val="Header"/>
      <w:tabs>
        <w:tab w:val="clear" w:pos="4320"/>
        <w:tab w:val="clear" w:pos="8640"/>
        <w:tab w:val="left" w:pos="3678"/>
      </w:tabs>
      <w:rPr>
        <w:color w:val="2E3B4E" w:themeColor="accent3" w:themeShade="80"/>
      </w:rPr>
    </w:pPr>
    <w:r w:rsidRPr="0024182E">
      <w:rPr>
        <w:noProof/>
        <w:color w:val="2E3B4E" w:themeColor="accent3" w:themeShade="80"/>
      </w:rPr>
      <w:drawing>
        <wp:anchor distT="0" distB="0" distL="114300" distR="114300" simplePos="0" relativeHeight="251674625" behindDoc="1" locked="0" layoutInCell="1" allowOverlap="1" wp14:anchorId="640F9764" wp14:editId="452FBF1B">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xmlns:arto="http://schemas.microsoft.com/office/word/2006/arto"/>
                    </a:ext>
                  </a:extLst>
                </pic:spPr>
              </pic:pic>
            </a:graphicData>
          </a:graphic>
          <wp14:sizeRelH relativeFrom="page">
            <wp14:pctWidth>0</wp14:pctWidth>
          </wp14:sizeRelH>
          <wp14:sizeRelV relativeFrom="page">
            <wp14:pctHeight>0</wp14:pctHeight>
          </wp14:sizeRelV>
        </wp:anchor>
      </w:drawing>
    </w:r>
    <w:r w:rsidR="008E04BD" w:rsidRPr="0024182E">
      <w:rPr>
        <w:color w:val="2E3B4E" w:themeColor="accent3" w:themeShade="80"/>
      </w:rPr>
      <w:fldChar w:fldCharType="begin"/>
    </w:r>
    <w:r w:rsidR="008E04BD" w:rsidRPr="0024182E">
      <w:rPr>
        <w:color w:val="2E3B4E" w:themeColor="accent3" w:themeShade="80"/>
      </w:rPr>
      <w:instrText xml:space="preserve"> STYLEREF  "Fact sheet title"  \* MERGEFORMAT </w:instrText>
    </w:r>
    <w:r w:rsidR="008E04BD" w:rsidRPr="0024182E">
      <w:rPr>
        <w:color w:val="2E3B4E" w:themeColor="accent3" w:themeShade="80"/>
      </w:rPr>
      <w:fldChar w:fldCharType="separate"/>
    </w:r>
    <w:r w:rsidR="00570F25">
      <w:rPr>
        <w:noProof/>
        <w:color w:val="2E3B4E" w:themeColor="accent3" w:themeShade="80"/>
      </w:rPr>
      <w:t>Regulating digital asset and tokenised custody platforms</w:t>
    </w:r>
    <w:r w:rsidR="008E04BD" w:rsidRPr="0024182E">
      <w:rPr>
        <w:noProof/>
        <w:color w:val="2E3B4E" w:themeColor="accent3" w:themeShade="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EEE2" w14:textId="77777777" w:rsidR="00300C95" w:rsidRDefault="00300C95">
    <w:pPr>
      <w:pStyle w:val="Header"/>
    </w:pPr>
    <w:r>
      <w:rPr>
        <w:noProof/>
      </w:rPr>
      <w:drawing>
        <wp:anchor distT="0" distB="0" distL="114300" distR="114300" simplePos="0" relativeHeight="251658240" behindDoc="1" locked="0" layoutInCell="1" allowOverlap="0" wp14:anchorId="62688F27" wp14:editId="6048BA70">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50244C9"/>
    <w:multiLevelType w:val="multilevel"/>
    <w:tmpl w:val="FBE8976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039CE"/>
    <w:multiLevelType w:val="multilevel"/>
    <w:tmpl w:val="CAAE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B4FB6"/>
    <w:multiLevelType w:val="hybridMultilevel"/>
    <w:tmpl w:val="86EC90BA"/>
    <w:lvl w:ilvl="0" w:tplc="A5F2A9A2">
      <w:start w:val="1"/>
      <w:numFmt w:val="bullet"/>
      <w:lvlText w:val=""/>
      <w:lvlJc w:val="left"/>
      <w:pPr>
        <w:ind w:left="720" w:hanging="360"/>
      </w:pPr>
      <w:rPr>
        <w:rFonts w:ascii="Symbol" w:hAnsi="Symbol"/>
      </w:rPr>
    </w:lvl>
    <w:lvl w:ilvl="1" w:tplc="208878EA">
      <w:start w:val="1"/>
      <w:numFmt w:val="bullet"/>
      <w:lvlText w:val=""/>
      <w:lvlJc w:val="left"/>
      <w:pPr>
        <w:ind w:left="720" w:hanging="360"/>
      </w:pPr>
      <w:rPr>
        <w:rFonts w:ascii="Symbol" w:hAnsi="Symbol"/>
      </w:rPr>
    </w:lvl>
    <w:lvl w:ilvl="2" w:tplc="2F32162A">
      <w:start w:val="1"/>
      <w:numFmt w:val="bullet"/>
      <w:lvlText w:val=""/>
      <w:lvlJc w:val="left"/>
      <w:pPr>
        <w:ind w:left="720" w:hanging="360"/>
      </w:pPr>
      <w:rPr>
        <w:rFonts w:ascii="Symbol" w:hAnsi="Symbol"/>
      </w:rPr>
    </w:lvl>
    <w:lvl w:ilvl="3" w:tplc="A866C95A">
      <w:start w:val="1"/>
      <w:numFmt w:val="bullet"/>
      <w:lvlText w:val=""/>
      <w:lvlJc w:val="left"/>
      <w:pPr>
        <w:ind w:left="720" w:hanging="360"/>
      </w:pPr>
      <w:rPr>
        <w:rFonts w:ascii="Symbol" w:hAnsi="Symbol"/>
      </w:rPr>
    </w:lvl>
    <w:lvl w:ilvl="4" w:tplc="0BD402E0">
      <w:start w:val="1"/>
      <w:numFmt w:val="bullet"/>
      <w:lvlText w:val=""/>
      <w:lvlJc w:val="left"/>
      <w:pPr>
        <w:ind w:left="720" w:hanging="360"/>
      </w:pPr>
      <w:rPr>
        <w:rFonts w:ascii="Symbol" w:hAnsi="Symbol"/>
      </w:rPr>
    </w:lvl>
    <w:lvl w:ilvl="5" w:tplc="CD0CF40E">
      <w:start w:val="1"/>
      <w:numFmt w:val="bullet"/>
      <w:lvlText w:val=""/>
      <w:lvlJc w:val="left"/>
      <w:pPr>
        <w:ind w:left="720" w:hanging="360"/>
      </w:pPr>
      <w:rPr>
        <w:rFonts w:ascii="Symbol" w:hAnsi="Symbol"/>
      </w:rPr>
    </w:lvl>
    <w:lvl w:ilvl="6" w:tplc="6422E7BC">
      <w:start w:val="1"/>
      <w:numFmt w:val="bullet"/>
      <w:lvlText w:val=""/>
      <w:lvlJc w:val="left"/>
      <w:pPr>
        <w:ind w:left="720" w:hanging="360"/>
      </w:pPr>
      <w:rPr>
        <w:rFonts w:ascii="Symbol" w:hAnsi="Symbol"/>
      </w:rPr>
    </w:lvl>
    <w:lvl w:ilvl="7" w:tplc="A10A7450">
      <w:start w:val="1"/>
      <w:numFmt w:val="bullet"/>
      <w:lvlText w:val=""/>
      <w:lvlJc w:val="left"/>
      <w:pPr>
        <w:ind w:left="720" w:hanging="360"/>
      </w:pPr>
      <w:rPr>
        <w:rFonts w:ascii="Symbol" w:hAnsi="Symbol"/>
      </w:rPr>
    </w:lvl>
    <w:lvl w:ilvl="8" w:tplc="7E0AB402">
      <w:start w:val="1"/>
      <w:numFmt w:val="bullet"/>
      <w:lvlText w:val=""/>
      <w:lvlJc w:val="left"/>
      <w:pPr>
        <w:ind w:left="720" w:hanging="360"/>
      </w:pPr>
      <w:rPr>
        <w:rFonts w:ascii="Symbol" w:hAnsi="Symbol"/>
      </w:rPr>
    </w:lvl>
  </w:abstractNum>
  <w:abstractNum w:abstractNumId="6" w15:restartNumberingAfterBreak="0">
    <w:nsid w:val="200B7A9D"/>
    <w:multiLevelType w:val="hybridMultilevel"/>
    <w:tmpl w:val="3C0E3500"/>
    <w:lvl w:ilvl="0" w:tplc="BBCAD448">
      <w:start w:val="1"/>
      <w:numFmt w:val="bullet"/>
      <w:lvlText w:val=""/>
      <w:lvlJc w:val="left"/>
      <w:pPr>
        <w:ind w:left="720" w:hanging="360"/>
      </w:pPr>
      <w:rPr>
        <w:rFonts w:ascii="Symbol" w:hAnsi="Symbol"/>
      </w:rPr>
    </w:lvl>
    <w:lvl w:ilvl="1" w:tplc="49D835DE">
      <w:start w:val="1"/>
      <w:numFmt w:val="bullet"/>
      <w:lvlText w:val=""/>
      <w:lvlJc w:val="left"/>
      <w:pPr>
        <w:ind w:left="720" w:hanging="360"/>
      </w:pPr>
      <w:rPr>
        <w:rFonts w:ascii="Symbol" w:hAnsi="Symbol"/>
      </w:rPr>
    </w:lvl>
    <w:lvl w:ilvl="2" w:tplc="01A22592">
      <w:start w:val="1"/>
      <w:numFmt w:val="bullet"/>
      <w:lvlText w:val=""/>
      <w:lvlJc w:val="left"/>
      <w:pPr>
        <w:ind w:left="720" w:hanging="360"/>
      </w:pPr>
      <w:rPr>
        <w:rFonts w:ascii="Symbol" w:hAnsi="Symbol"/>
      </w:rPr>
    </w:lvl>
    <w:lvl w:ilvl="3" w:tplc="D584BC26">
      <w:start w:val="1"/>
      <w:numFmt w:val="bullet"/>
      <w:lvlText w:val=""/>
      <w:lvlJc w:val="left"/>
      <w:pPr>
        <w:ind w:left="720" w:hanging="360"/>
      </w:pPr>
      <w:rPr>
        <w:rFonts w:ascii="Symbol" w:hAnsi="Symbol"/>
      </w:rPr>
    </w:lvl>
    <w:lvl w:ilvl="4" w:tplc="8E8041BE">
      <w:start w:val="1"/>
      <w:numFmt w:val="bullet"/>
      <w:lvlText w:val=""/>
      <w:lvlJc w:val="left"/>
      <w:pPr>
        <w:ind w:left="720" w:hanging="360"/>
      </w:pPr>
      <w:rPr>
        <w:rFonts w:ascii="Symbol" w:hAnsi="Symbol"/>
      </w:rPr>
    </w:lvl>
    <w:lvl w:ilvl="5" w:tplc="7228F28C">
      <w:start w:val="1"/>
      <w:numFmt w:val="bullet"/>
      <w:lvlText w:val=""/>
      <w:lvlJc w:val="left"/>
      <w:pPr>
        <w:ind w:left="720" w:hanging="360"/>
      </w:pPr>
      <w:rPr>
        <w:rFonts w:ascii="Symbol" w:hAnsi="Symbol"/>
      </w:rPr>
    </w:lvl>
    <w:lvl w:ilvl="6" w:tplc="8A929428">
      <w:start w:val="1"/>
      <w:numFmt w:val="bullet"/>
      <w:lvlText w:val=""/>
      <w:lvlJc w:val="left"/>
      <w:pPr>
        <w:ind w:left="720" w:hanging="360"/>
      </w:pPr>
      <w:rPr>
        <w:rFonts w:ascii="Symbol" w:hAnsi="Symbol"/>
      </w:rPr>
    </w:lvl>
    <w:lvl w:ilvl="7" w:tplc="2858FCF4">
      <w:start w:val="1"/>
      <w:numFmt w:val="bullet"/>
      <w:lvlText w:val=""/>
      <w:lvlJc w:val="left"/>
      <w:pPr>
        <w:ind w:left="720" w:hanging="360"/>
      </w:pPr>
      <w:rPr>
        <w:rFonts w:ascii="Symbol" w:hAnsi="Symbol"/>
      </w:rPr>
    </w:lvl>
    <w:lvl w:ilvl="8" w:tplc="D8F4CA8E">
      <w:start w:val="1"/>
      <w:numFmt w:val="bullet"/>
      <w:lvlText w:val=""/>
      <w:lvlJc w:val="left"/>
      <w:pPr>
        <w:ind w:left="720" w:hanging="360"/>
      </w:pPr>
      <w:rPr>
        <w:rFonts w:ascii="Symbol" w:hAnsi="Symbol"/>
      </w:rPr>
    </w:lvl>
  </w:abstractNum>
  <w:abstractNum w:abstractNumId="7"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C3528CC"/>
    <w:multiLevelType w:val="hybridMultilevel"/>
    <w:tmpl w:val="254C59A0"/>
    <w:lvl w:ilvl="0" w:tplc="0F823E4A">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C2710"/>
    <w:multiLevelType w:val="multilevel"/>
    <w:tmpl w:val="C6342BA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CE54F39"/>
    <w:multiLevelType w:val="multilevel"/>
    <w:tmpl w:val="887C9FA6"/>
    <w:lvl w:ilvl="0">
      <w:start w:val="1"/>
      <w:numFmt w:val="lowerRoman"/>
      <w:lvlText w:val="(%1)"/>
      <w:lvlJc w:val="left"/>
      <w:pPr>
        <w:tabs>
          <w:tab w:val="num" w:pos="-2814"/>
        </w:tabs>
        <w:ind w:left="-2814" w:hanging="520"/>
      </w:pPr>
      <w:rPr>
        <w:rFonts w:hint="default"/>
      </w:rPr>
    </w:lvl>
    <w:lvl w:ilvl="1">
      <w:start w:val="1"/>
      <w:numFmt w:val="decimal"/>
      <w:lvlText w:val="%1.%2."/>
      <w:lvlJc w:val="left"/>
      <w:pPr>
        <w:tabs>
          <w:tab w:val="num" w:pos="-2294"/>
        </w:tabs>
        <w:ind w:left="-2294" w:hanging="520"/>
      </w:pPr>
    </w:lvl>
    <w:lvl w:ilvl="2">
      <w:start w:val="1"/>
      <w:numFmt w:val="decimal"/>
      <w:lvlText w:val="%1.%2.%3."/>
      <w:lvlJc w:val="left"/>
      <w:pPr>
        <w:tabs>
          <w:tab w:val="num" w:pos="-1774"/>
        </w:tabs>
        <w:ind w:left="-1774" w:hanging="520"/>
      </w:pPr>
    </w:lvl>
    <w:lvl w:ilvl="3">
      <w:start w:val="1"/>
      <w:numFmt w:val="decimal"/>
      <w:lvlText w:val="(%4)"/>
      <w:lvlJc w:val="left"/>
      <w:pPr>
        <w:ind w:left="-1894" w:hanging="360"/>
      </w:pPr>
    </w:lvl>
    <w:lvl w:ilvl="4">
      <w:start w:val="1"/>
      <w:numFmt w:val="lowerLetter"/>
      <w:lvlText w:val="(%5)"/>
      <w:lvlJc w:val="left"/>
      <w:pPr>
        <w:ind w:left="-1534" w:hanging="360"/>
      </w:pPr>
    </w:lvl>
    <w:lvl w:ilvl="5">
      <w:start w:val="1"/>
      <w:numFmt w:val="lowerRoman"/>
      <w:lvlText w:val="(%6)"/>
      <w:lvlJc w:val="left"/>
      <w:pPr>
        <w:ind w:left="-1174" w:hanging="360"/>
      </w:pPr>
    </w:lvl>
    <w:lvl w:ilvl="6">
      <w:start w:val="1"/>
      <w:numFmt w:val="decimal"/>
      <w:lvlText w:val="%7."/>
      <w:lvlJc w:val="left"/>
      <w:pPr>
        <w:ind w:left="-814" w:hanging="360"/>
      </w:pPr>
    </w:lvl>
    <w:lvl w:ilvl="7">
      <w:start w:val="1"/>
      <w:numFmt w:val="lowerLetter"/>
      <w:lvlText w:val="%8."/>
      <w:lvlJc w:val="left"/>
      <w:pPr>
        <w:ind w:left="-454" w:hanging="360"/>
      </w:pPr>
    </w:lvl>
    <w:lvl w:ilvl="8">
      <w:start w:val="1"/>
      <w:numFmt w:val="lowerRoman"/>
      <w:lvlText w:val="%9."/>
      <w:lvlJc w:val="left"/>
      <w:pPr>
        <w:ind w:left="-94" w:hanging="360"/>
      </w:pPr>
    </w:lvl>
  </w:abstractNum>
  <w:abstractNum w:abstractNumId="12" w15:restartNumberingAfterBreak="0">
    <w:nsid w:val="3FD2223C"/>
    <w:multiLevelType w:val="multilevel"/>
    <w:tmpl w:val="360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43BD6"/>
    <w:multiLevelType w:val="multilevel"/>
    <w:tmpl w:val="80B2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16B45"/>
    <w:multiLevelType w:val="hybridMultilevel"/>
    <w:tmpl w:val="EC8687EC"/>
    <w:lvl w:ilvl="0" w:tplc="F2B4680A">
      <w:start w:val="1"/>
      <w:numFmt w:val="bullet"/>
      <w:lvlText w:val=""/>
      <w:lvlJc w:val="left"/>
      <w:pPr>
        <w:ind w:left="720" w:hanging="360"/>
      </w:pPr>
      <w:rPr>
        <w:rFonts w:ascii="Symbol" w:hAnsi="Symbol"/>
      </w:rPr>
    </w:lvl>
    <w:lvl w:ilvl="1" w:tplc="BA0AA5B2">
      <w:start w:val="1"/>
      <w:numFmt w:val="bullet"/>
      <w:lvlText w:val=""/>
      <w:lvlJc w:val="left"/>
      <w:pPr>
        <w:ind w:left="720" w:hanging="360"/>
      </w:pPr>
      <w:rPr>
        <w:rFonts w:ascii="Symbol" w:hAnsi="Symbol"/>
      </w:rPr>
    </w:lvl>
    <w:lvl w:ilvl="2" w:tplc="4A00674C">
      <w:start w:val="1"/>
      <w:numFmt w:val="bullet"/>
      <w:lvlText w:val=""/>
      <w:lvlJc w:val="left"/>
      <w:pPr>
        <w:ind w:left="720" w:hanging="360"/>
      </w:pPr>
      <w:rPr>
        <w:rFonts w:ascii="Symbol" w:hAnsi="Symbol"/>
      </w:rPr>
    </w:lvl>
    <w:lvl w:ilvl="3" w:tplc="6DAAA5DC">
      <w:start w:val="1"/>
      <w:numFmt w:val="bullet"/>
      <w:lvlText w:val=""/>
      <w:lvlJc w:val="left"/>
      <w:pPr>
        <w:ind w:left="720" w:hanging="360"/>
      </w:pPr>
      <w:rPr>
        <w:rFonts w:ascii="Symbol" w:hAnsi="Symbol"/>
      </w:rPr>
    </w:lvl>
    <w:lvl w:ilvl="4" w:tplc="6BB695DC">
      <w:start w:val="1"/>
      <w:numFmt w:val="bullet"/>
      <w:lvlText w:val=""/>
      <w:lvlJc w:val="left"/>
      <w:pPr>
        <w:ind w:left="720" w:hanging="360"/>
      </w:pPr>
      <w:rPr>
        <w:rFonts w:ascii="Symbol" w:hAnsi="Symbol"/>
      </w:rPr>
    </w:lvl>
    <w:lvl w:ilvl="5" w:tplc="A90E0BC6">
      <w:start w:val="1"/>
      <w:numFmt w:val="bullet"/>
      <w:lvlText w:val=""/>
      <w:lvlJc w:val="left"/>
      <w:pPr>
        <w:ind w:left="720" w:hanging="360"/>
      </w:pPr>
      <w:rPr>
        <w:rFonts w:ascii="Symbol" w:hAnsi="Symbol"/>
      </w:rPr>
    </w:lvl>
    <w:lvl w:ilvl="6" w:tplc="F5EE5EEE">
      <w:start w:val="1"/>
      <w:numFmt w:val="bullet"/>
      <w:lvlText w:val=""/>
      <w:lvlJc w:val="left"/>
      <w:pPr>
        <w:ind w:left="720" w:hanging="360"/>
      </w:pPr>
      <w:rPr>
        <w:rFonts w:ascii="Symbol" w:hAnsi="Symbol"/>
      </w:rPr>
    </w:lvl>
    <w:lvl w:ilvl="7" w:tplc="2D50DE30">
      <w:start w:val="1"/>
      <w:numFmt w:val="bullet"/>
      <w:lvlText w:val=""/>
      <w:lvlJc w:val="left"/>
      <w:pPr>
        <w:ind w:left="720" w:hanging="360"/>
      </w:pPr>
      <w:rPr>
        <w:rFonts w:ascii="Symbol" w:hAnsi="Symbol"/>
      </w:rPr>
    </w:lvl>
    <w:lvl w:ilvl="8" w:tplc="73A2A142">
      <w:start w:val="1"/>
      <w:numFmt w:val="bullet"/>
      <w:lvlText w:val=""/>
      <w:lvlJc w:val="left"/>
      <w:pPr>
        <w:ind w:left="720" w:hanging="360"/>
      </w:pPr>
      <w:rPr>
        <w:rFonts w:ascii="Symbol" w:hAnsi="Symbol"/>
      </w:rPr>
    </w:lvl>
  </w:abstractNum>
  <w:abstractNum w:abstractNumId="15" w15:restartNumberingAfterBreak="0">
    <w:nsid w:val="4A4F70BE"/>
    <w:multiLevelType w:val="multilevel"/>
    <w:tmpl w:val="887C9FA6"/>
    <w:lvl w:ilvl="0">
      <w:start w:val="1"/>
      <w:numFmt w:val="lowerRoman"/>
      <w:lvlText w:val="(%1)"/>
      <w:lvlJc w:val="left"/>
      <w:pPr>
        <w:tabs>
          <w:tab w:val="num" w:pos="-2814"/>
        </w:tabs>
        <w:ind w:left="-2814" w:hanging="520"/>
      </w:pPr>
      <w:rPr>
        <w:rFonts w:hint="default"/>
      </w:rPr>
    </w:lvl>
    <w:lvl w:ilvl="1">
      <w:start w:val="1"/>
      <w:numFmt w:val="decimal"/>
      <w:lvlText w:val="%1.%2."/>
      <w:lvlJc w:val="left"/>
      <w:pPr>
        <w:tabs>
          <w:tab w:val="num" w:pos="-2294"/>
        </w:tabs>
        <w:ind w:left="-2294" w:hanging="520"/>
      </w:pPr>
    </w:lvl>
    <w:lvl w:ilvl="2">
      <w:start w:val="1"/>
      <w:numFmt w:val="decimal"/>
      <w:lvlText w:val="%1.%2.%3."/>
      <w:lvlJc w:val="left"/>
      <w:pPr>
        <w:tabs>
          <w:tab w:val="num" w:pos="-1774"/>
        </w:tabs>
        <w:ind w:left="-1774" w:hanging="520"/>
      </w:pPr>
    </w:lvl>
    <w:lvl w:ilvl="3">
      <w:start w:val="1"/>
      <w:numFmt w:val="decimal"/>
      <w:lvlText w:val="(%4)"/>
      <w:lvlJc w:val="left"/>
      <w:pPr>
        <w:ind w:left="-1894" w:hanging="360"/>
      </w:pPr>
    </w:lvl>
    <w:lvl w:ilvl="4">
      <w:start w:val="1"/>
      <w:numFmt w:val="lowerLetter"/>
      <w:lvlText w:val="(%5)"/>
      <w:lvlJc w:val="left"/>
      <w:pPr>
        <w:ind w:left="-1534" w:hanging="360"/>
      </w:pPr>
    </w:lvl>
    <w:lvl w:ilvl="5">
      <w:start w:val="1"/>
      <w:numFmt w:val="lowerRoman"/>
      <w:lvlText w:val="(%6)"/>
      <w:lvlJc w:val="left"/>
      <w:pPr>
        <w:ind w:left="-1174" w:hanging="360"/>
      </w:pPr>
    </w:lvl>
    <w:lvl w:ilvl="6">
      <w:start w:val="1"/>
      <w:numFmt w:val="decimal"/>
      <w:lvlText w:val="%7."/>
      <w:lvlJc w:val="left"/>
      <w:pPr>
        <w:ind w:left="-814" w:hanging="360"/>
      </w:pPr>
    </w:lvl>
    <w:lvl w:ilvl="7">
      <w:start w:val="1"/>
      <w:numFmt w:val="lowerLetter"/>
      <w:lvlText w:val="%8."/>
      <w:lvlJc w:val="left"/>
      <w:pPr>
        <w:ind w:left="-454" w:hanging="360"/>
      </w:pPr>
    </w:lvl>
    <w:lvl w:ilvl="8">
      <w:start w:val="1"/>
      <w:numFmt w:val="lowerRoman"/>
      <w:lvlText w:val="%9."/>
      <w:lvlJc w:val="left"/>
      <w:pPr>
        <w:ind w:left="-94" w:hanging="360"/>
      </w:pPr>
    </w:lvl>
  </w:abstractNum>
  <w:abstractNum w:abstractNumId="16" w15:restartNumberingAfterBreak="0">
    <w:nsid w:val="50022B27"/>
    <w:multiLevelType w:val="hybridMultilevel"/>
    <w:tmpl w:val="E41468B8"/>
    <w:lvl w:ilvl="0" w:tplc="9E4E7E86">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414CCC"/>
    <w:multiLevelType w:val="multilevel"/>
    <w:tmpl w:val="C732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D6C2C"/>
    <w:multiLevelType w:val="multilevel"/>
    <w:tmpl w:val="08002E8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BC58C7"/>
    <w:multiLevelType w:val="hybridMultilevel"/>
    <w:tmpl w:val="A0EAE3C8"/>
    <w:lvl w:ilvl="0" w:tplc="359871A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6B5224"/>
    <w:multiLevelType w:val="multilevel"/>
    <w:tmpl w:val="3D88F3CC"/>
    <w:lvl w:ilvl="0">
      <w:numFmt w:val="bullet"/>
      <w:pStyle w:val="Bullet"/>
      <w:lvlText w:val="•"/>
      <w:lvlJc w:val="left"/>
      <w:pPr>
        <w:ind w:left="284" w:hanging="284"/>
      </w:pPr>
      <w:rPr>
        <w:rFonts w:ascii="Times New Roman" w:hAnsi="Times New Roman" w:cs="Times New Roman" w:hint="default"/>
        <w:color w:val="auto"/>
      </w:rPr>
    </w:lvl>
    <w:lvl w:ilvl="1">
      <w:numFmt w:val="bullet"/>
      <w:pStyle w:val="Dash"/>
      <w:lvlText w:val="–"/>
      <w:lvlJc w:val="left"/>
      <w:pPr>
        <w:ind w:left="568" w:hanging="284"/>
      </w:pPr>
      <w:rPr>
        <w:rFonts w:ascii="Times New Roman" w:hAnsi="Times New Roman" w:cs="Times New Roman" w:hint="default"/>
      </w:rPr>
    </w:lvl>
    <w:lvl w:ilvl="2">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num w:numId="1" w16cid:durableId="821580162">
    <w:abstractNumId w:val="3"/>
  </w:num>
  <w:num w:numId="2" w16cid:durableId="1921720054">
    <w:abstractNumId w:val="22"/>
  </w:num>
  <w:num w:numId="3" w16cid:durableId="104933728">
    <w:abstractNumId w:val="17"/>
  </w:num>
  <w:num w:numId="4" w16cid:durableId="965892079">
    <w:abstractNumId w:val="18"/>
  </w:num>
  <w:num w:numId="5" w16cid:durableId="1688212711">
    <w:abstractNumId w:val="7"/>
  </w:num>
  <w:num w:numId="6" w16cid:durableId="615792118">
    <w:abstractNumId w:val="0"/>
  </w:num>
  <w:num w:numId="7" w16cid:durableId="1414861554">
    <w:abstractNumId w:val="23"/>
  </w:num>
  <w:num w:numId="8" w16cid:durableId="1057095822">
    <w:abstractNumId w:val="2"/>
  </w:num>
  <w:num w:numId="9" w16cid:durableId="1911575433">
    <w:abstractNumId w:val="10"/>
  </w:num>
  <w:num w:numId="10" w16cid:durableId="961034394">
    <w:abstractNumId w:val="20"/>
  </w:num>
  <w:num w:numId="11" w16cid:durableId="49626477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2915080">
    <w:abstractNumId w:val="14"/>
  </w:num>
  <w:num w:numId="13" w16cid:durableId="2080520184">
    <w:abstractNumId w:val="5"/>
  </w:num>
  <w:num w:numId="14" w16cid:durableId="1714454265">
    <w:abstractNumId w:val="6"/>
  </w:num>
  <w:num w:numId="15" w16cid:durableId="834690233">
    <w:abstractNumId w:val="8"/>
  </w:num>
  <w:num w:numId="16" w16cid:durableId="1690989434">
    <w:abstractNumId w:val="13"/>
  </w:num>
  <w:num w:numId="17" w16cid:durableId="1922450784">
    <w:abstractNumId w:val="19"/>
  </w:num>
  <w:num w:numId="18" w16cid:durableId="1722442887">
    <w:abstractNumId w:val="12"/>
  </w:num>
  <w:num w:numId="19" w16cid:durableId="1224294467">
    <w:abstractNumId w:val="9"/>
  </w:num>
  <w:num w:numId="20" w16cid:durableId="2030255690">
    <w:abstractNumId w:val="16"/>
  </w:num>
  <w:num w:numId="21" w16cid:durableId="436096149">
    <w:abstractNumId w:val="1"/>
  </w:num>
  <w:num w:numId="22" w16cid:durableId="1940016945">
    <w:abstractNumId w:val="11"/>
  </w:num>
  <w:num w:numId="23" w16cid:durableId="56320192">
    <w:abstractNumId w:val="15"/>
  </w:num>
  <w:num w:numId="24" w16cid:durableId="431510764">
    <w:abstractNumId w:val="21"/>
  </w:num>
  <w:num w:numId="25" w16cid:durableId="945649052">
    <w:abstractNumId w:val="4"/>
  </w:num>
  <w:num w:numId="26" w16cid:durableId="546648728">
    <w:abstractNumId w:val="23"/>
  </w:num>
  <w:num w:numId="27" w16cid:durableId="1912495045">
    <w:abstractNumId w:val="23"/>
  </w:num>
  <w:num w:numId="28" w16cid:durableId="1261837548">
    <w:abstractNumId w:val="23"/>
  </w:num>
  <w:num w:numId="29" w16cid:durableId="13117370">
    <w:abstractNumId w:val="23"/>
  </w:num>
  <w:num w:numId="30" w16cid:durableId="95606213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proofState w:spelling="clean" w:grammar="clean"/>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F233F3"/>
    <w:rsid w:val="00000737"/>
    <w:rsid w:val="000017D4"/>
    <w:rsid w:val="00002964"/>
    <w:rsid w:val="0000479C"/>
    <w:rsid w:val="00005046"/>
    <w:rsid w:val="00007D0F"/>
    <w:rsid w:val="000100D2"/>
    <w:rsid w:val="00011011"/>
    <w:rsid w:val="00011747"/>
    <w:rsid w:val="00011D9E"/>
    <w:rsid w:val="00011FD4"/>
    <w:rsid w:val="00012721"/>
    <w:rsid w:val="00012A3B"/>
    <w:rsid w:val="00013E7B"/>
    <w:rsid w:val="000150C2"/>
    <w:rsid w:val="00015842"/>
    <w:rsid w:val="00016670"/>
    <w:rsid w:val="00016B6C"/>
    <w:rsid w:val="0001719B"/>
    <w:rsid w:val="00020D87"/>
    <w:rsid w:val="0002151A"/>
    <w:rsid w:val="00021EAA"/>
    <w:rsid w:val="00022520"/>
    <w:rsid w:val="0002776B"/>
    <w:rsid w:val="00030026"/>
    <w:rsid w:val="000301C9"/>
    <w:rsid w:val="000304C1"/>
    <w:rsid w:val="000331E6"/>
    <w:rsid w:val="00033942"/>
    <w:rsid w:val="00035345"/>
    <w:rsid w:val="0003553A"/>
    <w:rsid w:val="00035C85"/>
    <w:rsid w:val="00042192"/>
    <w:rsid w:val="000421F9"/>
    <w:rsid w:val="00042B4F"/>
    <w:rsid w:val="00043533"/>
    <w:rsid w:val="00043AB5"/>
    <w:rsid w:val="000440E0"/>
    <w:rsid w:val="000443C1"/>
    <w:rsid w:val="00044D3A"/>
    <w:rsid w:val="00045C24"/>
    <w:rsid w:val="0004684C"/>
    <w:rsid w:val="0004741B"/>
    <w:rsid w:val="00047520"/>
    <w:rsid w:val="00050227"/>
    <w:rsid w:val="000517E6"/>
    <w:rsid w:val="0005240F"/>
    <w:rsid w:val="00053C0E"/>
    <w:rsid w:val="000541F8"/>
    <w:rsid w:val="0005456C"/>
    <w:rsid w:val="00054823"/>
    <w:rsid w:val="000560BA"/>
    <w:rsid w:val="000569D8"/>
    <w:rsid w:val="00056C32"/>
    <w:rsid w:val="00056D8F"/>
    <w:rsid w:val="00056DF2"/>
    <w:rsid w:val="00057298"/>
    <w:rsid w:val="00060C61"/>
    <w:rsid w:val="00060C76"/>
    <w:rsid w:val="0006147A"/>
    <w:rsid w:val="00061683"/>
    <w:rsid w:val="00062598"/>
    <w:rsid w:val="000626BE"/>
    <w:rsid w:val="00062EB9"/>
    <w:rsid w:val="000634F9"/>
    <w:rsid w:val="00063FA8"/>
    <w:rsid w:val="00065F85"/>
    <w:rsid w:val="00066D6E"/>
    <w:rsid w:val="00067E65"/>
    <w:rsid w:val="00070650"/>
    <w:rsid w:val="000719A4"/>
    <w:rsid w:val="00071E1A"/>
    <w:rsid w:val="000720F4"/>
    <w:rsid w:val="00074AE4"/>
    <w:rsid w:val="000753CE"/>
    <w:rsid w:val="00077075"/>
    <w:rsid w:val="000770E1"/>
    <w:rsid w:val="00081A98"/>
    <w:rsid w:val="00081CA4"/>
    <w:rsid w:val="00082311"/>
    <w:rsid w:val="0008353C"/>
    <w:rsid w:val="00084590"/>
    <w:rsid w:val="0008506D"/>
    <w:rsid w:val="00086E8A"/>
    <w:rsid w:val="00090544"/>
    <w:rsid w:val="00090E5A"/>
    <w:rsid w:val="00091770"/>
    <w:rsid w:val="00091C73"/>
    <w:rsid w:val="0009221F"/>
    <w:rsid w:val="0009427F"/>
    <w:rsid w:val="000942CD"/>
    <w:rsid w:val="0009463E"/>
    <w:rsid w:val="0009533E"/>
    <w:rsid w:val="00095A96"/>
    <w:rsid w:val="00096297"/>
    <w:rsid w:val="000967FF"/>
    <w:rsid w:val="00097204"/>
    <w:rsid w:val="000978C8"/>
    <w:rsid w:val="000A0B06"/>
    <w:rsid w:val="000A18CF"/>
    <w:rsid w:val="000A3546"/>
    <w:rsid w:val="000A390C"/>
    <w:rsid w:val="000A4603"/>
    <w:rsid w:val="000A4D2D"/>
    <w:rsid w:val="000A6A22"/>
    <w:rsid w:val="000A7022"/>
    <w:rsid w:val="000B0109"/>
    <w:rsid w:val="000B16D6"/>
    <w:rsid w:val="000B1EC3"/>
    <w:rsid w:val="000B1F75"/>
    <w:rsid w:val="000B20F7"/>
    <w:rsid w:val="000B3C90"/>
    <w:rsid w:val="000B41A9"/>
    <w:rsid w:val="000B4267"/>
    <w:rsid w:val="000B4865"/>
    <w:rsid w:val="000B59AD"/>
    <w:rsid w:val="000B5D35"/>
    <w:rsid w:val="000B7927"/>
    <w:rsid w:val="000B7D01"/>
    <w:rsid w:val="000C02C9"/>
    <w:rsid w:val="000C0AA4"/>
    <w:rsid w:val="000C1A51"/>
    <w:rsid w:val="000C1ECE"/>
    <w:rsid w:val="000C3915"/>
    <w:rsid w:val="000C5856"/>
    <w:rsid w:val="000C7CC3"/>
    <w:rsid w:val="000D0316"/>
    <w:rsid w:val="000D1D72"/>
    <w:rsid w:val="000D24D9"/>
    <w:rsid w:val="000D33F2"/>
    <w:rsid w:val="000D57A2"/>
    <w:rsid w:val="000D593C"/>
    <w:rsid w:val="000D64A7"/>
    <w:rsid w:val="000D65B3"/>
    <w:rsid w:val="000D6851"/>
    <w:rsid w:val="000D7D2F"/>
    <w:rsid w:val="000E324C"/>
    <w:rsid w:val="000E3852"/>
    <w:rsid w:val="000E531C"/>
    <w:rsid w:val="000E63BF"/>
    <w:rsid w:val="000E7405"/>
    <w:rsid w:val="000F0632"/>
    <w:rsid w:val="000F1DCC"/>
    <w:rsid w:val="000F2493"/>
    <w:rsid w:val="000F2562"/>
    <w:rsid w:val="000F2CA0"/>
    <w:rsid w:val="000F33C9"/>
    <w:rsid w:val="000F50FD"/>
    <w:rsid w:val="000F6678"/>
    <w:rsid w:val="000F6DA7"/>
    <w:rsid w:val="000F747C"/>
    <w:rsid w:val="000F7A28"/>
    <w:rsid w:val="00102238"/>
    <w:rsid w:val="00102846"/>
    <w:rsid w:val="0010382E"/>
    <w:rsid w:val="00103E5A"/>
    <w:rsid w:val="0010506D"/>
    <w:rsid w:val="00105306"/>
    <w:rsid w:val="00105D7C"/>
    <w:rsid w:val="00105EBE"/>
    <w:rsid w:val="00106516"/>
    <w:rsid w:val="001069C1"/>
    <w:rsid w:val="00106A66"/>
    <w:rsid w:val="00106AD3"/>
    <w:rsid w:val="00110632"/>
    <w:rsid w:val="00110994"/>
    <w:rsid w:val="00111321"/>
    <w:rsid w:val="00111D16"/>
    <w:rsid w:val="00113F3D"/>
    <w:rsid w:val="0011423F"/>
    <w:rsid w:val="001145FD"/>
    <w:rsid w:val="00114993"/>
    <w:rsid w:val="00115B2E"/>
    <w:rsid w:val="0011628E"/>
    <w:rsid w:val="00116662"/>
    <w:rsid w:val="0011666A"/>
    <w:rsid w:val="00117CAB"/>
    <w:rsid w:val="00123298"/>
    <w:rsid w:val="0012418A"/>
    <w:rsid w:val="0012424F"/>
    <w:rsid w:val="00125D18"/>
    <w:rsid w:val="00126492"/>
    <w:rsid w:val="00126A54"/>
    <w:rsid w:val="00130FAC"/>
    <w:rsid w:val="0013199E"/>
    <w:rsid w:val="0013257E"/>
    <w:rsid w:val="001327FB"/>
    <w:rsid w:val="00132B2F"/>
    <w:rsid w:val="001335B5"/>
    <w:rsid w:val="00133660"/>
    <w:rsid w:val="001348DB"/>
    <w:rsid w:val="001363E7"/>
    <w:rsid w:val="0013682A"/>
    <w:rsid w:val="00136B01"/>
    <w:rsid w:val="00136E84"/>
    <w:rsid w:val="0013713D"/>
    <w:rsid w:val="001376CC"/>
    <w:rsid w:val="00137719"/>
    <w:rsid w:val="00140697"/>
    <w:rsid w:val="0014178A"/>
    <w:rsid w:val="0014198E"/>
    <w:rsid w:val="00142588"/>
    <w:rsid w:val="00142A65"/>
    <w:rsid w:val="00142E08"/>
    <w:rsid w:val="00144604"/>
    <w:rsid w:val="00144B84"/>
    <w:rsid w:val="00144B87"/>
    <w:rsid w:val="001451FC"/>
    <w:rsid w:val="00146835"/>
    <w:rsid w:val="00147EF9"/>
    <w:rsid w:val="00150145"/>
    <w:rsid w:val="00152ADE"/>
    <w:rsid w:val="0015341C"/>
    <w:rsid w:val="001543DD"/>
    <w:rsid w:val="001548D9"/>
    <w:rsid w:val="001550B6"/>
    <w:rsid w:val="00155587"/>
    <w:rsid w:val="00155853"/>
    <w:rsid w:val="00155D07"/>
    <w:rsid w:val="001603CC"/>
    <w:rsid w:val="0016080F"/>
    <w:rsid w:val="00160FDE"/>
    <w:rsid w:val="00161636"/>
    <w:rsid w:val="001627BD"/>
    <w:rsid w:val="00162835"/>
    <w:rsid w:val="00162B3B"/>
    <w:rsid w:val="0016504B"/>
    <w:rsid w:val="00165194"/>
    <w:rsid w:val="0016678C"/>
    <w:rsid w:val="00166A45"/>
    <w:rsid w:val="00167243"/>
    <w:rsid w:val="0017028D"/>
    <w:rsid w:val="0017367C"/>
    <w:rsid w:val="0017379F"/>
    <w:rsid w:val="0017434F"/>
    <w:rsid w:val="00174954"/>
    <w:rsid w:val="001756BB"/>
    <w:rsid w:val="00175822"/>
    <w:rsid w:val="00175BEE"/>
    <w:rsid w:val="00175F2F"/>
    <w:rsid w:val="00177E30"/>
    <w:rsid w:val="0018013C"/>
    <w:rsid w:val="001819A9"/>
    <w:rsid w:val="00181DE0"/>
    <w:rsid w:val="0018210A"/>
    <w:rsid w:val="00182DC8"/>
    <w:rsid w:val="00182E9E"/>
    <w:rsid w:val="00182FD8"/>
    <w:rsid w:val="00183F40"/>
    <w:rsid w:val="00184838"/>
    <w:rsid w:val="00184BE8"/>
    <w:rsid w:val="00185D2E"/>
    <w:rsid w:val="0018655A"/>
    <w:rsid w:val="001866A3"/>
    <w:rsid w:val="00190289"/>
    <w:rsid w:val="00190CD3"/>
    <w:rsid w:val="00190D7B"/>
    <w:rsid w:val="00191B31"/>
    <w:rsid w:val="00191B37"/>
    <w:rsid w:val="00191CCE"/>
    <w:rsid w:val="00191D00"/>
    <w:rsid w:val="001922A2"/>
    <w:rsid w:val="00192367"/>
    <w:rsid w:val="001929C3"/>
    <w:rsid w:val="001929D8"/>
    <w:rsid w:val="00192DEB"/>
    <w:rsid w:val="001940D9"/>
    <w:rsid w:val="00194D81"/>
    <w:rsid w:val="00197414"/>
    <w:rsid w:val="001979AC"/>
    <w:rsid w:val="001A1180"/>
    <w:rsid w:val="001A11FF"/>
    <w:rsid w:val="001A1B2E"/>
    <w:rsid w:val="001A3B9E"/>
    <w:rsid w:val="001A3BA8"/>
    <w:rsid w:val="001A3F08"/>
    <w:rsid w:val="001A5155"/>
    <w:rsid w:val="001A5890"/>
    <w:rsid w:val="001A5DCC"/>
    <w:rsid w:val="001A6331"/>
    <w:rsid w:val="001A653E"/>
    <w:rsid w:val="001A6C6F"/>
    <w:rsid w:val="001B0759"/>
    <w:rsid w:val="001B2F62"/>
    <w:rsid w:val="001B3A29"/>
    <w:rsid w:val="001B483A"/>
    <w:rsid w:val="001B4B13"/>
    <w:rsid w:val="001B540E"/>
    <w:rsid w:val="001B7ABC"/>
    <w:rsid w:val="001B7BED"/>
    <w:rsid w:val="001B7F53"/>
    <w:rsid w:val="001C008F"/>
    <w:rsid w:val="001C0E2A"/>
    <w:rsid w:val="001C1EBD"/>
    <w:rsid w:val="001C26FD"/>
    <w:rsid w:val="001C385E"/>
    <w:rsid w:val="001C3B26"/>
    <w:rsid w:val="001C3DE8"/>
    <w:rsid w:val="001C5117"/>
    <w:rsid w:val="001C59C5"/>
    <w:rsid w:val="001C78AE"/>
    <w:rsid w:val="001D1002"/>
    <w:rsid w:val="001D4133"/>
    <w:rsid w:val="001D44F4"/>
    <w:rsid w:val="001D45A4"/>
    <w:rsid w:val="001D5600"/>
    <w:rsid w:val="001D666E"/>
    <w:rsid w:val="001D66C0"/>
    <w:rsid w:val="001D6EAF"/>
    <w:rsid w:val="001D6EE6"/>
    <w:rsid w:val="001E0249"/>
    <w:rsid w:val="001E03F7"/>
    <w:rsid w:val="001E0BE1"/>
    <w:rsid w:val="001E20DD"/>
    <w:rsid w:val="001E2CE9"/>
    <w:rsid w:val="001E3210"/>
    <w:rsid w:val="001E4D90"/>
    <w:rsid w:val="001E50C0"/>
    <w:rsid w:val="001E54B6"/>
    <w:rsid w:val="001E5623"/>
    <w:rsid w:val="001E57A0"/>
    <w:rsid w:val="001E6DC2"/>
    <w:rsid w:val="001E7840"/>
    <w:rsid w:val="001E7CF5"/>
    <w:rsid w:val="001F0076"/>
    <w:rsid w:val="001F1312"/>
    <w:rsid w:val="001F2A84"/>
    <w:rsid w:val="001F4885"/>
    <w:rsid w:val="001F50DA"/>
    <w:rsid w:val="001F78A2"/>
    <w:rsid w:val="001F7A5F"/>
    <w:rsid w:val="001F7EC3"/>
    <w:rsid w:val="00200A05"/>
    <w:rsid w:val="002013CF"/>
    <w:rsid w:val="0020142F"/>
    <w:rsid w:val="00203245"/>
    <w:rsid w:val="0020363B"/>
    <w:rsid w:val="002038EF"/>
    <w:rsid w:val="00205362"/>
    <w:rsid w:val="00205D42"/>
    <w:rsid w:val="00205F44"/>
    <w:rsid w:val="0020693E"/>
    <w:rsid w:val="002074A7"/>
    <w:rsid w:val="00207694"/>
    <w:rsid w:val="00207C7F"/>
    <w:rsid w:val="002105F8"/>
    <w:rsid w:val="00210FBC"/>
    <w:rsid w:val="00211B76"/>
    <w:rsid w:val="0021243B"/>
    <w:rsid w:val="00213A9A"/>
    <w:rsid w:val="00215EE7"/>
    <w:rsid w:val="002161BC"/>
    <w:rsid w:val="00220574"/>
    <w:rsid w:val="00221D83"/>
    <w:rsid w:val="00221F10"/>
    <w:rsid w:val="00222457"/>
    <w:rsid w:val="00223792"/>
    <w:rsid w:val="00223D87"/>
    <w:rsid w:val="002244E0"/>
    <w:rsid w:val="00225376"/>
    <w:rsid w:val="0022546E"/>
    <w:rsid w:val="002268AB"/>
    <w:rsid w:val="00226F00"/>
    <w:rsid w:val="0022749C"/>
    <w:rsid w:val="00227C77"/>
    <w:rsid w:val="00231A44"/>
    <w:rsid w:val="00233887"/>
    <w:rsid w:val="00233A88"/>
    <w:rsid w:val="00234696"/>
    <w:rsid w:val="002358A1"/>
    <w:rsid w:val="00236878"/>
    <w:rsid w:val="00240AE4"/>
    <w:rsid w:val="002417A5"/>
    <w:rsid w:val="0024182E"/>
    <w:rsid w:val="00241B9A"/>
    <w:rsid w:val="0024226F"/>
    <w:rsid w:val="002422CE"/>
    <w:rsid w:val="002428D7"/>
    <w:rsid w:val="00243B74"/>
    <w:rsid w:val="0024483E"/>
    <w:rsid w:val="00245342"/>
    <w:rsid w:val="002460BF"/>
    <w:rsid w:val="002462BD"/>
    <w:rsid w:val="00246E35"/>
    <w:rsid w:val="00247150"/>
    <w:rsid w:val="002511CA"/>
    <w:rsid w:val="002512EC"/>
    <w:rsid w:val="002519A0"/>
    <w:rsid w:val="00251F62"/>
    <w:rsid w:val="00252A5F"/>
    <w:rsid w:val="00253C39"/>
    <w:rsid w:val="00253E14"/>
    <w:rsid w:val="00255457"/>
    <w:rsid w:val="0025597C"/>
    <w:rsid w:val="00256A50"/>
    <w:rsid w:val="00256A6A"/>
    <w:rsid w:val="00256D36"/>
    <w:rsid w:val="00256E15"/>
    <w:rsid w:val="002573C6"/>
    <w:rsid w:val="002578B5"/>
    <w:rsid w:val="00260255"/>
    <w:rsid w:val="0026033A"/>
    <w:rsid w:val="0026034A"/>
    <w:rsid w:val="00260712"/>
    <w:rsid w:val="0026172A"/>
    <w:rsid w:val="002618CF"/>
    <w:rsid w:val="00262841"/>
    <w:rsid w:val="00263053"/>
    <w:rsid w:val="00263339"/>
    <w:rsid w:val="00263EC9"/>
    <w:rsid w:val="002647CF"/>
    <w:rsid w:val="00264A52"/>
    <w:rsid w:val="00264AD4"/>
    <w:rsid w:val="00264F1E"/>
    <w:rsid w:val="00265C55"/>
    <w:rsid w:val="00265D55"/>
    <w:rsid w:val="002666B8"/>
    <w:rsid w:val="00266BCC"/>
    <w:rsid w:val="00267AC2"/>
    <w:rsid w:val="00267B22"/>
    <w:rsid w:val="00270E6D"/>
    <w:rsid w:val="00271BF5"/>
    <w:rsid w:val="0027212F"/>
    <w:rsid w:val="00273973"/>
    <w:rsid w:val="002743AC"/>
    <w:rsid w:val="00274BC0"/>
    <w:rsid w:val="002756A2"/>
    <w:rsid w:val="00277495"/>
    <w:rsid w:val="002809F6"/>
    <w:rsid w:val="00280A8A"/>
    <w:rsid w:val="00280C48"/>
    <w:rsid w:val="00280DC3"/>
    <w:rsid w:val="00281E0F"/>
    <w:rsid w:val="00283303"/>
    <w:rsid w:val="0028429E"/>
    <w:rsid w:val="00286A18"/>
    <w:rsid w:val="00286CE1"/>
    <w:rsid w:val="002871EC"/>
    <w:rsid w:val="00287F32"/>
    <w:rsid w:val="0029134D"/>
    <w:rsid w:val="00291D67"/>
    <w:rsid w:val="00293116"/>
    <w:rsid w:val="00293267"/>
    <w:rsid w:val="00293E51"/>
    <w:rsid w:val="00294280"/>
    <w:rsid w:val="00295B96"/>
    <w:rsid w:val="002978C8"/>
    <w:rsid w:val="00297FCD"/>
    <w:rsid w:val="002A0B32"/>
    <w:rsid w:val="002A11A2"/>
    <w:rsid w:val="002A1202"/>
    <w:rsid w:val="002A4B83"/>
    <w:rsid w:val="002A53EE"/>
    <w:rsid w:val="002A5D07"/>
    <w:rsid w:val="002A6271"/>
    <w:rsid w:val="002A6430"/>
    <w:rsid w:val="002A6888"/>
    <w:rsid w:val="002A79C5"/>
    <w:rsid w:val="002B0E01"/>
    <w:rsid w:val="002B0F1D"/>
    <w:rsid w:val="002B184F"/>
    <w:rsid w:val="002B1C48"/>
    <w:rsid w:val="002B1E9D"/>
    <w:rsid w:val="002B2954"/>
    <w:rsid w:val="002B2E3F"/>
    <w:rsid w:val="002B657E"/>
    <w:rsid w:val="002B6924"/>
    <w:rsid w:val="002B6B66"/>
    <w:rsid w:val="002C0D16"/>
    <w:rsid w:val="002C0FCB"/>
    <w:rsid w:val="002C2286"/>
    <w:rsid w:val="002C24E1"/>
    <w:rsid w:val="002C26D9"/>
    <w:rsid w:val="002C2EF5"/>
    <w:rsid w:val="002C47EC"/>
    <w:rsid w:val="002C544A"/>
    <w:rsid w:val="002C58E3"/>
    <w:rsid w:val="002C7AE3"/>
    <w:rsid w:val="002C7B91"/>
    <w:rsid w:val="002D31EA"/>
    <w:rsid w:val="002D49D1"/>
    <w:rsid w:val="002D7AD8"/>
    <w:rsid w:val="002E05EB"/>
    <w:rsid w:val="002E22AF"/>
    <w:rsid w:val="002E2AA9"/>
    <w:rsid w:val="002E44B0"/>
    <w:rsid w:val="002E51B3"/>
    <w:rsid w:val="002E5542"/>
    <w:rsid w:val="002E6309"/>
    <w:rsid w:val="002E67B6"/>
    <w:rsid w:val="002E6CE6"/>
    <w:rsid w:val="002E7445"/>
    <w:rsid w:val="002F0AAA"/>
    <w:rsid w:val="002F1F45"/>
    <w:rsid w:val="002F417B"/>
    <w:rsid w:val="002F5341"/>
    <w:rsid w:val="002F57FB"/>
    <w:rsid w:val="002F6ADC"/>
    <w:rsid w:val="002F7213"/>
    <w:rsid w:val="00300C95"/>
    <w:rsid w:val="00300E3F"/>
    <w:rsid w:val="003011F9"/>
    <w:rsid w:val="00301368"/>
    <w:rsid w:val="00302CFB"/>
    <w:rsid w:val="003054A8"/>
    <w:rsid w:val="00306770"/>
    <w:rsid w:val="00307DA3"/>
    <w:rsid w:val="00311216"/>
    <w:rsid w:val="00311744"/>
    <w:rsid w:val="003126DF"/>
    <w:rsid w:val="00312E4A"/>
    <w:rsid w:val="00313126"/>
    <w:rsid w:val="00314D5E"/>
    <w:rsid w:val="00314E37"/>
    <w:rsid w:val="00315269"/>
    <w:rsid w:val="00317B4B"/>
    <w:rsid w:val="0032207C"/>
    <w:rsid w:val="003229F1"/>
    <w:rsid w:val="00322D84"/>
    <w:rsid w:val="00323621"/>
    <w:rsid w:val="00323BC6"/>
    <w:rsid w:val="00324242"/>
    <w:rsid w:val="00326503"/>
    <w:rsid w:val="00327D31"/>
    <w:rsid w:val="003305CA"/>
    <w:rsid w:val="003312CD"/>
    <w:rsid w:val="0033168C"/>
    <w:rsid w:val="003317B3"/>
    <w:rsid w:val="00331C13"/>
    <w:rsid w:val="003327A1"/>
    <w:rsid w:val="00332B95"/>
    <w:rsid w:val="003349C4"/>
    <w:rsid w:val="00335645"/>
    <w:rsid w:val="00336122"/>
    <w:rsid w:val="003365A2"/>
    <w:rsid w:val="0033686E"/>
    <w:rsid w:val="00336C37"/>
    <w:rsid w:val="003374AA"/>
    <w:rsid w:val="0034064A"/>
    <w:rsid w:val="00340C8B"/>
    <w:rsid w:val="00340DE9"/>
    <w:rsid w:val="00340FAE"/>
    <w:rsid w:val="003413E8"/>
    <w:rsid w:val="0034171D"/>
    <w:rsid w:val="00341EB7"/>
    <w:rsid w:val="00342181"/>
    <w:rsid w:val="0034230E"/>
    <w:rsid w:val="00342340"/>
    <w:rsid w:val="0034368A"/>
    <w:rsid w:val="00344C3F"/>
    <w:rsid w:val="0034547F"/>
    <w:rsid w:val="003454A3"/>
    <w:rsid w:val="0034564D"/>
    <w:rsid w:val="00346A22"/>
    <w:rsid w:val="00347D62"/>
    <w:rsid w:val="00347E38"/>
    <w:rsid w:val="0035098D"/>
    <w:rsid w:val="00353062"/>
    <w:rsid w:val="003531F5"/>
    <w:rsid w:val="00353390"/>
    <w:rsid w:val="00353FAB"/>
    <w:rsid w:val="00354E67"/>
    <w:rsid w:val="00354E99"/>
    <w:rsid w:val="0035629E"/>
    <w:rsid w:val="00356663"/>
    <w:rsid w:val="003569FD"/>
    <w:rsid w:val="00356D93"/>
    <w:rsid w:val="0035712E"/>
    <w:rsid w:val="00357842"/>
    <w:rsid w:val="00361A52"/>
    <w:rsid w:val="003630BC"/>
    <w:rsid w:val="00363142"/>
    <w:rsid w:val="00364C23"/>
    <w:rsid w:val="00365410"/>
    <w:rsid w:val="003661B3"/>
    <w:rsid w:val="00366DE1"/>
    <w:rsid w:val="00367FDF"/>
    <w:rsid w:val="00370707"/>
    <w:rsid w:val="00370D44"/>
    <w:rsid w:val="00371F3E"/>
    <w:rsid w:val="00371FDB"/>
    <w:rsid w:val="00372AC1"/>
    <w:rsid w:val="003745FE"/>
    <w:rsid w:val="00376486"/>
    <w:rsid w:val="00380063"/>
    <w:rsid w:val="003802F4"/>
    <w:rsid w:val="00381925"/>
    <w:rsid w:val="00382F36"/>
    <w:rsid w:val="003831AB"/>
    <w:rsid w:val="00383CCC"/>
    <w:rsid w:val="00383CF2"/>
    <w:rsid w:val="00383D96"/>
    <w:rsid w:val="00384150"/>
    <w:rsid w:val="0038473E"/>
    <w:rsid w:val="003861B0"/>
    <w:rsid w:val="0038651C"/>
    <w:rsid w:val="00390C06"/>
    <w:rsid w:val="00391D93"/>
    <w:rsid w:val="00392E85"/>
    <w:rsid w:val="00392EFA"/>
    <w:rsid w:val="00394218"/>
    <w:rsid w:val="00394F73"/>
    <w:rsid w:val="0039528D"/>
    <w:rsid w:val="00395D27"/>
    <w:rsid w:val="00395FE2"/>
    <w:rsid w:val="003964E8"/>
    <w:rsid w:val="0039661A"/>
    <w:rsid w:val="00397245"/>
    <w:rsid w:val="00397D27"/>
    <w:rsid w:val="003A1DE7"/>
    <w:rsid w:val="003A2B47"/>
    <w:rsid w:val="003A3C65"/>
    <w:rsid w:val="003A5003"/>
    <w:rsid w:val="003A54C9"/>
    <w:rsid w:val="003A5ACC"/>
    <w:rsid w:val="003A63D1"/>
    <w:rsid w:val="003A694E"/>
    <w:rsid w:val="003A708E"/>
    <w:rsid w:val="003A768E"/>
    <w:rsid w:val="003B171A"/>
    <w:rsid w:val="003B25DC"/>
    <w:rsid w:val="003B2DF2"/>
    <w:rsid w:val="003B3A43"/>
    <w:rsid w:val="003B4065"/>
    <w:rsid w:val="003B478D"/>
    <w:rsid w:val="003B4CA2"/>
    <w:rsid w:val="003B4D4F"/>
    <w:rsid w:val="003B57E9"/>
    <w:rsid w:val="003B5CD7"/>
    <w:rsid w:val="003B5F2A"/>
    <w:rsid w:val="003B617D"/>
    <w:rsid w:val="003B6192"/>
    <w:rsid w:val="003B68F4"/>
    <w:rsid w:val="003C0206"/>
    <w:rsid w:val="003C047D"/>
    <w:rsid w:val="003C156C"/>
    <w:rsid w:val="003C19D7"/>
    <w:rsid w:val="003C1FA8"/>
    <w:rsid w:val="003C2A98"/>
    <w:rsid w:val="003C2B3F"/>
    <w:rsid w:val="003C4F86"/>
    <w:rsid w:val="003C5C8D"/>
    <w:rsid w:val="003C77FC"/>
    <w:rsid w:val="003C781F"/>
    <w:rsid w:val="003C789B"/>
    <w:rsid w:val="003D00AA"/>
    <w:rsid w:val="003D2446"/>
    <w:rsid w:val="003D2F9D"/>
    <w:rsid w:val="003D4AB7"/>
    <w:rsid w:val="003D4DE3"/>
    <w:rsid w:val="003E1325"/>
    <w:rsid w:val="003E1FD6"/>
    <w:rsid w:val="003E214A"/>
    <w:rsid w:val="003E2533"/>
    <w:rsid w:val="003E26C5"/>
    <w:rsid w:val="003E38C7"/>
    <w:rsid w:val="003E4990"/>
    <w:rsid w:val="003E5BF8"/>
    <w:rsid w:val="003E7146"/>
    <w:rsid w:val="003E7800"/>
    <w:rsid w:val="003F15B0"/>
    <w:rsid w:val="003F20CE"/>
    <w:rsid w:val="003F2B66"/>
    <w:rsid w:val="003F2E2F"/>
    <w:rsid w:val="003F424B"/>
    <w:rsid w:val="003F5106"/>
    <w:rsid w:val="0040085A"/>
    <w:rsid w:val="004014FA"/>
    <w:rsid w:val="0040168B"/>
    <w:rsid w:val="0040184C"/>
    <w:rsid w:val="004022DF"/>
    <w:rsid w:val="00402D8A"/>
    <w:rsid w:val="00404C20"/>
    <w:rsid w:val="004054E3"/>
    <w:rsid w:val="00406AF1"/>
    <w:rsid w:val="00406E27"/>
    <w:rsid w:val="00407DD5"/>
    <w:rsid w:val="00410079"/>
    <w:rsid w:val="00411043"/>
    <w:rsid w:val="004114F9"/>
    <w:rsid w:val="0041400F"/>
    <w:rsid w:val="00415E47"/>
    <w:rsid w:val="00421B09"/>
    <w:rsid w:val="0042216E"/>
    <w:rsid w:val="0042287E"/>
    <w:rsid w:val="00422E53"/>
    <w:rsid w:val="00423117"/>
    <w:rsid w:val="004237CA"/>
    <w:rsid w:val="0042394E"/>
    <w:rsid w:val="00423C6D"/>
    <w:rsid w:val="00425228"/>
    <w:rsid w:val="004258C2"/>
    <w:rsid w:val="00425C3F"/>
    <w:rsid w:val="00425E05"/>
    <w:rsid w:val="0042603E"/>
    <w:rsid w:val="00427845"/>
    <w:rsid w:val="00427DFA"/>
    <w:rsid w:val="00431575"/>
    <w:rsid w:val="004315BD"/>
    <w:rsid w:val="00431FC1"/>
    <w:rsid w:val="0043443E"/>
    <w:rsid w:val="00434E03"/>
    <w:rsid w:val="0043514D"/>
    <w:rsid w:val="004358BE"/>
    <w:rsid w:val="004362E8"/>
    <w:rsid w:val="004377A9"/>
    <w:rsid w:val="00437A3A"/>
    <w:rsid w:val="00437DAD"/>
    <w:rsid w:val="00441BF0"/>
    <w:rsid w:val="00442381"/>
    <w:rsid w:val="00442C7E"/>
    <w:rsid w:val="00443E63"/>
    <w:rsid w:val="00444AAD"/>
    <w:rsid w:val="00444F0A"/>
    <w:rsid w:val="00445927"/>
    <w:rsid w:val="00446E6B"/>
    <w:rsid w:val="0044771F"/>
    <w:rsid w:val="0045074D"/>
    <w:rsid w:val="00450793"/>
    <w:rsid w:val="00450C2A"/>
    <w:rsid w:val="00450CCE"/>
    <w:rsid w:val="0045151E"/>
    <w:rsid w:val="00452851"/>
    <w:rsid w:val="004531DE"/>
    <w:rsid w:val="004542B7"/>
    <w:rsid w:val="004546DC"/>
    <w:rsid w:val="0045597E"/>
    <w:rsid w:val="00455D60"/>
    <w:rsid w:val="00455EED"/>
    <w:rsid w:val="00457B13"/>
    <w:rsid w:val="00462578"/>
    <w:rsid w:val="00462767"/>
    <w:rsid w:val="0046350B"/>
    <w:rsid w:val="00463D4E"/>
    <w:rsid w:val="004651DC"/>
    <w:rsid w:val="004664B1"/>
    <w:rsid w:val="004700FE"/>
    <w:rsid w:val="00470B94"/>
    <w:rsid w:val="00470BA0"/>
    <w:rsid w:val="00472263"/>
    <w:rsid w:val="004724F9"/>
    <w:rsid w:val="00472FCB"/>
    <w:rsid w:val="004736C5"/>
    <w:rsid w:val="0047422A"/>
    <w:rsid w:val="00474DBA"/>
    <w:rsid w:val="0047507F"/>
    <w:rsid w:val="0047529F"/>
    <w:rsid w:val="00475E67"/>
    <w:rsid w:val="00476490"/>
    <w:rsid w:val="00477439"/>
    <w:rsid w:val="00477853"/>
    <w:rsid w:val="004804F3"/>
    <w:rsid w:val="00482C45"/>
    <w:rsid w:val="00483A98"/>
    <w:rsid w:val="004841D1"/>
    <w:rsid w:val="00485A3D"/>
    <w:rsid w:val="00486B7C"/>
    <w:rsid w:val="00486D72"/>
    <w:rsid w:val="0048704A"/>
    <w:rsid w:val="0048704E"/>
    <w:rsid w:val="004871C9"/>
    <w:rsid w:val="00487AA0"/>
    <w:rsid w:val="00490C62"/>
    <w:rsid w:val="00491835"/>
    <w:rsid w:val="00493D79"/>
    <w:rsid w:val="00494032"/>
    <w:rsid w:val="00494161"/>
    <w:rsid w:val="004944E0"/>
    <w:rsid w:val="00494BFC"/>
    <w:rsid w:val="00494CE2"/>
    <w:rsid w:val="00495775"/>
    <w:rsid w:val="00495AEB"/>
    <w:rsid w:val="00496111"/>
    <w:rsid w:val="00496135"/>
    <w:rsid w:val="0049624A"/>
    <w:rsid w:val="004964C4"/>
    <w:rsid w:val="0049673E"/>
    <w:rsid w:val="00496C34"/>
    <w:rsid w:val="00497CE4"/>
    <w:rsid w:val="004A1FA2"/>
    <w:rsid w:val="004A2AFD"/>
    <w:rsid w:val="004A377B"/>
    <w:rsid w:val="004A37EA"/>
    <w:rsid w:val="004A3860"/>
    <w:rsid w:val="004A402B"/>
    <w:rsid w:val="004A4424"/>
    <w:rsid w:val="004A479F"/>
    <w:rsid w:val="004A4853"/>
    <w:rsid w:val="004A5151"/>
    <w:rsid w:val="004A5767"/>
    <w:rsid w:val="004A5E7D"/>
    <w:rsid w:val="004A685F"/>
    <w:rsid w:val="004B08DC"/>
    <w:rsid w:val="004B0FD1"/>
    <w:rsid w:val="004B1F82"/>
    <w:rsid w:val="004B3B3A"/>
    <w:rsid w:val="004B3D1C"/>
    <w:rsid w:val="004B426E"/>
    <w:rsid w:val="004B446E"/>
    <w:rsid w:val="004B4C2E"/>
    <w:rsid w:val="004B56B0"/>
    <w:rsid w:val="004B77B6"/>
    <w:rsid w:val="004B7BF3"/>
    <w:rsid w:val="004B7EBB"/>
    <w:rsid w:val="004C11F7"/>
    <w:rsid w:val="004C2B34"/>
    <w:rsid w:val="004C328F"/>
    <w:rsid w:val="004C3B18"/>
    <w:rsid w:val="004C5093"/>
    <w:rsid w:val="004C52CE"/>
    <w:rsid w:val="004C54B6"/>
    <w:rsid w:val="004C576B"/>
    <w:rsid w:val="004C5917"/>
    <w:rsid w:val="004C5A62"/>
    <w:rsid w:val="004C5E48"/>
    <w:rsid w:val="004C6158"/>
    <w:rsid w:val="004C6A5E"/>
    <w:rsid w:val="004C6D00"/>
    <w:rsid w:val="004D0342"/>
    <w:rsid w:val="004D05D8"/>
    <w:rsid w:val="004D0778"/>
    <w:rsid w:val="004D08E7"/>
    <w:rsid w:val="004D1A11"/>
    <w:rsid w:val="004D240B"/>
    <w:rsid w:val="004D3135"/>
    <w:rsid w:val="004D438B"/>
    <w:rsid w:val="004D75F6"/>
    <w:rsid w:val="004D7BC6"/>
    <w:rsid w:val="004E00A7"/>
    <w:rsid w:val="004E07B5"/>
    <w:rsid w:val="004E15A0"/>
    <w:rsid w:val="004E4032"/>
    <w:rsid w:val="004E424B"/>
    <w:rsid w:val="004E66EB"/>
    <w:rsid w:val="004E71FE"/>
    <w:rsid w:val="004F069F"/>
    <w:rsid w:val="004F0A67"/>
    <w:rsid w:val="004F0F9A"/>
    <w:rsid w:val="004F1878"/>
    <w:rsid w:val="004F1B92"/>
    <w:rsid w:val="004F21D5"/>
    <w:rsid w:val="004F24D0"/>
    <w:rsid w:val="004F3078"/>
    <w:rsid w:val="004F3278"/>
    <w:rsid w:val="004F3435"/>
    <w:rsid w:val="004F3815"/>
    <w:rsid w:val="004F4103"/>
    <w:rsid w:val="004F48EA"/>
    <w:rsid w:val="004F5D89"/>
    <w:rsid w:val="004F6A51"/>
    <w:rsid w:val="0050093E"/>
    <w:rsid w:val="005009AF"/>
    <w:rsid w:val="00501F69"/>
    <w:rsid w:val="00502657"/>
    <w:rsid w:val="005027AB"/>
    <w:rsid w:val="00502E10"/>
    <w:rsid w:val="00502EFF"/>
    <w:rsid w:val="00505009"/>
    <w:rsid w:val="0050544D"/>
    <w:rsid w:val="00506BF4"/>
    <w:rsid w:val="00507097"/>
    <w:rsid w:val="00507379"/>
    <w:rsid w:val="0050745A"/>
    <w:rsid w:val="00507F57"/>
    <w:rsid w:val="005110B2"/>
    <w:rsid w:val="00511C5B"/>
    <w:rsid w:val="00511C6B"/>
    <w:rsid w:val="00512E2B"/>
    <w:rsid w:val="005134B1"/>
    <w:rsid w:val="00513508"/>
    <w:rsid w:val="005139F1"/>
    <w:rsid w:val="00513B58"/>
    <w:rsid w:val="005146F0"/>
    <w:rsid w:val="0051600D"/>
    <w:rsid w:val="00516037"/>
    <w:rsid w:val="00516FB2"/>
    <w:rsid w:val="00517481"/>
    <w:rsid w:val="0051763B"/>
    <w:rsid w:val="005205EC"/>
    <w:rsid w:val="00521688"/>
    <w:rsid w:val="00522C47"/>
    <w:rsid w:val="0052373A"/>
    <w:rsid w:val="00524826"/>
    <w:rsid w:val="00524DCE"/>
    <w:rsid w:val="00525050"/>
    <w:rsid w:val="005252E2"/>
    <w:rsid w:val="005264A7"/>
    <w:rsid w:val="005266F4"/>
    <w:rsid w:val="005276D9"/>
    <w:rsid w:val="00527B74"/>
    <w:rsid w:val="0053110F"/>
    <w:rsid w:val="00532F5D"/>
    <w:rsid w:val="00533FEF"/>
    <w:rsid w:val="00534E58"/>
    <w:rsid w:val="00535C81"/>
    <w:rsid w:val="00537667"/>
    <w:rsid w:val="00540C05"/>
    <w:rsid w:val="00542D06"/>
    <w:rsid w:val="00543203"/>
    <w:rsid w:val="00543328"/>
    <w:rsid w:val="00544E7F"/>
    <w:rsid w:val="00545DE3"/>
    <w:rsid w:val="00546CDB"/>
    <w:rsid w:val="00546D8E"/>
    <w:rsid w:val="00546D99"/>
    <w:rsid w:val="00546FDD"/>
    <w:rsid w:val="00547D0C"/>
    <w:rsid w:val="00550739"/>
    <w:rsid w:val="00551340"/>
    <w:rsid w:val="00552005"/>
    <w:rsid w:val="00552253"/>
    <w:rsid w:val="00553207"/>
    <w:rsid w:val="00554507"/>
    <w:rsid w:val="00554531"/>
    <w:rsid w:val="00555AB5"/>
    <w:rsid w:val="00555F89"/>
    <w:rsid w:val="00556AB8"/>
    <w:rsid w:val="005572B6"/>
    <w:rsid w:val="00557DD9"/>
    <w:rsid w:val="005606FD"/>
    <w:rsid w:val="005651DC"/>
    <w:rsid w:val="00565718"/>
    <w:rsid w:val="00565A52"/>
    <w:rsid w:val="0056623D"/>
    <w:rsid w:val="00566AD8"/>
    <w:rsid w:val="00567350"/>
    <w:rsid w:val="00570B86"/>
    <w:rsid w:val="00570F25"/>
    <w:rsid w:val="00571ACE"/>
    <w:rsid w:val="0057236E"/>
    <w:rsid w:val="00572F78"/>
    <w:rsid w:val="005732EB"/>
    <w:rsid w:val="00573F76"/>
    <w:rsid w:val="0057424E"/>
    <w:rsid w:val="005742FA"/>
    <w:rsid w:val="00574347"/>
    <w:rsid w:val="0057481C"/>
    <w:rsid w:val="005754D8"/>
    <w:rsid w:val="005774C9"/>
    <w:rsid w:val="005803BF"/>
    <w:rsid w:val="00581CA5"/>
    <w:rsid w:val="00582121"/>
    <w:rsid w:val="00582FAD"/>
    <w:rsid w:val="005836D1"/>
    <w:rsid w:val="00583B13"/>
    <w:rsid w:val="00584A8D"/>
    <w:rsid w:val="00584FEB"/>
    <w:rsid w:val="00585576"/>
    <w:rsid w:val="00585822"/>
    <w:rsid w:val="00585F7E"/>
    <w:rsid w:val="00591175"/>
    <w:rsid w:val="00592068"/>
    <w:rsid w:val="005923EA"/>
    <w:rsid w:val="0059413A"/>
    <w:rsid w:val="00594ABF"/>
    <w:rsid w:val="00594E50"/>
    <w:rsid w:val="0059541B"/>
    <w:rsid w:val="00597EA8"/>
    <w:rsid w:val="005A11E6"/>
    <w:rsid w:val="005A1654"/>
    <w:rsid w:val="005A2484"/>
    <w:rsid w:val="005A34EB"/>
    <w:rsid w:val="005A3C0F"/>
    <w:rsid w:val="005A406A"/>
    <w:rsid w:val="005A44A0"/>
    <w:rsid w:val="005A5248"/>
    <w:rsid w:val="005A63A5"/>
    <w:rsid w:val="005A6A61"/>
    <w:rsid w:val="005B0968"/>
    <w:rsid w:val="005B1722"/>
    <w:rsid w:val="005B1864"/>
    <w:rsid w:val="005B207E"/>
    <w:rsid w:val="005B2484"/>
    <w:rsid w:val="005B29FD"/>
    <w:rsid w:val="005B3871"/>
    <w:rsid w:val="005B41A1"/>
    <w:rsid w:val="005B41C0"/>
    <w:rsid w:val="005B52F0"/>
    <w:rsid w:val="005B58CF"/>
    <w:rsid w:val="005B5DC1"/>
    <w:rsid w:val="005B609C"/>
    <w:rsid w:val="005B61CB"/>
    <w:rsid w:val="005B659D"/>
    <w:rsid w:val="005B6B98"/>
    <w:rsid w:val="005C1326"/>
    <w:rsid w:val="005C21E0"/>
    <w:rsid w:val="005C3527"/>
    <w:rsid w:val="005C4B02"/>
    <w:rsid w:val="005C4DE5"/>
    <w:rsid w:val="005C5E1F"/>
    <w:rsid w:val="005C5F69"/>
    <w:rsid w:val="005C6E6D"/>
    <w:rsid w:val="005C73E0"/>
    <w:rsid w:val="005C7CA4"/>
    <w:rsid w:val="005D016D"/>
    <w:rsid w:val="005D0CAF"/>
    <w:rsid w:val="005D2111"/>
    <w:rsid w:val="005D222C"/>
    <w:rsid w:val="005D3833"/>
    <w:rsid w:val="005D388C"/>
    <w:rsid w:val="005D3AA9"/>
    <w:rsid w:val="005D4382"/>
    <w:rsid w:val="005D4C06"/>
    <w:rsid w:val="005D55E3"/>
    <w:rsid w:val="005D61B7"/>
    <w:rsid w:val="005D648C"/>
    <w:rsid w:val="005D6827"/>
    <w:rsid w:val="005D6F0B"/>
    <w:rsid w:val="005D7379"/>
    <w:rsid w:val="005E05BC"/>
    <w:rsid w:val="005E115B"/>
    <w:rsid w:val="005E1EAA"/>
    <w:rsid w:val="005E3461"/>
    <w:rsid w:val="005E54D3"/>
    <w:rsid w:val="005E5520"/>
    <w:rsid w:val="005E62D6"/>
    <w:rsid w:val="005E7088"/>
    <w:rsid w:val="005F0FBF"/>
    <w:rsid w:val="005F1D23"/>
    <w:rsid w:val="005F2378"/>
    <w:rsid w:val="005F2A5C"/>
    <w:rsid w:val="005F4515"/>
    <w:rsid w:val="005F477C"/>
    <w:rsid w:val="005F5118"/>
    <w:rsid w:val="005F5271"/>
    <w:rsid w:val="005F52D7"/>
    <w:rsid w:val="005F543E"/>
    <w:rsid w:val="005F5477"/>
    <w:rsid w:val="005F638B"/>
    <w:rsid w:val="005F6E9D"/>
    <w:rsid w:val="00600600"/>
    <w:rsid w:val="006008BB"/>
    <w:rsid w:val="006014A0"/>
    <w:rsid w:val="006017B8"/>
    <w:rsid w:val="006028A4"/>
    <w:rsid w:val="0060310C"/>
    <w:rsid w:val="0060399C"/>
    <w:rsid w:val="00604026"/>
    <w:rsid w:val="006053A5"/>
    <w:rsid w:val="00605A06"/>
    <w:rsid w:val="00606C87"/>
    <w:rsid w:val="00607CF8"/>
    <w:rsid w:val="006100E4"/>
    <w:rsid w:val="00610242"/>
    <w:rsid w:val="00611970"/>
    <w:rsid w:val="00612454"/>
    <w:rsid w:val="00612DC9"/>
    <w:rsid w:val="00614971"/>
    <w:rsid w:val="006178EB"/>
    <w:rsid w:val="00620C9A"/>
    <w:rsid w:val="00624435"/>
    <w:rsid w:val="00625444"/>
    <w:rsid w:val="00626410"/>
    <w:rsid w:val="00627034"/>
    <w:rsid w:val="00627218"/>
    <w:rsid w:val="00630B0A"/>
    <w:rsid w:val="006319E9"/>
    <w:rsid w:val="00634704"/>
    <w:rsid w:val="00635007"/>
    <w:rsid w:val="006355D1"/>
    <w:rsid w:val="00635DD4"/>
    <w:rsid w:val="00636255"/>
    <w:rsid w:val="00636848"/>
    <w:rsid w:val="00636C8D"/>
    <w:rsid w:val="00637139"/>
    <w:rsid w:val="00637692"/>
    <w:rsid w:val="00637F14"/>
    <w:rsid w:val="00640111"/>
    <w:rsid w:val="00640548"/>
    <w:rsid w:val="00642E8A"/>
    <w:rsid w:val="006437F8"/>
    <w:rsid w:val="00644B11"/>
    <w:rsid w:val="00644F28"/>
    <w:rsid w:val="006455AA"/>
    <w:rsid w:val="00645691"/>
    <w:rsid w:val="00646444"/>
    <w:rsid w:val="0064704A"/>
    <w:rsid w:val="00652C92"/>
    <w:rsid w:val="0065347D"/>
    <w:rsid w:val="00653F7E"/>
    <w:rsid w:val="006570D9"/>
    <w:rsid w:val="0065723C"/>
    <w:rsid w:val="00660EC6"/>
    <w:rsid w:val="00662388"/>
    <w:rsid w:val="00662CE1"/>
    <w:rsid w:val="00665C07"/>
    <w:rsid w:val="00665E83"/>
    <w:rsid w:val="00667381"/>
    <w:rsid w:val="00667663"/>
    <w:rsid w:val="00670773"/>
    <w:rsid w:val="00670AF0"/>
    <w:rsid w:val="00674DA1"/>
    <w:rsid w:val="00675374"/>
    <w:rsid w:val="00675921"/>
    <w:rsid w:val="00676E98"/>
    <w:rsid w:val="00677527"/>
    <w:rsid w:val="00681403"/>
    <w:rsid w:val="00681EBA"/>
    <w:rsid w:val="00683043"/>
    <w:rsid w:val="00684C78"/>
    <w:rsid w:val="006851DF"/>
    <w:rsid w:val="00685441"/>
    <w:rsid w:val="00685BD8"/>
    <w:rsid w:val="00685E30"/>
    <w:rsid w:val="00686490"/>
    <w:rsid w:val="00686699"/>
    <w:rsid w:val="0068699A"/>
    <w:rsid w:val="006878A9"/>
    <w:rsid w:val="0069041B"/>
    <w:rsid w:val="00690C9F"/>
    <w:rsid w:val="00691081"/>
    <w:rsid w:val="006916AD"/>
    <w:rsid w:val="0069204A"/>
    <w:rsid w:val="006921ED"/>
    <w:rsid w:val="006922F0"/>
    <w:rsid w:val="006925AD"/>
    <w:rsid w:val="0069298D"/>
    <w:rsid w:val="00693793"/>
    <w:rsid w:val="00694B4F"/>
    <w:rsid w:val="00697F23"/>
    <w:rsid w:val="006A118D"/>
    <w:rsid w:val="006A14E3"/>
    <w:rsid w:val="006A3023"/>
    <w:rsid w:val="006A3972"/>
    <w:rsid w:val="006A4E1F"/>
    <w:rsid w:val="006A6074"/>
    <w:rsid w:val="006A6172"/>
    <w:rsid w:val="006A70C6"/>
    <w:rsid w:val="006A712D"/>
    <w:rsid w:val="006A7F67"/>
    <w:rsid w:val="006B2961"/>
    <w:rsid w:val="006B35E2"/>
    <w:rsid w:val="006B372C"/>
    <w:rsid w:val="006B3E38"/>
    <w:rsid w:val="006B4C06"/>
    <w:rsid w:val="006B511E"/>
    <w:rsid w:val="006B53B8"/>
    <w:rsid w:val="006B6D74"/>
    <w:rsid w:val="006B7848"/>
    <w:rsid w:val="006B78BA"/>
    <w:rsid w:val="006C046A"/>
    <w:rsid w:val="006C0559"/>
    <w:rsid w:val="006C2F21"/>
    <w:rsid w:val="006C383B"/>
    <w:rsid w:val="006C516C"/>
    <w:rsid w:val="006D0266"/>
    <w:rsid w:val="006D0FE4"/>
    <w:rsid w:val="006D27A6"/>
    <w:rsid w:val="006D3EE7"/>
    <w:rsid w:val="006D5071"/>
    <w:rsid w:val="006D650A"/>
    <w:rsid w:val="006D6960"/>
    <w:rsid w:val="006D69BB"/>
    <w:rsid w:val="006D7866"/>
    <w:rsid w:val="006E03A0"/>
    <w:rsid w:val="006E066F"/>
    <w:rsid w:val="006E0DE8"/>
    <w:rsid w:val="006E101D"/>
    <w:rsid w:val="006E1723"/>
    <w:rsid w:val="006E2D93"/>
    <w:rsid w:val="006E4647"/>
    <w:rsid w:val="006E4E9D"/>
    <w:rsid w:val="006E57E5"/>
    <w:rsid w:val="006E6419"/>
    <w:rsid w:val="006E6F8C"/>
    <w:rsid w:val="006E76BE"/>
    <w:rsid w:val="006E7D9E"/>
    <w:rsid w:val="006F017A"/>
    <w:rsid w:val="006F0673"/>
    <w:rsid w:val="006F0918"/>
    <w:rsid w:val="006F0D0D"/>
    <w:rsid w:val="006F0F3F"/>
    <w:rsid w:val="006F3564"/>
    <w:rsid w:val="006F4B97"/>
    <w:rsid w:val="006F56A2"/>
    <w:rsid w:val="006F670A"/>
    <w:rsid w:val="006F6E04"/>
    <w:rsid w:val="006F7BE3"/>
    <w:rsid w:val="0070153A"/>
    <w:rsid w:val="00702912"/>
    <w:rsid w:val="00702F54"/>
    <w:rsid w:val="0070540D"/>
    <w:rsid w:val="00705AD6"/>
    <w:rsid w:val="00705CDA"/>
    <w:rsid w:val="00706160"/>
    <w:rsid w:val="00706B8A"/>
    <w:rsid w:val="00707720"/>
    <w:rsid w:val="0070784F"/>
    <w:rsid w:val="007079E5"/>
    <w:rsid w:val="007110AE"/>
    <w:rsid w:val="007111DF"/>
    <w:rsid w:val="00712734"/>
    <w:rsid w:val="00712C94"/>
    <w:rsid w:val="0071304E"/>
    <w:rsid w:val="0071399E"/>
    <w:rsid w:val="0071430E"/>
    <w:rsid w:val="00715933"/>
    <w:rsid w:val="00715B38"/>
    <w:rsid w:val="00715EAC"/>
    <w:rsid w:val="00716D4D"/>
    <w:rsid w:val="00717216"/>
    <w:rsid w:val="00720B26"/>
    <w:rsid w:val="00721145"/>
    <w:rsid w:val="00721676"/>
    <w:rsid w:val="00721773"/>
    <w:rsid w:val="00722F56"/>
    <w:rsid w:val="00723440"/>
    <w:rsid w:val="00723D4F"/>
    <w:rsid w:val="00723FFA"/>
    <w:rsid w:val="00724EAF"/>
    <w:rsid w:val="00725ADD"/>
    <w:rsid w:val="007278A3"/>
    <w:rsid w:val="00727A67"/>
    <w:rsid w:val="0073000C"/>
    <w:rsid w:val="00730854"/>
    <w:rsid w:val="0073099F"/>
    <w:rsid w:val="007311C9"/>
    <w:rsid w:val="007314BA"/>
    <w:rsid w:val="00732053"/>
    <w:rsid w:val="007323BA"/>
    <w:rsid w:val="00732769"/>
    <w:rsid w:val="007338AC"/>
    <w:rsid w:val="00733920"/>
    <w:rsid w:val="007343B8"/>
    <w:rsid w:val="00735F92"/>
    <w:rsid w:val="00736715"/>
    <w:rsid w:val="00740513"/>
    <w:rsid w:val="00740E28"/>
    <w:rsid w:val="007413CA"/>
    <w:rsid w:val="00743AA1"/>
    <w:rsid w:val="00744C63"/>
    <w:rsid w:val="00746701"/>
    <w:rsid w:val="007467B6"/>
    <w:rsid w:val="007501F0"/>
    <w:rsid w:val="00750939"/>
    <w:rsid w:val="007514E3"/>
    <w:rsid w:val="00751DFD"/>
    <w:rsid w:val="007551CD"/>
    <w:rsid w:val="0075648B"/>
    <w:rsid w:val="00756E6E"/>
    <w:rsid w:val="007600FA"/>
    <w:rsid w:val="0076093D"/>
    <w:rsid w:val="00760CF3"/>
    <w:rsid w:val="00761DA0"/>
    <w:rsid w:val="007622D7"/>
    <w:rsid w:val="00762D39"/>
    <w:rsid w:val="0076577C"/>
    <w:rsid w:val="00766559"/>
    <w:rsid w:val="0076670B"/>
    <w:rsid w:val="00766AA3"/>
    <w:rsid w:val="007673F3"/>
    <w:rsid w:val="007724C8"/>
    <w:rsid w:val="007729D9"/>
    <w:rsid w:val="007750CE"/>
    <w:rsid w:val="0077545A"/>
    <w:rsid w:val="00780793"/>
    <w:rsid w:val="00780CDD"/>
    <w:rsid w:val="007814DE"/>
    <w:rsid w:val="00781F42"/>
    <w:rsid w:val="007825F2"/>
    <w:rsid w:val="00783C6F"/>
    <w:rsid w:val="00784A3C"/>
    <w:rsid w:val="00784D50"/>
    <w:rsid w:val="00785AC3"/>
    <w:rsid w:val="00787374"/>
    <w:rsid w:val="007908DD"/>
    <w:rsid w:val="00791B71"/>
    <w:rsid w:val="007936DC"/>
    <w:rsid w:val="00793B30"/>
    <w:rsid w:val="00793BD7"/>
    <w:rsid w:val="0079466D"/>
    <w:rsid w:val="00794A48"/>
    <w:rsid w:val="00796DA0"/>
    <w:rsid w:val="007A218D"/>
    <w:rsid w:val="007A2942"/>
    <w:rsid w:val="007A2F1C"/>
    <w:rsid w:val="007A3E3A"/>
    <w:rsid w:val="007A4195"/>
    <w:rsid w:val="007A5055"/>
    <w:rsid w:val="007A5AC9"/>
    <w:rsid w:val="007A5C1C"/>
    <w:rsid w:val="007A60A7"/>
    <w:rsid w:val="007A6E4D"/>
    <w:rsid w:val="007A6F87"/>
    <w:rsid w:val="007A76E6"/>
    <w:rsid w:val="007B1BA0"/>
    <w:rsid w:val="007B1D68"/>
    <w:rsid w:val="007B2019"/>
    <w:rsid w:val="007B467E"/>
    <w:rsid w:val="007B5C9E"/>
    <w:rsid w:val="007B5CE5"/>
    <w:rsid w:val="007B667F"/>
    <w:rsid w:val="007B6953"/>
    <w:rsid w:val="007B7784"/>
    <w:rsid w:val="007C1094"/>
    <w:rsid w:val="007C1D8B"/>
    <w:rsid w:val="007C205A"/>
    <w:rsid w:val="007C2E5E"/>
    <w:rsid w:val="007C30D5"/>
    <w:rsid w:val="007C361E"/>
    <w:rsid w:val="007C3C0A"/>
    <w:rsid w:val="007C3CD0"/>
    <w:rsid w:val="007C5026"/>
    <w:rsid w:val="007C50CC"/>
    <w:rsid w:val="007C73A6"/>
    <w:rsid w:val="007C77FE"/>
    <w:rsid w:val="007C7EAC"/>
    <w:rsid w:val="007D1347"/>
    <w:rsid w:val="007D20D7"/>
    <w:rsid w:val="007D43DB"/>
    <w:rsid w:val="007D4EB7"/>
    <w:rsid w:val="007D5CA1"/>
    <w:rsid w:val="007D6B9F"/>
    <w:rsid w:val="007D6CDC"/>
    <w:rsid w:val="007D6F47"/>
    <w:rsid w:val="007D73D4"/>
    <w:rsid w:val="007D7D46"/>
    <w:rsid w:val="007E009C"/>
    <w:rsid w:val="007E013D"/>
    <w:rsid w:val="007E0975"/>
    <w:rsid w:val="007E16FE"/>
    <w:rsid w:val="007E1F70"/>
    <w:rsid w:val="007E28B6"/>
    <w:rsid w:val="007E36E4"/>
    <w:rsid w:val="007E4F40"/>
    <w:rsid w:val="007E5BF3"/>
    <w:rsid w:val="007E5E07"/>
    <w:rsid w:val="007E7046"/>
    <w:rsid w:val="007E77AB"/>
    <w:rsid w:val="007F036E"/>
    <w:rsid w:val="007F0E4C"/>
    <w:rsid w:val="007F1688"/>
    <w:rsid w:val="007F2ACE"/>
    <w:rsid w:val="007F44FC"/>
    <w:rsid w:val="007F53C0"/>
    <w:rsid w:val="007F5E5D"/>
    <w:rsid w:val="007F61E3"/>
    <w:rsid w:val="007F6AFE"/>
    <w:rsid w:val="00800B62"/>
    <w:rsid w:val="00800DF5"/>
    <w:rsid w:val="00800E5F"/>
    <w:rsid w:val="00801636"/>
    <w:rsid w:val="008020D7"/>
    <w:rsid w:val="0080282B"/>
    <w:rsid w:val="008029A3"/>
    <w:rsid w:val="00803937"/>
    <w:rsid w:val="00805668"/>
    <w:rsid w:val="00805738"/>
    <w:rsid w:val="00806692"/>
    <w:rsid w:val="00806A73"/>
    <w:rsid w:val="008101EC"/>
    <w:rsid w:val="00810432"/>
    <w:rsid w:val="0081225F"/>
    <w:rsid w:val="008139FB"/>
    <w:rsid w:val="00813CFD"/>
    <w:rsid w:val="00814D03"/>
    <w:rsid w:val="0081631B"/>
    <w:rsid w:val="0081647E"/>
    <w:rsid w:val="00816B62"/>
    <w:rsid w:val="00816E46"/>
    <w:rsid w:val="0081786F"/>
    <w:rsid w:val="00817EFD"/>
    <w:rsid w:val="00821201"/>
    <w:rsid w:val="00822BCE"/>
    <w:rsid w:val="00822DB0"/>
    <w:rsid w:val="00824BBE"/>
    <w:rsid w:val="0082551C"/>
    <w:rsid w:val="0082568E"/>
    <w:rsid w:val="00825808"/>
    <w:rsid w:val="00825DB9"/>
    <w:rsid w:val="00826575"/>
    <w:rsid w:val="00827290"/>
    <w:rsid w:val="00827E10"/>
    <w:rsid w:val="00830B2E"/>
    <w:rsid w:val="00830EA8"/>
    <w:rsid w:val="00831A39"/>
    <w:rsid w:val="00831D8A"/>
    <w:rsid w:val="0083556B"/>
    <w:rsid w:val="00835990"/>
    <w:rsid w:val="00836AB0"/>
    <w:rsid w:val="00837692"/>
    <w:rsid w:val="008408C8"/>
    <w:rsid w:val="008409C5"/>
    <w:rsid w:val="00842036"/>
    <w:rsid w:val="0084321C"/>
    <w:rsid w:val="00843A8E"/>
    <w:rsid w:val="00844270"/>
    <w:rsid w:val="008446AC"/>
    <w:rsid w:val="00844E94"/>
    <w:rsid w:val="00844F8B"/>
    <w:rsid w:val="0084686A"/>
    <w:rsid w:val="00847719"/>
    <w:rsid w:val="008500C4"/>
    <w:rsid w:val="00851767"/>
    <w:rsid w:val="00851923"/>
    <w:rsid w:val="0085196C"/>
    <w:rsid w:val="008528B6"/>
    <w:rsid w:val="00853AEA"/>
    <w:rsid w:val="00854619"/>
    <w:rsid w:val="00854E1C"/>
    <w:rsid w:val="008602FC"/>
    <w:rsid w:val="00861602"/>
    <w:rsid w:val="008616B9"/>
    <w:rsid w:val="00863202"/>
    <w:rsid w:val="00863FF3"/>
    <w:rsid w:val="008648EB"/>
    <w:rsid w:val="008654DB"/>
    <w:rsid w:val="008668CA"/>
    <w:rsid w:val="00867509"/>
    <w:rsid w:val="00867A77"/>
    <w:rsid w:val="00867D1A"/>
    <w:rsid w:val="00870778"/>
    <w:rsid w:val="00871026"/>
    <w:rsid w:val="00871710"/>
    <w:rsid w:val="00871AB0"/>
    <w:rsid w:val="00871CAD"/>
    <w:rsid w:val="0087462D"/>
    <w:rsid w:val="0087508E"/>
    <w:rsid w:val="008765C1"/>
    <w:rsid w:val="00880B4C"/>
    <w:rsid w:val="00880CC2"/>
    <w:rsid w:val="0088159C"/>
    <w:rsid w:val="00881C3D"/>
    <w:rsid w:val="00881D3C"/>
    <w:rsid w:val="0088211A"/>
    <w:rsid w:val="0088251E"/>
    <w:rsid w:val="008825CD"/>
    <w:rsid w:val="00882E9B"/>
    <w:rsid w:val="008838E1"/>
    <w:rsid w:val="008846F9"/>
    <w:rsid w:val="00884F56"/>
    <w:rsid w:val="00885198"/>
    <w:rsid w:val="008854F6"/>
    <w:rsid w:val="00885963"/>
    <w:rsid w:val="00885B3C"/>
    <w:rsid w:val="00885BF1"/>
    <w:rsid w:val="00886667"/>
    <w:rsid w:val="00886BC4"/>
    <w:rsid w:val="00886BC9"/>
    <w:rsid w:val="0088738A"/>
    <w:rsid w:val="00890B0D"/>
    <w:rsid w:val="00890CCA"/>
    <w:rsid w:val="0089166D"/>
    <w:rsid w:val="0089178A"/>
    <w:rsid w:val="00891FDA"/>
    <w:rsid w:val="008929A4"/>
    <w:rsid w:val="00892DEE"/>
    <w:rsid w:val="00892FB2"/>
    <w:rsid w:val="008938F4"/>
    <w:rsid w:val="008948F1"/>
    <w:rsid w:val="00894BC9"/>
    <w:rsid w:val="008972E4"/>
    <w:rsid w:val="008974D0"/>
    <w:rsid w:val="008A00A8"/>
    <w:rsid w:val="008A02F3"/>
    <w:rsid w:val="008A1477"/>
    <w:rsid w:val="008A17DC"/>
    <w:rsid w:val="008A1C1D"/>
    <w:rsid w:val="008A48CA"/>
    <w:rsid w:val="008A48F6"/>
    <w:rsid w:val="008A4933"/>
    <w:rsid w:val="008A4F44"/>
    <w:rsid w:val="008A5308"/>
    <w:rsid w:val="008A5D91"/>
    <w:rsid w:val="008A67AA"/>
    <w:rsid w:val="008A68D5"/>
    <w:rsid w:val="008A6F47"/>
    <w:rsid w:val="008A78D4"/>
    <w:rsid w:val="008A7AF1"/>
    <w:rsid w:val="008B09CA"/>
    <w:rsid w:val="008B137D"/>
    <w:rsid w:val="008B2938"/>
    <w:rsid w:val="008B2B02"/>
    <w:rsid w:val="008B30CB"/>
    <w:rsid w:val="008B3714"/>
    <w:rsid w:val="008B3838"/>
    <w:rsid w:val="008B395C"/>
    <w:rsid w:val="008B4FCE"/>
    <w:rsid w:val="008B61DF"/>
    <w:rsid w:val="008B664B"/>
    <w:rsid w:val="008B7ED2"/>
    <w:rsid w:val="008C05E0"/>
    <w:rsid w:val="008C0AAD"/>
    <w:rsid w:val="008C1702"/>
    <w:rsid w:val="008C3291"/>
    <w:rsid w:val="008C35DE"/>
    <w:rsid w:val="008C3664"/>
    <w:rsid w:val="008C5773"/>
    <w:rsid w:val="008C5ECF"/>
    <w:rsid w:val="008C613F"/>
    <w:rsid w:val="008C6B9E"/>
    <w:rsid w:val="008C6D4A"/>
    <w:rsid w:val="008C6DC6"/>
    <w:rsid w:val="008C6F39"/>
    <w:rsid w:val="008C725B"/>
    <w:rsid w:val="008C7EB3"/>
    <w:rsid w:val="008D0A00"/>
    <w:rsid w:val="008D0CA6"/>
    <w:rsid w:val="008D0FC6"/>
    <w:rsid w:val="008D14D4"/>
    <w:rsid w:val="008D174C"/>
    <w:rsid w:val="008D1ADE"/>
    <w:rsid w:val="008D4253"/>
    <w:rsid w:val="008D49AE"/>
    <w:rsid w:val="008D4CD0"/>
    <w:rsid w:val="008D5078"/>
    <w:rsid w:val="008D5358"/>
    <w:rsid w:val="008D53CC"/>
    <w:rsid w:val="008D6E2B"/>
    <w:rsid w:val="008E0180"/>
    <w:rsid w:val="008E01B7"/>
    <w:rsid w:val="008E04BD"/>
    <w:rsid w:val="008E2DC5"/>
    <w:rsid w:val="008E35A5"/>
    <w:rsid w:val="008E3C73"/>
    <w:rsid w:val="008E6249"/>
    <w:rsid w:val="008F0233"/>
    <w:rsid w:val="008F0AB5"/>
    <w:rsid w:val="008F0B15"/>
    <w:rsid w:val="008F1709"/>
    <w:rsid w:val="008F1AA6"/>
    <w:rsid w:val="008F2212"/>
    <w:rsid w:val="008F3F47"/>
    <w:rsid w:val="008F57CE"/>
    <w:rsid w:val="008F73C8"/>
    <w:rsid w:val="008F7E23"/>
    <w:rsid w:val="008F7E69"/>
    <w:rsid w:val="00902313"/>
    <w:rsid w:val="009031A7"/>
    <w:rsid w:val="00903786"/>
    <w:rsid w:val="00903812"/>
    <w:rsid w:val="00903AB2"/>
    <w:rsid w:val="009044F1"/>
    <w:rsid w:val="00905625"/>
    <w:rsid w:val="0090578B"/>
    <w:rsid w:val="00905A43"/>
    <w:rsid w:val="00905CFE"/>
    <w:rsid w:val="00905E21"/>
    <w:rsid w:val="00905F29"/>
    <w:rsid w:val="009060AB"/>
    <w:rsid w:val="009064A5"/>
    <w:rsid w:val="00907038"/>
    <w:rsid w:val="0090719E"/>
    <w:rsid w:val="00907731"/>
    <w:rsid w:val="00907BE0"/>
    <w:rsid w:val="0091027E"/>
    <w:rsid w:val="009109AA"/>
    <w:rsid w:val="00910D39"/>
    <w:rsid w:val="009111A3"/>
    <w:rsid w:val="00914651"/>
    <w:rsid w:val="0091555E"/>
    <w:rsid w:val="0091638F"/>
    <w:rsid w:val="00917C45"/>
    <w:rsid w:val="00917D48"/>
    <w:rsid w:val="00917DAF"/>
    <w:rsid w:val="00923AF1"/>
    <w:rsid w:val="00924F09"/>
    <w:rsid w:val="00925636"/>
    <w:rsid w:val="00925F34"/>
    <w:rsid w:val="00926879"/>
    <w:rsid w:val="009269CE"/>
    <w:rsid w:val="0093023C"/>
    <w:rsid w:val="009304A5"/>
    <w:rsid w:val="00930751"/>
    <w:rsid w:val="00930FF6"/>
    <w:rsid w:val="00932677"/>
    <w:rsid w:val="00932C73"/>
    <w:rsid w:val="00932D5C"/>
    <w:rsid w:val="00933C8C"/>
    <w:rsid w:val="00934BD8"/>
    <w:rsid w:val="009365CC"/>
    <w:rsid w:val="009367F6"/>
    <w:rsid w:val="00936838"/>
    <w:rsid w:val="0093741D"/>
    <w:rsid w:val="009374D4"/>
    <w:rsid w:val="0093758F"/>
    <w:rsid w:val="00940339"/>
    <w:rsid w:val="00942745"/>
    <w:rsid w:val="00942CB3"/>
    <w:rsid w:val="00943615"/>
    <w:rsid w:val="00943773"/>
    <w:rsid w:val="00944174"/>
    <w:rsid w:val="0094467F"/>
    <w:rsid w:val="009447DF"/>
    <w:rsid w:val="0094572D"/>
    <w:rsid w:val="00945DC6"/>
    <w:rsid w:val="00946173"/>
    <w:rsid w:val="00946A0C"/>
    <w:rsid w:val="009473AF"/>
    <w:rsid w:val="00950949"/>
    <w:rsid w:val="00951652"/>
    <w:rsid w:val="0095275E"/>
    <w:rsid w:val="00952823"/>
    <w:rsid w:val="00952F2F"/>
    <w:rsid w:val="009530C9"/>
    <w:rsid w:val="00953626"/>
    <w:rsid w:val="00953FC5"/>
    <w:rsid w:val="00954379"/>
    <w:rsid w:val="009544EE"/>
    <w:rsid w:val="009549E1"/>
    <w:rsid w:val="00956B6A"/>
    <w:rsid w:val="0095726A"/>
    <w:rsid w:val="0095798C"/>
    <w:rsid w:val="0096007A"/>
    <w:rsid w:val="00961657"/>
    <w:rsid w:val="0096410B"/>
    <w:rsid w:val="00964D78"/>
    <w:rsid w:val="0096596E"/>
    <w:rsid w:val="00965C4B"/>
    <w:rsid w:val="00966544"/>
    <w:rsid w:val="009665CB"/>
    <w:rsid w:val="00967DE3"/>
    <w:rsid w:val="00970683"/>
    <w:rsid w:val="0097075D"/>
    <w:rsid w:val="009723D0"/>
    <w:rsid w:val="00972EAA"/>
    <w:rsid w:val="009744D7"/>
    <w:rsid w:val="0097512D"/>
    <w:rsid w:val="009757BB"/>
    <w:rsid w:val="00975C82"/>
    <w:rsid w:val="009769A0"/>
    <w:rsid w:val="009801C7"/>
    <w:rsid w:val="0098022E"/>
    <w:rsid w:val="009807A0"/>
    <w:rsid w:val="00980B4E"/>
    <w:rsid w:val="00980C5E"/>
    <w:rsid w:val="0098151F"/>
    <w:rsid w:val="00981604"/>
    <w:rsid w:val="00982A39"/>
    <w:rsid w:val="00982FEC"/>
    <w:rsid w:val="009831DD"/>
    <w:rsid w:val="00983878"/>
    <w:rsid w:val="00983C98"/>
    <w:rsid w:val="009848DD"/>
    <w:rsid w:val="0098625C"/>
    <w:rsid w:val="0098641A"/>
    <w:rsid w:val="00986A46"/>
    <w:rsid w:val="00987381"/>
    <w:rsid w:val="009873CB"/>
    <w:rsid w:val="0098759D"/>
    <w:rsid w:val="009906A6"/>
    <w:rsid w:val="00990E85"/>
    <w:rsid w:val="00991C41"/>
    <w:rsid w:val="00992ADC"/>
    <w:rsid w:val="0099419E"/>
    <w:rsid w:val="009943C2"/>
    <w:rsid w:val="009945BA"/>
    <w:rsid w:val="00994A1E"/>
    <w:rsid w:val="00994E88"/>
    <w:rsid w:val="0099606D"/>
    <w:rsid w:val="00997B55"/>
    <w:rsid w:val="009A1763"/>
    <w:rsid w:val="009A4200"/>
    <w:rsid w:val="009A4400"/>
    <w:rsid w:val="009A4A44"/>
    <w:rsid w:val="009A5DA4"/>
    <w:rsid w:val="009A5E96"/>
    <w:rsid w:val="009A6D32"/>
    <w:rsid w:val="009A71C4"/>
    <w:rsid w:val="009A7238"/>
    <w:rsid w:val="009A79BA"/>
    <w:rsid w:val="009B0916"/>
    <w:rsid w:val="009B13FD"/>
    <w:rsid w:val="009B15EC"/>
    <w:rsid w:val="009B1781"/>
    <w:rsid w:val="009B2546"/>
    <w:rsid w:val="009B2985"/>
    <w:rsid w:val="009B464D"/>
    <w:rsid w:val="009B508E"/>
    <w:rsid w:val="009B5547"/>
    <w:rsid w:val="009C074F"/>
    <w:rsid w:val="009C0C75"/>
    <w:rsid w:val="009C1F90"/>
    <w:rsid w:val="009C22AA"/>
    <w:rsid w:val="009C297F"/>
    <w:rsid w:val="009C3ECC"/>
    <w:rsid w:val="009C43F7"/>
    <w:rsid w:val="009C4A71"/>
    <w:rsid w:val="009C66A3"/>
    <w:rsid w:val="009D0677"/>
    <w:rsid w:val="009D0908"/>
    <w:rsid w:val="009D0C99"/>
    <w:rsid w:val="009D1792"/>
    <w:rsid w:val="009D423B"/>
    <w:rsid w:val="009D616A"/>
    <w:rsid w:val="009E08A4"/>
    <w:rsid w:val="009E1A0D"/>
    <w:rsid w:val="009E2E3F"/>
    <w:rsid w:val="009E32AB"/>
    <w:rsid w:val="009E3C93"/>
    <w:rsid w:val="009E4137"/>
    <w:rsid w:val="009E44A8"/>
    <w:rsid w:val="009E552B"/>
    <w:rsid w:val="009E5E11"/>
    <w:rsid w:val="009E6061"/>
    <w:rsid w:val="009E66B3"/>
    <w:rsid w:val="009F14F8"/>
    <w:rsid w:val="009F246C"/>
    <w:rsid w:val="009F26D2"/>
    <w:rsid w:val="009F367C"/>
    <w:rsid w:val="009F4887"/>
    <w:rsid w:val="009F4D0F"/>
    <w:rsid w:val="009F5A63"/>
    <w:rsid w:val="009F6FCE"/>
    <w:rsid w:val="009F74B3"/>
    <w:rsid w:val="00A003F3"/>
    <w:rsid w:val="00A01086"/>
    <w:rsid w:val="00A013C2"/>
    <w:rsid w:val="00A02B9D"/>
    <w:rsid w:val="00A02BB3"/>
    <w:rsid w:val="00A05959"/>
    <w:rsid w:val="00A05E57"/>
    <w:rsid w:val="00A069BF"/>
    <w:rsid w:val="00A07F75"/>
    <w:rsid w:val="00A109E0"/>
    <w:rsid w:val="00A10BAE"/>
    <w:rsid w:val="00A1120D"/>
    <w:rsid w:val="00A11AAA"/>
    <w:rsid w:val="00A11D8C"/>
    <w:rsid w:val="00A13CB3"/>
    <w:rsid w:val="00A13F0D"/>
    <w:rsid w:val="00A15A15"/>
    <w:rsid w:val="00A15DB7"/>
    <w:rsid w:val="00A1698D"/>
    <w:rsid w:val="00A16C13"/>
    <w:rsid w:val="00A17503"/>
    <w:rsid w:val="00A17954"/>
    <w:rsid w:val="00A204B1"/>
    <w:rsid w:val="00A20FC4"/>
    <w:rsid w:val="00A215B3"/>
    <w:rsid w:val="00A21B89"/>
    <w:rsid w:val="00A22586"/>
    <w:rsid w:val="00A22E5E"/>
    <w:rsid w:val="00A24D20"/>
    <w:rsid w:val="00A2576C"/>
    <w:rsid w:val="00A25C66"/>
    <w:rsid w:val="00A261BF"/>
    <w:rsid w:val="00A30323"/>
    <w:rsid w:val="00A30748"/>
    <w:rsid w:val="00A309DD"/>
    <w:rsid w:val="00A31053"/>
    <w:rsid w:val="00A32C4E"/>
    <w:rsid w:val="00A33014"/>
    <w:rsid w:val="00A342FB"/>
    <w:rsid w:val="00A3452B"/>
    <w:rsid w:val="00A34A15"/>
    <w:rsid w:val="00A3658E"/>
    <w:rsid w:val="00A36F16"/>
    <w:rsid w:val="00A427DB"/>
    <w:rsid w:val="00A42EB2"/>
    <w:rsid w:val="00A435C4"/>
    <w:rsid w:val="00A43E5E"/>
    <w:rsid w:val="00A444EE"/>
    <w:rsid w:val="00A44CAA"/>
    <w:rsid w:val="00A4647B"/>
    <w:rsid w:val="00A46A9A"/>
    <w:rsid w:val="00A47051"/>
    <w:rsid w:val="00A47926"/>
    <w:rsid w:val="00A47DBA"/>
    <w:rsid w:val="00A50111"/>
    <w:rsid w:val="00A508D8"/>
    <w:rsid w:val="00A5227D"/>
    <w:rsid w:val="00A522D6"/>
    <w:rsid w:val="00A52C22"/>
    <w:rsid w:val="00A53C46"/>
    <w:rsid w:val="00A53DDF"/>
    <w:rsid w:val="00A55A9F"/>
    <w:rsid w:val="00A55E90"/>
    <w:rsid w:val="00A60022"/>
    <w:rsid w:val="00A6128D"/>
    <w:rsid w:val="00A61976"/>
    <w:rsid w:val="00A62C1C"/>
    <w:rsid w:val="00A6432D"/>
    <w:rsid w:val="00A64457"/>
    <w:rsid w:val="00A6514E"/>
    <w:rsid w:val="00A6562E"/>
    <w:rsid w:val="00A66690"/>
    <w:rsid w:val="00A670E4"/>
    <w:rsid w:val="00A70154"/>
    <w:rsid w:val="00A70AB4"/>
    <w:rsid w:val="00A7163B"/>
    <w:rsid w:val="00A74183"/>
    <w:rsid w:val="00A75F19"/>
    <w:rsid w:val="00A7641C"/>
    <w:rsid w:val="00A7661C"/>
    <w:rsid w:val="00A76DCC"/>
    <w:rsid w:val="00A77625"/>
    <w:rsid w:val="00A8140D"/>
    <w:rsid w:val="00A82728"/>
    <w:rsid w:val="00A83225"/>
    <w:rsid w:val="00A8449C"/>
    <w:rsid w:val="00A8457F"/>
    <w:rsid w:val="00A84783"/>
    <w:rsid w:val="00A84A9B"/>
    <w:rsid w:val="00A84C3C"/>
    <w:rsid w:val="00A84DB0"/>
    <w:rsid w:val="00A84EF2"/>
    <w:rsid w:val="00A84F19"/>
    <w:rsid w:val="00A87F4B"/>
    <w:rsid w:val="00A9053F"/>
    <w:rsid w:val="00A90831"/>
    <w:rsid w:val="00A909A3"/>
    <w:rsid w:val="00A90E02"/>
    <w:rsid w:val="00A90ED2"/>
    <w:rsid w:val="00A91BD2"/>
    <w:rsid w:val="00A920EF"/>
    <w:rsid w:val="00A93A17"/>
    <w:rsid w:val="00A93ABF"/>
    <w:rsid w:val="00A93C0E"/>
    <w:rsid w:val="00A93CA3"/>
    <w:rsid w:val="00A940BE"/>
    <w:rsid w:val="00A941C0"/>
    <w:rsid w:val="00A947EB"/>
    <w:rsid w:val="00A96316"/>
    <w:rsid w:val="00A9658A"/>
    <w:rsid w:val="00A966A4"/>
    <w:rsid w:val="00A970ED"/>
    <w:rsid w:val="00A97BD8"/>
    <w:rsid w:val="00AA1471"/>
    <w:rsid w:val="00AA1E74"/>
    <w:rsid w:val="00AA2108"/>
    <w:rsid w:val="00AA36B6"/>
    <w:rsid w:val="00AA5264"/>
    <w:rsid w:val="00AA52E4"/>
    <w:rsid w:val="00AA553F"/>
    <w:rsid w:val="00AA6C5D"/>
    <w:rsid w:val="00AA7710"/>
    <w:rsid w:val="00AA787E"/>
    <w:rsid w:val="00AA7AED"/>
    <w:rsid w:val="00AB0166"/>
    <w:rsid w:val="00AB0DFA"/>
    <w:rsid w:val="00AB1B87"/>
    <w:rsid w:val="00AB2E13"/>
    <w:rsid w:val="00AB3962"/>
    <w:rsid w:val="00AB3C3D"/>
    <w:rsid w:val="00AB3D33"/>
    <w:rsid w:val="00AB46F8"/>
    <w:rsid w:val="00AB67BC"/>
    <w:rsid w:val="00AB6C49"/>
    <w:rsid w:val="00AB7993"/>
    <w:rsid w:val="00AB7C60"/>
    <w:rsid w:val="00AB7EC4"/>
    <w:rsid w:val="00AC1B27"/>
    <w:rsid w:val="00AC1DF1"/>
    <w:rsid w:val="00AC20B4"/>
    <w:rsid w:val="00AC3C6D"/>
    <w:rsid w:val="00AC4C62"/>
    <w:rsid w:val="00AC60D4"/>
    <w:rsid w:val="00AC6410"/>
    <w:rsid w:val="00AC76ED"/>
    <w:rsid w:val="00AC7785"/>
    <w:rsid w:val="00AD08EE"/>
    <w:rsid w:val="00AD170A"/>
    <w:rsid w:val="00AD1840"/>
    <w:rsid w:val="00AD1AC8"/>
    <w:rsid w:val="00AD316F"/>
    <w:rsid w:val="00AD3505"/>
    <w:rsid w:val="00AD4424"/>
    <w:rsid w:val="00AD4790"/>
    <w:rsid w:val="00AD5E21"/>
    <w:rsid w:val="00AD692C"/>
    <w:rsid w:val="00AD6A54"/>
    <w:rsid w:val="00AD6F92"/>
    <w:rsid w:val="00AE1D78"/>
    <w:rsid w:val="00AE2370"/>
    <w:rsid w:val="00AE330B"/>
    <w:rsid w:val="00AE39EE"/>
    <w:rsid w:val="00AE50E7"/>
    <w:rsid w:val="00AE5175"/>
    <w:rsid w:val="00AE53E5"/>
    <w:rsid w:val="00AE7567"/>
    <w:rsid w:val="00AF0794"/>
    <w:rsid w:val="00AF23F7"/>
    <w:rsid w:val="00AF3FF2"/>
    <w:rsid w:val="00AF4272"/>
    <w:rsid w:val="00AF5E27"/>
    <w:rsid w:val="00AF6243"/>
    <w:rsid w:val="00B0056A"/>
    <w:rsid w:val="00B0153F"/>
    <w:rsid w:val="00B01F87"/>
    <w:rsid w:val="00B03E50"/>
    <w:rsid w:val="00B0544F"/>
    <w:rsid w:val="00B06241"/>
    <w:rsid w:val="00B07358"/>
    <w:rsid w:val="00B077E1"/>
    <w:rsid w:val="00B10DE1"/>
    <w:rsid w:val="00B11661"/>
    <w:rsid w:val="00B1176C"/>
    <w:rsid w:val="00B1271E"/>
    <w:rsid w:val="00B129C3"/>
    <w:rsid w:val="00B15A8A"/>
    <w:rsid w:val="00B15B56"/>
    <w:rsid w:val="00B162D4"/>
    <w:rsid w:val="00B16EDA"/>
    <w:rsid w:val="00B16F50"/>
    <w:rsid w:val="00B17D07"/>
    <w:rsid w:val="00B17FC8"/>
    <w:rsid w:val="00B20A33"/>
    <w:rsid w:val="00B20FD1"/>
    <w:rsid w:val="00B23556"/>
    <w:rsid w:val="00B24C1C"/>
    <w:rsid w:val="00B26EA8"/>
    <w:rsid w:val="00B27220"/>
    <w:rsid w:val="00B30970"/>
    <w:rsid w:val="00B309D6"/>
    <w:rsid w:val="00B30CD1"/>
    <w:rsid w:val="00B3104D"/>
    <w:rsid w:val="00B32830"/>
    <w:rsid w:val="00B32B3C"/>
    <w:rsid w:val="00B32D4E"/>
    <w:rsid w:val="00B33C34"/>
    <w:rsid w:val="00B33ED6"/>
    <w:rsid w:val="00B34815"/>
    <w:rsid w:val="00B35753"/>
    <w:rsid w:val="00B35D93"/>
    <w:rsid w:val="00B408E1"/>
    <w:rsid w:val="00B419AE"/>
    <w:rsid w:val="00B42ACE"/>
    <w:rsid w:val="00B42FAF"/>
    <w:rsid w:val="00B43031"/>
    <w:rsid w:val="00B44A62"/>
    <w:rsid w:val="00B44D77"/>
    <w:rsid w:val="00B44DC7"/>
    <w:rsid w:val="00B455DD"/>
    <w:rsid w:val="00B4590A"/>
    <w:rsid w:val="00B467EC"/>
    <w:rsid w:val="00B46B5C"/>
    <w:rsid w:val="00B503F5"/>
    <w:rsid w:val="00B50FEA"/>
    <w:rsid w:val="00B51175"/>
    <w:rsid w:val="00B51F7B"/>
    <w:rsid w:val="00B5397C"/>
    <w:rsid w:val="00B54FA9"/>
    <w:rsid w:val="00B56596"/>
    <w:rsid w:val="00B568D1"/>
    <w:rsid w:val="00B57B0B"/>
    <w:rsid w:val="00B57B8A"/>
    <w:rsid w:val="00B6066C"/>
    <w:rsid w:val="00B61888"/>
    <w:rsid w:val="00B61C10"/>
    <w:rsid w:val="00B61F6C"/>
    <w:rsid w:val="00B62A44"/>
    <w:rsid w:val="00B63934"/>
    <w:rsid w:val="00B64308"/>
    <w:rsid w:val="00B66C9B"/>
    <w:rsid w:val="00B70214"/>
    <w:rsid w:val="00B71EBE"/>
    <w:rsid w:val="00B71F74"/>
    <w:rsid w:val="00B71FB1"/>
    <w:rsid w:val="00B73795"/>
    <w:rsid w:val="00B73C23"/>
    <w:rsid w:val="00B744B9"/>
    <w:rsid w:val="00B7531D"/>
    <w:rsid w:val="00B75F09"/>
    <w:rsid w:val="00B761CB"/>
    <w:rsid w:val="00B76729"/>
    <w:rsid w:val="00B771FF"/>
    <w:rsid w:val="00B7731C"/>
    <w:rsid w:val="00B77742"/>
    <w:rsid w:val="00B82BEE"/>
    <w:rsid w:val="00B82C45"/>
    <w:rsid w:val="00B855B3"/>
    <w:rsid w:val="00B85D7D"/>
    <w:rsid w:val="00B864AD"/>
    <w:rsid w:val="00B90A1D"/>
    <w:rsid w:val="00B924C1"/>
    <w:rsid w:val="00B944EE"/>
    <w:rsid w:val="00B95239"/>
    <w:rsid w:val="00B95CFE"/>
    <w:rsid w:val="00B95F3D"/>
    <w:rsid w:val="00B96741"/>
    <w:rsid w:val="00B96DB7"/>
    <w:rsid w:val="00B96F10"/>
    <w:rsid w:val="00B9723E"/>
    <w:rsid w:val="00BA002E"/>
    <w:rsid w:val="00BA0276"/>
    <w:rsid w:val="00BA054F"/>
    <w:rsid w:val="00BA09AB"/>
    <w:rsid w:val="00BA123B"/>
    <w:rsid w:val="00BA1B48"/>
    <w:rsid w:val="00BA2F12"/>
    <w:rsid w:val="00BA3721"/>
    <w:rsid w:val="00BA3819"/>
    <w:rsid w:val="00BA3FF9"/>
    <w:rsid w:val="00BA41BF"/>
    <w:rsid w:val="00BA4521"/>
    <w:rsid w:val="00BA52D0"/>
    <w:rsid w:val="00BA5661"/>
    <w:rsid w:val="00BA5A74"/>
    <w:rsid w:val="00BA5CDA"/>
    <w:rsid w:val="00BA7802"/>
    <w:rsid w:val="00BA7ED9"/>
    <w:rsid w:val="00BB059B"/>
    <w:rsid w:val="00BB05FB"/>
    <w:rsid w:val="00BB064A"/>
    <w:rsid w:val="00BB0E9B"/>
    <w:rsid w:val="00BB1BCC"/>
    <w:rsid w:val="00BB2E09"/>
    <w:rsid w:val="00BB4653"/>
    <w:rsid w:val="00BB4B21"/>
    <w:rsid w:val="00BB5C41"/>
    <w:rsid w:val="00BB70BE"/>
    <w:rsid w:val="00BC209B"/>
    <w:rsid w:val="00BC6683"/>
    <w:rsid w:val="00BC69BB"/>
    <w:rsid w:val="00BD057F"/>
    <w:rsid w:val="00BD101C"/>
    <w:rsid w:val="00BD1810"/>
    <w:rsid w:val="00BD1E1F"/>
    <w:rsid w:val="00BD2187"/>
    <w:rsid w:val="00BD22F4"/>
    <w:rsid w:val="00BD26EE"/>
    <w:rsid w:val="00BD3056"/>
    <w:rsid w:val="00BD3C26"/>
    <w:rsid w:val="00BD60D4"/>
    <w:rsid w:val="00BD6361"/>
    <w:rsid w:val="00BD769F"/>
    <w:rsid w:val="00BD7EA0"/>
    <w:rsid w:val="00BE054B"/>
    <w:rsid w:val="00BE20BC"/>
    <w:rsid w:val="00BE2210"/>
    <w:rsid w:val="00BE23BE"/>
    <w:rsid w:val="00BE2654"/>
    <w:rsid w:val="00BE3378"/>
    <w:rsid w:val="00BE58B6"/>
    <w:rsid w:val="00BE5AC7"/>
    <w:rsid w:val="00BE636C"/>
    <w:rsid w:val="00BE732D"/>
    <w:rsid w:val="00BE7B10"/>
    <w:rsid w:val="00BF05C7"/>
    <w:rsid w:val="00BF19C9"/>
    <w:rsid w:val="00BF31D5"/>
    <w:rsid w:val="00BF3E58"/>
    <w:rsid w:val="00BF4A8E"/>
    <w:rsid w:val="00BF5164"/>
    <w:rsid w:val="00BF5335"/>
    <w:rsid w:val="00BF5695"/>
    <w:rsid w:val="00BF6008"/>
    <w:rsid w:val="00BF73E4"/>
    <w:rsid w:val="00BF75D8"/>
    <w:rsid w:val="00BF793A"/>
    <w:rsid w:val="00C01912"/>
    <w:rsid w:val="00C02179"/>
    <w:rsid w:val="00C03205"/>
    <w:rsid w:val="00C039ED"/>
    <w:rsid w:val="00C04920"/>
    <w:rsid w:val="00C052D9"/>
    <w:rsid w:val="00C0628D"/>
    <w:rsid w:val="00C06305"/>
    <w:rsid w:val="00C06B34"/>
    <w:rsid w:val="00C0783A"/>
    <w:rsid w:val="00C07AB9"/>
    <w:rsid w:val="00C07FCD"/>
    <w:rsid w:val="00C1027F"/>
    <w:rsid w:val="00C10AED"/>
    <w:rsid w:val="00C1307D"/>
    <w:rsid w:val="00C1501C"/>
    <w:rsid w:val="00C15D48"/>
    <w:rsid w:val="00C20138"/>
    <w:rsid w:val="00C20192"/>
    <w:rsid w:val="00C2145D"/>
    <w:rsid w:val="00C219D9"/>
    <w:rsid w:val="00C21F78"/>
    <w:rsid w:val="00C22419"/>
    <w:rsid w:val="00C231C7"/>
    <w:rsid w:val="00C23C8C"/>
    <w:rsid w:val="00C24EB2"/>
    <w:rsid w:val="00C26A56"/>
    <w:rsid w:val="00C27171"/>
    <w:rsid w:val="00C3042D"/>
    <w:rsid w:val="00C30978"/>
    <w:rsid w:val="00C32A22"/>
    <w:rsid w:val="00C32E62"/>
    <w:rsid w:val="00C3388E"/>
    <w:rsid w:val="00C34053"/>
    <w:rsid w:val="00C344DE"/>
    <w:rsid w:val="00C34571"/>
    <w:rsid w:val="00C362B7"/>
    <w:rsid w:val="00C3693F"/>
    <w:rsid w:val="00C369EC"/>
    <w:rsid w:val="00C36CA7"/>
    <w:rsid w:val="00C37A6A"/>
    <w:rsid w:val="00C401F1"/>
    <w:rsid w:val="00C40729"/>
    <w:rsid w:val="00C4124F"/>
    <w:rsid w:val="00C43578"/>
    <w:rsid w:val="00C436B8"/>
    <w:rsid w:val="00C443D7"/>
    <w:rsid w:val="00C446AB"/>
    <w:rsid w:val="00C44F26"/>
    <w:rsid w:val="00C46071"/>
    <w:rsid w:val="00C4706E"/>
    <w:rsid w:val="00C47544"/>
    <w:rsid w:val="00C504EA"/>
    <w:rsid w:val="00C52D2D"/>
    <w:rsid w:val="00C53DF9"/>
    <w:rsid w:val="00C53DFB"/>
    <w:rsid w:val="00C550E6"/>
    <w:rsid w:val="00C55700"/>
    <w:rsid w:val="00C55BA8"/>
    <w:rsid w:val="00C5603F"/>
    <w:rsid w:val="00C568A2"/>
    <w:rsid w:val="00C56B41"/>
    <w:rsid w:val="00C57672"/>
    <w:rsid w:val="00C576AD"/>
    <w:rsid w:val="00C57C10"/>
    <w:rsid w:val="00C605BC"/>
    <w:rsid w:val="00C60BF9"/>
    <w:rsid w:val="00C620FD"/>
    <w:rsid w:val="00C63372"/>
    <w:rsid w:val="00C6337F"/>
    <w:rsid w:val="00C635C6"/>
    <w:rsid w:val="00C639E4"/>
    <w:rsid w:val="00C64241"/>
    <w:rsid w:val="00C64D86"/>
    <w:rsid w:val="00C65481"/>
    <w:rsid w:val="00C71CED"/>
    <w:rsid w:val="00C7253B"/>
    <w:rsid w:val="00C73470"/>
    <w:rsid w:val="00C741C9"/>
    <w:rsid w:val="00C7449C"/>
    <w:rsid w:val="00C74FCF"/>
    <w:rsid w:val="00C7525F"/>
    <w:rsid w:val="00C75D76"/>
    <w:rsid w:val="00C76F8C"/>
    <w:rsid w:val="00C776EC"/>
    <w:rsid w:val="00C778C6"/>
    <w:rsid w:val="00C80C62"/>
    <w:rsid w:val="00C80FF9"/>
    <w:rsid w:val="00C812E4"/>
    <w:rsid w:val="00C8148E"/>
    <w:rsid w:val="00C82676"/>
    <w:rsid w:val="00C82975"/>
    <w:rsid w:val="00C82A8A"/>
    <w:rsid w:val="00C832E3"/>
    <w:rsid w:val="00C837A4"/>
    <w:rsid w:val="00C84363"/>
    <w:rsid w:val="00C862C2"/>
    <w:rsid w:val="00C8634C"/>
    <w:rsid w:val="00C90A26"/>
    <w:rsid w:val="00C90C43"/>
    <w:rsid w:val="00C90E1E"/>
    <w:rsid w:val="00C90E7D"/>
    <w:rsid w:val="00C918D9"/>
    <w:rsid w:val="00C92618"/>
    <w:rsid w:val="00C92BA3"/>
    <w:rsid w:val="00C92BD0"/>
    <w:rsid w:val="00C96273"/>
    <w:rsid w:val="00C9654F"/>
    <w:rsid w:val="00C9702B"/>
    <w:rsid w:val="00C97150"/>
    <w:rsid w:val="00C97B97"/>
    <w:rsid w:val="00CA0381"/>
    <w:rsid w:val="00CA0A34"/>
    <w:rsid w:val="00CA168B"/>
    <w:rsid w:val="00CA245E"/>
    <w:rsid w:val="00CA30A0"/>
    <w:rsid w:val="00CA4694"/>
    <w:rsid w:val="00CA5647"/>
    <w:rsid w:val="00CB032B"/>
    <w:rsid w:val="00CB0554"/>
    <w:rsid w:val="00CB0EA7"/>
    <w:rsid w:val="00CB1195"/>
    <w:rsid w:val="00CB2B6E"/>
    <w:rsid w:val="00CB2EF8"/>
    <w:rsid w:val="00CB3FF7"/>
    <w:rsid w:val="00CB4E13"/>
    <w:rsid w:val="00CB5782"/>
    <w:rsid w:val="00CB616C"/>
    <w:rsid w:val="00CC1136"/>
    <w:rsid w:val="00CC1A83"/>
    <w:rsid w:val="00CC242E"/>
    <w:rsid w:val="00CC2D3C"/>
    <w:rsid w:val="00CC2F8D"/>
    <w:rsid w:val="00CC300D"/>
    <w:rsid w:val="00CC3560"/>
    <w:rsid w:val="00CC4174"/>
    <w:rsid w:val="00CC5070"/>
    <w:rsid w:val="00CC51E4"/>
    <w:rsid w:val="00CC5606"/>
    <w:rsid w:val="00CC5B0A"/>
    <w:rsid w:val="00CC5F1F"/>
    <w:rsid w:val="00CC739D"/>
    <w:rsid w:val="00CD02A5"/>
    <w:rsid w:val="00CD02A6"/>
    <w:rsid w:val="00CD1C27"/>
    <w:rsid w:val="00CD2192"/>
    <w:rsid w:val="00CD24F4"/>
    <w:rsid w:val="00CD32D1"/>
    <w:rsid w:val="00CD486B"/>
    <w:rsid w:val="00CD5397"/>
    <w:rsid w:val="00CD576A"/>
    <w:rsid w:val="00CD5C23"/>
    <w:rsid w:val="00CD638C"/>
    <w:rsid w:val="00CD6663"/>
    <w:rsid w:val="00CD7764"/>
    <w:rsid w:val="00CD7F0B"/>
    <w:rsid w:val="00CE065C"/>
    <w:rsid w:val="00CE0C8D"/>
    <w:rsid w:val="00CE214E"/>
    <w:rsid w:val="00CE2310"/>
    <w:rsid w:val="00CE2968"/>
    <w:rsid w:val="00CE2E93"/>
    <w:rsid w:val="00CE4098"/>
    <w:rsid w:val="00CE4DA5"/>
    <w:rsid w:val="00CE7320"/>
    <w:rsid w:val="00CE75D8"/>
    <w:rsid w:val="00CE79C7"/>
    <w:rsid w:val="00CF02C5"/>
    <w:rsid w:val="00CF193E"/>
    <w:rsid w:val="00CF1E30"/>
    <w:rsid w:val="00CF1EA3"/>
    <w:rsid w:val="00CF25C8"/>
    <w:rsid w:val="00CF31AF"/>
    <w:rsid w:val="00CF4CFD"/>
    <w:rsid w:val="00CF5A2D"/>
    <w:rsid w:val="00CF63CC"/>
    <w:rsid w:val="00CF7ED4"/>
    <w:rsid w:val="00D00453"/>
    <w:rsid w:val="00D01BD3"/>
    <w:rsid w:val="00D03C92"/>
    <w:rsid w:val="00D04362"/>
    <w:rsid w:val="00D044DC"/>
    <w:rsid w:val="00D05241"/>
    <w:rsid w:val="00D05838"/>
    <w:rsid w:val="00D05A02"/>
    <w:rsid w:val="00D05A7C"/>
    <w:rsid w:val="00D05EEF"/>
    <w:rsid w:val="00D0725D"/>
    <w:rsid w:val="00D077E5"/>
    <w:rsid w:val="00D10DDF"/>
    <w:rsid w:val="00D11185"/>
    <w:rsid w:val="00D11F38"/>
    <w:rsid w:val="00D11F49"/>
    <w:rsid w:val="00D128DD"/>
    <w:rsid w:val="00D12A26"/>
    <w:rsid w:val="00D17467"/>
    <w:rsid w:val="00D17545"/>
    <w:rsid w:val="00D17A5A"/>
    <w:rsid w:val="00D2150F"/>
    <w:rsid w:val="00D215DF"/>
    <w:rsid w:val="00D22A90"/>
    <w:rsid w:val="00D2327A"/>
    <w:rsid w:val="00D23A5B"/>
    <w:rsid w:val="00D2653D"/>
    <w:rsid w:val="00D26673"/>
    <w:rsid w:val="00D266ED"/>
    <w:rsid w:val="00D26A39"/>
    <w:rsid w:val="00D27093"/>
    <w:rsid w:val="00D32250"/>
    <w:rsid w:val="00D333E1"/>
    <w:rsid w:val="00D33E3B"/>
    <w:rsid w:val="00D3430E"/>
    <w:rsid w:val="00D352E5"/>
    <w:rsid w:val="00D35549"/>
    <w:rsid w:val="00D355F8"/>
    <w:rsid w:val="00D35AB4"/>
    <w:rsid w:val="00D362E1"/>
    <w:rsid w:val="00D36496"/>
    <w:rsid w:val="00D3724C"/>
    <w:rsid w:val="00D37D64"/>
    <w:rsid w:val="00D40114"/>
    <w:rsid w:val="00D40B85"/>
    <w:rsid w:val="00D44510"/>
    <w:rsid w:val="00D445AD"/>
    <w:rsid w:val="00D44B5F"/>
    <w:rsid w:val="00D44D5D"/>
    <w:rsid w:val="00D45BCB"/>
    <w:rsid w:val="00D4614A"/>
    <w:rsid w:val="00D462F9"/>
    <w:rsid w:val="00D46C86"/>
    <w:rsid w:val="00D47BF2"/>
    <w:rsid w:val="00D47CBE"/>
    <w:rsid w:val="00D47F35"/>
    <w:rsid w:val="00D505D7"/>
    <w:rsid w:val="00D515B9"/>
    <w:rsid w:val="00D535AC"/>
    <w:rsid w:val="00D53D6F"/>
    <w:rsid w:val="00D54CD8"/>
    <w:rsid w:val="00D555C7"/>
    <w:rsid w:val="00D5590B"/>
    <w:rsid w:val="00D55FFA"/>
    <w:rsid w:val="00D562E0"/>
    <w:rsid w:val="00D566F4"/>
    <w:rsid w:val="00D56B58"/>
    <w:rsid w:val="00D57B70"/>
    <w:rsid w:val="00D60855"/>
    <w:rsid w:val="00D616F9"/>
    <w:rsid w:val="00D6176D"/>
    <w:rsid w:val="00D61995"/>
    <w:rsid w:val="00D61DAC"/>
    <w:rsid w:val="00D621F5"/>
    <w:rsid w:val="00D629CE"/>
    <w:rsid w:val="00D64836"/>
    <w:rsid w:val="00D65410"/>
    <w:rsid w:val="00D707DC"/>
    <w:rsid w:val="00D70A48"/>
    <w:rsid w:val="00D71647"/>
    <w:rsid w:val="00D71BCE"/>
    <w:rsid w:val="00D71C23"/>
    <w:rsid w:val="00D72656"/>
    <w:rsid w:val="00D73723"/>
    <w:rsid w:val="00D73BA9"/>
    <w:rsid w:val="00D746EC"/>
    <w:rsid w:val="00D74EF2"/>
    <w:rsid w:val="00D76710"/>
    <w:rsid w:val="00D77593"/>
    <w:rsid w:val="00D775BF"/>
    <w:rsid w:val="00D801F9"/>
    <w:rsid w:val="00D80496"/>
    <w:rsid w:val="00D811DF"/>
    <w:rsid w:val="00D81F86"/>
    <w:rsid w:val="00D8227B"/>
    <w:rsid w:val="00D8249D"/>
    <w:rsid w:val="00D82F89"/>
    <w:rsid w:val="00D86678"/>
    <w:rsid w:val="00D8672F"/>
    <w:rsid w:val="00D87300"/>
    <w:rsid w:val="00D90518"/>
    <w:rsid w:val="00D909A0"/>
    <w:rsid w:val="00D90A4D"/>
    <w:rsid w:val="00D91F97"/>
    <w:rsid w:val="00D9249A"/>
    <w:rsid w:val="00D92F0E"/>
    <w:rsid w:val="00D931DF"/>
    <w:rsid w:val="00D9339F"/>
    <w:rsid w:val="00D93791"/>
    <w:rsid w:val="00D937CD"/>
    <w:rsid w:val="00D96563"/>
    <w:rsid w:val="00D97E90"/>
    <w:rsid w:val="00DA0155"/>
    <w:rsid w:val="00DA07A1"/>
    <w:rsid w:val="00DA1F3C"/>
    <w:rsid w:val="00DA29B1"/>
    <w:rsid w:val="00DA310F"/>
    <w:rsid w:val="00DA4C5D"/>
    <w:rsid w:val="00DA5124"/>
    <w:rsid w:val="00DA6705"/>
    <w:rsid w:val="00DA6F28"/>
    <w:rsid w:val="00DA6F62"/>
    <w:rsid w:val="00DA7A8E"/>
    <w:rsid w:val="00DB0805"/>
    <w:rsid w:val="00DB1A4A"/>
    <w:rsid w:val="00DB1B1D"/>
    <w:rsid w:val="00DB295A"/>
    <w:rsid w:val="00DB2B63"/>
    <w:rsid w:val="00DB5544"/>
    <w:rsid w:val="00DB5EB2"/>
    <w:rsid w:val="00DB709F"/>
    <w:rsid w:val="00DB796B"/>
    <w:rsid w:val="00DB7E19"/>
    <w:rsid w:val="00DC075C"/>
    <w:rsid w:val="00DC0AB6"/>
    <w:rsid w:val="00DC1803"/>
    <w:rsid w:val="00DC2630"/>
    <w:rsid w:val="00DC28D1"/>
    <w:rsid w:val="00DC3415"/>
    <w:rsid w:val="00DC4E2D"/>
    <w:rsid w:val="00DC6FBB"/>
    <w:rsid w:val="00DC73D8"/>
    <w:rsid w:val="00DC7563"/>
    <w:rsid w:val="00DC78AF"/>
    <w:rsid w:val="00DD0D11"/>
    <w:rsid w:val="00DD2603"/>
    <w:rsid w:val="00DD2BA4"/>
    <w:rsid w:val="00DD2C0D"/>
    <w:rsid w:val="00DD36DA"/>
    <w:rsid w:val="00DD4B19"/>
    <w:rsid w:val="00DD4CBE"/>
    <w:rsid w:val="00DD572D"/>
    <w:rsid w:val="00DD5D38"/>
    <w:rsid w:val="00DD63B4"/>
    <w:rsid w:val="00DD71B8"/>
    <w:rsid w:val="00DE05FE"/>
    <w:rsid w:val="00DE2D45"/>
    <w:rsid w:val="00DE2DD0"/>
    <w:rsid w:val="00DE3169"/>
    <w:rsid w:val="00DE3B6D"/>
    <w:rsid w:val="00DE557B"/>
    <w:rsid w:val="00DE5EE8"/>
    <w:rsid w:val="00DE61C9"/>
    <w:rsid w:val="00DE6DF5"/>
    <w:rsid w:val="00DE74EC"/>
    <w:rsid w:val="00DE797D"/>
    <w:rsid w:val="00DE7BDA"/>
    <w:rsid w:val="00DE7F05"/>
    <w:rsid w:val="00DF002A"/>
    <w:rsid w:val="00DF0721"/>
    <w:rsid w:val="00DF0B01"/>
    <w:rsid w:val="00DF0DC6"/>
    <w:rsid w:val="00DF1472"/>
    <w:rsid w:val="00DF247E"/>
    <w:rsid w:val="00DF259D"/>
    <w:rsid w:val="00DF33F5"/>
    <w:rsid w:val="00DF4BB2"/>
    <w:rsid w:val="00DF543E"/>
    <w:rsid w:val="00DF56B6"/>
    <w:rsid w:val="00DF5A46"/>
    <w:rsid w:val="00DF5B83"/>
    <w:rsid w:val="00DF7521"/>
    <w:rsid w:val="00DF79E3"/>
    <w:rsid w:val="00DF7A0F"/>
    <w:rsid w:val="00DF7A90"/>
    <w:rsid w:val="00DF7DD5"/>
    <w:rsid w:val="00E025E5"/>
    <w:rsid w:val="00E04707"/>
    <w:rsid w:val="00E07FC0"/>
    <w:rsid w:val="00E10B5B"/>
    <w:rsid w:val="00E11105"/>
    <w:rsid w:val="00E1119F"/>
    <w:rsid w:val="00E11F11"/>
    <w:rsid w:val="00E12533"/>
    <w:rsid w:val="00E131F0"/>
    <w:rsid w:val="00E13A3C"/>
    <w:rsid w:val="00E13C0E"/>
    <w:rsid w:val="00E14832"/>
    <w:rsid w:val="00E15607"/>
    <w:rsid w:val="00E1659B"/>
    <w:rsid w:val="00E16939"/>
    <w:rsid w:val="00E1766A"/>
    <w:rsid w:val="00E20A7B"/>
    <w:rsid w:val="00E213FC"/>
    <w:rsid w:val="00E223FD"/>
    <w:rsid w:val="00E22A2E"/>
    <w:rsid w:val="00E22FA5"/>
    <w:rsid w:val="00E236DC"/>
    <w:rsid w:val="00E2553B"/>
    <w:rsid w:val="00E267E6"/>
    <w:rsid w:val="00E27DCD"/>
    <w:rsid w:val="00E31515"/>
    <w:rsid w:val="00E322FB"/>
    <w:rsid w:val="00E32CFD"/>
    <w:rsid w:val="00E33A2A"/>
    <w:rsid w:val="00E34501"/>
    <w:rsid w:val="00E35B8F"/>
    <w:rsid w:val="00E36180"/>
    <w:rsid w:val="00E36B50"/>
    <w:rsid w:val="00E40078"/>
    <w:rsid w:val="00E40BC8"/>
    <w:rsid w:val="00E4180E"/>
    <w:rsid w:val="00E41832"/>
    <w:rsid w:val="00E421C0"/>
    <w:rsid w:val="00E43085"/>
    <w:rsid w:val="00E43406"/>
    <w:rsid w:val="00E43EC9"/>
    <w:rsid w:val="00E4461B"/>
    <w:rsid w:val="00E4520C"/>
    <w:rsid w:val="00E453E5"/>
    <w:rsid w:val="00E45CAF"/>
    <w:rsid w:val="00E463B8"/>
    <w:rsid w:val="00E468D5"/>
    <w:rsid w:val="00E4748A"/>
    <w:rsid w:val="00E47933"/>
    <w:rsid w:val="00E514EF"/>
    <w:rsid w:val="00E51528"/>
    <w:rsid w:val="00E5205D"/>
    <w:rsid w:val="00E526A7"/>
    <w:rsid w:val="00E52756"/>
    <w:rsid w:val="00E5333F"/>
    <w:rsid w:val="00E554F7"/>
    <w:rsid w:val="00E55F73"/>
    <w:rsid w:val="00E56AE4"/>
    <w:rsid w:val="00E57C6A"/>
    <w:rsid w:val="00E61389"/>
    <w:rsid w:val="00E61EB6"/>
    <w:rsid w:val="00E622F7"/>
    <w:rsid w:val="00E62B01"/>
    <w:rsid w:val="00E62DCD"/>
    <w:rsid w:val="00E633FA"/>
    <w:rsid w:val="00E64B67"/>
    <w:rsid w:val="00E64EBF"/>
    <w:rsid w:val="00E65919"/>
    <w:rsid w:val="00E6594F"/>
    <w:rsid w:val="00E669CD"/>
    <w:rsid w:val="00E66F99"/>
    <w:rsid w:val="00E67070"/>
    <w:rsid w:val="00E67386"/>
    <w:rsid w:val="00E7005B"/>
    <w:rsid w:val="00E706AF"/>
    <w:rsid w:val="00E70A2C"/>
    <w:rsid w:val="00E71629"/>
    <w:rsid w:val="00E7196A"/>
    <w:rsid w:val="00E71EF9"/>
    <w:rsid w:val="00E72549"/>
    <w:rsid w:val="00E72E7E"/>
    <w:rsid w:val="00E73D30"/>
    <w:rsid w:val="00E73FB1"/>
    <w:rsid w:val="00E7500F"/>
    <w:rsid w:val="00E7676E"/>
    <w:rsid w:val="00E7687A"/>
    <w:rsid w:val="00E76B4F"/>
    <w:rsid w:val="00E76F02"/>
    <w:rsid w:val="00E77A2D"/>
    <w:rsid w:val="00E77AC1"/>
    <w:rsid w:val="00E80BFA"/>
    <w:rsid w:val="00E81A92"/>
    <w:rsid w:val="00E8387C"/>
    <w:rsid w:val="00E83A1D"/>
    <w:rsid w:val="00E83AFF"/>
    <w:rsid w:val="00E847A7"/>
    <w:rsid w:val="00E848D1"/>
    <w:rsid w:val="00E84DDD"/>
    <w:rsid w:val="00E85DFB"/>
    <w:rsid w:val="00E85FF2"/>
    <w:rsid w:val="00E86CBA"/>
    <w:rsid w:val="00E871E5"/>
    <w:rsid w:val="00E87A0F"/>
    <w:rsid w:val="00E907F3"/>
    <w:rsid w:val="00E90E39"/>
    <w:rsid w:val="00E914DF"/>
    <w:rsid w:val="00E92BBE"/>
    <w:rsid w:val="00E92DCA"/>
    <w:rsid w:val="00E939C2"/>
    <w:rsid w:val="00E93C25"/>
    <w:rsid w:val="00E93C9E"/>
    <w:rsid w:val="00E943E6"/>
    <w:rsid w:val="00E951A5"/>
    <w:rsid w:val="00E95223"/>
    <w:rsid w:val="00E95C9C"/>
    <w:rsid w:val="00E961BC"/>
    <w:rsid w:val="00E972FA"/>
    <w:rsid w:val="00EA014C"/>
    <w:rsid w:val="00EA14B2"/>
    <w:rsid w:val="00EA2941"/>
    <w:rsid w:val="00EA4323"/>
    <w:rsid w:val="00EA455A"/>
    <w:rsid w:val="00EA4CD9"/>
    <w:rsid w:val="00EA4D09"/>
    <w:rsid w:val="00EA5345"/>
    <w:rsid w:val="00EA5D8D"/>
    <w:rsid w:val="00EA6A15"/>
    <w:rsid w:val="00EA7771"/>
    <w:rsid w:val="00EB03F1"/>
    <w:rsid w:val="00EB1557"/>
    <w:rsid w:val="00EB2356"/>
    <w:rsid w:val="00EB26CD"/>
    <w:rsid w:val="00EB32C2"/>
    <w:rsid w:val="00EB45AA"/>
    <w:rsid w:val="00EB575D"/>
    <w:rsid w:val="00EB793D"/>
    <w:rsid w:val="00EC0304"/>
    <w:rsid w:val="00EC0833"/>
    <w:rsid w:val="00EC2A56"/>
    <w:rsid w:val="00EC2B0D"/>
    <w:rsid w:val="00EC3AF1"/>
    <w:rsid w:val="00EC3BE1"/>
    <w:rsid w:val="00EC47D3"/>
    <w:rsid w:val="00EC5466"/>
    <w:rsid w:val="00EC548A"/>
    <w:rsid w:val="00EC630F"/>
    <w:rsid w:val="00EC6755"/>
    <w:rsid w:val="00EC6ED1"/>
    <w:rsid w:val="00EC7AA6"/>
    <w:rsid w:val="00ED06E3"/>
    <w:rsid w:val="00ED0FF1"/>
    <w:rsid w:val="00ED16A9"/>
    <w:rsid w:val="00ED16DA"/>
    <w:rsid w:val="00ED22AC"/>
    <w:rsid w:val="00ED22B7"/>
    <w:rsid w:val="00ED2867"/>
    <w:rsid w:val="00ED3522"/>
    <w:rsid w:val="00ED4A51"/>
    <w:rsid w:val="00ED4ED4"/>
    <w:rsid w:val="00ED74A0"/>
    <w:rsid w:val="00ED775E"/>
    <w:rsid w:val="00EE148D"/>
    <w:rsid w:val="00EE1B8E"/>
    <w:rsid w:val="00EE1E11"/>
    <w:rsid w:val="00EE25FA"/>
    <w:rsid w:val="00EE329C"/>
    <w:rsid w:val="00EE4EB4"/>
    <w:rsid w:val="00EE570F"/>
    <w:rsid w:val="00EE5793"/>
    <w:rsid w:val="00EE5F89"/>
    <w:rsid w:val="00EF1B2D"/>
    <w:rsid w:val="00EF1E29"/>
    <w:rsid w:val="00EF1EAE"/>
    <w:rsid w:val="00EF2AA0"/>
    <w:rsid w:val="00EF3716"/>
    <w:rsid w:val="00EF5BAC"/>
    <w:rsid w:val="00EF5EBE"/>
    <w:rsid w:val="00F01097"/>
    <w:rsid w:val="00F0196A"/>
    <w:rsid w:val="00F022EF"/>
    <w:rsid w:val="00F02ABC"/>
    <w:rsid w:val="00F0327B"/>
    <w:rsid w:val="00F03330"/>
    <w:rsid w:val="00F03875"/>
    <w:rsid w:val="00F04C43"/>
    <w:rsid w:val="00F04DE0"/>
    <w:rsid w:val="00F04FCA"/>
    <w:rsid w:val="00F06909"/>
    <w:rsid w:val="00F06FA4"/>
    <w:rsid w:val="00F07B2D"/>
    <w:rsid w:val="00F110F8"/>
    <w:rsid w:val="00F1287F"/>
    <w:rsid w:val="00F137DD"/>
    <w:rsid w:val="00F13BDE"/>
    <w:rsid w:val="00F13C79"/>
    <w:rsid w:val="00F149B4"/>
    <w:rsid w:val="00F14ABC"/>
    <w:rsid w:val="00F15324"/>
    <w:rsid w:val="00F172EE"/>
    <w:rsid w:val="00F201EF"/>
    <w:rsid w:val="00F21F05"/>
    <w:rsid w:val="00F22FC2"/>
    <w:rsid w:val="00F23302"/>
    <w:rsid w:val="00F233F3"/>
    <w:rsid w:val="00F238B2"/>
    <w:rsid w:val="00F23FB4"/>
    <w:rsid w:val="00F248B6"/>
    <w:rsid w:val="00F25474"/>
    <w:rsid w:val="00F26583"/>
    <w:rsid w:val="00F267A1"/>
    <w:rsid w:val="00F27072"/>
    <w:rsid w:val="00F2735A"/>
    <w:rsid w:val="00F273C3"/>
    <w:rsid w:val="00F3139E"/>
    <w:rsid w:val="00F31637"/>
    <w:rsid w:val="00F31943"/>
    <w:rsid w:val="00F32D91"/>
    <w:rsid w:val="00F33B9F"/>
    <w:rsid w:val="00F3505C"/>
    <w:rsid w:val="00F365D3"/>
    <w:rsid w:val="00F407E5"/>
    <w:rsid w:val="00F41932"/>
    <w:rsid w:val="00F4468B"/>
    <w:rsid w:val="00F44832"/>
    <w:rsid w:val="00F44C22"/>
    <w:rsid w:val="00F47671"/>
    <w:rsid w:val="00F4789A"/>
    <w:rsid w:val="00F5059B"/>
    <w:rsid w:val="00F51106"/>
    <w:rsid w:val="00F51C00"/>
    <w:rsid w:val="00F51D44"/>
    <w:rsid w:val="00F51FDE"/>
    <w:rsid w:val="00F52418"/>
    <w:rsid w:val="00F52433"/>
    <w:rsid w:val="00F5278E"/>
    <w:rsid w:val="00F54491"/>
    <w:rsid w:val="00F54B2A"/>
    <w:rsid w:val="00F55346"/>
    <w:rsid w:val="00F579A3"/>
    <w:rsid w:val="00F57D9C"/>
    <w:rsid w:val="00F61364"/>
    <w:rsid w:val="00F614C4"/>
    <w:rsid w:val="00F61E2F"/>
    <w:rsid w:val="00F6501F"/>
    <w:rsid w:val="00F65A66"/>
    <w:rsid w:val="00F65BE7"/>
    <w:rsid w:val="00F65DC7"/>
    <w:rsid w:val="00F661EC"/>
    <w:rsid w:val="00F67691"/>
    <w:rsid w:val="00F67E08"/>
    <w:rsid w:val="00F72281"/>
    <w:rsid w:val="00F7256C"/>
    <w:rsid w:val="00F744A3"/>
    <w:rsid w:val="00F747E7"/>
    <w:rsid w:val="00F75429"/>
    <w:rsid w:val="00F75A59"/>
    <w:rsid w:val="00F76048"/>
    <w:rsid w:val="00F76371"/>
    <w:rsid w:val="00F7650A"/>
    <w:rsid w:val="00F76C0E"/>
    <w:rsid w:val="00F77E22"/>
    <w:rsid w:val="00F80AE1"/>
    <w:rsid w:val="00F82DBE"/>
    <w:rsid w:val="00F83DDA"/>
    <w:rsid w:val="00F848AA"/>
    <w:rsid w:val="00F84A00"/>
    <w:rsid w:val="00F84B6E"/>
    <w:rsid w:val="00F84DAB"/>
    <w:rsid w:val="00F8520A"/>
    <w:rsid w:val="00F85ACB"/>
    <w:rsid w:val="00F87AAE"/>
    <w:rsid w:val="00F90C4D"/>
    <w:rsid w:val="00F917E3"/>
    <w:rsid w:val="00F92385"/>
    <w:rsid w:val="00F93F74"/>
    <w:rsid w:val="00F93FB1"/>
    <w:rsid w:val="00F94752"/>
    <w:rsid w:val="00F94EDF"/>
    <w:rsid w:val="00F950E2"/>
    <w:rsid w:val="00F95683"/>
    <w:rsid w:val="00F95DDF"/>
    <w:rsid w:val="00F9606B"/>
    <w:rsid w:val="00F96108"/>
    <w:rsid w:val="00F97E42"/>
    <w:rsid w:val="00FA01B4"/>
    <w:rsid w:val="00FA02D8"/>
    <w:rsid w:val="00FA0EC6"/>
    <w:rsid w:val="00FA127D"/>
    <w:rsid w:val="00FA2EE7"/>
    <w:rsid w:val="00FA408F"/>
    <w:rsid w:val="00FA4672"/>
    <w:rsid w:val="00FA4E59"/>
    <w:rsid w:val="00FA566D"/>
    <w:rsid w:val="00FA70A7"/>
    <w:rsid w:val="00FB14E5"/>
    <w:rsid w:val="00FB1B8B"/>
    <w:rsid w:val="00FB38BA"/>
    <w:rsid w:val="00FB42D5"/>
    <w:rsid w:val="00FB5337"/>
    <w:rsid w:val="00FB7AEB"/>
    <w:rsid w:val="00FC0663"/>
    <w:rsid w:val="00FC15E7"/>
    <w:rsid w:val="00FC1D27"/>
    <w:rsid w:val="00FC2874"/>
    <w:rsid w:val="00FC2A37"/>
    <w:rsid w:val="00FC2E34"/>
    <w:rsid w:val="00FC37F5"/>
    <w:rsid w:val="00FC3A15"/>
    <w:rsid w:val="00FC445E"/>
    <w:rsid w:val="00FC4E14"/>
    <w:rsid w:val="00FC5F1A"/>
    <w:rsid w:val="00FC685C"/>
    <w:rsid w:val="00FD06DF"/>
    <w:rsid w:val="00FD0B4D"/>
    <w:rsid w:val="00FD0BD4"/>
    <w:rsid w:val="00FD1298"/>
    <w:rsid w:val="00FD13ED"/>
    <w:rsid w:val="00FD17EC"/>
    <w:rsid w:val="00FD4CF9"/>
    <w:rsid w:val="00FD54BE"/>
    <w:rsid w:val="00FD685A"/>
    <w:rsid w:val="00FD71D8"/>
    <w:rsid w:val="00FD7EF5"/>
    <w:rsid w:val="00FE316C"/>
    <w:rsid w:val="00FE3C69"/>
    <w:rsid w:val="00FE460B"/>
    <w:rsid w:val="00FE518A"/>
    <w:rsid w:val="00FE5A50"/>
    <w:rsid w:val="00FE6973"/>
    <w:rsid w:val="00FE7485"/>
    <w:rsid w:val="00FE75E7"/>
    <w:rsid w:val="00FF092A"/>
    <w:rsid w:val="00FF0959"/>
    <w:rsid w:val="00FF1F40"/>
    <w:rsid w:val="00FF3C95"/>
    <w:rsid w:val="00FF3D95"/>
    <w:rsid w:val="00FF4459"/>
    <w:rsid w:val="00FF4890"/>
    <w:rsid w:val="00FF4CB0"/>
    <w:rsid w:val="00FF56B6"/>
    <w:rsid w:val="00FF5F9A"/>
    <w:rsid w:val="00FF72AB"/>
    <w:rsid w:val="00FF73CA"/>
    <w:rsid w:val="02ABEC18"/>
    <w:rsid w:val="178E93E8"/>
    <w:rsid w:val="17BF1FED"/>
    <w:rsid w:val="17CB0322"/>
    <w:rsid w:val="1B1C6943"/>
    <w:rsid w:val="1C61FF96"/>
    <w:rsid w:val="1CD6A559"/>
    <w:rsid w:val="2521C5D4"/>
    <w:rsid w:val="2B445EE2"/>
    <w:rsid w:val="3FF1F077"/>
    <w:rsid w:val="4461D4C5"/>
    <w:rsid w:val="47A88146"/>
    <w:rsid w:val="4CFBA46C"/>
    <w:rsid w:val="4F16CDB0"/>
    <w:rsid w:val="606E63F1"/>
    <w:rsid w:val="6C4372CE"/>
    <w:rsid w:val="731337A8"/>
    <w:rsid w:val="78E80048"/>
    <w:rsid w:val="7C4555B3"/>
    <w:rsid w:val="7F575E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B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5C"/>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CE065C"/>
    <w:pPr>
      <w:keepNext/>
      <w:spacing w:before="360" w:after="24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CE065C"/>
    <w:pPr>
      <w:keepNext/>
      <w:spacing w:before="360" w:after="240"/>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1F7B"/>
    <w:pPr>
      <w:tabs>
        <w:tab w:val="center" w:pos="4320"/>
        <w:tab w:val="right" w:pos="8640"/>
      </w:tabs>
      <w:jc w:val="right"/>
    </w:pPr>
  </w:style>
  <w:style w:type="character" w:customStyle="1" w:styleId="HeaderChar">
    <w:name w:val="Header Char"/>
    <w:basedOn w:val="DefaultParagraphFont"/>
    <w:link w:val="Header"/>
    <w:rsid w:val="00B51F7B"/>
    <w:rPr>
      <w:rFonts w:ascii="Calibri Light" w:eastAsia="Times New Roman" w:hAnsi="Calibri Light"/>
      <w:sz w:val="22"/>
      <w:lang w:eastAsia="en-AU"/>
    </w:rPr>
  </w:style>
  <w:style w:type="paragraph" w:styleId="Footer">
    <w:name w:val="footer"/>
    <w:basedOn w:val="Normal"/>
    <w:link w:val="FooterChar"/>
    <w:uiPriority w:val="99"/>
    <w:rsid w:val="007936DC"/>
    <w:pPr>
      <w:tabs>
        <w:tab w:val="center" w:pos="4320"/>
        <w:tab w:val="right" w:pos="8640"/>
      </w:tabs>
    </w:pPr>
    <w:rPr>
      <w:sz w:val="20"/>
    </w:rPr>
  </w:style>
  <w:style w:type="character" w:customStyle="1" w:styleId="FooterChar">
    <w:name w:val="Footer Char"/>
    <w:basedOn w:val="DefaultParagraphFont"/>
    <w:link w:val="Footer"/>
    <w:uiPriority w:val="99"/>
    <w:rsid w:val="007936DC"/>
    <w:rPr>
      <w:rFonts w:ascii="Calibri Light" w:eastAsia="Times New Roman" w:hAnsi="Calibri Light"/>
      <w:lang w:eastAsia="en-AU"/>
    </w:rPr>
  </w:style>
  <w:style w:type="paragraph" w:customStyle="1" w:styleId="Factsheettitle">
    <w:name w:val="Fact sheet title"/>
    <w:basedOn w:val="Normal"/>
    <w:qFormat/>
    <w:rsid w:val="00CE065C"/>
    <w:pPr>
      <w:spacing w:after="600"/>
      <w:outlineLvl w:val="0"/>
    </w:pPr>
    <w:rPr>
      <w:rFonts w:ascii="Calibri" w:hAnsi="Calibri"/>
      <w:color w:val="2C384A" w:themeColor="accent1"/>
      <w:spacing w:val="-14"/>
      <w:sz w:val="64"/>
      <w:szCs w:val="68"/>
    </w:rPr>
  </w:style>
  <w:style w:type="character" w:customStyle="1" w:styleId="Heading1Char">
    <w:name w:val="Heading 1 Char"/>
    <w:basedOn w:val="DefaultParagraphFont"/>
    <w:link w:val="Heading1"/>
    <w:rsid w:val="00CE065C"/>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8F1709"/>
    <w:pPr>
      <w:numPr>
        <w:ilvl w:val="1"/>
        <w:numId w:val="7"/>
      </w:numPr>
      <w:spacing w:before="0"/>
    </w:pPr>
  </w:style>
  <w:style w:type="character" w:customStyle="1" w:styleId="DashChar">
    <w:name w:val="Dash Char"/>
    <w:basedOn w:val="DefaultParagraphFont"/>
    <w:link w:val="Dash"/>
    <w:rsid w:val="008F1709"/>
    <w:rPr>
      <w:rFonts w:ascii="Calibri Light" w:eastAsia="Times New Roman" w:hAnsi="Calibri Light"/>
      <w:sz w:val="22"/>
      <w:lang w:eastAsia="en-AU"/>
    </w:rPr>
  </w:style>
  <w:style w:type="paragraph" w:customStyle="1" w:styleId="DoubleDot">
    <w:name w:val="Double Dot"/>
    <w:basedOn w:val="Normal"/>
    <w:link w:val="DoubleDotChar"/>
    <w:qFormat/>
    <w:rsid w:val="008F1709"/>
    <w:pPr>
      <w:numPr>
        <w:ilvl w:val="2"/>
        <w:numId w:val="7"/>
      </w:numPr>
      <w:spacing w:before="0"/>
    </w:pPr>
  </w:style>
  <w:style w:type="character" w:customStyle="1" w:styleId="DoubleDotChar">
    <w:name w:val="Double Dot Char"/>
    <w:basedOn w:val="DefaultParagraphFont"/>
    <w:link w:val="DoubleDot"/>
    <w:rsid w:val="008F1709"/>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CE065C"/>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CE065C"/>
    <w:pPr>
      <w:numPr>
        <w:numId w:val="7"/>
      </w:numPr>
      <w:spacing w:before="60" w:after="6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CE065C"/>
    <w:rPr>
      <w:rFonts w:ascii="Calibri Light" w:eastAsia="Times New Roman" w:hAnsi="Calibri Light"/>
      <w:sz w:val="22"/>
      <w:lang w:eastAsia="en-AU"/>
    </w:rPr>
  </w:style>
  <w:style w:type="paragraph" w:customStyle="1" w:styleId="Boxbullet">
    <w:name w:val="Box bullet"/>
    <w:basedOn w:val="Bullet"/>
    <w:rsid w:val="00BA123B"/>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CE065C"/>
    <w:rPr>
      <w:b/>
    </w:rPr>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0">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styleId="CommentReference">
    <w:name w:val="annotation reference"/>
    <w:basedOn w:val="DefaultParagraphFont"/>
    <w:semiHidden/>
    <w:unhideWhenUsed/>
    <w:rsid w:val="00F67691"/>
    <w:rPr>
      <w:sz w:val="16"/>
      <w:szCs w:val="16"/>
    </w:rPr>
  </w:style>
  <w:style w:type="paragraph" w:styleId="CommentText">
    <w:name w:val="annotation text"/>
    <w:basedOn w:val="Normal"/>
    <w:link w:val="CommentTextChar"/>
    <w:unhideWhenUsed/>
    <w:rsid w:val="00F67691"/>
    <w:rPr>
      <w:sz w:val="20"/>
    </w:rPr>
  </w:style>
  <w:style w:type="character" w:customStyle="1" w:styleId="CommentTextChar">
    <w:name w:val="Comment Text Char"/>
    <w:basedOn w:val="DefaultParagraphFont"/>
    <w:link w:val="CommentText"/>
    <w:rsid w:val="00F67691"/>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F67691"/>
    <w:rPr>
      <w:b/>
      <w:bCs/>
    </w:rPr>
  </w:style>
  <w:style w:type="character" w:customStyle="1" w:styleId="CommentSubjectChar">
    <w:name w:val="Comment Subject Char"/>
    <w:basedOn w:val="CommentTextChar"/>
    <w:link w:val="CommentSubject"/>
    <w:semiHidden/>
    <w:rsid w:val="00F67691"/>
    <w:rPr>
      <w:rFonts w:ascii="Calibri Light" w:eastAsia="Times New Roman" w:hAnsi="Calibri Light"/>
      <w:b/>
      <w:bCs/>
      <w:lang w:eastAsia="en-AU"/>
    </w:rPr>
  </w:style>
  <w:style w:type="paragraph" w:customStyle="1" w:styleId="HHText">
    <w:name w:val="HH Text"/>
    <w:basedOn w:val="Normal"/>
    <w:qFormat/>
    <w:rsid w:val="00297FCD"/>
    <w:pPr>
      <w:keepLines/>
      <w:spacing w:before="200" w:after="0"/>
      <w:jc w:val="both"/>
    </w:pPr>
    <w:rPr>
      <w:color w:val="000000" w:themeColor="text1"/>
    </w:rPr>
  </w:style>
  <w:style w:type="character" w:styleId="UnresolvedMention">
    <w:name w:val="Unresolved Mention"/>
    <w:basedOn w:val="DefaultParagraphFont"/>
    <w:uiPriority w:val="99"/>
    <w:semiHidden/>
    <w:unhideWhenUsed/>
    <w:rsid w:val="00D73723"/>
    <w:rPr>
      <w:color w:val="605E5C"/>
      <w:shd w:val="clear" w:color="auto" w:fill="E1DFDD"/>
    </w:rPr>
  </w:style>
  <w:style w:type="character" w:customStyle="1" w:styleId="ui-provider">
    <w:name w:val="ui-provider"/>
    <w:basedOn w:val="DefaultParagraphFont"/>
    <w:rsid w:val="00B95CFE"/>
  </w:style>
  <w:style w:type="paragraph" w:customStyle="1" w:styleId="TableHeading">
    <w:name w:val="Table Heading"/>
    <w:basedOn w:val="Heading4"/>
    <w:next w:val="Normal"/>
    <w:uiPriority w:val="1"/>
    <w:rsid w:val="000331E6"/>
    <w:pPr>
      <w:numPr>
        <w:ilvl w:val="4"/>
        <w:numId w:val="15"/>
      </w:numPr>
      <w:spacing w:before="240" w:after="200" w:line="240" w:lineRule="auto"/>
      <w:ind w:left="0" w:firstLine="0"/>
    </w:pPr>
    <w:rPr>
      <w:rFonts w:ascii="Helvetica" w:hAnsi="Helvetica" w:cs="Helvetica"/>
      <w:b/>
      <w:i/>
      <w:iCs/>
      <w:color w:val="auto"/>
      <w:kern w:val="0"/>
      <w:szCs w:val="22"/>
      <w:lang w:eastAsia="en-US"/>
    </w:rPr>
  </w:style>
  <w:style w:type="paragraph" w:customStyle="1" w:styleId="Chapterheading">
    <w:name w:val="Chapter heading"/>
    <w:basedOn w:val="Heading1"/>
    <w:next w:val="Normal"/>
    <w:rsid w:val="000331E6"/>
    <w:pPr>
      <w:keepLines/>
      <w:numPr>
        <w:numId w:val="15"/>
      </w:numPr>
      <w:pBdr>
        <w:bottom w:val="single" w:sz="4" w:space="8" w:color="auto"/>
      </w:pBdr>
      <w:spacing w:before="0" w:after="480" w:line="240" w:lineRule="auto"/>
    </w:pPr>
    <w:rPr>
      <w:rFonts w:ascii="Helvitica" w:eastAsiaTheme="majorEastAsia" w:hAnsi="Helvitica" w:cstheme="majorBidi"/>
      <w:i/>
      <w:color w:val="auto"/>
      <w:kern w:val="0"/>
      <w:sz w:val="40"/>
      <w:szCs w:val="32"/>
      <w:lang w:eastAsia="en-US"/>
    </w:rPr>
  </w:style>
  <w:style w:type="numbering" w:customStyle="1" w:styleId="Chapternumbering">
    <w:name w:val="Chapter numbering"/>
    <w:uiPriority w:val="99"/>
    <w:rsid w:val="000331E6"/>
    <w:pPr>
      <w:numPr>
        <w:numId w:val="15"/>
      </w:numPr>
    </w:pPr>
  </w:style>
  <w:style w:type="paragraph" w:customStyle="1" w:styleId="DiagramHeading">
    <w:name w:val="Diagram Heading"/>
    <w:basedOn w:val="TableHeading"/>
    <w:next w:val="Normal"/>
    <w:uiPriority w:val="1"/>
    <w:rsid w:val="000331E6"/>
    <w:pPr>
      <w:numPr>
        <w:ilvl w:val="2"/>
      </w:numPr>
      <w:ind w:left="0" w:firstLine="0"/>
    </w:pPr>
  </w:style>
  <w:style w:type="paragraph" w:customStyle="1" w:styleId="ExampleHeading">
    <w:name w:val="Example Heading"/>
    <w:basedOn w:val="TableHeading"/>
    <w:next w:val="Normal"/>
    <w:uiPriority w:val="1"/>
    <w:rsid w:val="000331E6"/>
    <w:pPr>
      <w:numPr>
        <w:ilvl w:val="3"/>
      </w:numPr>
      <w:ind w:left="0" w:firstLine="0"/>
    </w:pPr>
  </w:style>
  <w:style w:type="paragraph" w:customStyle="1" w:styleId="Normalparatextwithnumbers">
    <w:name w:val="Normal para text (with numbers)"/>
    <w:basedOn w:val="Normal"/>
    <w:link w:val="NormalparatextwithnumbersChar"/>
    <w:qFormat/>
    <w:rsid w:val="000331E6"/>
    <w:pPr>
      <w:numPr>
        <w:ilvl w:val="1"/>
        <w:numId w:val="15"/>
      </w:numPr>
    </w:pPr>
    <w:rPr>
      <w:rFonts w:ascii="Times New Roman" w:eastAsiaTheme="minorHAnsi" w:hAnsi="Times New Roman" w:cstheme="minorBidi"/>
      <w:szCs w:val="22"/>
      <w:lang w:eastAsia="en-US"/>
    </w:rPr>
  </w:style>
  <w:style w:type="character" w:customStyle="1" w:styleId="NormalparatextwithnumbersChar">
    <w:name w:val="Normal para text (with numbers) Char"/>
    <w:basedOn w:val="DefaultParagraphFont"/>
    <w:link w:val="Normalparatextwithnumbers"/>
    <w:locked/>
    <w:rsid w:val="000331E6"/>
    <w:rPr>
      <w:rFonts w:ascii="Times New Roman" w:hAnsi="Times New Roman" w:cstheme="minorBidi"/>
      <w:sz w:val="22"/>
      <w:szCs w:val="22"/>
    </w:rPr>
  </w:style>
  <w:style w:type="paragraph" w:customStyle="1" w:styleId="OutlineNumbered1">
    <w:name w:val="Outline Numbered 1"/>
    <w:basedOn w:val="Normal"/>
    <w:link w:val="OutlineNumbered1Char"/>
    <w:rsid w:val="00AA1471"/>
    <w:pPr>
      <w:numPr>
        <w:numId w:val="21"/>
      </w:numPr>
    </w:pPr>
    <w:rPr>
      <w:szCs w:val="24"/>
    </w:rPr>
  </w:style>
  <w:style w:type="character" w:customStyle="1" w:styleId="OutlineNumbered1Char">
    <w:name w:val="Outline Numbered 1 Char"/>
    <w:basedOn w:val="ListParagraphChar"/>
    <w:link w:val="OutlineNumbered1"/>
    <w:rsid w:val="00AA1471"/>
    <w:rPr>
      <w:rFonts w:ascii="Calibri Light" w:eastAsia="Times New Roman" w:hAnsi="Calibri Light"/>
      <w:sz w:val="22"/>
      <w:szCs w:val="24"/>
      <w:lang w:eastAsia="en-AU"/>
    </w:rPr>
  </w:style>
  <w:style w:type="paragraph" w:customStyle="1" w:styleId="OutlineNumbered2">
    <w:name w:val="Outline Numbered 2"/>
    <w:basedOn w:val="Normal"/>
    <w:link w:val="OutlineNumbered2Char"/>
    <w:rsid w:val="00AA1471"/>
    <w:pPr>
      <w:numPr>
        <w:ilvl w:val="1"/>
        <w:numId w:val="21"/>
      </w:numPr>
    </w:pPr>
    <w:rPr>
      <w:szCs w:val="24"/>
    </w:rPr>
  </w:style>
  <w:style w:type="character" w:customStyle="1" w:styleId="OutlineNumbered2Char">
    <w:name w:val="Outline Numbered 2 Char"/>
    <w:basedOn w:val="ListParagraphChar"/>
    <w:link w:val="OutlineNumbered2"/>
    <w:rsid w:val="00AA1471"/>
    <w:rPr>
      <w:rFonts w:ascii="Calibri Light" w:eastAsia="Times New Roman" w:hAnsi="Calibri Light"/>
      <w:sz w:val="22"/>
      <w:szCs w:val="24"/>
      <w:lang w:eastAsia="en-AU"/>
    </w:rPr>
  </w:style>
  <w:style w:type="paragraph" w:customStyle="1" w:styleId="OutlineNumbered3">
    <w:name w:val="Outline Numbered 3"/>
    <w:basedOn w:val="Normal"/>
    <w:link w:val="OutlineNumbered3Char"/>
    <w:rsid w:val="00AA1471"/>
    <w:pPr>
      <w:numPr>
        <w:ilvl w:val="2"/>
        <w:numId w:val="21"/>
      </w:numPr>
    </w:pPr>
    <w:rPr>
      <w:szCs w:val="24"/>
    </w:rPr>
  </w:style>
  <w:style w:type="character" w:customStyle="1" w:styleId="OutlineNumbered3Char">
    <w:name w:val="Outline Numbered 3 Char"/>
    <w:basedOn w:val="ListParagraphChar"/>
    <w:link w:val="OutlineNumbered3"/>
    <w:rsid w:val="00AA1471"/>
    <w:rPr>
      <w:rFonts w:ascii="Calibri Light" w:eastAsia="Times New Roman" w:hAnsi="Calibri Light"/>
      <w:sz w:val="22"/>
      <w:szCs w:val="24"/>
      <w:lang w:eastAsia="en-AU"/>
    </w:rPr>
  </w:style>
  <w:style w:type="character" w:styleId="Mention">
    <w:name w:val="Mention"/>
    <w:basedOn w:val="DefaultParagraphFont"/>
    <w:uiPriority w:val="99"/>
    <w:unhideWhenUsed/>
    <w:rsid w:val="009F4D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3842">
      <w:bodyDiv w:val="1"/>
      <w:marLeft w:val="0"/>
      <w:marRight w:val="0"/>
      <w:marTop w:val="0"/>
      <w:marBottom w:val="0"/>
      <w:divBdr>
        <w:top w:val="none" w:sz="0" w:space="0" w:color="auto"/>
        <w:left w:val="none" w:sz="0" w:space="0" w:color="auto"/>
        <w:bottom w:val="none" w:sz="0" w:space="0" w:color="auto"/>
        <w:right w:val="none" w:sz="0" w:space="0" w:color="auto"/>
      </w:divBdr>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789740692">
      <w:bodyDiv w:val="1"/>
      <w:marLeft w:val="0"/>
      <w:marRight w:val="0"/>
      <w:marTop w:val="0"/>
      <w:marBottom w:val="0"/>
      <w:divBdr>
        <w:top w:val="none" w:sz="0" w:space="0" w:color="auto"/>
        <w:left w:val="none" w:sz="0" w:space="0" w:color="auto"/>
        <w:bottom w:val="none" w:sz="0" w:space="0" w:color="auto"/>
        <w:right w:val="none" w:sz="0" w:space="0" w:color="auto"/>
      </w:divBdr>
      <w:divsChild>
        <w:div w:id="1258323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77346877">
      <w:bodyDiv w:val="1"/>
      <w:marLeft w:val="0"/>
      <w:marRight w:val="0"/>
      <w:marTop w:val="0"/>
      <w:marBottom w:val="0"/>
      <w:divBdr>
        <w:top w:val="none" w:sz="0" w:space="0" w:color="auto"/>
        <w:left w:val="none" w:sz="0" w:space="0" w:color="auto"/>
        <w:bottom w:val="none" w:sz="0" w:space="0" w:color="auto"/>
        <w:right w:val="none" w:sz="0" w:space="0" w:color="auto"/>
      </w:divBdr>
      <w:divsChild>
        <w:div w:id="1449859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38622030">
      <w:bodyDiv w:val="1"/>
      <w:marLeft w:val="0"/>
      <w:marRight w:val="0"/>
      <w:marTop w:val="0"/>
      <w:marBottom w:val="0"/>
      <w:divBdr>
        <w:top w:val="none" w:sz="0" w:space="0" w:color="auto"/>
        <w:left w:val="none" w:sz="0" w:space="0" w:color="auto"/>
        <w:bottom w:val="none" w:sz="0" w:space="0" w:color="auto"/>
        <w:right w:val="none" w:sz="0" w:space="0" w:color="auto"/>
      </w:divBdr>
    </w:div>
    <w:div w:id="1094088656">
      <w:bodyDiv w:val="1"/>
      <w:marLeft w:val="0"/>
      <w:marRight w:val="0"/>
      <w:marTop w:val="0"/>
      <w:marBottom w:val="0"/>
      <w:divBdr>
        <w:top w:val="none" w:sz="0" w:space="0" w:color="auto"/>
        <w:left w:val="none" w:sz="0" w:space="0" w:color="auto"/>
        <w:bottom w:val="none" w:sz="0" w:space="0" w:color="auto"/>
        <w:right w:val="none" w:sz="0" w:space="0" w:color="auto"/>
      </w:divBdr>
      <w:divsChild>
        <w:div w:id="41624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199856637">
      <w:bodyDiv w:val="1"/>
      <w:marLeft w:val="0"/>
      <w:marRight w:val="0"/>
      <w:marTop w:val="0"/>
      <w:marBottom w:val="0"/>
      <w:divBdr>
        <w:top w:val="none" w:sz="0" w:space="0" w:color="auto"/>
        <w:left w:val="none" w:sz="0" w:space="0" w:color="auto"/>
        <w:bottom w:val="none" w:sz="0" w:space="0" w:color="auto"/>
        <w:right w:val="none" w:sz="0" w:space="0" w:color="auto"/>
      </w:divBdr>
    </w:div>
    <w:div w:id="1251042617">
      <w:bodyDiv w:val="1"/>
      <w:marLeft w:val="0"/>
      <w:marRight w:val="0"/>
      <w:marTop w:val="0"/>
      <w:marBottom w:val="0"/>
      <w:divBdr>
        <w:top w:val="none" w:sz="0" w:space="0" w:color="auto"/>
        <w:left w:val="none" w:sz="0" w:space="0" w:color="auto"/>
        <w:bottom w:val="none" w:sz="0" w:space="0" w:color="auto"/>
        <w:right w:val="none" w:sz="0" w:space="0" w:color="auto"/>
      </w:divBdr>
    </w:div>
    <w:div w:id="1343165466">
      <w:bodyDiv w:val="1"/>
      <w:marLeft w:val="0"/>
      <w:marRight w:val="0"/>
      <w:marTop w:val="0"/>
      <w:marBottom w:val="0"/>
      <w:divBdr>
        <w:top w:val="none" w:sz="0" w:space="0" w:color="auto"/>
        <w:left w:val="none" w:sz="0" w:space="0" w:color="auto"/>
        <w:bottom w:val="none" w:sz="0" w:space="0" w:color="auto"/>
        <w:right w:val="none" w:sz="0" w:space="0" w:color="auto"/>
      </w:divBdr>
    </w:div>
    <w:div w:id="1513227982">
      <w:bodyDiv w:val="1"/>
      <w:marLeft w:val="0"/>
      <w:marRight w:val="0"/>
      <w:marTop w:val="0"/>
      <w:marBottom w:val="0"/>
      <w:divBdr>
        <w:top w:val="none" w:sz="0" w:space="0" w:color="auto"/>
        <w:left w:val="none" w:sz="0" w:space="0" w:color="auto"/>
        <w:bottom w:val="none" w:sz="0" w:space="0" w:color="auto"/>
        <w:right w:val="none" w:sz="0" w:space="0" w:color="auto"/>
      </w:divBdr>
    </w:div>
    <w:div w:id="1550726995">
      <w:bodyDiv w:val="1"/>
      <w:marLeft w:val="0"/>
      <w:marRight w:val="0"/>
      <w:marTop w:val="0"/>
      <w:marBottom w:val="0"/>
      <w:divBdr>
        <w:top w:val="none" w:sz="0" w:space="0" w:color="auto"/>
        <w:left w:val="none" w:sz="0" w:space="0" w:color="auto"/>
        <w:bottom w:val="none" w:sz="0" w:space="0" w:color="auto"/>
        <w:right w:val="none" w:sz="0" w:space="0" w:color="auto"/>
      </w:divBdr>
    </w:div>
    <w:div w:id="164712839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12235163">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009088550">
      <w:bodyDiv w:val="1"/>
      <w:marLeft w:val="0"/>
      <w:marRight w:val="0"/>
      <w:marTop w:val="0"/>
      <w:marBottom w:val="0"/>
      <w:divBdr>
        <w:top w:val="none" w:sz="0" w:space="0" w:color="auto"/>
        <w:left w:val="none" w:sz="0" w:space="0" w:color="auto"/>
        <w:bottom w:val="none" w:sz="0" w:space="0" w:color="auto"/>
        <w:right w:val="none" w:sz="0" w:space="0" w:color="auto"/>
      </w:divBdr>
      <w:divsChild>
        <w:div w:id="159554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223050">
      <w:bodyDiv w:val="1"/>
      <w:marLeft w:val="0"/>
      <w:marRight w:val="0"/>
      <w:marTop w:val="0"/>
      <w:marBottom w:val="0"/>
      <w:divBdr>
        <w:top w:val="none" w:sz="0" w:space="0" w:color="auto"/>
        <w:left w:val="none" w:sz="0" w:space="0" w:color="auto"/>
        <w:bottom w:val="none" w:sz="0" w:space="0" w:color="auto"/>
        <w:right w:val="none" w:sz="0" w:space="0" w:color="auto"/>
      </w:divBdr>
    </w:div>
    <w:div w:id="209173009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 w:id="2116712105">
      <w:bodyDiv w:val="1"/>
      <w:marLeft w:val="0"/>
      <w:marRight w:val="0"/>
      <w:marTop w:val="0"/>
      <w:marBottom w:val="0"/>
      <w:divBdr>
        <w:top w:val="none" w:sz="0" w:space="0" w:color="auto"/>
        <w:left w:val="none" w:sz="0" w:space="0" w:color="auto"/>
        <w:bottom w:val="none" w:sz="0" w:space="0" w:color="auto"/>
        <w:right w:val="none" w:sz="0" w:space="0" w:color="auto"/>
      </w:divBdr>
    </w:div>
    <w:div w:id="21453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2759</Words>
  <Characters>16181</Characters>
  <Application>Microsoft Office Word</Application>
  <DocSecurity>0</DocSecurity>
  <Lines>253</Lines>
  <Paragraphs>100</Paragraphs>
  <ScaleCrop>false</ScaleCrop>
  <HeadingPairs>
    <vt:vector size="2" baseType="variant">
      <vt:variant>
        <vt:lpstr>Title</vt:lpstr>
      </vt:variant>
      <vt:variant>
        <vt:i4>1</vt:i4>
      </vt:variant>
    </vt:vector>
  </HeadingPairs>
  <TitlesOfParts>
    <vt:vector size="1" baseType="lpstr">
      <vt:lpstr>Fact sheet: Regulating digital asset and tokenised custody platforms</vt:lpstr>
    </vt:vector>
  </TitlesOfParts>
  <Company/>
  <LinksUpToDate>false</LinksUpToDate>
  <CharactersWithSpaces>18918</CharactersWithSpaces>
  <SharedDoc>false</SharedDoc>
  <HLinks>
    <vt:vector size="18" baseType="variant">
      <vt:variant>
        <vt:i4>4849784</vt:i4>
      </vt:variant>
      <vt:variant>
        <vt:i4>6</vt:i4>
      </vt:variant>
      <vt:variant>
        <vt:i4>0</vt:i4>
      </vt:variant>
      <vt:variant>
        <vt:i4>5</vt:i4>
      </vt:variant>
      <vt:variant>
        <vt:lpwstr>mailto:Chris.Adamek@TREASURY.GOV.AU</vt:lpwstr>
      </vt:variant>
      <vt:variant>
        <vt:lpwstr/>
      </vt:variant>
      <vt:variant>
        <vt:i4>4849784</vt:i4>
      </vt:variant>
      <vt:variant>
        <vt:i4>3</vt:i4>
      </vt:variant>
      <vt:variant>
        <vt:i4>0</vt:i4>
      </vt:variant>
      <vt:variant>
        <vt:i4>5</vt:i4>
      </vt:variant>
      <vt:variant>
        <vt:lpwstr>mailto:Chris.Adamek@TREASURY.GOV.AU</vt:lpwstr>
      </vt:variant>
      <vt:variant>
        <vt:lpwstr/>
      </vt:variant>
      <vt:variant>
        <vt:i4>6488132</vt:i4>
      </vt:variant>
      <vt:variant>
        <vt:i4>0</vt:i4>
      </vt:variant>
      <vt:variant>
        <vt:i4>0</vt:i4>
      </vt:variant>
      <vt:variant>
        <vt:i4>5</vt:i4>
      </vt:variant>
      <vt:variant>
        <vt:lpwstr>mailto:Daniel.Edmonds@TREASURY.GOV.AU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Regulating digital asset and tokenised custody platforms</dc:title>
  <dc:subject/>
  <dc:creator>Treasury</dc:creator>
  <cp:keywords/>
  <dc:description/>
  <cp:lastModifiedBy/>
  <cp:revision>1</cp:revision>
  <dcterms:created xsi:type="dcterms:W3CDTF">2025-09-25T00:37:00Z</dcterms:created>
  <dcterms:modified xsi:type="dcterms:W3CDTF">2025-09-25T00:37:00Z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2025-09-25T00:37:23Z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f2cc06f4-d785-4607-b220-8a3fb7c8528b</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