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2C8C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30314E0" wp14:editId="5BF56E1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9E3B92" w14:paraId="46D65E88" w14:textId="77777777" w:rsidTr="009E3B92">
        <w:tc>
          <w:tcPr>
            <w:tcW w:w="5000" w:type="pct"/>
            <w:shd w:val="clear" w:color="auto" w:fill="auto"/>
          </w:tcPr>
          <w:p w14:paraId="2885F89D" w14:textId="77777777" w:rsidR="009E3B92" w:rsidRDefault="009E3B92" w:rsidP="009E3B9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34193A17" w14:textId="312A88FD" w:rsidR="009E3B92" w:rsidRPr="009E3B92" w:rsidRDefault="009E3B92" w:rsidP="009E3B92">
            <w:pPr>
              <w:rPr>
                <w:b/>
                <w:sz w:val="20"/>
              </w:rPr>
            </w:pPr>
          </w:p>
        </w:tc>
      </w:tr>
    </w:tbl>
    <w:p w14:paraId="3ACDD01A" w14:textId="77777777" w:rsidR="0048364F" w:rsidRDefault="0048364F" w:rsidP="0048364F">
      <w:pPr>
        <w:rPr>
          <w:sz w:val="19"/>
        </w:rPr>
      </w:pPr>
    </w:p>
    <w:p w14:paraId="10EFBF75" w14:textId="77777777" w:rsidR="009E3B92" w:rsidRDefault="009E3B92" w:rsidP="0048364F">
      <w:pPr>
        <w:rPr>
          <w:sz w:val="19"/>
        </w:rPr>
      </w:pPr>
    </w:p>
    <w:p w14:paraId="04B535BD" w14:textId="6956760A" w:rsidR="0048364F" w:rsidRDefault="0021459D" w:rsidP="0048364F">
      <w:pPr>
        <w:pStyle w:val="ShortT"/>
      </w:pPr>
      <w:r>
        <w:t>Payment System</w:t>
      </w:r>
      <w:r w:rsidR="00C93A4D">
        <w:t>s</w:t>
      </w:r>
      <w:r>
        <w:t xml:space="preserve"> Legislation</w:t>
      </w:r>
      <w:r w:rsidR="00561AE2">
        <w:t xml:space="preserve"> </w:t>
      </w:r>
      <w:r w:rsidR="00433973">
        <w:t xml:space="preserve">Amendment </w:t>
      </w:r>
      <w:r w:rsidR="00561AE2">
        <w:t>(</w:t>
      </w:r>
      <w:r w:rsidR="00433973" w:rsidRPr="00433973">
        <w:t>202</w:t>
      </w:r>
      <w:r w:rsidR="009A3656">
        <w:t>5</w:t>
      </w:r>
      <w:r w:rsidR="00433973" w:rsidRPr="00433973">
        <w:t xml:space="preserve"> Measures No. 1</w:t>
      </w:r>
      <w:r w:rsidR="00561AE2">
        <w:t xml:space="preserve">) </w:t>
      </w:r>
      <w:r w:rsidR="00B31CB4">
        <w:t>Regulations 2</w:t>
      </w:r>
      <w:r w:rsidR="00561AE2">
        <w:t>02</w:t>
      </w:r>
      <w:r w:rsidR="009A3656">
        <w:t>5</w:t>
      </w:r>
    </w:p>
    <w:p w14:paraId="36DB414B" w14:textId="2B4540A9" w:rsidR="00561AE2" w:rsidRPr="0034086C" w:rsidRDefault="00561AE2" w:rsidP="00421223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the Honour</w:t>
      </w:r>
      <w:r w:rsidR="00A11453">
        <w:rPr>
          <w:szCs w:val="22"/>
        </w:rPr>
        <w:t>able Sam Mostyn AC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B31CB4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1464A57A" w14:textId="0FB0C35E" w:rsidR="00561AE2" w:rsidRPr="0034086C" w:rsidRDefault="00561AE2" w:rsidP="00421223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="002807FC">
        <w:rPr>
          <w:szCs w:val="22"/>
        </w:rPr>
        <w:t>2025</w:t>
      </w:r>
    </w:p>
    <w:p w14:paraId="742CFAE1" w14:textId="77777777" w:rsidR="00561AE2" w:rsidRPr="0034086C" w:rsidRDefault="00A11453" w:rsidP="0042122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Sam Mostyn</w:t>
      </w:r>
    </w:p>
    <w:p w14:paraId="7CA18777" w14:textId="7972C8CC" w:rsidR="00561AE2" w:rsidRPr="0034086C" w:rsidRDefault="00561AE2" w:rsidP="0042122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B31CB4">
        <w:rPr>
          <w:szCs w:val="22"/>
        </w:rPr>
        <w:noBreakHyphen/>
      </w:r>
      <w:r>
        <w:rPr>
          <w:szCs w:val="22"/>
        </w:rPr>
        <w:t>General</w:t>
      </w:r>
    </w:p>
    <w:p w14:paraId="5BD6D8A4" w14:textId="77777777" w:rsidR="00561AE2" w:rsidRPr="0034086C" w:rsidRDefault="00561AE2" w:rsidP="00421223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</w:t>
      </w:r>
      <w:r w:rsidR="00A11453">
        <w:rPr>
          <w:szCs w:val="22"/>
        </w:rPr>
        <w:t>er</w:t>
      </w:r>
      <w:r w:rsidRPr="0034086C">
        <w:rPr>
          <w:szCs w:val="22"/>
        </w:rPr>
        <w:t xml:space="preserve"> Excellency’s Command</w:t>
      </w:r>
    </w:p>
    <w:p w14:paraId="5C41E185" w14:textId="77777777" w:rsidR="00561AE2" w:rsidRPr="0034086C" w:rsidRDefault="00561AE2" w:rsidP="00421223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Dr Jim Chalmers</w:t>
      </w:r>
      <w:r>
        <w:t xml:space="preserve"> </w:t>
      </w:r>
      <w:r w:rsidRPr="002539D6">
        <w:rPr>
          <w:b/>
          <w:szCs w:val="22"/>
        </w:rPr>
        <w:t>[DRAFT ONLY—NOT FOR SIGNATURE]</w:t>
      </w:r>
    </w:p>
    <w:p w14:paraId="66759244" w14:textId="77777777" w:rsidR="00561AE2" w:rsidRPr="00D41496" w:rsidRDefault="00561AE2" w:rsidP="00D41496">
      <w:pPr>
        <w:pStyle w:val="SignCoverPageEnd"/>
        <w:rPr>
          <w:szCs w:val="22"/>
        </w:rPr>
      </w:pPr>
      <w:r>
        <w:rPr>
          <w:szCs w:val="22"/>
        </w:rPr>
        <w:t>Treasurer</w:t>
      </w:r>
    </w:p>
    <w:p w14:paraId="47792A92" w14:textId="77777777" w:rsidR="00561AE2" w:rsidRDefault="00561AE2" w:rsidP="00421223"/>
    <w:p w14:paraId="0E630426" w14:textId="77777777" w:rsidR="0048364F" w:rsidRDefault="0048364F" w:rsidP="0048364F">
      <w:pPr>
        <w:pStyle w:val="Header"/>
        <w:tabs>
          <w:tab w:val="clear" w:pos="4150"/>
          <w:tab w:val="clear" w:pos="8307"/>
        </w:tabs>
      </w:pPr>
      <w:r w:rsidRPr="00B31CB4">
        <w:rPr>
          <w:rStyle w:val="CharAmSchNo"/>
        </w:rPr>
        <w:t xml:space="preserve"> </w:t>
      </w:r>
      <w:r w:rsidRPr="00B31CB4">
        <w:rPr>
          <w:rStyle w:val="CharAmSchText"/>
        </w:rPr>
        <w:t xml:space="preserve"> </w:t>
      </w:r>
    </w:p>
    <w:p w14:paraId="07A2E8DF" w14:textId="77777777" w:rsidR="0048364F" w:rsidRDefault="0048364F" w:rsidP="0048364F">
      <w:pPr>
        <w:pStyle w:val="Header"/>
        <w:tabs>
          <w:tab w:val="clear" w:pos="4150"/>
          <w:tab w:val="clear" w:pos="8307"/>
        </w:tabs>
      </w:pPr>
      <w:r w:rsidRPr="00B31CB4">
        <w:rPr>
          <w:rStyle w:val="CharAmPartNo"/>
        </w:rPr>
        <w:t xml:space="preserve"> </w:t>
      </w:r>
      <w:r w:rsidRPr="00B31CB4">
        <w:rPr>
          <w:rStyle w:val="CharAmPartText"/>
        </w:rPr>
        <w:t xml:space="preserve"> </w:t>
      </w:r>
    </w:p>
    <w:p w14:paraId="0FCC55EE" w14:textId="77777777" w:rsidR="0048364F" w:rsidRDefault="0048364F" w:rsidP="0048364F">
      <w:pPr>
        <w:sectPr w:rsidR="0048364F" w:rsidSect="00E973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D0957AA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8D4C981" w14:textId="5CE04FE3" w:rsidR="009E3B92" w:rsidRDefault="009E3B9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9E3B92">
        <w:rPr>
          <w:noProof/>
        </w:rPr>
        <w:tab/>
      </w:r>
      <w:r w:rsidRPr="009E3B92">
        <w:rPr>
          <w:noProof/>
        </w:rPr>
        <w:fldChar w:fldCharType="begin"/>
      </w:r>
      <w:r w:rsidRPr="009E3B92">
        <w:rPr>
          <w:noProof/>
        </w:rPr>
        <w:instrText xml:space="preserve"> PAGEREF _Toc205819610 \h </w:instrText>
      </w:r>
      <w:r w:rsidRPr="009E3B92">
        <w:rPr>
          <w:noProof/>
        </w:rPr>
      </w:r>
      <w:r w:rsidRPr="009E3B92">
        <w:rPr>
          <w:noProof/>
        </w:rPr>
        <w:fldChar w:fldCharType="separate"/>
      </w:r>
      <w:r w:rsidR="000929F5">
        <w:rPr>
          <w:noProof/>
        </w:rPr>
        <w:t>1</w:t>
      </w:r>
      <w:r w:rsidRPr="009E3B92">
        <w:rPr>
          <w:noProof/>
        </w:rPr>
        <w:fldChar w:fldCharType="end"/>
      </w:r>
    </w:p>
    <w:p w14:paraId="76434C5A" w14:textId="69C8D4E2" w:rsidR="009E3B92" w:rsidRDefault="009E3B9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9E3B92">
        <w:rPr>
          <w:noProof/>
        </w:rPr>
        <w:tab/>
      </w:r>
      <w:r w:rsidRPr="009E3B92">
        <w:rPr>
          <w:noProof/>
        </w:rPr>
        <w:fldChar w:fldCharType="begin"/>
      </w:r>
      <w:r w:rsidRPr="009E3B92">
        <w:rPr>
          <w:noProof/>
        </w:rPr>
        <w:instrText xml:space="preserve"> PAGEREF _Toc205819611 \h </w:instrText>
      </w:r>
      <w:r w:rsidRPr="009E3B92">
        <w:rPr>
          <w:noProof/>
        </w:rPr>
      </w:r>
      <w:r w:rsidRPr="009E3B92">
        <w:rPr>
          <w:noProof/>
        </w:rPr>
        <w:fldChar w:fldCharType="separate"/>
      </w:r>
      <w:r w:rsidR="000929F5">
        <w:rPr>
          <w:noProof/>
        </w:rPr>
        <w:t>1</w:t>
      </w:r>
      <w:r w:rsidRPr="009E3B92">
        <w:rPr>
          <w:noProof/>
        </w:rPr>
        <w:fldChar w:fldCharType="end"/>
      </w:r>
    </w:p>
    <w:p w14:paraId="0ED50785" w14:textId="6B2F4B15" w:rsidR="009E3B92" w:rsidRDefault="009E3B9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9E3B92">
        <w:rPr>
          <w:noProof/>
        </w:rPr>
        <w:tab/>
      </w:r>
      <w:r w:rsidRPr="009E3B92">
        <w:rPr>
          <w:noProof/>
        </w:rPr>
        <w:fldChar w:fldCharType="begin"/>
      </w:r>
      <w:r w:rsidRPr="009E3B92">
        <w:rPr>
          <w:noProof/>
        </w:rPr>
        <w:instrText xml:space="preserve"> PAGEREF _Toc205819612 \h </w:instrText>
      </w:r>
      <w:r w:rsidRPr="009E3B92">
        <w:rPr>
          <w:noProof/>
        </w:rPr>
      </w:r>
      <w:r w:rsidRPr="009E3B92">
        <w:rPr>
          <w:noProof/>
        </w:rPr>
        <w:fldChar w:fldCharType="separate"/>
      </w:r>
      <w:r w:rsidR="000929F5">
        <w:rPr>
          <w:noProof/>
        </w:rPr>
        <w:t>1</w:t>
      </w:r>
      <w:r w:rsidRPr="009E3B92">
        <w:rPr>
          <w:noProof/>
        </w:rPr>
        <w:fldChar w:fldCharType="end"/>
      </w:r>
    </w:p>
    <w:p w14:paraId="1D8E1F4F" w14:textId="57CD8D64" w:rsidR="009E3B92" w:rsidRDefault="009E3B9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9E3B92">
        <w:rPr>
          <w:noProof/>
        </w:rPr>
        <w:tab/>
      </w:r>
      <w:r w:rsidRPr="009E3B92">
        <w:rPr>
          <w:noProof/>
        </w:rPr>
        <w:fldChar w:fldCharType="begin"/>
      </w:r>
      <w:r w:rsidRPr="009E3B92">
        <w:rPr>
          <w:noProof/>
        </w:rPr>
        <w:instrText xml:space="preserve"> PAGEREF _Toc205819613 \h </w:instrText>
      </w:r>
      <w:r w:rsidRPr="009E3B92">
        <w:rPr>
          <w:noProof/>
        </w:rPr>
      </w:r>
      <w:r w:rsidRPr="009E3B92">
        <w:rPr>
          <w:noProof/>
        </w:rPr>
        <w:fldChar w:fldCharType="separate"/>
      </w:r>
      <w:r w:rsidR="000929F5">
        <w:rPr>
          <w:noProof/>
        </w:rPr>
        <w:t>1</w:t>
      </w:r>
      <w:r w:rsidRPr="009E3B92">
        <w:rPr>
          <w:noProof/>
        </w:rPr>
        <w:fldChar w:fldCharType="end"/>
      </w:r>
    </w:p>
    <w:p w14:paraId="7053D0B2" w14:textId="7BC10729" w:rsidR="009E3B92" w:rsidRDefault="009E3B92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1—Main amendments</w:t>
      </w:r>
      <w:r w:rsidRPr="009E3B92">
        <w:rPr>
          <w:b w:val="0"/>
          <w:noProof/>
          <w:sz w:val="18"/>
        </w:rPr>
        <w:tab/>
      </w:r>
      <w:r w:rsidRPr="009E3B92">
        <w:rPr>
          <w:b w:val="0"/>
          <w:noProof/>
          <w:sz w:val="18"/>
        </w:rPr>
        <w:fldChar w:fldCharType="begin"/>
      </w:r>
      <w:r w:rsidRPr="009E3B92">
        <w:rPr>
          <w:b w:val="0"/>
          <w:noProof/>
          <w:sz w:val="18"/>
        </w:rPr>
        <w:instrText xml:space="preserve"> PAGEREF _Toc205819614 \h </w:instrText>
      </w:r>
      <w:r w:rsidRPr="009E3B92">
        <w:rPr>
          <w:b w:val="0"/>
          <w:noProof/>
          <w:sz w:val="18"/>
        </w:rPr>
      </w:r>
      <w:r w:rsidRPr="009E3B92">
        <w:rPr>
          <w:b w:val="0"/>
          <w:noProof/>
          <w:sz w:val="18"/>
        </w:rPr>
        <w:fldChar w:fldCharType="separate"/>
      </w:r>
      <w:r w:rsidR="000929F5">
        <w:rPr>
          <w:b w:val="0"/>
          <w:noProof/>
          <w:sz w:val="18"/>
        </w:rPr>
        <w:t>2</w:t>
      </w:r>
      <w:r w:rsidRPr="009E3B92">
        <w:rPr>
          <w:b w:val="0"/>
          <w:noProof/>
          <w:sz w:val="18"/>
        </w:rPr>
        <w:fldChar w:fldCharType="end"/>
      </w:r>
    </w:p>
    <w:p w14:paraId="5A7A22F1" w14:textId="2AE6C751" w:rsidR="009E3B92" w:rsidRDefault="009E3B9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Payment Systems (Regulation) Regulations 2006</w:t>
      </w:r>
      <w:r w:rsidRPr="009E3B92">
        <w:rPr>
          <w:i w:val="0"/>
          <w:noProof/>
          <w:sz w:val="18"/>
        </w:rPr>
        <w:tab/>
      </w:r>
      <w:r w:rsidRPr="009E3B92">
        <w:rPr>
          <w:i w:val="0"/>
          <w:noProof/>
          <w:sz w:val="18"/>
        </w:rPr>
        <w:fldChar w:fldCharType="begin"/>
      </w:r>
      <w:r w:rsidRPr="009E3B92">
        <w:rPr>
          <w:i w:val="0"/>
          <w:noProof/>
          <w:sz w:val="18"/>
        </w:rPr>
        <w:instrText xml:space="preserve"> PAGEREF _Toc205819615 \h </w:instrText>
      </w:r>
      <w:r w:rsidRPr="009E3B92">
        <w:rPr>
          <w:i w:val="0"/>
          <w:noProof/>
          <w:sz w:val="18"/>
        </w:rPr>
      </w:r>
      <w:r w:rsidRPr="009E3B92">
        <w:rPr>
          <w:i w:val="0"/>
          <w:noProof/>
          <w:sz w:val="18"/>
        </w:rPr>
        <w:fldChar w:fldCharType="separate"/>
      </w:r>
      <w:r w:rsidR="000929F5">
        <w:rPr>
          <w:i w:val="0"/>
          <w:noProof/>
          <w:sz w:val="18"/>
        </w:rPr>
        <w:t>2</w:t>
      </w:r>
      <w:r w:rsidRPr="009E3B92">
        <w:rPr>
          <w:i w:val="0"/>
          <w:noProof/>
          <w:sz w:val="18"/>
        </w:rPr>
        <w:fldChar w:fldCharType="end"/>
      </w:r>
    </w:p>
    <w:p w14:paraId="15468C79" w14:textId="2D8EFBA6" w:rsidR="009E3B92" w:rsidRDefault="009E3B92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2—Other amendments</w:t>
      </w:r>
      <w:r w:rsidRPr="009E3B92">
        <w:rPr>
          <w:b w:val="0"/>
          <w:noProof/>
          <w:sz w:val="18"/>
        </w:rPr>
        <w:tab/>
      </w:r>
      <w:r w:rsidRPr="009E3B92">
        <w:rPr>
          <w:b w:val="0"/>
          <w:noProof/>
          <w:sz w:val="18"/>
        </w:rPr>
        <w:fldChar w:fldCharType="begin"/>
      </w:r>
      <w:r w:rsidRPr="009E3B92">
        <w:rPr>
          <w:b w:val="0"/>
          <w:noProof/>
          <w:sz w:val="18"/>
        </w:rPr>
        <w:instrText xml:space="preserve"> PAGEREF _Toc205819619 \h </w:instrText>
      </w:r>
      <w:r w:rsidRPr="009E3B92">
        <w:rPr>
          <w:b w:val="0"/>
          <w:noProof/>
          <w:sz w:val="18"/>
        </w:rPr>
      </w:r>
      <w:r w:rsidRPr="009E3B92">
        <w:rPr>
          <w:b w:val="0"/>
          <w:noProof/>
          <w:sz w:val="18"/>
        </w:rPr>
        <w:fldChar w:fldCharType="separate"/>
      </w:r>
      <w:r w:rsidR="000929F5">
        <w:rPr>
          <w:b w:val="0"/>
          <w:noProof/>
          <w:sz w:val="18"/>
        </w:rPr>
        <w:t>6</w:t>
      </w:r>
      <w:r w:rsidRPr="009E3B92">
        <w:rPr>
          <w:b w:val="0"/>
          <w:noProof/>
          <w:sz w:val="18"/>
        </w:rPr>
        <w:fldChar w:fldCharType="end"/>
      </w:r>
    </w:p>
    <w:p w14:paraId="4E87C045" w14:textId="2A7C478C" w:rsidR="009E3B92" w:rsidRDefault="009E3B9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Australian Securities and Investments Commission Regulations 2001</w:t>
      </w:r>
      <w:r w:rsidRPr="009E3B92">
        <w:rPr>
          <w:i w:val="0"/>
          <w:noProof/>
          <w:sz w:val="18"/>
        </w:rPr>
        <w:tab/>
      </w:r>
      <w:r w:rsidRPr="009E3B92">
        <w:rPr>
          <w:i w:val="0"/>
          <w:noProof/>
          <w:sz w:val="18"/>
        </w:rPr>
        <w:fldChar w:fldCharType="begin"/>
      </w:r>
      <w:r w:rsidRPr="009E3B92">
        <w:rPr>
          <w:i w:val="0"/>
          <w:noProof/>
          <w:sz w:val="18"/>
        </w:rPr>
        <w:instrText xml:space="preserve"> PAGEREF _Toc205819620 \h </w:instrText>
      </w:r>
      <w:r w:rsidRPr="009E3B92">
        <w:rPr>
          <w:i w:val="0"/>
          <w:noProof/>
          <w:sz w:val="18"/>
        </w:rPr>
      </w:r>
      <w:r w:rsidRPr="009E3B92">
        <w:rPr>
          <w:i w:val="0"/>
          <w:noProof/>
          <w:sz w:val="18"/>
        </w:rPr>
        <w:fldChar w:fldCharType="separate"/>
      </w:r>
      <w:r w:rsidR="000929F5">
        <w:rPr>
          <w:i w:val="0"/>
          <w:noProof/>
          <w:sz w:val="18"/>
        </w:rPr>
        <w:t>6</w:t>
      </w:r>
      <w:r w:rsidRPr="009E3B92">
        <w:rPr>
          <w:i w:val="0"/>
          <w:noProof/>
          <w:sz w:val="18"/>
        </w:rPr>
        <w:fldChar w:fldCharType="end"/>
      </w:r>
    </w:p>
    <w:p w14:paraId="03A4B662" w14:textId="0E0888CF" w:rsidR="009E3B92" w:rsidRDefault="009E3B9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Corporations Regulations 2001</w:t>
      </w:r>
      <w:r w:rsidRPr="009E3B92">
        <w:rPr>
          <w:i w:val="0"/>
          <w:noProof/>
          <w:sz w:val="18"/>
        </w:rPr>
        <w:tab/>
      </w:r>
      <w:r w:rsidRPr="009E3B92">
        <w:rPr>
          <w:i w:val="0"/>
          <w:noProof/>
          <w:sz w:val="18"/>
        </w:rPr>
        <w:fldChar w:fldCharType="begin"/>
      </w:r>
      <w:r w:rsidRPr="009E3B92">
        <w:rPr>
          <w:i w:val="0"/>
          <w:noProof/>
          <w:sz w:val="18"/>
        </w:rPr>
        <w:instrText xml:space="preserve"> PAGEREF _Toc205819622 \h </w:instrText>
      </w:r>
      <w:r w:rsidRPr="009E3B92">
        <w:rPr>
          <w:i w:val="0"/>
          <w:noProof/>
          <w:sz w:val="18"/>
        </w:rPr>
      </w:r>
      <w:r w:rsidRPr="009E3B92">
        <w:rPr>
          <w:i w:val="0"/>
          <w:noProof/>
          <w:sz w:val="18"/>
        </w:rPr>
        <w:fldChar w:fldCharType="separate"/>
      </w:r>
      <w:r w:rsidR="000929F5">
        <w:rPr>
          <w:i w:val="0"/>
          <w:noProof/>
          <w:sz w:val="18"/>
        </w:rPr>
        <w:t>7</w:t>
      </w:r>
      <w:r w:rsidRPr="009E3B92">
        <w:rPr>
          <w:i w:val="0"/>
          <w:noProof/>
          <w:sz w:val="18"/>
        </w:rPr>
        <w:fldChar w:fldCharType="end"/>
      </w:r>
    </w:p>
    <w:p w14:paraId="360B0EBD" w14:textId="43466661" w:rsidR="0048364F" w:rsidRPr="007A1328" w:rsidRDefault="009E3B92" w:rsidP="0048364F">
      <w:r>
        <w:fldChar w:fldCharType="end"/>
      </w:r>
    </w:p>
    <w:p w14:paraId="6141335D" w14:textId="77777777" w:rsidR="0048364F" w:rsidRDefault="0048364F" w:rsidP="0048364F">
      <w:pPr>
        <w:sectPr w:rsidR="0048364F" w:rsidSect="007F48E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D5C544C" w14:textId="77777777" w:rsidR="0048364F" w:rsidRDefault="0048364F" w:rsidP="0048364F">
      <w:pPr>
        <w:pStyle w:val="ActHead5"/>
      </w:pPr>
      <w:bookmarkStart w:id="0" w:name="_Toc205819610"/>
      <w:r w:rsidRPr="00B31CB4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7A1AB575" w14:textId="28149D01" w:rsidR="00AC3DC8" w:rsidRPr="00AC3DC8" w:rsidRDefault="0048364F" w:rsidP="00D356ED">
      <w:pPr>
        <w:pStyle w:val="subsection"/>
      </w:pPr>
      <w:r>
        <w:tab/>
      </w:r>
      <w:r>
        <w:tab/>
      </w:r>
      <w:r w:rsidR="00561AE2">
        <w:t>This instrument is</w:t>
      </w:r>
      <w:r>
        <w:t xml:space="preserve"> the </w:t>
      </w:r>
      <w:r w:rsidR="00414ADE" w:rsidRPr="00414ADE">
        <w:rPr>
          <w:i/>
        </w:rPr>
        <w:fldChar w:fldCharType="begin"/>
      </w:r>
      <w:r w:rsidR="00414ADE" w:rsidRPr="00414ADE">
        <w:rPr>
          <w:i/>
        </w:rPr>
        <w:instrText xml:space="preserve"> STYLEREF  ShortT </w:instrText>
      </w:r>
      <w:r w:rsidR="00414ADE" w:rsidRPr="00414ADE">
        <w:rPr>
          <w:i/>
        </w:rPr>
        <w:fldChar w:fldCharType="separate"/>
      </w:r>
      <w:r w:rsidR="000929F5">
        <w:rPr>
          <w:i/>
          <w:noProof/>
        </w:rPr>
        <w:t>Payment Systems Legislation Amendment (2025 Measures No. 1) Regulations 2025</w:t>
      </w:r>
      <w:r w:rsidR="00414ADE" w:rsidRPr="00414ADE">
        <w:rPr>
          <w:i/>
        </w:rPr>
        <w:fldChar w:fldCharType="end"/>
      </w:r>
      <w:r>
        <w:t>.</w:t>
      </w:r>
    </w:p>
    <w:p w14:paraId="6DB03F24" w14:textId="77777777" w:rsidR="004F676E" w:rsidRDefault="0048364F" w:rsidP="005452CC">
      <w:pPr>
        <w:pStyle w:val="ActHead5"/>
      </w:pPr>
      <w:bookmarkStart w:id="1" w:name="_Toc205819611"/>
      <w:r w:rsidRPr="00B31CB4">
        <w:rPr>
          <w:rStyle w:val="CharSectno"/>
        </w:rPr>
        <w:t>2</w:t>
      </w:r>
      <w:r>
        <w:t xml:space="preserve">  Commencement</w:t>
      </w:r>
      <w:bookmarkEnd w:id="1"/>
    </w:p>
    <w:p w14:paraId="1D7328D0" w14:textId="77777777" w:rsidR="005452CC" w:rsidRDefault="005452CC" w:rsidP="00421223">
      <w:pPr>
        <w:pStyle w:val="subsection"/>
      </w:pPr>
      <w:r>
        <w:tab/>
        <w:t>(1)</w:t>
      </w:r>
      <w:r>
        <w:tab/>
        <w:t xml:space="preserve">Each provision of </w:t>
      </w:r>
      <w:r w:rsidR="00561AE2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65F17A38" w14:textId="77777777" w:rsidR="005452CC" w:rsidRDefault="005452CC" w:rsidP="0042122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7250B9BB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BEA9B32" w14:textId="77777777" w:rsidR="005452CC" w:rsidRPr="00416235" w:rsidRDefault="005452CC" w:rsidP="00421223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4AA319D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F242C8" w14:textId="77777777" w:rsidR="005452CC" w:rsidRPr="00416235" w:rsidRDefault="005452CC" w:rsidP="00421223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1F8B245" w14:textId="77777777" w:rsidR="005452CC" w:rsidRPr="00416235" w:rsidRDefault="005452CC" w:rsidP="00421223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CDBE312" w14:textId="77777777" w:rsidR="005452CC" w:rsidRPr="00416235" w:rsidRDefault="005452CC" w:rsidP="00421223">
            <w:pPr>
              <w:pStyle w:val="TableHeading"/>
            </w:pPr>
            <w:r w:rsidRPr="00416235">
              <w:t>Column 3</w:t>
            </w:r>
          </w:p>
        </w:tc>
      </w:tr>
      <w:tr w:rsidR="005452CC" w14:paraId="22348A9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E23CB2F" w14:textId="77777777" w:rsidR="005452CC" w:rsidRPr="00416235" w:rsidRDefault="005452CC" w:rsidP="00421223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E36C81A" w14:textId="77777777" w:rsidR="005452CC" w:rsidRPr="00416235" w:rsidRDefault="005452CC" w:rsidP="00421223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6A77B5D" w14:textId="77777777" w:rsidR="005452CC" w:rsidRPr="00416235" w:rsidRDefault="005452CC" w:rsidP="00421223">
            <w:pPr>
              <w:pStyle w:val="TableHeading"/>
            </w:pPr>
            <w:r w:rsidRPr="00416235">
              <w:t>Date/Details</w:t>
            </w:r>
          </w:p>
        </w:tc>
      </w:tr>
      <w:tr w:rsidR="005452CC" w14:paraId="447D11E2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4B644C2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561AE2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F78A841" w14:textId="6BD0C4BE" w:rsidR="005452CC" w:rsidRDefault="008C1B6C" w:rsidP="002758BA">
            <w:pPr>
              <w:pStyle w:val="Tabletext"/>
            </w:pPr>
            <w:r>
              <w:t xml:space="preserve">At the same time as </w:t>
            </w:r>
            <w:r w:rsidR="002758BA">
              <w:t xml:space="preserve">the </w:t>
            </w:r>
            <w:r w:rsidR="002758BA" w:rsidRPr="002758BA">
              <w:rPr>
                <w:i/>
                <w:iCs/>
              </w:rPr>
              <w:t>Treasury Laws Amendment (Payments System Modernisation) Act 2025</w:t>
            </w:r>
            <w:r w:rsidR="002758BA">
              <w:t xml:space="preserve"> </w:t>
            </w:r>
            <w:r>
              <w:t>commence</w:t>
            </w:r>
            <w:r w:rsidR="00A94A5C">
              <w:t>s</w:t>
            </w:r>
            <w: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2DBC765" w14:textId="77777777" w:rsidR="005452CC" w:rsidRDefault="005452CC">
            <w:pPr>
              <w:pStyle w:val="Tabletext"/>
            </w:pPr>
          </w:p>
        </w:tc>
      </w:tr>
    </w:tbl>
    <w:p w14:paraId="0D23DAAE" w14:textId="77777777" w:rsidR="005452CC" w:rsidRPr="001E6DD6" w:rsidRDefault="005452CC" w:rsidP="00421223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561AE2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561AE2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33890BF2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561AE2">
        <w:t>this instrument</w:t>
      </w:r>
      <w:r w:rsidRPr="005F477A">
        <w:t xml:space="preserve">. Information may be inserted in this column, or information in it may be edited, in any published version of </w:t>
      </w:r>
      <w:r w:rsidR="00561AE2">
        <w:t>this instrument</w:t>
      </w:r>
      <w:r w:rsidRPr="005F477A">
        <w:t>.</w:t>
      </w:r>
    </w:p>
    <w:p w14:paraId="1BFA0CF7" w14:textId="77777777" w:rsidR="00BF6650" w:rsidRDefault="00BF6650" w:rsidP="00BF6650">
      <w:pPr>
        <w:pStyle w:val="ActHead5"/>
      </w:pPr>
      <w:bookmarkStart w:id="2" w:name="_Toc205819612"/>
      <w:r w:rsidRPr="00B31CB4">
        <w:rPr>
          <w:rStyle w:val="CharSectno"/>
        </w:rPr>
        <w:t>3</w:t>
      </w:r>
      <w:r>
        <w:t xml:space="preserve">  Authority</w:t>
      </w:r>
      <w:bookmarkEnd w:id="2"/>
    </w:p>
    <w:p w14:paraId="62D01B26" w14:textId="77777777" w:rsidR="004B4E1A" w:rsidRDefault="00BF6650" w:rsidP="00BF6650">
      <w:pPr>
        <w:pStyle w:val="subsection"/>
      </w:pPr>
      <w:r>
        <w:tab/>
      </w:r>
      <w:r>
        <w:tab/>
      </w:r>
      <w:r w:rsidR="00561AE2">
        <w:t>This instrument is</w:t>
      </w:r>
      <w:r>
        <w:t xml:space="preserve"> made under the </w:t>
      </w:r>
      <w:r w:rsidR="004B4E1A">
        <w:t>following:</w:t>
      </w:r>
    </w:p>
    <w:p w14:paraId="64AE5C37" w14:textId="77777777" w:rsidR="00BF6650" w:rsidRPr="00AC73D1" w:rsidRDefault="004B4E1A" w:rsidP="004B4E1A">
      <w:pPr>
        <w:pStyle w:val="paragraph"/>
        <w:rPr>
          <w:i/>
        </w:rPr>
      </w:pPr>
      <w:r>
        <w:tab/>
        <w:t>(a)</w:t>
      </w:r>
      <w:r>
        <w:tab/>
      </w:r>
      <w:r w:rsidR="00546991">
        <w:t xml:space="preserve">the </w:t>
      </w:r>
      <w:r w:rsidR="00546991">
        <w:rPr>
          <w:i/>
        </w:rPr>
        <w:t xml:space="preserve">Australian Securities and Investments </w:t>
      </w:r>
      <w:r w:rsidR="00397F85">
        <w:rPr>
          <w:i/>
        </w:rPr>
        <w:t xml:space="preserve">Commission </w:t>
      </w:r>
      <w:r w:rsidR="00546991">
        <w:rPr>
          <w:i/>
        </w:rPr>
        <w:t>Act 200</w:t>
      </w:r>
      <w:r w:rsidR="002A1CD3">
        <w:rPr>
          <w:i/>
        </w:rPr>
        <w:t>1</w:t>
      </w:r>
      <w:r w:rsidR="00AC73D1" w:rsidRPr="008467FB">
        <w:t>;</w:t>
      </w:r>
    </w:p>
    <w:p w14:paraId="01873922" w14:textId="4C7C6BA8" w:rsidR="009809FD" w:rsidRPr="009809FD" w:rsidRDefault="009809FD" w:rsidP="00227B57">
      <w:pPr>
        <w:pStyle w:val="paragraph"/>
      </w:pPr>
      <w:r>
        <w:tab/>
        <w:t>(b)</w:t>
      </w:r>
      <w:r>
        <w:tab/>
      </w:r>
      <w:r w:rsidR="00AC73D1">
        <w:t xml:space="preserve">the </w:t>
      </w:r>
      <w:r w:rsidR="00AC73D1">
        <w:rPr>
          <w:i/>
        </w:rPr>
        <w:t>Corporations Act 2001</w:t>
      </w:r>
      <w:r w:rsidR="00AC73D1">
        <w:t>;</w:t>
      </w:r>
    </w:p>
    <w:p w14:paraId="3BA77D15" w14:textId="55E39B22" w:rsidR="004B4E1A" w:rsidRDefault="004B4E1A" w:rsidP="004B4E1A">
      <w:pPr>
        <w:pStyle w:val="paragraph"/>
      </w:pPr>
      <w:r>
        <w:tab/>
        <w:t>(</w:t>
      </w:r>
      <w:r w:rsidR="00F44EEA">
        <w:t>c</w:t>
      </w:r>
      <w:r>
        <w:t>)</w:t>
      </w:r>
      <w:r>
        <w:tab/>
      </w:r>
      <w:r w:rsidR="007C1162">
        <w:t>t</w:t>
      </w:r>
      <w:r w:rsidR="00AC73D1">
        <w:t xml:space="preserve">he </w:t>
      </w:r>
      <w:r w:rsidR="00AC73D1" w:rsidRPr="004B4E1A">
        <w:rPr>
          <w:i/>
        </w:rPr>
        <w:t>Payment Systems (Regulation) Act 1998</w:t>
      </w:r>
      <w:r w:rsidR="00AC73D1">
        <w:t>.</w:t>
      </w:r>
    </w:p>
    <w:p w14:paraId="23765D28" w14:textId="77777777" w:rsidR="00557C7A" w:rsidRDefault="00BF6650" w:rsidP="00557C7A">
      <w:pPr>
        <w:pStyle w:val="ActHead5"/>
      </w:pPr>
      <w:bookmarkStart w:id="3" w:name="_Toc205819613"/>
      <w:r w:rsidRPr="00B31CB4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3"/>
    </w:p>
    <w:p w14:paraId="0EE09443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561AE2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561AE2">
        <w:t>this instrument</w:t>
      </w:r>
      <w:r w:rsidR="00083F48" w:rsidRPr="00083F48">
        <w:t xml:space="preserve"> has effect according to its terms.</w:t>
      </w:r>
    </w:p>
    <w:p w14:paraId="58A481D0" w14:textId="77777777" w:rsidR="0048364F" w:rsidRDefault="0048364F" w:rsidP="009C5989">
      <w:pPr>
        <w:pStyle w:val="ActHead6"/>
        <w:pageBreakBefore/>
      </w:pPr>
      <w:bookmarkStart w:id="4" w:name="_Toc205819614"/>
      <w:r w:rsidRPr="00B31CB4">
        <w:rPr>
          <w:rStyle w:val="CharAmSchNo"/>
        </w:rPr>
        <w:lastRenderedPageBreak/>
        <w:t>Schedule 1</w:t>
      </w:r>
      <w:r>
        <w:t>—</w:t>
      </w:r>
      <w:r w:rsidR="003755CC" w:rsidRPr="00B31CB4">
        <w:rPr>
          <w:rStyle w:val="CharAmSchText"/>
        </w:rPr>
        <w:t>Main a</w:t>
      </w:r>
      <w:r w:rsidR="00460499" w:rsidRPr="00B31CB4">
        <w:rPr>
          <w:rStyle w:val="CharAmSchText"/>
        </w:rPr>
        <w:t>mendments</w:t>
      </w:r>
      <w:bookmarkEnd w:id="4"/>
    </w:p>
    <w:p w14:paraId="3A150099" w14:textId="77777777" w:rsidR="0004044E" w:rsidRDefault="0004044E" w:rsidP="004B5B32">
      <w:pPr>
        <w:pStyle w:val="Header"/>
      </w:pPr>
      <w:r w:rsidRPr="00B31CB4">
        <w:rPr>
          <w:rStyle w:val="CharAmPartNo"/>
        </w:rPr>
        <w:t xml:space="preserve"> </w:t>
      </w:r>
      <w:r w:rsidRPr="00B31CB4">
        <w:rPr>
          <w:rStyle w:val="CharAmPartText"/>
        </w:rPr>
        <w:t xml:space="preserve"> </w:t>
      </w:r>
    </w:p>
    <w:p w14:paraId="52C4C6F8" w14:textId="28702FAE" w:rsidR="00211EC5" w:rsidRDefault="00211EC5" w:rsidP="00211EC5">
      <w:pPr>
        <w:pStyle w:val="ActHead9"/>
      </w:pPr>
      <w:bookmarkStart w:id="5" w:name="_Toc205819615"/>
      <w:r>
        <w:t xml:space="preserve">Payment Systems (Regulation) </w:t>
      </w:r>
      <w:r w:rsidR="00B31CB4">
        <w:t>Regulations 2</w:t>
      </w:r>
      <w:r>
        <w:t>006</w:t>
      </w:r>
      <w:bookmarkEnd w:id="5"/>
    </w:p>
    <w:p w14:paraId="62120CAE" w14:textId="77777777" w:rsidR="00211EC5" w:rsidRDefault="00497468" w:rsidP="00211EC5">
      <w:pPr>
        <w:pStyle w:val="ItemHead"/>
      </w:pPr>
      <w:r>
        <w:t>1</w:t>
      </w:r>
      <w:r w:rsidR="00211EC5">
        <w:t xml:space="preserve">  </w:t>
      </w:r>
      <w:r w:rsidR="003755CC">
        <w:t>Regulation 4</w:t>
      </w:r>
    </w:p>
    <w:p w14:paraId="697D6153" w14:textId="77777777" w:rsidR="00211EC5" w:rsidRPr="008307FB" w:rsidRDefault="00211EC5" w:rsidP="00211EC5">
      <w:pPr>
        <w:pStyle w:val="Item"/>
      </w:pPr>
      <w:r>
        <w:t>Insert:</w:t>
      </w:r>
    </w:p>
    <w:p w14:paraId="0A0B9F7F" w14:textId="7BE038D4" w:rsidR="00211EC5" w:rsidRDefault="00211EC5" w:rsidP="00211EC5">
      <w:pPr>
        <w:pStyle w:val="Definition"/>
      </w:pPr>
      <w:r>
        <w:rPr>
          <w:b/>
          <w:i/>
        </w:rPr>
        <w:t>AUSTRAC</w:t>
      </w:r>
      <w:r>
        <w:t xml:space="preserve"> </w:t>
      </w:r>
      <w:r w:rsidR="00764DAD">
        <w:t xml:space="preserve">has the same meaning as in the </w:t>
      </w:r>
      <w:r>
        <w:rPr>
          <w:i/>
        </w:rPr>
        <w:t>Anti</w:t>
      </w:r>
      <w:r w:rsidR="00B31CB4">
        <w:rPr>
          <w:i/>
        </w:rPr>
        <w:noBreakHyphen/>
      </w:r>
      <w:r>
        <w:rPr>
          <w:i/>
        </w:rPr>
        <w:t>Money Laundering and Counter</w:t>
      </w:r>
      <w:r w:rsidR="00B31CB4">
        <w:rPr>
          <w:i/>
        </w:rPr>
        <w:noBreakHyphen/>
      </w:r>
      <w:r>
        <w:rPr>
          <w:i/>
        </w:rPr>
        <w:t>Terrorism Financing Act 2006</w:t>
      </w:r>
      <w:r w:rsidRPr="008E5AB4">
        <w:t>.</w:t>
      </w:r>
    </w:p>
    <w:p w14:paraId="7AF285A7" w14:textId="77777777" w:rsidR="00211EC5" w:rsidRDefault="00497468" w:rsidP="00211EC5">
      <w:pPr>
        <w:pStyle w:val="ItemHead"/>
      </w:pPr>
      <w:r>
        <w:t>2</w:t>
      </w:r>
      <w:r w:rsidR="00211EC5">
        <w:t xml:space="preserve">  At the end of the instrument</w:t>
      </w:r>
    </w:p>
    <w:p w14:paraId="44FE528D" w14:textId="77777777" w:rsidR="00211EC5" w:rsidRDefault="00211EC5" w:rsidP="00211EC5">
      <w:pPr>
        <w:pStyle w:val="Item"/>
      </w:pPr>
      <w:r>
        <w:t>Add:</w:t>
      </w:r>
    </w:p>
    <w:p w14:paraId="6BB1C0DD" w14:textId="77777777" w:rsidR="00211EC5" w:rsidRDefault="00211EC5" w:rsidP="00211EC5">
      <w:pPr>
        <w:pStyle w:val="ActHead5"/>
      </w:pPr>
      <w:bookmarkStart w:id="6" w:name="_Toc205819616"/>
      <w:r w:rsidRPr="00B31CB4">
        <w:rPr>
          <w:rStyle w:val="CharSectno"/>
        </w:rPr>
        <w:t>7</w:t>
      </w:r>
      <w:r>
        <w:t xml:space="preserve">  Special regulators</w:t>
      </w:r>
      <w:r w:rsidR="00B41B4D">
        <w:t>,</w:t>
      </w:r>
      <w:r w:rsidR="003755CC">
        <w:t xml:space="preserve"> </w:t>
      </w:r>
      <w:r>
        <w:t>heads and</w:t>
      </w:r>
      <w:r w:rsidR="003755CC">
        <w:t xml:space="preserve"> eligible</w:t>
      </w:r>
      <w:r>
        <w:t xml:space="preserve"> delegates</w:t>
      </w:r>
      <w:bookmarkEnd w:id="6"/>
    </w:p>
    <w:p w14:paraId="1D40CFBB" w14:textId="77777777" w:rsidR="00211EC5" w:rsidRDefault="00211EC5" w:rsidP="00211EC5">
      <w:pPr>
        <w:pStyle w:val="subsection"/>
      </w:pPr>
      <w:r>
        <w:tab/>
      </w:r>
      <w:r>
        <w:tab/>
        <w:t>The following apply in relation to each item in the table:</w:t>
      </w:r>
    </w:p>
    <w:p w14:paraId="5A6DECB5" w14:textId="77777777" w:rsidR="00211EC5" w:rsidRDefault="00211EC5" w:rsidP="00211EC5">
      <w:pPr>
        <w:pStyle w:val="paragraph"/>
      </w:pPr>
      <w:r>
        <w:tab/>
        <w:t>(a)</w:t>
      </w:r>
      <w:r>
        <w:tab/>
        <w:t xml:space="preserve">for the purposes of </w:t>
      </w:r>
      <w:r w:rsidR="00F55D7E">
        <w:t>paragraph 1</w:t>
      </w:r>
      <w:r w:rsidRPr="00496DF4">
        <w:t>1C(1)</w:t>
      </w:r>
      <w:r w:rsidR="00D955B0">
        <w:t>(b)</w:t>
      </w:r>
      <w:r>
        <w:t xml:space="preserve"> of the Act, an entity specified in column 1 of an item is prescribed as a special regulator;</w:t>
      </w:r>
    </w:p>
    <w:p w14:paraId="461EC94D" w14:textId="77777777" w:rsidR="00211EC5" w:rsidRDefault="00211EC5" w:rsidP="00211EC5">
      <w:pPr>
        <w:pStyle w:val="paragraph"/>
      </w:pPr>
      <w:r>
        <w:tab/>
        <w:t>(b)</w:t>
      </w:r>
      <w:r>
        <w:tab/>
        <w:t xml:space="preserve">for the purposes of </w:t>
      </w:r>
      <w:r w:rsidR="00F55D7E">
        <w:t>paragraph 7</w:t>
      </w:r>
      <w:r>
        <w:t>(2)</w:t>
      </w:r>
      <w:r w:rsidR="001A4568">
        <w:t>(b)</w:t>
      </w:r>
      <w:r>
        <w:t xml:space="preserve"> of the Act, a person specified in column 2 of an item is prescribed as the head of the special regulator specified in column 1 of the item;</w:t>
      </w:r>
    </w:p>
    <w:p w14:paraId="261D57E1" w14:textId="77777777" w:rsidR="00211EC5" w:rsidRDefault="00211EC5" w:rsidP="00211EC5">
      <w:pPr>
        <w:pStyle w:val="paragraph"/>
      </w:pPr>
      <w:r>
        <w:tab/>
        <w:t>(c)</w:t>
      </w:r>
      <w:r>
        <w:tab/>
        <w:t xml:space="preserve">for the purposes of </w:t>
      </w:r>
      <w:r w:rsidR="00BD3A51">
        <w:t>paragraph 3</w:t>
      </w:r>
      <w:r>
        <w:t xml:space="preserve">1A(1)(b) and </w:t>
      </w:r>
      <w:r w:rsidR="003755CC">
        <w:t>subsection 3</w:t>
      </w:r>
      <w:r>
        <w:t>1A(2) of the Act,</w:t>
      </w:r>
      <w:r w:rsidR="00511104">
        <w:t xml:space="preserve"> if an entity specified in column 1 of an item is a nominated special regulator in relation to a special designated payment system, </w:t>
      </w:r>
      <w:r w:rsidR="00D646EF">
        <w:t xml:space="preserve">then </w:t>
      </w:r>
      <w:r w:rsidR="00511104">
        <w:t>a person specified in column 3 of th</w:t>
      </w:r>
      <w:r w:rsidR="00876C0E">
        <w:t>e</w:t>
      </w:r>
      <w:r w:rsidR="00511104">
        <w:t xml:space="preserve"> item is </w:t>
      </w:r>
      <w:r>
        <w:t>prescribed as an eligible delegate in relation to th</w:t>
      </w:r>
      <w:r w:rsidR="00511104">
        <w:t>e nominated special regulator</w:t>
      </w:r>
      <w:r w:rsidR="008946F1">
        <w:t>.</w:t>
      </w:r>
    </w:p>
    <w:p w14:paraId="4EC12276" w14:textId="77777777" w:rsidR="00211EC5" w:rsidRDefault="00211EC5" w:rsidP="00211EC5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258"/>
        <w:gridCol w:w="2410"/>
        <w:gridCol w:w="2931"/>
      </w:tblGrid>
      <w:tr w:rsidR="00211EC5" w14:paraId="48B3F9D6" w14:textId="77777777" w:rsidTr="00AF3438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253ECE5" w14:textId="77777777" w:rsidR="00211EC5" w:rsidRDefault="00211EC5" w:rsidP="00421223">
            <w:pPr>
              <w:pStyle w:val="TableHeading"/>
            </w:pPr>
            <w:r>
              <w:t xml:space="preserve">Special regulators, heads and </w:t>
            </w:r>
            <w:r w:rsidR="00793F25">
              <w:t xml:space="preserve">eligible </w:t>
            </w:r>
            <w:r>
              <w:t>delegates</w:t>
            </w:r>
          </w:p>
        </w:tc>
      </w:tr>
      <w:tr w:rsidR="00211EC5" w14:paraId="226D9802" w14:textId="77777777" w:rsidTr="001C7FE6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B846F1E" w14:textId="77777777" w:rsidR="00211EC5" w:rsidRDefault="00211EC5" w:rsidP="00421223">
            <w:pPr>
              <w:pStyle w:val="TableHeading"/>
            </w:pPr>
            <w:r>
              <w:t>Item</w:t>
            </w:r>
          </w:p>
        </w:tc>
        <w:tc>
          <w:tcPr>
            <w:tcW w:w="225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2A7ACB6" w14:textId="77777777" w:rsidR="00211EC5" w:rsidRDefault="00211EC5" w:rsidP="00421223">
            <w:pPr>
              <w:pStyle w:val="TableHeading"/>
            </w:pPr>
            <w:r>
              <w:t>Column 1</w:t>
            </w:r>
          </w:p>
          <w:p w14:paraId="5599A1A6" w14:textId="77777777" w:rsidR="00211EC5" w:rsidRPr="00786084" w:rsidRDefault="00211EC5" w:rsidP="00421223">
            <w:pPr>
              <w:pStyle w:val="Tabletext"/>
              <w:rPr>
                <w:b/>
              </w:rPr>
            </w:pPr>
            <w:r>
              <w:rPr>
                <w:b/>
              </w:rPr>
              <w:t>Special regulators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1DB4DDA" w14:textId="77777777" w:rsidR="00211EC5" w:rsidRDefault="00211EC5" w:rsidP="00421223">
            <w:pPr>
              <w:pStyle w:val="TableHeading"/>
            </w:pPr>
            <w:r>
              <w:t>Column 2</w:t>
            </w:r>
          </w:p>
          <w:p w14:paraId="554650ED" w14:textId="77777777" w:rsidR="00211EC5" w:rsidRPr="00786084" w:rsidRDefault="00211EC5" w:rsidP="00421223">
            <w:pPr>
              <w:pStyle w:val="Tabletext"/>
              <w:rPr>
                <w:b/>
              </w:rPr>
            </w:pPr>
            <w:r>
              <w:rPr>
                <w:b/>
              </w:rPr>
              <w:t>Heads of special regulators</w:t>
            </w:r>
          </w:p>
        </w:tc>
        <w:tc>
          <w:tcPr>
            <w:tcW w:w="293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59B7ECD" w14:textId="77777777" w:rsidR="00211EC5" w:rsidRDefault="00211EC5" w:rsidP="00421223">
            <w:pPr>
              <w:pStyle w:val="TableHeading"/>
            </w:pPr>
            <w:r>
              <w:t>Column 3</w:t>
            </w:r>
          </w:p>
          <w:p w14:paraId="395C3BC4" w14:textId="77777777" w:rsidR="00211EC5" w:rsidRPr="00786084" w:rsidRDefault="00211EC5" w:rsidP="00421223">
            <w:pPr>
              <w:pStyle w:val="Tabletext"/>
              <w:rPr>
                <w:b/>
              </w:rPr>
            </w:pPr>
            <w:r>
              <w:rPr>
                <w:b/>
              </w:rPr>
              <w:t>Eligible delegates in relation to special regulators</w:t>
            </w:r>
            <w:r w:rsidR="00876C0E">
              <w:rPr>
                <w:b/>
              </w:rPr>
              <w:t xml:space="preserve"> that are nominated special regulators</w:t>
            </w:r>
          </w:p>
        </w:tc>
      </w:tr>
      <w:tr w:rsidR="00211EC5" w14:paraId="5A0CD3D4" w14:textId="77777777" w:rsidTr="001C7FE6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616D5B58" w14:textId="77777777" w:rsidR="00211EC5" w:rsidRDefault="00211EC5" w:rsidP="00421223">
            <w:pPr>
              <w:pStyle w:val="Tabletext"/>
            </w:pPr>
            <w:r>
              <w:t>1</w:t>
            </w:r>
          </w:p>
        </w:tc>
        <w:tc>
          <w:tcPr>
            <w:tcW w:w="2258" w:type="dxa"/>
            <w:tcBorders>
              <w:top w:val="single" w:sz="12" w:space="0" w:color="auto"/>
            </w:tcBorders>
            <w:shd w:val="clear" w:color="auto" w:fill="auto"/>
          </w:tcPr>
          <w:p w14:paraId="3B5617E9" w14:textId="77777777" w:rsidR="00211EC5" w:rsidRPr="00336B51" w:rsidRDefault="00336B51" w:rsidP="00421223">
            <w:pPr>
              <w:pStyle w:val="Tabletext"/>
            </w:pPr>
            <w:r>
              <w:t xml:space="preserve">The Australian Competition and Consumer Commission (the </w:t>
            </w:r>
            <w:r w:rsidR="00F12ED2">
              <w:rPr>
                <w:b/>
                <w:i/>
              </w:rPr>
              <w:t>Commission</w:t>
            </w:r>
            <w:r>
              <w:t>)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</w:tcPr>
          <w:p w14:paraId="70E0106C" w14:textId="77777777" w:rsidR="00211EC5" w:rsidRDefault="002E4217" w:rsidP="00421223">
            <w:pPr>
              <w:pStyle w:val="Tabletext"/>
            </w:pPr>
            <w:r>
              <w:t xml:space="preserve">The Chairperson of </w:t>
            </w:r>
            <w:r w:rsidR="007654C1">
              <w:t xml:space="preserve">the </w:t>
            </w:r>
            <w:r w:rsidR="00F12ED2">
              <w:t>Commission</w:t>
            </w:r>
          </w:p>
        </w:tc>
        <w:tc>
          <w:tcPr>
            <w:tcW w:w="2931" w:type="dxa"/>
            <w:tcBorders>
              <w:top w:val="single" w:sz="12" w:space="0" w:color="auto"/>
            </w:tcBorders>
            <w:shd w:val="clear" w:color="auto" w:fill="auto"/>
          </w:tcPr>
          <w:p w14:paraId="5EE2E3B6" w14:textId="77777777" w:rsidR="00211EC5" w:rsidRDefault="00D870C6" w:rsidP="00421223">
            <w:pPr>
              <w:pStyle w:val="Tabletext"/>
            </w:pPr>
            <w:r>
              <w:t>Each of the following:</w:t>
            </w:r>
          </w:p>
          <w:p w14:paraId="4146AD49" w14:textId="77777777" w:rsidR="00D870C6" w:rsidRDefault="00D870C6" w:rsidP="00D870C6">
            <w:pPr>
              <w:pStyle w:val="Tablea"/>
            </w:pPr>
            <w:r>
              <w:t>(a)</w:t>
            </w:r>
            <w:r w:rsidR="003D4A4B">
              <w:t xml:space="preserve"> </w:t>
            </w:r>
            <w:r w:rsidR="00E00A76">
              <w:t xml:space="preserve">a member </w:t>
            </w:r>
            <w:r w:rsidR="00F12ED2">
              <w:t xml:space="preserve">of the Commission </w:t>
            </w:r>
            <w:r w:rsidR="00E00A76">
              <w:t xml:space="preserve">(within the meaning of the </w:t>
            </w:r>
            <w:r w:rsidR="00E00A76">
              <w:rPr>
                <w:i/>
              </w:rPr>
              <w:t>Competition and Consumer Act 2010</w:t>
            </w:r>
            <w:r w:rsidR="00E00A76">
              <w:t>);</w:t>
            </w:r>
          </w:p>
          <w:p w14:paraId="4F72A023" w14:textId="77777777" w:rsidR="00295E8A" w:rsidRDefault="00E00A76" w:rsidP="00D870C6">
            <w:pPr>
              <w:pStyle w:val="Tablea"/>
            </w:pPr>
            <w:r>
              <w:t>(b)</w:t>
            </w:r>
            <w:r w:rsidR="00195D34">
              <w:t xml:space="preserve"> a person</w:t>
            </w:r>
            <w:r w:rsidR="002A32C3">
              <w:t xml:space="preserve"> who</w:t>
            </w:r>
            <w:r w:rsidR="00295E8A">
              <w:t>:</w:t>
            </w:r>
          </w:p>
          <w:p w14:paraId="7B7637A7" w14:textId="77777777" w:rsidR="00E00A76" w:rsidRDefault="00295E8A" w:rsidP="00295E8A">
            <w:pPr>
              <w:pStyle w:val="Tablei"/>
            </w:pPr>
            <w:r>
              <w:t xml:space="preserve">(i) </w:t>
            </w:r>
            <w:r w:rsidR="002A32C3">
              <w:t xml:space="preserve">is </w:t>
            </w:r>
            <w:r w:rsidR="00B96FA8">
              <w:t xml:space="preserve">referred to in </w:t>
            </w:r>
            <w:r w:rsidR="00B47364">
              <w:t>subsection 2</w:t>
            </w:r>
            <w:r w:rsidR="00195D34">
              <w:t>7</w:t>
            </w:r>
            <w:r w:rsidR="00876C0E">
              <w:t>(1)</w:t>
            </w:r>
            <w:r w:rsidR="00195D34">
              <w:t xml:space="preserve"> of that Act</w:t>
            </w:r>
            <w:r>
              <w:t>; and</w:t>
            </w:r>
          </w:p>
          <w:p w14:paraId="0141F2D0" w14:textId="77777777" w:rsidR="00295E8A" w:rsidRPr="00E00A76" w:rsidRDefault="00295E8A" w:rsidP="00295E8A">
            <w:pPr>
              <w:pStyle w:val="Tablei"/>
            </w:pPr>
            <w:r>
              <w:t>(ii) is an SES employee or acting SES employee</w:t>
            </w:r>
            <w:r w:rsidR="00EF3C1C">
              <w:t xml:space="preserve"> </w:t>
            </w:r>
            <w:r w:rsidR="00BC264B">
              <w:t>in</w:t>
            </w:r>
            <w:r w:rsidR="00EF3C1C">
              <w:t xml:space="preserve"> the Commission.</w:t>
            </w:r>
          </w:p>
        </w:tc>
      </w:tr>
      <w:tr w:rsidR="00211EC5" w14:paraId="17641273" w14:textId="77777777" w:rsidTr="001C7FE6">
        <w:tc>
          <w:tcPr>
            <w:tcW w:w="714" w:type="dxa"/>
            <w:shd w:val="clear" w:color="auto" w:fill="auto"/>
          </w:tcPr>
          <w:p w14:paraId="392743AF" w14:textId="77777777" w:rsidR="00211EC5" w:rsidRDefault="00595D73" w:rsidP="00421223">
            <w:pPr>
              <w:pStyle w:val="Tabletext"/>
            </w:pPr>
            <w:r>
              <w:t>2</w:t>
            </w:r>
          </w:p>
        </w:tc>
        <w:tc>
          <w:tcPr>
            <w:tcW w:w="2258" w:type="dxa"/>
            <w:shd w:val="clear" w:color="auto" w:fill="auto"/>
          </w:tcPr>
          <w:p w14:paraId="325C6372" w14:textId="77777777" w:rsidR="00211EC5" w:rsidRPr="00E00A76" w:rsidRDefault="00336B51" w:rsidP="00421223">
            <w:pPr>
              <w:pStyle w:val="Tabletext"/>
            </w:pPr>
            <w:r>
              <w:t>The Australian Prudential Regulation Authority</w:t>
            </w:r>
            <w:r w:rsidR="00E00A76">
              <w:t xml:space="preserve"> (</w:t>
            </w:r>
            <w:r w:rsidR="00E00A76">
              <w:rPr>
                <w:b/>
                <w:i/>
              </w:rPr>
              <w:t>APRA</w:t>
            </w:r>
            <w:r w:rsidR="00E00A76">
              <w:t>)</w:t>
            </w:r>
          </w:p>
        </w:tc>
        <w:tc>
          <w:tcPr>
            <w:tcW w:w="2410" w:type="dxa"/>
            <w:shd w:val="clear" w:color="auto" w:fill="auto"/>
          </w:tcPr>
          <w:p w14:paraId="1D5FE236" w14:textId="77777777" w:rsidR="00211EC5" w:rsidRDefault="00172370" w:rsidP="00421223">
            <w:pPr>
              <w:pStyle w:val="Tabletext"/>
            </w:pPr>
            <w:r>
              <w:t>The Chair of APRA</w:t>
            </w:r>
          </w:p>
        </w:tc>
        <w:tc>
          <w:tcPr>
            <w:tcW w:w="2931" w:type="dxa"/>
            <w:shd w:val="clear" w:color="auto" w:fill="auto"/>
          </w:tcPr>
          <w:p w14:paraId="0275E446" w14:textId="77777777" w:rsidR="00211EC5" w:rsidRDefault="00C0623B" w:rsidP="00421223">
            <w:pPr>
              <w:pStyle w:val="Tabletext"/>
            </w:pPr>
            <w:r>
              <w:t>Each of the following:</w:t>
            </w:r>
          </w:p>
          <w:p w14:paraId="7FC2FCCF" w14:textId="77777777" w:rsidR="00C0623B" w:rsidRDefault="00C0623B" w:rsidP="00C0623B">
            <w:pPr>
              <w:pStyle w:val="Tablea"/>
            </w:pPr>
            <w:r>
              <w:t xml:space="preserve">(a) an APRA member (within the meaning of the </w:t>
            </w:r>
            <w:r>
              <w:rPr>
                <w:i/>
              </w:rPr>
              <w:t>Australian Prudential Regulation Authority Act 1998</w:t>
            </w:r>
            <w:r w:rsidR="00C676C1">
              <w:t>)</w:t>
            </w:r>
            <w:r>
              <w:t>;</w:t>
            </w:r>
          </w:p>
          <w:p w14:paraId="766997EB" w14:textId="77777777" w:rsidR="00A5456C" w:rsidRDefault="00C0623B" w:rsidP="00C0623B">
            <w:pPr>
              <w:pStyle w:val="Tablea"/>
            </w:pPr>
            <w:r>
              <w:lastRenderedPageBreak/>
              <w:t>(b) a</w:t>
            </w:r>
            <w:r w:rsidR="00A5456C">
              <w:t xml:space="preserve"> person who:</w:t>
            </w:r>
          </w:p>
          <w:p w14:paraId="4BF619EA" w14:textId="77777777" w:rsidR="00C0623B" w:rsidRDefault="00A5456C" w:rsidP="00A5456C">
            <w:pPr>
              <w:pStyle w:val="Tablei"/>
            </w:pPr>
            <w:r>
              <w:t xml:space="preserve">(i) is </w:t>
            </w:r>
            <w:r w:rsidR="000D16CB">
              <w:t>an APRA staff member</w:t>
            </w:r>
            <w:r w:rsidR="007D266A">
              <w:t xml:space="preserve"> (within the meaning of that Act), other than a person engaged under </w:t>
            </w:r>
            <w:r w:rsidR="00B47364">
              <w:t>section 4</w:t>
            </w:r>
            <w:r w:rsidR="007D266A">
              <w:t>7</w:t>
            </w:r>
            <w:r w:rsidR="00B17998">
              <w:t xml:space="preserve"> of that Act (about consultants and other people engaged to perform services)</w:t>
            </w:r>
            <w:r>
              <w:t>; and</w:t>
            </w:r>
          </w:p>
          <w:p w14:paraId="3B4D167A" w14:textId="77777777" w:rsidR="00A5456C" w:rsidRPr="00C0623B" w:rsidRDefault="00A5456C" w:rsidP="00A5456C">
            <w:pPr>
              <w:pStyle w:val="Tablei"/>
            </w:pPr>
            <w:r>
              <w:t xml:space="preserve">(ii) </w:t>
            </w:r>
            <w:r w:rsidR="00797C46">
              <w:t xml:space="preserve">holds, or is acting in, a position </w:t>
            </w:r>
            <w:r w:rsidR="00731A85">
              <w:t xml:space="preserve">in APRA </w:t>
            </w:r>
            <w:r w:rsidR="00797C46">
              <w:t>that is equivalent to, or higher than, a position occupied by an SES employee</w:t>
            </w:r>
          </w:p>
        </w:tc>
      </w:tr>
      <w:tr w:rsidR="00211EC5" w14:paraId="6ACAD704" w14:textId="77777777" w:rsidTr="001C7FE6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75248E3B" w14:textId="77777777" w:rsidR="00211EC5" w:rsidRDefault="005E14E5" w:rsidP="00421223">
            <w:pPr>
              <w:pStyle w:val="Tabletext"/>
            </w:pPr>
            <w:r>
              <w:lastRenderedPageBreak/>
              <w:t>3</w:t>
            </w:r>
          </w:p>
        </w:tc>
        <w:tc>
          <w:tcPr>
            <w:tcW w:w="2258" w:type="dxa"/>
            <w:tcBorders>
              <w:bottom w:val="single" w:sz="2" w:space="0" w:color="auto"/>
            </w:tcBorders>
            <w:shd w:val="clear" w:color="auto" w:fill="auto"/>
          </w:tcPr>
          <w:p w14:paraId="16716014" w14:textId="77777777" w:rsidR="00211EC5" w:rsidRPr="00E00A76" w:rsidRDefault="00336B51" w:rsidP="00421223">
            <w:pPr>
              <w:pStyle w:val="Tabletext"/>
            </w:pPr>
            <w:r>
              <w:t>The Australian Securities and Investment</w:t>
            </w:r>
            <w:r w:rsidR="005D65F6">
              <w:t>s</w:t>
            </w:r>
            <w:r>
              <w:t xml:space="preserve"> Commission</w:t>
            </w:r>
            <w:r w:rsidR="00E00A76">
              <w:t xml:space="preserve"> (</w:t>
            </w:r>
            <w:r w:rsidR="00E00A76">
              <w:rPr>
                <w:b/>
                <w:i/>
              </w:rPr>
              <w:t>ASIC</w:t>
            </w:r>
            <w:r w:rsidR="00E00A76">
              <w:t>)</w:t>
            </w:r>
          </w:p>
        </w:tc>
        <w:tc>
          <w:tcPr>
            <w:tcW w:w="2410" w:type="dxa"/>
            <w:tcBorders>
              <w:bottom w:val="single" w:sz="2" w:space="0" w:color="auto"/>
            </w:tcBorders>
            <w:shd w:val="clear" w:color="auto" w:fill="auto"/>
          </w:tcPr>
          <w:p w14:paraId="167F8F73" w14:textId="77777777" w:rsidR="00211EC5" w:rsidRDefault="000854DF" w:rsidP="00421223">
            <w:pPr>
              <w:pStyle w:val="Tabletext"/>
            </w:pPr>
            <w:r>
              <w:t>The Chairperson of ASIC</w:t>
            </w:r>
          </w:p>
        </w:tc>
        <w:tc>
          <w:tcPr>
            <w:tcW w:w="2931" w:type="dxa"/>
            <w:tcBorders>
              <w:bottom w:val="single" w:sz="2" w:space="0" w:color="auto"/>
            </w:tcBorders>
            <w:shd w:val="clear" w:color="auto" w:fill="auto"/>
          </w:tcPr>
          <w:p w14:paraId="36AEDA63" w14:textId="77777777" w:rsidR="00BD7825" w:rsidRDefault="00BD7825" w:rsidP="00421223">
            <w:pPr>
              <w:pStyle w:val="Tabletext"/>
            </w:pPr>
            <w:r>
              <w:t>Each of the following:</w:t>
            </w:r>
          </w:p>
          <w:p w14:paraId="6CFCD6DD" w14:textId="77777777" w:rsidR="002302CC" w:rsidRDefault="00BD7825" w:rsidP="002302CC">
            <w:pPr>
              <w:pStyle w:val="Tablea"/>
            </w:pPr>
            <w:r>
              <w:t>(a) a</w:t>
            </w:r>
            <w:r w:rsidR="00B374A8">
              <w:t xml:space="preserve"> member</w:t>
            </w:r>
            <w:r w:rsidR="0069131B">
              <w:t xml:space="preserve"> of ASIC</w:t>
            </w:r>
            <w:r w:rsidR="00B374A8">
              <w:t xml:space="preserve"> (within the meaning of the </w:t>
            </w:r>
            <w:r w:rsidR="00B374A8">
              <w:rPr>
                <w:i/>
              </w:rPr>
              <w:t>Australian Securities and Investments Commission Act 2001</w:t>
            </w:r>
            <w:r w:rsidR="00B374A8">
              <w:t>)</w:t>
            </w:r>
            <w:r>
              <w:t>;</w:t>
            </w:r>
          </w:p>
          <w:p w14:paraId="3ACBC064" w14:textId="77777777" w:rsidR="002302CC" w:rsidRDefault="002302CC" w:rsidP="00952DC1">
            <w:pPr>
              <w:pStyle w:val="Tablea"/>
            </w:pPr>
            <w:r>
              <w:t xml:space="preserve">(b) a senior staff member (within the meaning of that Act), other than a person engaged under </w:t>
            </w:r>
            <w:r w:rsidR="00B47364">
              <w:t>subsection 1</w:t>
            </w:r>
            <w:r>
              <w:t>21(1) of that Act (about consultants etc.);</w:t>
            </w:r>
          </w:p>
          <w:p w14:paraId="35A08995" w14:textId="77777777" w:rsidR="002302CC" w:rsidRPr="00B374A8" w:rsidRDefault="00B7112F" w:rsidP="00B7112F">
            <w:pPr>
              <w:pStyle w:val="Tablea"/>
            </w:pPr>
            <w:r>
              <w:t xml:space="preserve">(c) </w:t>
            </w:r>
            <w:r w:rsidRPr="00326987">
              <w:t xml:space="preserve">an SES employee or acting SES employee </w:t>
            </w:r>
            <w:r w:rsidR="00E26400">
              <w:t xml:space="preserve">who is </w:t>
            </w:r>
            <w:r w:rsidRPr="00326987">
              <w:t xml:space="preserve">seconded to ASIC under </w:t>
            </w:r>
            <w:r>
              <w:t>section 1</w:t>
            </w:r>
            <w:r w:rsidRPr="00326987">
              <w:t>22 of that Ac</w:t>
            </w:r>
            <w:r>
              <w:t>t</w:t>
            </w:r>
            <w:r w:rsidR="00326987" w:rsidRPr="00326987">
              <w:t>.</w:t>
            </w:r>
          </w:p>
        </w:tc>
      </w:tr>
      <w:tr w:rsidR="00211EC5" w14:paraId="6C9210D6" w14:textId="77777777" w:rsidTr="001C7FE6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2A7B602" w14:textId="77777777" w:rsidR="00211EC5" w:rsidRDefault="00211EC5" w:rsidP="00421223">
            <w:pPr>
              <w:pStyle w:val="Tabletext"/>
            </w:pPr>
            <w:r>
              <w:t>4</w:t>
            </w:r>
          </w:p>
        </w:tc>
        <w:tc>
          <w:tcPr>
            <w:tcW w:w="225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6FE2072" w14:textId="77777777" w:rsidR="00211EC5" w:rsidRDefault="00211EC5" w:rsidP="00421223">
            <w:pPr>
              <w:pStyle w:val="Tabletext"/>
            </w:pPr>
            <w:r>
              <w:t>AUSTRAC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E2FBEB0" w14:textId="77777777" w:rsidR="00211EC5" w:rsidRDefault="001C2E7E" w:rsidP="00421223">
            <w:pPr>
              <w:pStyle w:val="Tabletext"/>
            </w:pPr>
            <w:r>
              <w:t>The Chief Executive Officer of AUSTRAC</w:t>
            </w:r>
          </w:p>
        </w:tc>
        <w:tc>
          <w:tcPr>
            <w:tcW w:w="293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8B32780" w14:textId="77777777" w:rsidR="005E14E5" w:rsidRDefault="005E14E5" w:rsidP="00421223">
            <w:pPr>
              <w:pStyle w:val="Tabletext"/>
            </w:pPr>
            <w:r>
              <w:t>A person who:</w:t>
            </w:r>
          </w:p>
          <w:p w14:paraId="6BFF30DD" w14:textId="385B165E" w:rsidR="00211EC5" w:rsidRDefault="005E14E5" w:rsidP="005E14E5">
            <w:pPr>
              <w:pStyle w:val="Tablea"/>
            </w:pPr>
            <w:r>
              <w:t xml:space="preserve">(a) is </w:t>
            </w:r>
            <w:r w:rsidR="00AD7AF4">
              <w:t xml:space="preserve">covered by the definition of </w:t>
            </w:r>
            <w:r w:rsidR="006260E2" w:rsidRPr="00AD7AF4">
              <w:rPr>
                <w:b/>
                <w:i/>
              </w:rPr>
              <w:t>AUSTRAC entrusted person</w:t>
            </w:r>
            <w:r w:rsidR="00AD7AF4">
              <w:t xml:space="preserve"> in </w:t>
            </w:r>
            <w:r w:rsidR="00B47364">
              <w:t>section 5</w:t>
            </w:r>
            <w:r w:rsidR="00AD7AF4">
              <w:t xml:space="preserve"> of the </w:t>
            </w:r>
            <w:r w:rsidR="00B374A8" w:rsidRPr="008946F1">
              <w:rPr>
                <w:i/>
              </w:rPr>
              <w:t>Anti</w:t>
            </w:r>
            <w:r w:rsidR="00B31CB4">
              <w:rPr>
                <w:i/>
              </w:rPr>
              <w:noBreakHyphen/>
            </w:r>
            <w:r w:rsidR="00B374A8" w:rsidRPr="008946F1">
              <w:rPr>
                <w:i/>
              </w:rPr>
              <w:t>Money Laundering and Counter</w:t>
            </w:r>
            <w:r w:rsidR="00B31CB4">
              <w:rPr>
                <w:i/>
              </w:rPr>
              <w:noBreakHyphen/>
            </w:r>
            <w:r w:rsidR="00B374A8" w:rsidRPr="008946F1">
              <w:rPr>
                <w:i/>
              </w:rPr>
              <w:t>Terrorism Financing Act 2006</w:t>
            </w:r>
            <w:r w:rsidR="00AD7AF4">
              <w:t xml:space="preserve">, other than a person covered by </w:t>
            </w:r>
            <w:r w:rsidR="00B47364">
              <w:t>paragraph (</w:t>
            </w:r>
            <w:r w:rsidR="00D92F7F" w:rsidRPr="00564840">
              <w:t>c), (e) o</w:t>
            </w:r>
            <w:r w:rsidR="00CE3243" w:rsidRPr="00564840">
              <w:t>r</w:t>
            </w:r>
            <w:r w:rsidR="00D92F7F" w:rsidRPr="00564840">
              <w:t xml:space="preserve"> (g) </w:t>
            </w:r>
            <w:r w:rsidR="00D92F7F">
              <w:t>of that definition</w:t>
            </w:r>
            <w:r>
              <w:t>; and</w:t>
            </w:r>
          </w:p>
          <w:p w14:paraId="3802868C" w14:textId="77777777" w:rsidR="00367B54" w:rsidRPr="00892BF2" w:rsidRDefault="00892BF2" w:rsidP="00892BF2">
            <w:pPr>
              <w:pStyle w:val="Tablea"/>
            </w:pPr>
            <w:r>
              <w:t xml:space="preserve">(b) </w:t>
            </w:r>
            <w:r w:rsidRPr="00564840">
              <w:t xml:space="preserve">despite </w:t>
            </w:r>
            <w:r w:rsidR="00B47364">
              <w:t>paragraph (</w:t>
            </w:r>
            <w:r w:rsidRPr="00564840">
              <w:t>a)</w:t>
            </w:r>
            <w:r w:rsidR="00E10184">
              <w:t xml:space="preserve"> of this table item</w:t>
            </w:r>
            <w:r w:rsidRPr="00564840">
              <w:t xml:space="preserve">, is not a person covered by </w:t>
            </w:r>
            <w:r w:rsidR="00B47364">
              <w:t>paragraph 2</w:t>
            </w:r>
            <w:r w:rsidR="00D21C38" w:rsidRPr="00564840">
              <w:t>25(3)(g) of that Act</w:t>
            </w:r>
            <w:r w:rsidR="00D21C38">
              <w:t>;</w:t>
            </w:r>
            <w:r w:rsidR="00B77E64">
              <w:t xml:space="preserve"> and</w:t>
            </w:r>
          </w:p>
          <w:p w14:paraId="53F070DD" w14:textId="77777777" w:rsidR="00797C46" w:rsidRDefault="005E14E5" w:rsidP="005E14E5">
            <w:pPr>
              <w:pStyle w:val="Tablea"/>
            </w:pPr>
            <w:r>
              <w:t>(</w:t>
            </w:r>
            <w:r w:rsidR="00892BF2">
              <w:t>c</w:t>
            </w:r>
            <w:r>
              <w:t>)</w:t>
            </w:r>
            <w:r w:rsidR="000B714D">
              <w:t xml:space="preserve"> </w:t>
            </w:r>
            <w:r w:rsidR="00797C46">
              <w:t>either:</w:t>
            </w:r>
          </w:p>
          <w:p w14:paraId="4A26BD7A" w14:textId="77777777" w:rsidR="00797C46" w:rsidRDefault="00797C46" w:rsidP="00797C46">
            <w:pPr>
              <w:pStyle w:val="Tablei"/>
            </w:pPr>
            <w:r>
              <w:lastRenderedPageBreak/>
              <w:t>(i) is an SES employee or acting SES employee</w:t>
            </w:r>
            <w:r w:rsidR="008D3A74">
              <w:t xml:space="preserve"> </w:t>
            </w:r>
            <w:r w:rsidR="00C50E06">
              <w:t>in</w:t>
            </w:r>
            <w:r w:rsidR="008D3A74">
              <w:t xml:space="preserve"> AUSTRAC</w:t>
            </w:r>
            <w:r>
              <w:t>; or</w:t>
            </w:r>
          </w:p>
          <w:p w14:paraId="4B3FE070" w14:textId="77777777" w:rsidR="005E14E5" w:rsidRPr="00B374A8" w:rsidRDefault="00797C46" w:rsidP="00797C46">
            <w:pPr>
              <w:pStyle w:val="Tablei"/>
            </w:pPr>
            <w:r>
              <w:t xml:space="preserve">(ii) </w:t>
            </w:r>
            <w:r w:rsidR="000B714D">
              <w:t xml:space="preserve">holds, or is acting in, a position </w:t>
            </w:r>
            <w:r w:rsidR="00EA0F7B">
              <w:t xml:space="preserve">in AUSTRAC </w:t>
            </w:r>
            <w:r w:rsidR="000B714D">
              <w:t>that is equivalent to</w:t>
            </w:r>
            <w:r w:rsidR="00380D80">
              <w:t>,</w:t>
            </w:r>
            <w:r w:rsidR="000B714D">
              <w:t xml:space="preserve"> or higher than</w:t>
            </w:r>
            <w:r w:rsidR="00380D80">
              <w:t>,</w:t>
            </w:r>
            <w:r w:rsidR="000B714D">
              <w:t xml:space="preserve"> </w:t>
            </w:r>
            <w:r w:rsidR="00380D80">
              <w:t>a position occupied by an SES employee</w:t>
            </w:r>
          </w:p>
        </w:tc>
      </w:tr>
    </w:tbl>
    <w:p w14:paraId="3A9CCE04" w14:textId="77777777" w:rsidR="002B3467" w:rsidRDefault="00457E0C" w:rsidP="00121D6C">
      <w:pPr>
        <w:pStyle w:val="ActHead5"/>
      </w:pPr>
      <w:bookmarkStart w:id="7" w:name="_Toc205819617"/>
      <w:r w:rsidRPr="00B31CB4">
        <w:rPr>
          <w:rStyle w:val="CharSectno"/>
        </w:rPr>
        <w:lastRenderedPageBreak/>
        <w:t>8</w:t>
      </w:r>
      <w:r w:rsidR="00121D6C">
        <w:t xml:space="preserve">  Persons authorised to use or disclose information—</w:t>
      </w:r>
      <w:r w:rsidR="00912726">
        <w:t xml:space="preserve">nominated </w:t>
      </w:r>
      <w:r w:rsidR="00121D6C">
        <w:t>special regulators</w:t>
      </w:r>
      <w:bookmarkEnd w:id="7"/>
    </w:p>
    <w:p w14:paraId="2C983510" w14:textId="77777777" w:rsidR="00414524" w:rsidRDefault="00121D6C" w:rsidP="00D646EF">
      <w:pPr>
        <w:pStyle w:val="subsection"/>
      </w:pPr>
      <w:r>
        <w:tab/>
      </w:r>
      <w:r>
        <w:tab/>
        <w:t xml:space="preserve">For the purposes of </w:t>
      </w:r>
      <w:r w:rsidR="00B47364">
        <w:t>paragraph 2</w:t>
      </w:r>
      <w:r>
        <w:t>6A(4)(d) of the Act,</w:t>
      </w:r>
      <w:r w:rsidR="00D646EF">
        <w:t xml:space="preserve"> if an entity specified in column 1 of an item in the table is a nominated special regulator in relation to a special designated payment system, then a person specified in column 2 of the item is prescribed in relation to the nominated special regulator.</w:t>
      </w:r>
    </w:p>
    <w:p w14:paraId="663876D5" w14:textId="77777777" w:rsidR="00D85DBF" w:rsidRPr="00D85DBF" w:rsidRDefault="00D85DBF" w:rsidP="00D85DBF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676"/>
        <w:gridCol w:w="3922"/>
      </w:tblGrid>
      <w:tr w:rsidR="00414524" w14:paraId="20BDAB52" w14:textId="77777777" w:rsidTr="00414524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F33C949" w14:textId="77777777" w:rsidR="00414524" w:rsidRDefault="00414524" w:rsidP="00414524">
            <w:pPr>
              <w:pStyle w:val="TableHeading"/>
            </w:pPr>
            <w:r>
              <w:t>Persons authorised to use or disclose information</w:t>
            </w:r>
          </w:p>
        </w:tc>
      </w:tr>
      <w:tr w:rsidR="00414524" w14:paraId="4DEC67FA" w14:textId="77777777" w:rsidTr="001C7FE6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7622C4D" w14:textId="77777777" w:rsidR="00414524" w:rsidRDefault="00414524" w:rsidP="00414524">
            <w:pPr>
              <w:pStyle w:val="TableHeading"/>
            </w:pPr>
            <w:r>
              <w:t>Item</w:t>
            </w:r>
          </w:p>
        </w:tc>
        <w:tc>
          <w:tcPr>
            <w:tcW w:w="36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C4A52B2" w14:textId="77777777" w:rsidR="00414524" w:rsidRDefault="00282A41" w:rsidP="00414524">
            <w:pPr>
              <w:pStyle w:val="TableHeading"/>
            </w:pPr>
            <w:r>
              <w:t>Column 1</w:t>
            </w:r>
          </w:p>
          <w:p w14:paraId="4A5376DE" w14:textId="77777777" w:rsidR="00282A41" w:rsidRPr="00282A41" w:rsidRDefault="00912726" w:rsidP="00282A41">
            <w:pPr>
              <w:pStyle w:val="Tabletext"/>
              <w:rPr>
                <w:b/>
              </w:rPr>
            </w:pPr>
            <w:r>
              <w:rPr>
                <w:b/>
              </w:rPr>
              <w:t>Nominated s</w:t>
            </w:r>
            <w:r w:rsidR="00282A41">
              <w:rPr>
                <w:b/>
              </w:rPr>
              <w:t>pecial regulators</w:t>
            </w:r>
          </w:p>
        </w:tc>
        <w:tc>
          <w:tcPr>
            <w:tcW w:w="392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F03F464" w14:textId="77777777" w:rsidR="00414524" w:rsidRDefault="00282A41" w:rsidP="00414524">
            <w:pPr>
              <w:pStyle w:val="TableHeading"/>
            </w:pPr>
            <w:r>
              <w:t>Column 2</w:t>
            </w:r>
          </w:p>
          <w:p w14:paraId="55C3A70C" w14:textId="77777777" w:rsidR="00282A41" w:rsidRPr="00282A41" w:rsidRDefault="00282A41" w:rsidP="00282A41">
            <w:pPr>
              <w:pStyle w:val="Tabletext"/>
              <w:rPr>
                <w:b/>
              </w:rPr>
            </w:pPr>
            <w:r>
              <w:rPr>
                <w:b/>
              </w:rPr>
              <w:t>Prescribed persons</w:t>
            </w:r>
          </w:p>
        </w:tc>
      </w:tr>
      <w:tr w:rsidR="00414524" w14:paraId="6509105C" w14:textId="77777777" w:rsidTr="001C7FE6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015DBBE3" w14:textId="77777777" w:rsidR="00414524" w:rsidRDefault="00414524" w:rsidP="00414524">
            <w:pPr>
              <w:pStyle w:val="Tabletext"/>
            </w:pPr>
            <w:r>
              <w:t>1</w:t>
            </w:r>
          </w:p>
        </w:tc>
        <w:tc>
          <w:tcPr>
            <w:tcW w:w="3676" w:type="dxa"/>
            <w:tcBorders>
              <w:top w:val="single" w:sz="12" w:space="0" w:color="auto"/>
            </w:tcBorders>
            <w:shd w:val="clear" w:color="auto" w:fill="auto"/>
          </w:tcPr>
          <w:p w14:paraId="03FDB3AF" w14:textId="77777777" w:rsidR="00414524" w:rsidRPr="00F12ED2" w:rsidRDefault="00282A41" w:rsidP="00414524">
            <w:pPr>
              <w:pStyle w:val="Tabletext"/>
            </w:pPr>
            <w:r>
              <w:t>The Australian Competition and Consumer Commission</w:t>
            </w:r>
            <w:r w:rsidR="007647CE">
              <w:t xml:space="preserve"> (the </w:t>
            </w:r>
            <w:r w:rsidR="00F12ED2">
              <w:rPr>
                <w:b/>
                <w:i/>
              </w:rPr>
              <w:t>Commission</w:t>
            </w:r>
            <w:r w:rsidR="00F12ED2">
              <w:t>)</w:t>
            </w:r>
          </w:p>
        </w:tc>
        <w:tc>
          <w:tcPr>
            <w:tcW w:w="3922" w:type="dxa"/>
            <w:tcBorders>
              <w:top w:val="single" w:sz="12" w:space="0" w:color="auto"/>
            </w:tcBorders>
            <w:shd w:val="clear" w:color="auto" w:fill="auto"/>
          </w:tcPr>
          <w:p w14:paraId="36E2E73D" w14:textId="77777777" w:rsidR="00414524" w:rsidRDefault="00FB2923" w:rsidP="00414524">
            <w:pPr>
              <w:pStyle w:val="Tabletext"/>
            </w:pPr>
            <w:r>
              <w:t>Each of the following:</w:t>
            </w:r>
          </w:p>
          <w:p w14:paraId="39CDEA02" w14:textId="77777777" w:rsidR="005077CA" w:rsidRDefault="00FB2923" w:rsidP="005077CA">
            <w:pPr>
              <w:pStyle w:val="Tablea"/>
            </w:pPr>
            <w:r>
              <w:t>(</w:t>
            </w:r>
            <w:r w:rsidR="002E0D58">
              <w:t>a</w:t>
            </w:r>
            <w:r>
              <w:t>)</w:t>
            </w:r>
            <w:r w:rsidR="005077CA">
              <w:t xml:space="preserve"> a member</w:t>
            </w:r>
            <w:r w:rsidR="00F12ED2">
              <w:t xml:space="preserve"> of the Commission</w:t>
            </w:r>
            <w:r w:rsidR="005077CA">
              <w:t xml:space="preserve"> (within the meaning of the </w:t>
            </w:r>
            <w:r w:rsidR="005077CA">
              <w:rPr>
                <w:i/>
              </w:rPr>
              <w:t>Competition and Consumer Act 2010</w:t>
            </w:r>
            <w:r w:rsidR="005077CA">
              <w:t>);</w:t>
            </w:r>
          </w:p>
          <w:p w14:paraId="2B9716F6" w14:textId="77777777" w:rsidR="005077CA" w:rsidRDefault="005077CA" w:rsidP="005077CA">
            <w:pPr>
              <w:pStyle w:val="Tablea"/>
            </w:pPr>
            <w:r>
              <w:t>(</w:t>
            </w:r>
            <w:r w:rsidR="002E0D58">
              <w:t>b</w:t>
            </w:r>
            <w:r>
              <w:t>) an associate member of the Commission (within the meaning of that Act);</w:t>
            </w:r>
          </w:p>
          <w:p w14:paraId="5E5892BD" w14:textId="77777777" w:rsidR="001D7C55" w:rsidRDefault="005077CA" w:rsidP="001D7C55">
            <w:pPr>
              <w:pStyle w:val="Tablea"/>
            </w:pPr>
            <w:r>
              <w:t>(</w:t>
            </w:r>
            <w:r w:rsidR="002E0D58">
              <w:t>c</w:t>
            </w:r>
            <w:r>
              <w:t>) a person who is</w:t>
            </w:r>
            <w:r w:rsidR="001D7C55">
              <w:t>:</w:t>
            </w:r>
          </w:p>
          <w:p w14:paraId="07023F6B" w14:textId="77777777" w:rsidR="001D7C55" w:rsidRDefault="001D7C55" w:rsidP="001D7C55">
            <w:pPr>
              <w:pStyle w:val="Tablei"/>
            </w:pPr>
            <w:r>
              <w:t xml:space="preserve">(i) </w:t>
            </w:r>
            <w:r w:rsidR="00B4029A">
              <w:t>referred to in</w:t>
            </w:r>
            <w:r w:rsidR="00412E5F">
              <w:t xml:space="preserve"> </w:t>
            </w:r>
            <w:r w:rsidR="00B47364">
              <w:t>subsection 2</w:t>
            </w:r>
            <w:r w:rsidR="00412E5F">
              <w:t>7(1) of that Act</w:t>
            </w:r>
            <w:r>
              <w:t>; or</w:t>
            </w:r>
          </w:p>
          <w:p w14:paraId="7C47AEC7" w14:textId="77777777" w:rsidR="00BE55FC" w:rsidRPr="00FB2923" w:rsidRDefault="001D7C55" w:rsidP="001D7C55">
            <w:pPr>
              <w:pStyle w:val="Tablei"/>
            </w:pPr>
            <w:r>
              <w:t xml:space="preserve">(ii) </w:t>
            </w:r>
            <w:r w:rsidR="00501CDE">
              <w:t>engaged</w:t>
            </w:r>
            <w:r w:rsidR="005077CA">
              <w:t xml:space="preserve"> under </w:t>
            </w:r>
            <w:r w:rsidR="00B47364">
              <w:t>section 2</w:t>
            </w:r>
            <w:r w:rsidR="00501CDE">
              <w:t xml:space="preserve">7A </w:t>
            </w:r>
            <w:r w:rsidR="005077CA">
              <w:t>of that Act</w:t>
            </w:r>
          </w:p>
        </w:tc>
      </w:tr>
      <w:tr w:rsidR="00414524" w14:paraId="7A19DCDD" w14:textId="77777777" w:rsidTr="001C7FE6">
        <w:tc>
          <w:tcPr>
            <w:tcW w:w="714" w:type="dxa"/>
            <w:shd w:val="clear" w:color="auto" w:fill="auto"/>
          </w:tcPr>
          <w:p w14:paraId="27C5943B" w14:textId="77777777" w:rsidR="00414524" w:rsidRDefault="00414524" w:rsidP="00414524">
            <w:pPr>
              <w:pStyle w:val="Tabletext"/>
            </w:pPr>
            <w:r>
              <w:t>2</w:t>
            </w:r>
          </w:p>
        </w:tc>
        <w:tc>
          <w:tcPr>
            <w:tcW w:w="3676" w:type="dxa"/>
            <w:shd w:val="clear" w:color="auto" w:fill="auto"/>
          </w:tcPr>
          <w:p w14:paraId="61D46A1B" w14:textId="77777777" w:rsidR="00414524" w:rsidRPr="007647CE" w:rsidRDefault="00282A41" w:rsidP="00414524">
            <w:pPr>
              <w:pStyle w:val="Tabletext"/>
            </w:pPr>
            <w:r>
              <w:t>The Australian Prudential Regulation Authority</w:t>
            </w:r>
            <w:r w:rsidR="007647CE">
              <w:t xml:space="preserve"> (</w:t>
            </w:r>
            <w:r w:rsidR="007647CE">
              <w:rPr>
                <w:b/>
                <w:i/>
              </w:rPr>
              <w:t>APRA</w:t>
            </w:r>
            <w:r w:rsidR="007647CE">
              <w:t>)</w:t>
            </w:r>
          </w:p>
        </w:tc>
        <w:tc>
          <w:tcPr>
            <w:tcW w:w="3922" w:type="dxa"/>
            <w:shd w:val="clear" w:color="auto" w:fill="auto"/>
          </w:tcPr>
          <w:p w14:paraId="2CF7835F" w14:textId="77777777" w:rsidR="00414524" w:rsidRDefault="002A2683" w:rsidP="00414524">
            <w:pPr>
              <w:pStyle w:val="Tabletext"/>
            </w:pPr>
            <w:r>
              <w:t>Each of the following:</w:t>
            </w:r>
          </w:p>
          <w:p w14:paraId="2E77AD21" w14:textId="77777777" w:rsidR="002A2683" w:rsidRDefault="002A2683" w:rsidP="002A2683">
            <w:pPr>
              <w:pStyle w:val="Tablea"/>
            </w:pPr>
            <w:r>
              <w:t xml:space="preserve">(a) an APRA member (within the meaning of the </w:t>
            </w:r>
            <w:r>
              <w:rPr>
                <w:i/>
              </w:rPr>
              <w:t>Australian Prudential Regulation Authority Act 1998</w:t>
            </w:r>
            <w:r w:rsidR="00607ABE">
              <w:t>)</w:t>
            </w:r>
            <w:r w:rsidR="00325FDF">
              <w:t>, other than the Chair of APRA</w:t>
            </w:r>
            <w:r>
              <w:t>;</w:t>
            </w:r>
          </w:p>
          <w:p w14:paraId="403987C1" w14:textId="77777777" w:rsidR="007E4943" w:rsidRPr="002A2683" w:rsidRDefault="002A2683" w:rsidP="002A2683">
            <w:pPr>
              <w:pStyle w:val="Tablea"/>
            </w:pPr>
            <w:r>
              <w:t>(b) an APRA staff member (within the meaning of that Act)</w:t>
            </w:r>
          </w:p>
        </w:tc>
      </w:tr>
      <w:tr w:rsidR="00414524" w14:paraId="0966E001" w14:textId="77777777" w:rsidTr="001C7FE6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4D3AFDC0" w14:textId="77777777" w:rsidR="00414524" w:rsidRDefault="00282A41" w:rsidP="00414524">
            <w:pPr>
              <w:pStyle w:val="Tabletext"/>
            </w:pPr>
            <w:r>
              <w:t>3</w:t>
            </w:r>
          </w:p>
        </w:tc>
        <w:tc>
          <w:tcPr>
            <w:tcW w:w="3676" w:type="dxa"/>
            <w:tcBorders>
              <w:bottom w:val="single" w:sz="2" w:space="0" w:color="auto"/>
            </w:tcBorders>
            <w:shd w:val="clear" w:color="auto" w:fill="auto"/>
          </w:tcPr>
          <w:p w14:paraId="6B258524" w14:textId="77777777" w:rsidR="00414524" w:rsidRPr="007647CE" w:rsidRDefault="00282A41" w:rsidP="00414524">
            <w:pPr>
              <w:pStyle w:val="Tabletext"/>
            </w:pPr>
            <w:r>
              <w:t>The Australian Securities and Investment</w:t>
            </w:r>
            <w:r w:rsidR="005D65F6">
              <w:t>s</w:t>
            </w:r>
            <w:r>
              <w:t xml:space="preserve"> Commission</w:t>
            </w:r>
            <w:r w:rsidR="007647CE">
              <w:t xml:space="preserve"> (</w:t>
            </w:r>
            <w:r w:rsidR="007647CE">
              <w:rPr>
                <w:b/>
                <w:i/>
              </w:rPr>
              <w:t>ASIC</w:t>
            </w:r>
            <w:r w:rsidR="007647CE">
              <w:t>)</w:t>
            </w:r>
          </w:p>
        </w:tc>
        <w:tc>
          <w:tcPr>
            <w:tcW w:w="3922" w:type="dxa"/>
            <w:tcBorders>
              <w:bottom w:val="single" w:sz="2" w:space="0" w:color="auto"/>
            </w:tcBorders>
            <w:shd w:val="clear" w:color="auto" w:fill="auto"/>
          </w:tcPr>
          <w:p w14:paraId="1971A07B" w14:textId="77777777" w:rsidR="0053759C" w:rsidRDefault="0053759C" w:rsidP="0053759C">
            <w:pPr>
              <w:pStyle w:val="Tabletext"/>
            </w:pPr>
            <w:r>
              <w:t>Each of the following:</w:t>
            </w:r>
          </w:p>
          <w:p w14:paraId="37263F76" w14:textId="77777777" w:rsidR="00414524" w:rsidRDefault="0053759C" w:rsidP="0053759C">
            <w:pPr>
              <w:pStyle w:val="Tablea"/>
            </w:pPr>
            <w:r>
              <w:t xml:space="preserve">(a) a member of ASIC (within the meaning of the </w:t>
            </w:r>
            <w:r>
              <w:rPr>
                <w:i/>
              </w:rPr>
              <w:t>Australian Securities and Investments Commission Act 2001</w:t>
            </w:r>
            <w:r>
              <w:t>);</w:t>
            </w:r>
          </w:p>
          <w:p w14:paraId="515D7539" w14:textId="77777777" w:rsidR="006D20CB" w:rsidRDefault="006D20CB" w:rsidP="0053759C">
            <w:pPr>
              <w:pStyle w:val="Tablea"/>
            </w:pPr>
            <w:r>
              <w:t xml:space="preserve">(b) </w:t>
            </w:r>
            <w:r w:rsidR="00AF0030">
              <w:t>a staff member (within the meaning of that Act)</w:t>
            </w:r>
          </w:p>
        </w:tc>
      </w:tr>
      <w:tr w:rsidR="00414524" w14:paraId="60B2C8B0" w14:textId="77777777" w:rsidTr="001C7FE6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AAC471A" w14:textId="77777777" w:rsidR="00414524" w:rsidRDefault="00414524" w:rsidP="00414524">
            <w:pPr>
              <w:pStyle w:val="Tabletext"/>
            </w:pPr>
            <w:r>
              <w:lastRenderedPageBreak/>
              <w:t>4</w:t>
            </w:r>
          </w:p>
        </w:tc>
        <w:tc>
          <w:tcPr>
            <w:tcW w:w="367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E3087E3" w14:textId="77777777" w:rsidR="00414524" w:rsidRDefault="00282A41" w:rsidP="00414524">
            <w:pPr>
              <w:pStyle w:val="Tabletext"/>
            </w:pPr>
            <w:r>
              <w:t>AUSTRAC</w:t>
            </w:r>
          </w:p>
        </w:tc>
        <w:tc>
          <w:tcPr>
            <w:tcW w:w="392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6D9E855" w14:textId="41728D9E" w:rsidR="00414524" w:rsidRDefault="005D4EBD" w:rsidP="00414524">
            <w:pPr>
              <w:pStyle w:val="Tabletext"/>
            </w:pPr>
            <w:r>
              <w:t xml:space="preserve">An AUSTRAC entrusted person (within the meaning of the </w:t>
            </w:r>
            <w:r>
              <w:rPr>
                <w:i/>
              </w:rPr>
              <w:t>Anti</w:t>
            </w:r>
            <w:r w:rsidR="00B31CB4">
              <w:rPr>
                <w:i/>
              </w:rPr>
              <w:noBreakHyphen/>
            </w:r>
            <w:r>
              <w:rPr>
                <w:i/>
              </w:rPr>
              <w:t>Money Laundering and Counter</w:t>
            </w:r>
            <w:r w:rsidR="00B31CB4">
              <w:rPr>
                <w:i/>
              </w:rPr>
              <w:noBreakHyphen/>
            </w:r>
            <w:r>
              <w:rPr>
                <w:i/>
              </w:rPr>
              <w:t>Terrorism Financing Act 2006</w:t>
            </w:r>
            <w:r>
              <w:t>)</w:t>
            </w:r>
          </w:p>
        </w:tc>
      </w:tr>
    </w:tbl>
    <w:p w14:paraId="45C9F08A" w14:textId="77777777" w:rsidR="0081083B" w:rsidRDefault="00457E0C" w:rsidP="0081083B">
      <w:pPr>
        <w:pStyle w:val="ActHead5"/>
      </w:pPr>
      <w:bookmarkStart w:id="8" w:name="_Toc205819618"/>
      <w:r w:rsidRPr="00B31CB4">
        <w:rPr>
          <w:rStyle w:val="CharSectno"/>
        </w:rPr>
        <w:t>9</w:t>
      </w:r>
      <w:r w:rsidR="0081083B">
        <w:t xml:space="preserve">  Persons protected from civil liability—</w:t>
      </w:r>
      <w:r w:rsidR="00325FDF">
        <w:t xml:space="preserve">nominated </w:t>
      </w:r>
      <w:r w:rsidR="0081083B">
        <w:t>special regulators</w:t>
      </w:r>
      <w:bookmarkEnd w:id="8"/>
    </w:p>
    <w:p w14:paraId="6F1DA77C" w14:textId="77777777" w:rsidR="0081083B" w:rsidRDefault="0081083B" w:rsidP="0081083B">
      <w:pPr>
        <w:pStyle w:val="subsection"/>
      </w:pPr>
      <w:r>
        <w:tab/>
      </w:r>
      <w:r>
        <w:tab/>
        <w:t xml:space="preserve">For the purposes of </w:t>
      </w:r>
      <w:r w:rsidR="00BD3A51">
        <w:t>paragraph 3</w:t>
      </w:r>
      <w:r>
        <w:t xml:space="preserve">0B(4)(d) of the Act, </w:t>
      </w:r>
      <w:r w:rsidR="00325FDF">
        <w:t xml:space="preserve">if an entity specified in column 1 of an item in the table is </w:t>
      </w:r>
      <w:r w:rsidR="00921841">
        <w:t xml:space="preserve">a </w:t>
      </w:r>
      <w:r w:rsidR="00325FDF">
        <w:t xml:space="preserve">nominated special regulator, then a </w:t>
      </w:r>
      <w:r>
        <w:t xml:space="preserve">person specified in column 2 of </w:t>
      </w:r>
      <w:r w:rsidR="00325FDF">
        <w:t>the</w:t>
      </w:r>
      <w:r>
        <w:t xml:space="preserve"> item</w:t>
      </w:r>
      <w:r w:rsidR="00711706">
        <w:t xml:space="preserve"> </w:t>
      </w:r>
      <w:r>
        <w:t xml:space="preserve">is prescribed in relation to the </w:t>
      </w:r>
      <w:r w:rsidR="00325FDF">
        <w:t xml:space="preserve">nominated </w:t>
      </w:r>
      <w:r>
        <w:t>special regulator.</w:t>
      </w:r>
    </w:p>
    <w:p w14:paraId="5FAF3994" w14:textId="77777777" w:rsidR="0081083B" w:rsidRDefault="0081083B" w:rsidP="0081083B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676"/>
        <w:gridCol w:w="3922"/>
      </w:tblGrid>
      <w:tr w:rsidR="0081083B" w14:paraId="32282E99" w14:textId="77777777" w:rsidTr="0081083B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040D494" w14:textId="77777777" w:rsidR="0081083B" w:rsidRDefault="0081083B" w:rsidP="0081083B">
            <w:pPr>
              <w:pStyle w:val="TableHeading"/>
            </w:pPr>
            <w:r>
              <w:t xml:space="preserve">Persons </w:t>
            </w:r>
            <w:r w:rsidR="00096DB3">
              <w:t>protected from civil liability</w:t>
            </w:r>
          </w:p>
        </w:tc>
      </w:tr>
      <w:tr w:rsidR="0081083B" w14:paraId="2D916242" w14:textId="77777777" w:rsidTr="001C7FE6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A906E96" w14:textId="77777777" w:rsidR="0081083B" w:rsidRDefault="0081083B" w:rsidP="0081083B">
            <w:pPr>
              <w:pStyle w:val="TableHeading"/>
            </w:pPr>
            <w:r>
              <w:t>Item</w:t>
            </w:r>
          </w:p>
        </w:tc>
        <w:tc>
          <w:tcPr>
            <w:tcW w:w="36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1EF4384" w14:textId="77777777" w:rsidR="0081083B" w:rsidRDefault="0081083B" w:rsidP="0081083B">
            <w:pPr>
              <w:pStyle w:val="TableHeading"/>
            </w:pPr>
            <w:r>
              <w:t>Column 1</w:t>
            </w:r>
          </w:p>
          <w:p w14:paraId="72FDDC51" w14:textId="77777777" w:rsidR="0081083B" w:rsidRPr="00282A41" w:rsidRDefault="00325FDF" w:rsidP="0081083B">
            <w:pPr>
              <w:pStyle w:val="Tabletext"/>
              <w:rPr>
                <w:b/>
              </w:rPr>
            </w:pPr>
            <w:r>
              <w:rPr>
                <w:b/>
              </w:rPr>
              <w:t>Nominated s</w:t>
            </w:r>
            <w:r w:rsidR="0081083B">
              <w:rPr>
                <w:b/>
              </w:rPr>
              <w:t>pecial regulators</w:t>
            </w:r>
          </w:p>
        </w:tc>
        <w:tc>
          <w:tcPr>
            <w:tcW w:w="392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FFA0691" w14:textId="77777777" w:rsidR="0081083B" w:rsidRDefault="0081083B" w:rsidP="0081083B">
            <w:pPr>
              <w:pStyle w:val="TableHeading"/>
            </w:pPr>
            <w:r>
              <w:t>Column 2</w:t>
            </w:r>
          </w:p>
          <w:p w14:paraId="05DA94F6" w14:textId="77777777" w:rsidR="0081083B" w:rsidRPr="00282A41" w:rsidRDefault="0081083B" w:rsidP="0081083B">
            <w:pPr>
              <w:pStyle w:val="Tabletext"/>
              <w:rPr>
                <w:b/>
              </w:rPr>
            </w:pPr>
            <w:r>
              <w:rPr>
                <w:b/>
              </w:rPr>
              <w:t>Prescribed persons</w:t>
            </w:r>
          </w:p>
        </w:tc>
      </w:tr>
      <w:tr w:rsidR="0081083B" w14:paraId="2A6FDB31" w14:textId="77777777" w:rsidTr="001C7FE6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3D733CFE" w14:textId="77777777" w:rsidR="0081083B" w:rsidRDefault="0081083B" w:rsidP="0081083B">
            <w:pPr>
              <w:pStyle w:val="Tabletext"/>
            </w:pPr>
            <w:r>
              <w:t>1</w:t>
            </w:r>
          </w:p>
        </w:tc>
        <w:tc>
          <w:tcPr>
            <w:tcW w:w="3676" w:type="dxa"/>
            <w:tcBorders>
              <w:top w:val="single" w:sz="12" w:space="0" w:color="auto"/>
            </w:tcBorders>
            <w:shd w:val="clear" w:color="auto" w:fill="auto"/>
          </w:tcPr>
          <w:p w14:paraId="08F7ACE6" w14:textId="77777777" w:rsidR="0081083B" w:rsidRPr="00FB2923" w:rsidRDefault="0081083B" w:rsidP="0081083B">
            <w:pPr>
              <w:pStyle w:val="Tabletext"/>
            </w:pPr>
            <w:r>
              <w:t>The Australian Competition and Consumer Commission</w:t>
            </w:r>
            <w:r w:rsidR="00FB2923">
              <w:t xml:space="preserve"> (the </w:t>
            </w:r>
            <w:r w:rsidR="00F12ED2">
              <w:rPr>
                <w:b/>
                <w:i/>
              </w:rPr>
              <w:t>Commission</w:t>
            </w:r>
            <w:r w:rsidR="00FB2923">
              <w:t>)</w:t>
            </w:r>
          </w:p>
        </w:tc>
        <w:tc>
          <w:tcPr>
            <w:tcW w:w="3922" w:type="dxa"/>
            <w:tcBorders>
              <w:top w:val="single" w:sz="12" w:space="0" w:color="auto"/>
            </w:tcBorders>
            <w:shd w:val="clear" w:color="auto" w:fill="auto"/>
          </w:tcPr>
          <w:p w14:paraId="20B0B81E" w14:textId="77777777" w:rsidR="0053759C" w:rsidRDefault="0053759C" w:rsidP="00045D51">
            <w:pPr>
              <w:pStyle w:val="Tabletext"/>
            </w:pPr>
            <w:r>
              <w:t>Each of the following:</w:t>
            </w:r>
          </w:p>
          <w:p w14:paraId="36941218" w14:textId="77777777" w:rsidR="0053759C" w:rsidRDefault="0053759C" w:rsidP="0053759C">
            <w:pPr>
              <w:pStyle w:val="Tablea"/>
            </w:pPr>
            <w:r>
              <w:t>(</w:t>
            </w:r>
            <w:r w:rsidR="00045D51">
              <w:t>a</w:t>
            </w:r>
            <w:r>
              <w:t xml:space="preserve">) a member </w:t>
            </w:r>
            <w:r w:rsidR="00F12ED2">
              <w:t xml:space="preserve">of the Commission </w:t>
            </w:r>
            <w:r>
              <w:t xml:space="preserve">(within the meaning of the </w:t>
            </w:r>
            <w:r>
              <w:rPr>
                <w:i/>
              </w:rPr>
              <w:t>Competition and Consumer Act 2010</w:t>
            </w:r>
            <w:r>
              <w:t>);</w:t>
            </w:r>
          </w:p>
          <w:p w14:paraId="6986E939" w14:textId="77777777" w:rsidR="0053759C" w:rsidRDefault="0053759C" w:rsidP="0053759C">
            <w:pPr>
              <w:pStyle w:val="Tablea"/>
            </w:pPr>
            <w:r>
              <w:t>(</w:t>
            </w:r>
            <w:r w:rsidR="00045D51">
              <w:t>b</w:t>
            </w:r>
            <w:r>
              <w:t>) an associate member of the Commission (within the meaning of that Act);</w:t>
            </w:r>
          </w:p>
          <w:p w14:paraId="77AE2CFC" w14:textId="77777777" w:rsidR="002A03CD" w:rsidRDefault="002A03CD" w:rsidP="002A03CD">
            <w:pPr>
              <w:pStyle w:val="Tablea"/>
            </w:pPr>
            <w:r>
              <w:t>(</w:t>
            </w:r>
            <w:r w:rsidR="00045D51">
              <w:t>c</w:t>
            </w:r>
            <w:r>
              <w:t>) a person who is:</w:t>
            </w:r>
          </w:p>
          <w:p w14:paraId="7000B45C" w14:textId="77777777" w:rsidR="002A03CD" w:rsidRDefault="002A03CD" w:rsidP="002A03CD">
            <w:pPr>
              <w:pStyle w:val="Tablei"/>
            </w:pPr>
            <w:r>
              <w:t xml:space="preserve">(i) referred to in </w:t>
            </w:r>
            <w:r w:rsidR="00B47364">
              <w:t>subsection 2</w:t>
            </w:r>
            <w:r>
              <w:t>7(1) of that Act; or</w:t>
            </w:r>
          </w:p>
          <w:p w14:paraId="66140E27" w14:textId="77777777" w:rsidR="0081083B" w:rsidRDefault="002A03CD" w:rsidP="002A03CD">
            <w:pPr>
              <w:pStyle w:val="Tablei"/>
            </w:pPr>
            <w:r>
              <w:t xml:space="preserve">(ii) engaged under </w:t>
            </w:r>
            <w:r w:rsidR="00B47364">
              <w:t>section 2</w:t>
            </w:r>
            <w:r>
              <w:t>7A of that Act</w:t>
            </w:r>
            <w:r w:rsidR="00AD25CF">
              <w:t xml:space="preserve"> </w:t>
            </w:r>
          </w:p>
        </w:tc>
      </w:tr>
      <w:tr w:rsidR="0081083B" w14:paraId="390957FC" w14:textId="77777777" w:rsidTr="001C7FE6">
        <w:tc>
          <w:tcPr>
            <w:tcW w:w="714" w:type="dxa"/>
            <w:shd w:val="clear" w:color="auto" w:fill="auto"/>
          </w:tcPr>
          <w:p w14:paraId="2038A54B" w14:textId="77777777" w:rsidR="0081083B" w:rsidRDefault="0081083B" w:rsidP="0081083B">
            <w:pPr>
              <w:pStyle w:val="Tabletext"/>
            </w:pPr>
            <w:r>
              <w:t>2</w:t>
            </w:r>
          </w:p>
        </w:tc>
        <w:tc>
          <w:tcPr>
            <w:tcW w:w="3676" w:type="dxa"/>
            <w:shd w:val="clear" w:color="auto" w:fill="auto"/>
          </w:tcPr>
          <w:p w14:paraId="3829F474" w14:textId="77777777" w:rsidR="0081083B" w:rsidRPr="00FB2923" w:rsidRDefault="0081083B" w:rsidP="0081083B">
            <w:pPr>
              <w:pStyle w:val="Tabletext"/>
            </w:pPr>
            <w:r>
              <w:t>The Australian Prudential Regulation Authority</w:t>
            </w:r>
            <w:r w:rsidR="00FB2923">
              <w:t xml:space="preserve"> (</w:t>
            </w:r>
            <w:r w:rsidR="00FB2923">
              <w:rPr>
                <w:b/>
                <w:i/>
              </w:rPr>
              <w:t>APRA</w:t>
            </w:r>
            <w:r w:rsidR="00FB2923">
              <w:t>)</w:t>
            </w:r>
          </w:p>
        </w:tc>
        <w:tc>
          <w:tcPr>
            <w:tcW w:w="3922" w:type="dxa"/>
            <w:shd w:val="clear" w:color="auto" w:fill="auto"/>
          </w:tcPr>
          <w:p w14:paraId="3C93E78C" w14:textId="77777777" w:rsidR="0053759C" w:rsidRDefault="0053759C" w:rsidP="0053759C">
            <w:pPr>
              <w:pStyle w:val="Tabletext"/>
            </w:pPr>
            <w:r>
              <w:t>Each of the following:</w:t>
            </w:r>
          </w:p>
          <w:p w14:paraId="1126C4CC" w14:textId="77777777" w:rsidR="0053759C" w:rsidRDefault="0053759C" w:rsidP="0053759C">
            <w:pPr>
              <w:pStyle w:val="Tablea"/>
            </w:pPr>
            <w:r>
              <w:t xml:space="preserve">(a) an APRA member (within the meaning of the </w:t>
            </w:r>
            <w:r>
              <w:rPr>
                <w:i/>
              </w:rPr>
              <w:t>Australian Prudential Regulation Authority Act 1998</w:t>
            </w:r>
            <w:r w:rsidR="00607ABE">
              <w:t>)</w:t>
            </w:r>
            <w:r w:rsidR="002A03CD">
              <w:t>, other than the Chair of APRA</w:t>
            </w:r>
            <w:r>
              <w:t>;</w:t>
            </w:r>
          </w:p>
          <w:p w14:paraId="17587EE8" w14:textId="77777777" w:rsidR="0081083B" w:rsidRDefault="0053759C" w:rsidP="0053759C">
            <w:pPr>
              <w:pStyle w:val="Tablea"/>
            </w:pPr>
            <w:r>
              <w:t>(b) an APRA staff member (within the meaning of that Act)</w:t>
            </w:r>
          </w:p>
        </w:tc>
      </w:tr>
      <w:tr w:rsidR="0081083B" w14:paraId="34106640" w14:textId="77777777" w:rsidTr="001C7FE6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36811FE3" w14:textId="77777777" w:rsidR="0081083B" w:rsidRDefault="0081083B" w:rsidP="0081083B">
            <w:pPr>
              <w:pStyle w:val="Tabletext"/>
            </w:pPr>
            <w:r>
              <w:t>3</w:t>
            </w:r>
          </w:p>
        </w:tc>
        <w:tc>
          <w:tcPr>
            <w:tcW w:w="3676" w:type="dxa"/>
            <w:tcBorders>
              <w:bottom w:val="single" w:sz="2" w:space="0" w:color="auto"/>
            </w:tcBorders>
            <w:shd w:val="clear" w:color="auto" w:fill="auto"/>
          </w:tcPr>
          <w:p w14:paraId="12B109EE" w14:textId="77777777" w:rsidR="0081083B" w:rsidRPr="00FB2923" w:rsidRDefault="0081083B" w:rsidP="0081083B">
            <w:pPr>
              <w:pStyle w:val="Tabletext"/>
            </w:pPr>
            <w:r>
              <w:t>The Australian Securities and Investment</w:t>
            </w:r>
            <w:r w:rsidR="005D65F6">
              <w:t>s</w:t>
            </w:r>
            <w:r>
              <w:t xml:space="preserve"> Commission</w:t>
            </w:r>
            <w:r w:rsidR="00FB2923">
              <w:t xml:space="preserve"> (</w:t>
            </w:r>
            <w:r w:rsidR="00FB2923">
              <w:rPr>
                <w:b/>
                <w:i/>
              </w:rPr>
              <w:t>ASIC</w:t>
            </w:r>
            <w:r w:rsidR="00FB2923">
              <w:t>)</w:t>
            </w:r>
          </w:p>
        </w:tc>
        <w:tc>
          <w:tcPr>
            <w:tcW w:w="3922" w:type="dxa"/>
            <w:tcBorders>
              <w:bottom w:val="single" w:sz="2" w:space="0" w:color="auto"/>
            </w:tcBorders>
            <w:shd w:val="clear" w:color="auto" w:fill="auto"/>
          </w:tcPr>
          <w:p w14:paraId="2CD6A75C" w14:textId="77777777" w:rsidR="005D4EBD" w:rsidRDefault="005D4EBD" w:rsidP="005D4EBD">
            <w:pPr>
              <w:pStyle w:val="Tabletext"/>
            </w:pPr>
            <w:r>
              <w:t>Each of the following:</w:t>
            </w:r>
          </w:p>
          <w:p w14:paraId="41DF3B3B" w14:textId="77777777" w:rsidR="005D4EBD" w:rsidRDefault="005D4EBD" w:rsidP="005D4EBD">
            <w:pPr>
              <w:pStyle w:val="Tablea"/>
            </w:pPr>
            <w:r>
              <w:t xml:space="preserve">(a) a member of ASIC (within the meaning of the </w:t>
            </w:r>
            <w:r>
              <w:rPr>
                <w:i/>
              </w:rPr>
              <w:t>Australian Securities and Investments Commission Act 2001</w:t>
            </w:r>
            <w:r>
              <w:t>);</w:t>
            </w:r>
          </w:p>
          <w:p w14:paraId="2BF012DD" w14:textId="77777777" w:rsidR="0081083B" w:rsidRDefault="005D4EBD" w:rsidP="00FE7AF0">
            <w:pPr>
              <w:pStyle w:val="Tablea"/>
            </w:pPr>
            <w:r>
              <w:t xml:space="preserve">(b) </w:t>
            </w:r>
            <w:r w:rsidR="00570D84">
              <w:t>a staff member (within the meaning of that Act)</w:t>
            </w:r>
          </w:p>
        </w:tc>
      </w:tr>
      <w:tr w:rsidR="0081083B" w14:paraId="7873556D" w14:textId="77777777" w:rsidTr="001C7FE6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42F8767" w14:textId="77777777" w:rsidR="0081083B" w:rsidRDefault="0081083B" w:rsidP="0081083B">
            <w:pPr>
              <w:pStyle w:val="Tabletext"/>
            </w:pPr>
            <w:r>
              <w:t>4</w:t>
            </w:r>
          </w:p>
        </w:tc>
        <w:tc>
          <w:tcPr>
            <w:tcW w:w="367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E6A78AC" w14:textId="77777777" w:rsidR="0081083B" w:rsidRDefault="0081083B" w:rsidP="0081083B">
            <w:pPr>
              <w:pStyle w:val="Tabletext"/>
            </w:pPr>
            <w:r>
              <w:t>AUSTRAC</w:t>
            </w:r>
          </w:p>
        </w:tc>
        <w:tc>
          <w:tcPr>
            <w:tcW w:w="392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5A43ADF" w14:textId="5F9DA58C" w:rsidR="0081083B" w:rsidRDefault="000C1CEF" w:rsidP="0081083B">
            <w:pPr>
              <w:pStyle w:val="Tabletext"/>
            </w:pPr>
            <w:r>
              <w:t xml:space="preserve">An AUSTRAC entrusted person (within the meaning of the </w:t>
            </w:r>
            <w:r>
              <w:rPr>
                <w:i/>
              </w:rPr>
              <w:t>Anti</w:t>
            </w:r>
            <w:r w:rsidR="00B31CB4">
              <w:rPr>
                <w:i/>
              </w:rPr>
              <w:noBreakHyphen/>
            </w:r>
            <w:r>
              <w:rPr>
                <w:i/>
              </w:rPr>
              <w:t>Money Laundering and Counter</w:t>
            </w:r>
            <w:r w:rsidR="00B31CB4">
              <w:rPr>
                <w:i/>
              </w:rPr>
              <w:noBreakHyphen/>
            </w:r>
            <w:r>
              <w:rPr>
                <w:i/>
              </w:rPr>
              <w:t>Terrorism Financing Act 2006</w:t>
            </w:r>
            <w:r>
              <w:t>)</w:t>
            </w:r>
          </w:p>
        </w:tc>
      </w:tr>
    </w:tbl>
    <w:p w14:paraId="7BA11D52" w14:textId="77777777" w:rsidR="003755CC" w:rsidRDefault="003755CC" w:rsidP="003755CC">
      <w:pPr>
        <w:pStyle w:val="ActHead6"/>
        <w:pageBreakBefore/>
      </w:pPr>
      <w:bookmarkStart w:id="9" w:name="_Toc205819619"/>
      <w:r w:rsidRPr="00B31CB4">
        <w:rPr>
          <w:rStyle w:val="CharAmSchNo"/>
        </w:rPr>
        <w:lastRenderedPageBreak/>
        <w:t>Schedule 2</w:t>
      </w:r>
      <w:r>
        <w:t>—</w:t>
      </w:r>
      <w:r w:rsidRPr="00B31CB4">
        <w:rPr>
          <w:rStyle w:val="CharAmSchText"/>
        </w:rPr>
        <w:t>Other amendments</w:t>
      </w:r>
      <w:bookmarkEnd w:id="9"/>
    </w:p>
    <w:p w14:paraId="6EEED430" w14:textId="77777777" w:rsidR="003755CC" w:rsidRPr="003755CC" w:rsidRDefault="003755CC" w:rsidP="003755CC">
      <w:pPr>
        <w:pStyle w:val="Header"/>
      </w:pPr>
      <w:r w:rsidRPr="00B31CB4">
        <w:rPr>
          <w:rStyle w:val="CharAmPartNo"/>
        </w:rPr>
        <w:t xml:space="preserve"> </w:t>
      </w:r>
      <w:r w:rsidRPr="00B31CB4">
        <w:rPr>
          <w:rStyle w:val="CharAmPartText"/>
        </w:rPr>
        <w:t xml:space="preserve"> </w:t>
      </w:r>
    </w:p>
    <w:p w14:paraId="5B4F29F3" w14:textId="3390D2C6" w:rsidR="00B169CA" w:rsidRDefault="00B169CA" w:rsidP="00211EC5">
      <w:pPr>
        <w:pStyle w:val="ActHead9"/>
      </w:pPr>
      <w:bookmarkStart w:id="10" w:name="_Toc205819620"/>
      <w:r>
        <w:t xml:space="preserve">Australian Securities and Investments Commission </w:t>
      </w:r>
      <w:r w:rsidR="00B31CB4">
        <w:t>Regulations 2</w:t>
      </w:r>
      <w:r>
        <w:t>001</w:t>
      </w:r>
      <w:bookmarkEnd w:id="10"/>
    </w:p>
    <w:p w14:paraId="07093A81" w14:textId="77777777" w:rsidR="00B169CA" w:rsidRDefault="00CD1DA6" w:rsidP="009515AC">
      <w:pPr>
        <w:pStyle w:val="ItemHead"/>
      </w:pPr>
      <w:r>
        <w:t>1</w:t>
      </w:r>
      <w:r w:rsidR="009515AC">
        <w:t xml:space="preserve">  </w:t>
      </w:r>
      <w:r w:rsidR="00FF658A">
        <w:t xml:space="preserve">After </w:t>
      </w:r>
      <w:r w:rsidR="008C6128">
        <w:t>regulation</w:t>
      </w:r>
      <w:r w:rsidR="00F55D7E">
        <w:t> 2</w:t>
      </w:r>
      <w:r w:rsidR="009515AC">
        <w:t>BA</w:t>
      </w:r>
    </w:p>
    <w:p w14:paraId="08161792" w14:textId="77777777" w:rsidR="009515AC" w:rsidRDefault="00FF658A" w:rsidP="009515AC">
      <w:pPr>
        <w:pStyle w:val="Item"/>
      </w:pPr>
      <w:r>
        <w:t>Insert:</w:t>
      </w:r>
    </w:p>
    <w:p w14:paraId="5292F210" w14:textId="77777777" w:rsidR="009515AC" w:rsidRDefault="00FF658A" w:rsidP="00DF4485">
      <w:pPr>
        <w:pStyle w:val="ActHead5"/>
      </w:pPr>
      <w:bookmarkStart w:id="11" w:name="_Toc205819621"/>
      <w:r w:rsidRPr="00B31CB4">
        <w:rPr>
          <w:rStyle w:val="CharSectno"/>
        </w:rPr>
        <w:t>2BAA</w:t>
      </w:r>
      <w:r>
        <w:t xml:space="preserve">  Specific things that are not financial products—payment systems</w:t>
      </w:r>
      <w:bookmarkEnd w:id="11"/>
    </w:p>
    <w:p w14:paraId="6A5D283A" w14:textId="77777777" w:rsidR="00DF4485" w:rsidRDefault="00DF4485" w:rsidP="00DF4485">
      <w:pPr>
        <w:pStyle w:val="subsection"/>
      </w:pPr>
      <w:r>
        <w:tab/>
      </w:r>
      <w:r>
        <w:tab/>
        <w:t xml:space="preserve">For </w:t>
      </w:r>
      <w:r w:rsidR="004D3695">
        <w:t xml:space="preserve">the purposes of </w:t>
      </w:r>
      <w:r w:rsidR="00F55D7E">
        <w:t>paragraph 1</w:t>
      </w:r>
      <w:r>
        <w:t>2BAA(8)(e) of the Act, each of the following is not a financial product:</w:t>
      </w:r>
    </w:p>
    <w:p w14:paraId="12DD1FCD" w14:textId="77777777" w:rsidR="00361E6D" w:rsidRDefault="00DF4485" w:rsidP="00361E6D">
      <w:pPr>
        <w:pStyle w:val="paragraph"/>
      </w:pPr>
      <w:r>
        <w:tab/>
      </w:r>
      <w:r w:rsidR="00361E6D">
        <w:t>(</w:t>
      </w:r>
      <w:r w:rsidR="005E6069">
        <w:t>a</w:t>
      </w:r>
      <w:r w:rsidR="00361E6D">
        <w:t>)</w:t>
      </w:r>
      <w:r w:rsidR="00361E6D">
        <w:tab/>
        <w:t>the credit card system operated within Australia known as the MasterCard system or MasterCard network card system</w:t>
      </w:r>
      <w:r w:rsidR="00065E9B">
        <w:t xml:space="preserve"> and designated as a payment system under </w:t>
      </w:r>
      <w:r w:rsidR="00B47364">
        <w:t>section 1</w:t>
      </w:r>
      <w:r w:rsidR="00065E9B">
        <w:t xml:space="preserve">1 of the </w:t>
      </w:r>
      <w:r w:rsidR="00065E9B">
        <w:rPr>
          <w:i/>
        </w:rPr>
        <w:t>Payment Systems (Regulation) Act 1998</w:t>
      </w:r>
      <w:r w:rsidR="00065E9B">
        <w:t xml:space="preserve"> on </w:t>
      </w:r>
      <w:r w:rsidR="00B47364">
        <w:t>12 April</w:t>
      </w:r>
      <w:r w:rsidR="0086770B">
        <w:t xml:space="preserve"> 2001</w:t>
      </w:r>
      <w:r w:rsidR="00361E6D">
        <w:t>;</w:t>
      </w:r>
    </w:p>
    <w:p w14:paraId="1C849003" w14:textId="77777777" w:rsidR="00361E6D" w:rsidRDefault="00361E6D" w:rsidP="00361E6D">
      <w:pPr>
        <w:pStyle w:val="paragraph"/>
      </w:pPr>
      <w:r>
        <w:tab/>
        <w:t>(</w:t>
      </w:r>
      <w:r w:rsidR="005E6069">
        <w:t>b</w:t>
      </w:r>
      <w:r>
        <w:t>)</w:t>
      </w:r>
      <w:r>
        <w:tab/>
        <w:t>the credit card system operated within Australia known as the VISA system or the VISA network card system</w:t>
      </w:r>
      <w:r w:rsidR="00EE7B3A">
        <w:t xml:space="preserve"> and designated as a payment system under </w:t>
      </w:r>
      <w:r w:rsidR="00B47364">
        <w:t>section 1</w:t>
      </w:r>
      <w:r w:rsidR="00EE7B3A">
        <w:t xml:space="preserve">1 of the </w:t>
      </w:r>
      <w:r w:rsidR="00EE7B3A">
        <w:rPr>
          <w:i/>
        </w:rPr>
        <w:t>Payment Systems (Regulation) Act 1998</w:t>
      </w:r>
      <w:r w:rsidR="00EE7B3A">
        <w:t xml:space="preserve"> on </w:t>
      </w:r>
      <w:r w:rsidR="00B47364">
        <w:t>12 April</w:t>
      </w:r>
      <w:r w:rsidR="00EE7B3A">
        <w:t xml:space="preserve"> 2001</w:t>
      </w:r>
      <w:r>
        <w:t>;</w:t>
      </w:r>
    </w:p>
    <w:p w14:paraId="171D3164" w14:textId="77777777" w:rsidR="00361E6D" w:rsidRDefault="00361E6D" w:rsidP="00361E6D">
      <w:pPr>
        <w:pStyle w:val="paragraph"/>
      </w:pPr>
      <w:r>
        <w:tab/>
        <w:t>(</w:t>
      </w:r>
      <w:r w:rsidR="005E6069">
        <w:t>c</w:t>
      </w:r>
      <w:r>
        <w:t>)</w:t>
      </w:r>
      <w:r>
        <w:tab/>
        <w:t>the debit card system operated within Australia known as Visa debit</w:t>
      </w:r>
      <w:r w:rsidR="003C2CC8">
        <w:t xml:space="preserve"> and designated as a payment system under </w:t>
      </w:r>
      <w:r w:rsidR="00B47364">
        <w:t>section 1</w:t>
      </w:r>
      <w:r w:rsidR="003C2CC8">
        <w:t xml:space="preserve">1 of the </w:t>
      </w:r>
      <w:r w:rsidR="003C2CC8">
        <w:rPr>
          <w:i/>
        </w:rPr>
        <w:t>Payment Systems (Regulation) Act 1998</w:t>
      </w:r>
      <w:r w:rsidR="003C2CC8">
        <w:t xml:space="preserve"> on </w:t>
      </w:r>
      <w:r w:rsidR="00B47364">
        <w:t>23 February</w:t>
      </w:r>
      <w:r w:rsidR="003C2CC8">
        <w:t xml:space="preserve"> 2004</w:t>
      </w:r>
      <w:r>
        <w:t>;</w:t>
      </w:r>
    </w:p>
    <w:p w14:paraId="53C54B91" w14:textId="77777777" w:rsidR="005E6069" w:rsidRDefault="005E6069" w:rsidP="00361E6D">
      <w:pPr>
        <w:pStyle w:val="paragraph"/>
      </w:pPr>
      <w:r>
        <w:tab/>
        <w:t>(d)</w:t>
      </w:r>
      <w:r>
        <w:tab/>
        <w:t xml:space="preserve">the payment system operated within Australia known as the ATM system and designated by </w:t>
      </w:r>
      <w:r>
        <w:rPr>
          <w:i/>
        </w:rPr>
        <w:t>Designation No 1 of 2008</w:t>
      </w:r>
      <w:r>
        <w:t xml:space="preserve"> as a payment system under </w:t>
      </w:r>
      <w:r w:rsidR="00B47364">
        <w:t>section 1</w:t>
      </w:r>
      <w:r>
        <w:t xml:space="preserve">1 of the </w:t>
      </w:r>
      <w:r>
        <w:rPr>
          <w:i/>
        </w:rPr>
        <w:t>Payment Systems (Regulation) Act 1998</w:t>
      </w:r>
      <w:r>
        <w:t xml:space="preserve"> on </w:t>
      </w:r>
      <w:r w:rsidR="00B47364">
        <w:t>10 December</w:t>
      </w:r>
      <w:r>
        <w:t xml:space="preserve"> 2008;</w:t>
      </w:r>
    </w:p>
    <w:p w14:paraId="7B73A62F" w14:textId="77777777" w:rsidR="00361E6D" w:rsidRDefault="00361E6D" w:rsidP="00361E6D">
      <w:pPr>
        <w:pStyle w:val="paragraph"/>
      </w:pPr>
      <w:r>
        <w:tab/>
        <w:t>(</w:t>
      </w:r>
      <w:r w:rsidR="005E6069">
        <w:t>e</w:t>
      </w:r>
      <w:r>
        <w:t>)</w:t>
      </w:r>
      <w:r>
        <w:tab/>
        <w:t>the debit card system operated within Australia known as the EFTPOS</w:t>
      </w:r>
      <w:r w:rsidR="007450BA">
        <w:t xml:space="preserve"> </w:t>
      </w:r>
      <w:r>
        <w:t>system</w:t>
      </w:r>
      <w:r w:rsidR="002330C5">
        <w:t xml:space="preserve"> and designated by </w:t>
      </w:r>
      <w:r w:rsidR="00DF5414">
        <w:rPr>
          <w:i/>
        </w:rPr>
        <w:t>Designation No 1 of 2012</w:t>
      </w:r>
      <w:r w:rsidR="00DF5414">
        <w:t xml:space="preserve"> as a payment system under </w:t>
      </w:r>
      <w:r w:rsidR="00B47364">
        <w:t>subsection 1</w:t>
      </w:r>
      <w:r w:rsidR="00DF5414">
        <w:t xml:space="preserve">1(1) of the </w:t>
      </w:r>
      <w:r w:rsidR="00DF5414">
        <w:rPr>
          <w:i/>
        </w:rPr>
        <w:t>Payment Systems (Regulation) Act 1998</w:t>
      </w:r>
      <w:r w:rsidR="00DF5414">
        <w:t xml:space="preserve"> on </w:t>
      </w:r>
      <w:r w:rsidR="00B47364">
        <w:t>12 June</w:t>
      </w:r>
      <w:r w:rsidR="00EE2714">
        <w:t xml:space="preserve"> 2012</w:t>
      </w:r>
      <w:r>
        <w:t>;</w:t>
      </w:r>
    </w:p>
    <w:p w14:paraId="121B049D" w14:textId="77777777" w:rsidR="00361E6D" w:rsidRDefault="00361E6D" w:rsidP="00361E6D">
      <w:pPr>
        <w:pStyle w:val="paragraph"/>
      </w:pPr>
      <w:r>
        <w:tab/>
        <w:t>(</w:t>
      </w:r>
      <w:r w:rsidR="005E6069">
        <w:t>f</w:t>
      </w:r>
      <w:r>
        <w:t>)</w:t>
      </w:r>
      <w:r>
        <w:tab/>
        <w:t>the debit card system operated within Australia known as Debit MasterCard</w:t>
      </w:r>
      <w:r w:rsidR="00895308">
        <w:t xml:space="preserve"> and designated by </w:t>
      </w:r>
      <w:r w:rsidR="00895308">
        <w:rPr>
          <w:i/>
        </w:rPr>
        <w:t xml:space="preserve">Designation No </w:t>
      </w:r>
      <w:r w:rsidR="00E62F77">
        <w:rPr>
          <w:i/>
        </w:rPr>
        <w:t>2</w:t>
      </w:r>
      <w:r w:rsidR="00895308">
        <w:rPr>
          <w:i/>
        </w:rPr>
        <w:t xml:space="preserve"> of 201</w:t>
      </w:r>
      <w:r w:rsidR="00E62F77">
        <w:rPr>
          <w:i/>
        </w:rPr>
        <w:t>5</w:t>
      </w:r>
      <w:r w:rsidR="0057183A">
        <w:rPr>
          <w:i/>
        </w:rPr>
        <w:t xml:space="preserve"> (</w:t>
      </w:r>
      <w:r w:rsidR="0038703B" w:rsidRPr="0038703B">
        <w:rPr>
          <w:i/>
        </w:rPr>
        <w:t>Designation of the Debit MasterCard system</w:t>
      </w:r>
      <w:r w:rsidR="0057183A">
        <w:rPr>
          <w:i/>
        </w:rPr>
        <w:t>)</w:t>
      </w:r>
      <w:r w:rsidR="00895308">
        <w:t xml:space="preserve"> as a payment system under </w:t>
      </w:r>
      <w:r w:rsidR="00B47364">
        <w:t>subsection 1</w:t>
      </w:r>
      <w:r w:rsidR="00895308">
        <w:t xml:space="preserve">1(1) of the </w:t>
      </w:r>
      <w:r w:rsidR="00895308">
        <w:rPr>
          <w:i/>
        </w:rPr>
        <w:t>Payment Systems (Regulation) Act 1998</w:t>
      </w:r>
      <w:r w:rsidR="00895308">
        <w:t xml:space="preserve"> on </w:t>
      </w:r>
      <w:r w:rsidR="00B47364">
        <w:t>15 October</w:t>
      </w:r>
      <w:r w:rsidR="00895308">
        <w:t xml:space="preserve"> 201</w:t>
      </w:r>
      <w:r w:rsidR="005D274A">
        <w:t>5</w:t>
      </w:r>
      <w:r>
        <w:t>;</w:t>
      </w:r>
    </w:p>
    <w:p w14:paraId="7CBC4D02" w14:textId="77777777" w:rsidR="00361E6D" w:rsidRDefault="00361E6D" w:rsidP="00361E6D">
      <w:pPr>
        <w:pStyle w:val="paragraph"/>
      </w:pPr>
      <w:r>
        <w:tab/>
        <w:t>(</w:t>
      </w:r>
      <w:r w:rsidR="005E6069">
        <w:t>g</w:t>
      </w:r>
      <w:r>
        <w:t>)</w:t>
      </w:r>
      <w:r>
        <w:tab/>
        <w:t>the prepaid card system</w:t>
      </w:r>
      <w:r w:rsidR="00CC6BDF">
        <w:t xml:space="preserve"> </w:t>
      </w:r>
      <w:r w:rsidR="00B76C0D">
        <w:t xml:space="preserve">operated within Australia and </w:t>
      </w:r>
      <w:r w:rsidR="00CC6BDF">
        <w:t>designated by</w:t>
      </w:r>
      <w:r w:rsidR="00CC6BDF" w:rsidRPr="00895772">
        <w:rPr>
          <w:i/>
        </w:rPr>
        <w:t xml:space="preserve"> Designation No </w:t>
      </w:r>
      <w:r w:rsidR="009656D2">
        <w:rPr>
          <w:i/>
        </w:rPr>
        <w:t>3</w:t>
      </w:r>
      <w:r w:rsidR="00CC6BDF" w:rsidRPr="00895772">
        <w:rPr>
          <w:i/>
        </w:rPr>
        <w:t xml:space="preserve"> of 2015</w:t>
      </w:r>
      <w:r w:rsidR="00412119">
        <w:rPr>
          <w:i/>
        </w:rPr>
        <w:t xml:space="preserve"> (</w:t>
      </w:r>
      <w:r w:rsidR="00F56838" w:rsidRPr="00F56838">
        <w:rPr>
          <w:i/>
        </w:rPr>
        <w:t>Designation of the EFTPOS prepaid system</w:t>
      </w:r>
      <w:r w:rsidR="00F56838">
        <w:rPr>
          <w:i/>
        </w:rPr>
        <w:t>)</w:t>
      </w:r>
      <w:r w:rsidR="00F56838">
        <w:t xml:space="preserve"> </w:t>
      </w:r>
      <w:r w:rsidR="00CC6BDF">
        <w:t xml:space="preserve">as a payment system under </w:t>
      </w:r>
      <w:r w:rsidR="00B47364">
        <w:t>subsection 1</w:t>
      </w:r>
      <w:r w:rsidR="00CC6BDF">
        <w:t xml:space="preserve">1(1) of the </w:t>
      </w:r>
      <w:r w:rsidR="00CC6BDF">
        <w:rPr>
          <w:i/>
        </w:rPr>
        <w:t>Payment Systems (Regulation) Act 1998</w:t>
      </w:r>
      <w:r w:rsidR="00CC6BDF">
        <w:t xml:space="preserve"> on </w:t>
      </w:r>
      <w:r w:rsidR="00B47364">
        <w:t>15 October</w:t>
      </w:r>
      <w:r w:rsidR="00CC6BDF">
        <w:t xml:space="preserve"> 2015</w:t>
      </w:r>
      <w:r>
        <w:t>;</w:t>
      </w:r>
    </w:p>
    <w:p w14:paraId="5EE349E6" w14:textId="77777777" w:rsidR="00361E6D" w:rsidRDefault="00361E6D" w:rsidP="00361E6D">
      <w:pPr>
        <w:pStyle w:val="paragraph"/>
      </w:pPr>
      <w:r>
        <w:tab/>
        <w:t>(</w:t>
      </w:r>
      <w:r w:rsidR="005E6069">
        <w:t>h</w:t>
      </w:r>
      <w:r>
        <w:t>)</w:t>
      </w:r>
      <w:r>
        <w:tab/>
        <w:t>the prepaid card system operated within Australia known as MasterCard Prepaid</w:t>
      </w:r>
      <w:r w:rsidR="00927442">
        <w:t xml:space="preserve"> and designated by </w:t>
      </w:r>
      <w:r w:rsidR="00927442">
        <w:rPr>
          <w:i/>
        </w:rPr>
        <w:t xml:space="preserve">Designation No </w:t>
      </w:r>
      <w:r w:rsidR="007C1ABC">
        <w:rPr>
          <w:i/>
        </w:rPr>
        <w:t>4</w:t>
      </w:r>
      <w:r w:rsidR="00927442">
        <w:rPr>
          <w:i/>
        </w:rPr>
        <w:t xml:space="preserve"> of 2015</w:t>
      </w:r>
      <w:r w:rsidR="004D339F">
        <w:rPr>
          <w:i/>
        </w:rPr>
        <w:t xml:space="preserve"> (</w:t>
      </w:r>
      <w:r w:rsidR="004D339F" w:rsidRPr="004D339F">
        <w:rPr>
          <w:i/>
        </w:rPr>
        <w:t>Designation of the MasterCard prepaid system</w:t>
      </w:r>
      <w:r w:rsidR="004D339F">
        <w:rPr>
          <w:i/>
        </w:rPr>
        <w:t>)</w:t>
      </w:r>
      <w:r w:rsidR="00927442">
        <w:t xml:space="preserve"> as a payment system under </w:t>
      </w:r>
      <w:r w:rsidR="00B47364">
        <w:t>subsection 1</w:t>
      </w:r>
      <w:r w:rsidR="00927442">
        <w:t xml:space="preserve">1(1) of the </w:t>
      </w:r>
      <w:r w:rsidR="00927442">
        <w:rPr>
          <w:i/>
        </w:rPr>
        <w:t>Payment Systems (Regulation) Act 1998</w:t>
      </w:r>
      <w:r w:rsidR="00927442">
        <w:t xml:space="preserve"> on </w:t>
      </w:r>
      <w:r w:rsidR="00B47364">
        <w:t>15 October</w:t>
      </w:r>
      <w:r w:rsidR="00927442">
        <w:t xml:space="preserve"> 2015</w:t>
      </w:r>
      <w:r>
        <w:t>;</w:t>
      </w:r>
    </w:p>
    <w:p w14:paraId="5096E647" w14:textId="77777777" w:rsidR="008B0037" w:rsidRDefault="00361E6D" w:rsidP="00361E6D">
      <w:pPr>
        <w:pStyle w:val="paragraph"/>
      </w:pPr>
      <w:r>
        <w:tab/>
        <w:t>(</w:t>
      </w:r>
      <w:r w:rsidR="005E6069">
        <w:t>i</w:t>
      </w:r>
      <w:r>
        <w:t>)</w:t>
      </w:r>
      <w:r>
        <w:tab/>
        <w:t>the prepaid card system operated within Australia known as Visa Prepaid</w:t>
      </w:r>
      <w:r w:rsidR="007C1ABC">
        <w:t xml:space="preserve"> and designated by </w:t>
      </w:r>
      <w:r w:rsidR="007C1ABC">
        <w:rPr>
          <w:i/>
        </w:rPr>
        <w:t>Designation No 5 of 2015</w:t>
      </w:r>
      <w:r w:rsidR="00AF60E4">
        <w:rPr>
          <w:i/>
        </w:rPr>
        <w:t xml:space="preserve"> (</w:t>
      </w:r>
      <w:r w:rsidR="00AF60E4" w:rsidRPr="00AF60E4">
        <w:rPr>
          <w:i/>
        </w:rPr>
        <w:t>Designation of the Visa prepaid system</w:t>
      </w:r>
      <w:r w:rsidR="00AF60E4">
        <w:rPr>
          <w:i/>
        </w:rPr>
        <w:t>)</w:t>
      </w:r>
      <w:r w:rsidR="007C1ABC">
        <w:t xml:space="preserve"> as a payment system under </w:t>
      </w:r>
      <w:r w:rsidR="00B47364">
        <w:t>subsection 1</w:t>
      </w:r>
      <w:r w:rsidR="007C1ABC">
        <w:t xml:space="preserve">1(1) of the </w:t>
      </w:r>
      <w:r w:rsidR="007C1ABC">
        <w:rPr>
          <w:i/>
        </w:rPr>
        <w:t>Payment Systems (Regulation) Act 1998</w:t>
      </w:r>
      <w:r w:rsidR="007C1ABC">
        <w:t xml:space="preserve"> on </w:t>
      </w:r>
      <w:r w:rsidR="00B47364">
        <w:t>15 October</w:t>
      </w:r>
      <w:r w:rsidR="007C1ABC">
        <w:t xml:space="preserve"> 2015</w:t>
      </w:r>
      <w:r w:rsidR="005E6069">
        <w:t>.</w:t>
      </w:r>
    </w:p>
    <w:p w14:paraId="480D16F2" w14:textId="01F068AB" w:rsidR="00276E58" w:rsidRDefault="00276E58" w:rsidP="00361E6D">
      <w:pPr>
        <w:pStyle w:val="ActHead9"/>
      </w:pPr>
      <w:bookmarkStart w:id="12" w:name="_Toc205819622"/>
      <w:r>
        <w:lastRenderedPageBreak/>
        <w:t xml:space="preserve">Corporations </w:t>
      </w:r>
      <w:r w:rsidR="00B31CB4">
        <w:t>Regulations 2</w:t>
      </w:r>
      <w:r>
        <w:t>001</w:t>
      </w:r>
      <w:bookmarkEnd w:id="12"/>
    </w:p>
    <w:p w14:paraId="393623FF" w14:textId="77777777" w:rsidR="00E032C0" w:rsidRDefault="00CD1DA6" w:rsidP="00E032C0">
      <w:pPr>
        <w:pStyle w:val="ItemHead"/>
      </w:pPr>
      <w:r>
        <w:t>2</w:t>
      </w:r>
      <w:r w:rsidR="00E032C0">
        <w:t xml:space="preserve">  </w:t>
      </w:r>
      <w:r w:rsidR="00C34471">
        <w:t xml:space="preserve">After </w:t>
      </w:r>
      <w:r w:rsidR="00675B3B">
        <w:t>regulation</w:t>
      </w:r>
      <w:r w:rsidR="00F55D7E">
        <w:t> 7</w:t>
      </w:r>
      <w:r w:rsidR="00C34471">
        <w:t>.1.04N</w:t>
      </w:r>
    </w:p>
    <w:p w14:paraId="6D0FBE8F" w14:textId="77777777" w:rsidR="00C34471" w:rsidRDefault="00C34471" w:rsidP="00C34471">
      <w:pPr>
        <w:pStyle w:val="Item"/>
      </w:pPr>
      <w:r>
        <w:t>Insert:</w:t>
      </w:r>
    </w:p>
    <w:p w14:paraId="100E5463" w14:textId="77777777" w:rsidR="00C34471" w:rsidRDefault="00C34471" w:rsidP="00C34471">
      <w:pPr>
        <w:pStyle w:val="ActHead5"/>
      </w:pPr>
      <w:bookmarkStart w:id="13" w:name="_Toc205819623"/>
      <w:r w:rsidRPr="00B31CB4">
        <w:rPr>
          <w:rStyle w:val="CharSectno"/>
        </w:rPr>
        <w:t>7.1.04P</w:t>
      </w:r>
      <w:r w:rsidR="00176471">
        <w:t xml:space="preserve">  Specific things that are not financial products—payment systems</w:t>
      </w:r>
      <w:bookmarkEnd w:id="13"/>
    </w:p>
    <w:p w14:paraId="10C804C1" w14:textId="77777777" w:rsidR="00C34471" w:rsidRDefault="00C34471" w:rsidP="00C34471">
      <w:pPr>
        <w:pStyle w:val="subsection"/>
      </w:pPr>
      <w:r>
        <w:tab/>
      </w:r>
      <w:r w:rsidR="00872882">
        <w:tab/>
      </w:r>
      <w:r>
        <w:t>For</w:t>
      </w:r>
      <w:r w:rsidR="004D3695">
        <w:t xml:space="preserve"> the purposes of</w:t>
      </w:r>
      <w:r>
        <w:t xml:space="preserve"> </w:t>
      </w:r>
      <w:r w:rsidR="00F55D7E">
        <w:t>paragraph 7</w:t>
      </w:r>
      <w:r>
        <w:t>65A(1)(j) of the Act, each of the following is not a financial product:</w:t>
      </w:r>
    </w:p>
    <w:p w14:paraId="646B08B9" w14:textId="77777777" w:rsidR="00792462" w:rsidRDefault="00792462" w:rsidP="00792462">
      <w:pPr>
        <w:pStyle w:val="paragraph"/>
      </w:pPr>
      <w:r>
        <w:tab/>
        <w:t>(a)</w:t>
      </w:r>
      <w:r>
        <w:tab/>
        <w:t xml:space="preserve">the credit card system operated within Australia known as the MasterCard system or MasterCard network card system and designated as a payment system under </w:t>
      </w:r>
      <w:r w:rsidR="00B47364">
        <w:t>section 1</w:t>
      </w:r>
      <w:r>
        <w:t xml:space="preserve">1 of the </w:t>
      </w:r>
      <w:r>
        <w:rPr>
          <w:i/>
        </w:rPr>
        <w:t>Payment Systems (Regulation) Act 1998</w:t>
      </w:r>
      <w:r>
        <w:t xml:space="preserve"> on </w:t>
      </w:r>
      <w:r w:rsidR="00B47364">
        <w:t>12 April</w:t>
      </w:r>
      <w:r>
        <w:t xml:space="preserve"> 2001;</w:t>
      </w:r>
    </w:p>
    <w:p w14:paraId="56246F49" w14:textId="77777777" w:rsidR="00792462" w:rsidRDefault="00792462" w:rsidP="00792462">
      <w:pPr>
        <w:pStyle w:val="paragraph"/>
      </w:pPr>
      <w:r>
        <w:tab/>
        <w:t>(b)</w:t>
      </w:r>
      <w:r>
        <w:tab/>
        <w:t xml:space="preserve">the credit card system operated within Australia known as the VISA system or the VISA network card system and designated as a payment system under </w:t>
      </w:r>
      <w:r w:rsidR="00B47364">
        <w:t>section 1</w:t>
      </w:r>
      <w:r>
        <w:t xml:space="preserve">1 of the </w:t>
      </w:r>
      <w:r>
        <w:rPr>
          <w:i/>
        </w:rPr>
        <w:t>Payment Systems (Regulation) Act 1998</w:t>
      </w:r>
      <w:r>
        <w:t xml:space="preserve"> on </w:t>
      </w:r>
      <w:r w:rsidR="00B47364">
        <w:t>12 April</w:t>
      </w:r>
      <w:r>
        <w:t xml:space="preserve"> 2001;</w:t>
      </w:r>
    </w:p>
    <w:p w14:paraId="55E71178" w14:textId="77777777" w:rsidR="00792462" w:rsidRDefault="00792462" w:rsidP="00792462">
      <w:pPr>
        <w:pStyle w:val="paragraph"/>
      </w:pPr>
      <w:r>
        <w:tab/>
        <w:t>(c)</w:t>
      </w:r>
      <w:r>
        <w:tab/>
        <w:t xml:space="preserve">the debit card system operated within Australia known as Visa debit and designated as a payment system under </w:t>
      </w:r>
      <w:r w:rsidR="00B47364">
        <w:t>section 1</w:t>
      </w:r>
      <w:r>
        <w:t xml:space="preserve">1 of the </w:t>
      </w:r>
      <w:r>
        <w:rPr>
          <w:i/>
        </w:rPr>
        <w:t>Payment Systems (Regulation) Act 1998</w:t>
      </w:r>
      <w:r>
        <w:t xml:space="preserve"> on </w:t>
      </w:r>
      <w:r w:rsidR="00B47364">
        <w:t>23 February</w:t>
      </w:r>
      <w:r>
        <w:t xml:space="preserve"> 2004;</w:t>
      </w:r>
    </w:p>
    <w:p w14:paraId="44E4CB98" w14:textId="77777777" w:rsidR="00792462" w:rsidRDefault="00792462" w:rsidP="00792462">
      <w:pPr>
        <w:pStyle w:val="paragraph"/>
      </w:pPr>
      <w:r>
        <w:tab/>
        <w:t>(d)</w:t>
      </w:r>
      <w:r>
        <w:tab/>
        <w:t xml:space="preserve">the payment system operated within Australia known as the ATM system and designated by </w:t>
      </w:r>
      <w:r>
        <w:rPr>
          <w:i/>
        </w:rPr>
        <w:t>Designation No 1 of 2008</w:t>
      </w:r>
      <w:r>
        <w:t xml:space="preserve"> as a payment system under </w:t>
      </w:r>
      <w:r w:rsidR="00B47364">
        <w:t>section 1</w:t>
      </w:r>
      <w:r>
        <w:t xml:space="preserve">1 of the </w:t>
      </w:r>
      <w:r>
        <w:rPr>
          <w:i/>
        </w:rPr>
        <w:t>Payment Systems (Regulation) Act 1998</w:t>
      </w:r>
      <w:r>
        <w:t xml:space="preserve"> on </w:t>
      </w:r>
      <w:r w:rsidR="00B47364">
        <w:t>10 December</w:t>
      </w:r>
      <w:r>
        <w:t xml:space="preserve"> 2008;</w:t>
      </w:r>
    </w:p>
    <w:p w14:paraId="39CA55B4" w14:textId="77777777" w:rsidR="00792462" w:rsidRDefault="00792462" w:rsidP="00792462">
      <w:pPr>
        <w:pStyle w:val="paragraph"/>
      </w:pPr>
      <w:r>
        <w:tab/>
        <w:t>(e)</w:t>
      </w:r>
      <w:r>
        <w:tab/>
        <w:t xml:space="preserve">the debit card system operated within Australia known as the EFTPOS system and designated by </w:t>
      </w:r>
      <w:r>
        <w:rPr>
          <w:i/>
        </w:rPr>
        <w:t>Designation No 1 of 2012</w:t>
      </w:r>
      <w:r>
        <w:t xml:space="preserve"> as a payment system under </w:t>
      </w:r>
      <w:r w:rsidR="00B47364">
        <w:t>subsection 1</w:t>
      </w:r>
      <w:r>
        <w:t xml:space="preserve">1(1) of the </w:t>
      </w:r>
      <w:r>
        <w:rPr>
          <w:i/>
        </w:rPr>
        <w:t>Payment Systems (Regulation) Act 1998</w:t>
      </w:r>
      <w:r>
        <w:t xml:space="preserve"> on </w:t>
      </w:r>
      <w:r w:rsidR="00B47364">
        <w:t>12 June</w:t>
      </w:r>
      <w:r>
        <w:t xml:space="preserve"> 2012;</w:t>
      </w:r>
    </w:p>
    <w:p w14:paraId="0EB93EE2" w14:textId="77777777" w:rsidR="00792462" w:rsidRDefault="00792462" w:rsidP="00792462">
      <w:pPr>
        <w:pStyle w:val="paragraph"/>
      </w:pPr>
      <w:r>
        <w:tab/>
        <w:t>(f)</w:t>
      </w:r>
      <w:r>
        <w:tab/>
        <w:t xml:space="preserve">the debit card system operated within Australia known as Debit MasterCard and designated by </w:t>
      </w:r>
      <w:r>
        <w:rPr>
          <w:i/>
        </w:rPr>
        <w:t>Designation No 2 of 2015 (</w:t>
      </w:r>
      <w:r w:rsidRPr="0038703B">
        <w:rPr>
          <w:i/>
        </w:rPr>
        <w:t>Designation of the Debit MasterCard system</w:t>
      </w:r>
      <w:r>
        <w:rPr>
          <w:i/>
        </w:rPr>
        <w:t>)</w:t>
      </w:r>
      <w:r>
        <w:t xml:space="preserve"> as a payment system under </w:t>
      </w:r>
      <w:r w:rsidR="00B47364">
        <w:t>subsection 1</w:t>
      </w:r>
      <w:r>
        <w:t xml:space="preserve">1(1) of the </w:t>
      </w:r>
      <w:r>
        <w:rPr>
          <w:i/>
        </w:rPr>
        <w:t>Payment Systems (Regulation) Act 1998</w:t>
      </w:r>
      <w:r>
        <w:t xml:space="preserve"> on </w:t>
      </w:r>
      <w:r w:rsidR="00B47364">
        <w:t>15 October</w:t>
      </w:r>
      <w:r>
        <w:t xml:space="preserve"> 2015;</w:t>
      </w:r>
    </w:p>
    <w:p w14:paraId="79C84F0E" w14:textId="77777777" w:rsidR="00792462" w:rsidRDefault="00792462" w:rsidP="00792462">
      <w:pPr>
        <w:pStyle w:val="paragraph"/>
      </w:pPr>
      <w:r>
        <w:tab/>
        <w:t>(g)</w:t>
      </w:r>
      <w:r>
        <w:tab/>
        <w:t>the prepaid card system operated within Australia and designated by</w:t>
      </w:r>
      <w:r w:rsidRPr="00895772">
        <w:rPr>
          <w:i/>
        </w:rPr>
        <w:t xml:space="preserve"> Designation No </w:t>
      </w:r>
      <w:r>
        <w:rPr>
          <w:i/>
        </w:rPr>
        <w:t>3</w:t>
      </w:r>
      <w:r w:rsidRPr="00895772">
        <w:rPr>
          <w:i/>
        </w:rPr>
        <w:t xml:space="preserve"> of 2015</w:t>
      </w:r>
      <w:r>
        <w:rPr>
          <w:i/>
        </w:rPr>
        <w:t xml:space="preserve"> (</w:t>
      </w:r>
      <w:r w:rsidRPr="00F56838">
        <w:rPr>
          <w:i/>
        </w:rPr>
        <w:t>Designation of the EFTPOS prepaid system</w:t>
      </w:r>
      <w:r>
        <w:rPr>
          <w:i/>
        </w:rPr>
        <w:t>)</w:t>
      </w:r>
      <w:r>
        <w:t xml:space="preserve"> as a payment system under </w:t>
      </w:r>
      <w:r w:rsidR="00B47364">
        <w:t>subsection 1</w:t>
      </w:r>
      <w:r>
        <w:t xml:space="preserve">1(1) of the </w:t>
      </w:r>
      <w:r>
        <w:rPr>
          <w:i/>
        </w:rPr>
        <w:t>Payment Systems (Regulation) Act 1998</w:t>
      </w:r>
      <w:r>
        <w:t xml:space="preserve"> on </w:t>
      </w:r>
      <w:r w:rsidR="00B47364">
        <w:t>15 October</w:t>
      </w:r>
      <w:r>
        <w:t xml:space="preserve"> 2015;</w:t>
      </w:r>
    </w:p>
    <w:p w14:paraId="148DBA9C" w14:textId="77777777" w:rsidR="00792462" w:rsidRDefault="00792462" w:rsidP="00792462">
      <w:pPr>
        <w:pStyle w:val="paragraph"/>
      </w:pPr>
      <w:r>
        <w:tab/>
        <w:t>(h)</w:t>
      </w:r>
      <w:r>
        <w:tab/>
        <w:t xml:space="preserve">the prepaid card system operated within Australia known as MasterCard Prepaid and designated by </w:t>
      </w:r>
      <w:r>
        <w:rPr>
          <w:i/>
        </w:rPr>
        <w:t>Designation No 4 of 2015 (</w:t>
      </w:r>
      <w:r w:rsidRPr="004D339F">
        <w:rPr>
          <w:i/>
        </w:rPr>
        <w:t>Designation of the MasterCard prepaid system</w:t>
      </w:r>
      <w:r>
        <w:rPr>
          <w:i/>
        </w:rPr>
        <w:t>)</w:t>
      </w:r>
      <w:r>
        <w:t xml:space="preserve"> as a payment system under </w:t>
      </w:r>
      <w:r w:rsidR="00B47364">
        <w:t>subsection 1</w:t>
      </w:r>
      <w:r>
        <w:t xml:space="preserve">1(1) of the </w:t>
      </w:r>
      <w:r>
        <w:rPr>
          <w:i/>
        </w:rPr>
        <w:t>Payment Systems (Regulation) Act 1998</w:t>
      </w:r>
      <w:r>
        <w:t xml:space="preserve"> on </w:t>
      </w:r>
      <w:r w:rsidR="00B47364">
        <w:t>15 October</w:t>
      </w:r>
      <w:r>
        <w:t xml:space="preserve"> 2015;</w:t>
      </w:r>
    </w:p>
    <w:p w14:paraId="1C3CA327" w14:textId="77777777" w:rsidR="00792462" w:rsidRDefault="00792462" w:rsidP="00792462">
      <w:pPr>
        <w:pStyle w:val="paragraph"/>
      </w:pPr>
      <w:r>
        <w:tab/>
        <w:t>(i)</w:t>
      </w:r>
      <w:r>
        <w:tab/>
        <w:t xml:space="preserve">the prepaid card system operated within Australia known as Visa Prepaid and designated by </w:t>
      </w:r>
      <w:r>
        <w:rPr>
          <w:i/>
        </w:rPr>
        <w:t>Designation No 5 of 2015 (</w:t>
      </w:r>
      <w:r w:rsidRPr="00AF60E4">
        <w:rPr>
          <w:i/>
        </w:rPr>
        <w:t>Designation of the Visa prepaid system</w:t>
      </w:r>
      <w:r>
        <w:rPr>
          <w:i/>
        </w:rPr>
        <w:t>)</w:t>
      </w:r>
      <w:r>
        <w:t xml:space="preserve"> as a payment system under </w:t>
      </w:r>
      <w:r w:rsidR="00B47364">
        <w:t>subsection 1</w:t>
      </w:r>
      <w:r>
        <w:t xml:space="preserve">1(1) of the </w:t>
      </w:r>
      <w:r>
        <w:rPr>
          <w:i/>
        </w:rPr>
        <w:t>Payment Systems (Regulation) Act 1998</w:t>
      </w:r>
      <w:r>
        <w:t xml:space="preserve"> on </w:t>
      </w:r>
      <w:r w:rsidR="00B47364">
        <w:t>15 October</w:t>
      </w:r>
      <w:r>
        <w:t xml:space="preserve"> 2015.</w:t>
      </w:r>
    </w:p>
    <w:p w14:paraId="00DF566C" w14:textId="3F8AE924" w:rsidR="0084172C" w:rsidRPr="00EA0D36" w:rsidRDefault="0084172C" w:rsidP="00211EC5">
      <w:pPr>
        <w:pStyle w:val="notedraft"/>
      </w:pPr>
    </w:p>
    <w:sectPr w:rsidR="0084172C" w:rsidRPr="00EA0D36" w:rsidSect="007F48E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45A0D" w14:textId="77777777" w:rsidR="00644097" w:rsidRDefault="00644097" w:rsidP="0048364F">
      <w:pPr>
        <w:spacing w:line="240" w:lineRule="auto"/>
      </w:pPr>
      <w:r>
        <w:separator/>
      </w:r>
    </w:p>
  </w:endnote>
  <w:endnote w:type="continuationSeparator" w:id="0">
    <w:p w14:paraId="49F944C3" w14:textId="77777777" w:rsidR="00644097" w:rsidRDefault="0064409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B242" w14:textId="011F37EA" w:rsidR="00644097" w:rsidRPr="005F1388" w:rsidRDefault="00644097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24563D2" wp14:editId="686CDC82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2" name="Text Box 2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DC8F85" w14:textId="6DB1A3E4" w:rsidR="00644097" w:rsidRPr="00324EB0" w:rsidRDefault="000929F5" w:rsidP="0042122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563D2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Sec-Footerevenpage" style="position:absolute;left:0;text-align:left;margin-left:0;margin-top:0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ASjUyH8CAABt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71DC8F85" w14:textId="6DB1A3E4" w:rsidR="00644097" w:rsidRPr="00324EB0" w:rsidRDefault="000929F5" w:rsidP="0042122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5BAE" w14:textId="77777777" w:rsidR="00644097" w:rsidRDefault="00644097" w:rsidP="00E97334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644097" w14:paraId="17E5D1D6" w14:textId="77777777" w:rsidTr="00421223">
      <w:tc>
        <w:tcPr>
          <w:tcW w:w="8472" w:type="dxa"/>
        </w:tcPr>
        <w:p w14:paraId="3FAAD623" w14:textId="033F56E2" w:rsidR="00644097" w:rsidRDefault="00644097" w:rsidP="00421223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6AFBF67" w14:textId="77777777" w:rsidR="00644097" w:rsidRPr="00E97334" w:rsidRDefault="00644097" w:rsidP="00E97334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2096" behindDoc="1" locked="1" layoutInCell="1" allowOverlap="1" wp14:anchorId="4E4264A7" wp14:editId="4D168AB0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0" name="Text Box 20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4D7DF7" w14:textId="43992EAB" w:rsidR="00644097" w:rsidRPr="00324EB0" w:rsidRDefault="000929F5" w:rsidP="0042122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264A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alt="Sec-Footerprimary" style="position:absolute;margin-left:0;margin-top:0;width:454.55pt;height:31.15pt;z-index:-2516643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sd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++0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6amx2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434D7DF7" w14:textId="43992EAB" w:rsidR="00644097" w:rsidRPr="00324EB0" w:rsidRDefault="000929F5" w:rsidP="0042122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473B" w14:textId="77777777" w:rsidR="00644097" w:rsidRPr="00ED79B6" w:rsidRDefault="00644097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B69CF" w14:textId="77777777" w:rsidR="00644097" w:rsidRPr="00E33C1C" w:rsidRDefault="0064409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44097" w14:paraId="2B8B92DB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970B16" w14:textId="77777777" w:rsidR="00644097" w:rsidRDefault="00644097" w:rsidP="0042122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90F925" w14:textId="10751EB6" w:rsidR="00644097" w:rsidRDefault="00644097" w:rsidP="004212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929F5">
            <w:rPr>
              <w:i/>
              <w:sz w:val="18"/>
            </w:rPr>
            <w:t>Payment Systems Legislation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6B2FC72" w14:textId="77777777" w:rsidR="00644097" w:rsidRDefault="00644097" w:rsidP="00421223">
          <w:pPr>
            <w:spacing w:line="0" w:lineRule="atLeast"/>
            <w:jc w:val="right"/>
            <w:rPr>
              <w:sz w:val="18"/>
            </w:rPr>
          </w:pPr>
        </w:p>
      </w:tc>
    </w:tr>
    <w:tr w:rsidR="00644097" w14:paraId="6B7A9B77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48DB58D" w14:textId="06A96101" w:rsidR="00644097" w:rsidRDefault="00644097" w:rsidP="00421223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9AB1BBD" w14:textId="77777777" w:rsidR="00644097" w:rsidRPr="00ED79B6" w:rsidRDefault="00644097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67C4CBA" wp14:editId="6E4ED21D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6" name="Text Box 2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7F78EC" w14:textId="51F71ACC" w:rsidR="00644097" w:rsidRPr="00324EB0" w:rsidRDefault="000929F5" w:rsidP="0042122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C4CBA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2" type="#_x0000_t202" alt="Sec-Footerevenpage" style="position:absolute;margin-left:0;margin-top:0;width:454.55pt;height:31.15pt;z-index:-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gr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VjB/cMWEK1Q2I46GbGWz5X+Hr3zIcn5nBIkAs4+OERD6kBmw+9&#10;RMka3K+/fY945C5qKWlw6Erqf26YE5TorwZZfTU4P49Tmi7n48kQL+5UszzVmE19C0iKAa4Yy5MY&#10;8UHvRemgfsH9MItRUcUMx9glDXvxNnSrAPcLF7NZAuFcWhbuzcLy6Dp2OXLzuX1hzvYEDkj9B9iP&#10;Jyve8LjDRksDs00AqRLJY5+7rvb9x5lOY9Lvn7g0Tu8JddyS01c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/tCCu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737F78EC" w14:textId="51F71ACC" w:rsidR="00644097" w:rsidRPr="00324EB0" w:rsidRDefault="000929F5" w:rsidP="0042122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FF94" w14:textId="77777777" w:rsidR="00644097" w:rsidRPr="00E33C1C" w:rsidRDefault="0064409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44097" w14:paraId="4E1741D6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62ABC23" w14:textId="77777777" w:rsidR="00644097" w:rsidRDefault="00644097" w:rsidP="0042122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806FCB" w14:textId="2C0D23A7" w:rsidR="00644097" w:rsidRDefault="00644097" w:rsidP="004212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929F5">
            <w:rPr>
              <w:i/>
              <w:sz w:val="18"/>
            </w:rPr>
            <w:t>Payment Systems Legislation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4D99EF" w14:textId="77777777" w:rsidR="00644097" w:rsidRDefault="00644097" w:rsidP="0042122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44097" w14:paraId="1FE60A2F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D458AAD" w14:textId="5E3C4D65" w:rsidR="00644097" w:rsidRDefault="00644097" w:rsidP="00421223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7215FF3" w14:textId="77777777" w:rsidR="00644097" w:rsidRPr="00ED79B6" w:rsidRDefault="00644097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3120" behindDoc="1" locked="1" layoutInCell="1" allowOverlap="1" wp14:anchorId="07BD64AE" wp14:editId="74D36ECE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4" name="Text Box 24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8BBD62" w14:textId="1514557B" w:rsidR="00644097" w:rsidRPr="00324EB0" w:rsidRDefault="000929F5" w:rsidP="0042122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D64AE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3" type="#_x0000_t202" alt="Sec-Footerprimary" style="position:absolute;margin-left:0;margin-top:0;width:454.55pt;height:31.15pt;z-index:-2516633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f+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XdLJnwBKqHRLDQTcz3vK5wte7Zz48MYdDglzAwQ+PeEgN2Hzo&#10;JUrW4H797XvEI3dRS0mDQ1dS/3PDnKBEfzXI6qvB+Xmc0nQ5H0+GeHGnmuWpxmzqW0BSDHDFWJ7E&#10;iA96L0oH9Qvuh1mMiipmOMYuadiLt6FbBbhfuJjNEgjn0rJwbxaWR9exy5Gbz+0Lc7YncEDqP8B+&#10;PFnxhscdNloamG0CSJVIHvvcdbXvP850GpN+/8SlcXpPqOOWnL4C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ABfR/6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7A8BBD62" w14:textId="1514557B" w:rsidR="00644097" w:rsidRPr="00324EB0" w:rsidRDefault="000929F5" w:rsidP="0042122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05F1" w14:textId="77777777" w:rsidR="00644097" w:rsidRPr="00E33C1C" w:rsidRDefault="0064409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44097" w14:paraId="62AC4310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3BFB5BD" w14:textId="77777777" w:rsidR="00644097" w:rsidRDefault="00644097" w:rsidP="0042122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ABB633" w14:textId="4C221281" w:rsidR="00644097" w:rsidRDefault="00644097" w:rsidP="004212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929F5">
            <w:rPr>
              <w:i/>
              <w:sz w:val="18"/>
            </w:rPr>
            <w:t>Payment Systems Legislation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279B89E" w14:textId="77777777" w:rsidR="00644097" w:rsidRDefault="00644097" w:rsidP="00421223">
          <w:pPr>
            <w:spacing w:line="0" w:lineRule="atLeast"/>
            <w:jc w:val="right"/>
            <w:rPr>
              <w:sz w:val="18"/>
            </w:rPr>
          </w:pPr>
        </w:p>
      </w:tc>
    </w:tr>
    <w:tr w:rsidR="00644097" w14:paraId="5992D5E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595A976" w14:textId="7B7EB0AB" w:rsidR="00644097" w:rsidRDefault="00644097" w:rsidP="00421223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7123F38C" w14:textId="77777777" w:rsidR="00644097" w:rsidRPr="00ED79B6" w:rsidRDefault="00644097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5279F82F" wp14:editId="676856C0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30" name="Text Box 30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458C3" w14:textId="2D50F431" w:rsidR="00644097" w:rsidRPr="00324EB0" w:rsidRDefault="000929F5" w:rsidP="0042122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9F82F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6" type="#_x0000_t202" alt="Sec-Footerevenpage" style="position:absolute;margin-left:0;margin-top:0;width:454.55pt;height:31.15pt;z-index:-2516531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26ZUEH8CAABu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37A458C3" w14:textId="2D50F431" w:rsidR="00644097" w:rsidRPr="00324EB0" w:rsidRDefault="000929F5" w:rsidP="0042122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A7BB" w14:textId="77777777" w:rsidR="00644097" w:rsidRPr="00E33C1C" w:rsidRDefault="0064409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44097" w14:paraId="2B009214" w14:textId="77777777" w:rsidTr="0042122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C438B00" w14:textId="77777777" w:rsidR="00644097" w:rsidRDefault="00644097" w:rsidP="0042122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383F37" w14:textId="1A828E5F" w:rsidR="00644097" w:rsidRDefault="00644097" w:rsidP="004212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929F5">
            <w:rPr>
              <w:i/>
              <w:sz w:val="18"/>
            </w:rPr>
            <w:t>Payment Systems Legislation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DDEE02" w14:textId="77777777" w:rsidR="00644097" w:rsidRDefault="00644097" w:rsidP="0042122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44097" w14:paraId="63939F07" w14:textId="77777777" w:rsidTr="0042122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FF0CA74" w14:textId="132F99B3" w:rsidR="00644097" w:rsidRDefault="00644097" w:rsidP="00421223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3148B60C" w14:textId="77777777" w:rsidR="00644097" w:rsidRPr="00ED79B6" w:rsidRDefault="00644097" w:rsidP="007A6863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39F55C00" wp14:editId="38C1488A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8" name="Text Box 28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C64AC3" w14:textId="6E4B0169" w:rsidR="00644097" w:rsidRPr="00324EB0" w:rsidRDefault="000929F5" w:rsidP="0042122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55C00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7" type="#_x0000_t202" alt="Sec-Footerprimary" style="position:absolute;margin-left:0;margin-top:0;width:454.55pt;height:31.15pt;z-index:-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vFgA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w4UWEK1Q2Y46IbGWz5X+Hz3zIcn5nBKkAw4+eERD6kBuw+9&#10;RMka3K+/fY94JC9qKWlw6krqf26YE5TorwZpfTU4P49jmi7n48kQL+5UszzVmE19C8iKAe4Yy5MY&#10;8UHvRemgfsEFMYtRUcUMx9glDXvxNnS7ABcMF7NZAuFgWhbuzcLy6Dq2OZLzuX1hzvYMDsj9B9jP&#10;JyveELnDRksDs00AqRLLY6O7rvYPgEOd5qRfQHFrnN4T6rgm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KQUG8WAAgAAbg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64C64AC3" w14:textId="6E4B0169" w:rsidR="00644097" w:rsidRPr="00324EB0" w:rsidRDefault="000929F5" w:rsidP="0042122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3312" w14:textId="77777777" w:rsidR="00644097" w:rsidRPr="00E33C1C" w:rsidRDefault="0064409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44097" w14:paraId="120DAEE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22E7EC" w14:textId="77777777" w:rsidR="00644097" w:rsidRDefault="00644097" w:rsidP="0042122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280CEB" w14:textId="1D679790" w:rsidR="00644097" w:rsidRDefault="00644097" w:rsidP="004212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929F5">
            <w:rPr>
              <w:i/>
              <w:sz w:val="18"/>
            </w:rPr>
            <w:t>Payment Systems Legislation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847873" w14:textId="77777777" w:rsidR="00644097" w:rsidRDefault="00644097" w:rsidP="0042122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44097" w14:paraId="0D4E8C1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1FB35DF" w14:textId="3221309F" w:rsidR="00644097" w:rsidRDefault="00644097" w:rsidP="00421223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19606323" w14:textId="77777777" w:rsidR="00644097" w:rsidRPr="00ED79B6" w:rsidRDefault="00644097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31F14" w14:textId="77777777" w:rsidR="00644097" w:rsidRDefault="00644097" w:rsidP="0048364F">
      <w:pPr>
        <w:spacing w:line="240" w:lineRule="auto"/>
      </w:pPr>
      <w:r>
        <w:separator/>
      </w:r>
    </w:p>
  </w:footnote>
  <w:footnote w:type="continuationSeparator" w:id="0">
    <w:p w14:paraId="4E1E871A" w14:textId="77777777" w:rsidR="00644097" w:rsidRDefault="0064409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23B3" w14:textId="77777777" w:rsidR="00644097" w:rsidRPr="005F1388" w:rsidRDefault="00644097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53B01F4D" wp14:editId="7CBE1210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ECB74A" w14:textId="2F2CCEF3" w:rsidR="00644097" w:rsidRPr="00324EB0" w:rsidRDefault="000929F5" w:rsidP="0042122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01F4D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Sec-Headerevenpage" style="position:absolute;margin-left:0;margin-top:-25pt;width:454.55pt;height:31.15pt;z-index:-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21ECB74A" w14:textId="2F2CCEF3" w:rsidR="00644097" w:rsidRPr="00324EB0" w:rsidRDefault="000929F5" w:rsidP="0042122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D52A3" w14:textId="77777777" w:rsidR="00644097" w:rsidRPr="005F1388" w:rsidRDefault="00644097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1" locked="1" layoutInCell="1" allowOverlap="1" wp14:anchorId="6F3B875A" wp14:editId="60DF9759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30646" w14:textId="03B68556" w:rsidR="00644097" w:rsidRPr="00324EB0" w:rsidRDefault="000929F5" w:rsidP="0042122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B875A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alt="Sec-Headerprimary" style="position:absolute;margin-left:0;margin-top:-25pt;width:454.55pt;height:31.15pt;z-index:-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" stroked="f" strokeweight=".5pt">
              <v:textbox>
                <w:txbxContent>
                  <w:p w14:paraId="6A330646" w14:textId="03B68556" w:rsidR="00644097" w:rsidRPr="00324EB0" w:rsidRDefault="000929F5" w:rsidP="0042122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9F9A" w14:textId="77777777" w:rsidR="00644097" w:rsidRPr="005F1388" w:rsidRDefault="0064409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5B1A" w14:textId="77777777" w:rsidR="00644097" w:rsidRPr="00ED79B6" w:rsidRDefault="00644097" w:rsidP="00220A0C">
    <w:pPr>
      <w:pBdr>
        <w:bottom w:val="single" w:sz="6" w:space="1" w:color="auto"/>
      </w:pBdr>
      <w:spacing w:before="100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7202788" wp14:editId="47D45B59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5EA77E" w14:textId="0DD04955" w:rsidR="00644097" w:rsidRPr="00324EB0" w:rsidRDefault="000929F5" w:rsidP="0042122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0278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alt="Sec-Headerevenpage" style="position:absolute;margin-left:0;margin-top:-25pt;width:454.55pt;height:31.15pt;z-index:-25165414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Za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HR4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DAj+Za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355EA77E" w14:textId="0DD04955" w:rsidR="00644097" w:rsidRPr="00324EB0" w:rsidRDefault="000929F5" w:rsidP="0042122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58F9" w14:textId="77777777" w:rsidR="00644097" w:rsidRPr="00ED79B6" w:rsidRDefault="00644097" w:rsidP="00220A0C">
    <w:pPr>
      <w:pBdr>
        <w:bottom w:val="single" w:sz="6" w:space="1" w:color="auto"/>
      </w:pBdr>
      <w:spacing w:before="100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1BAFEA7" wp14:editId="335465D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3" name="Text Box 23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5C3FF" w14:textId="4A46D611" w:rsidR="00644097" w:rsidRPr="00324EB0" w:rsidRDefault="000929F5" w:rsidP="0042122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AFEA7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1" type="#_x0000_t202" alt="Sec-Headerprimary" style="position:absolute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mP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Y+4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vz2pj4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0D45C3FF" w14:textId="4A46D611" w:rsidR="00644097" w:rsidRPr="00324EB0" w:rsidRDefault="000929F5" w:rsidP="0042122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2575" w14:textId="77777777" w:rsidR="00644097" w:rsidRPr="00ED79B6" w:rsidRDefault="0064409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621DD" w14:textId="4F9DF6AE" w:rsidR="00644097" w:rsidRPr="00A961C4" w:rsidRDefault="00644097" w:rsidP="0048364F">
    <w:pPr>
      <w:rPr>
        <w:b/>
        <w:sz w:val="20"/>
      </w:rPr>
    </w:pPr>
    <w:r w:rsidRPr="00263886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3D7334BD" wp14:editId="6A089C7D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9" name="Text Box 29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AB1A9D" w14:textId="5239EC39" w:rsidR="00644097" w:rsidRPr="00324EB0" w:rsidRDefault="000929F5" w:rsidP="0042122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334BD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4" type="#_x0000_t202" alt="Sec-Headerevenpage" style="position:absolute;margin-left:0;margin-top:-25pt;width:454.55pt;height:31.15pt;z-index:-2516561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DxvKl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76AB1A9D" w14:textId="5239EC39" w:rsidR="00644097" w:rsidRPr="00324EB0" w:rsidRDefault="000929F5" w:rsidP="0042122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0718B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0718B">
      <w:rPr>
        <w:noProof/>
        <w:sz w:val="20"/>
      </w:rPr>
      <w:t>Other amendments</w:t>
    </w:r>
    <w:r>
      <w:rPr>
        <w:sz w:val="20"/>
      </w:rPr>
      <w:fldChar w:fldCharType="end"/>
    </w:r>
  </w:p>
  <w:p w14:paraId="33CDCC4A" w14:textId="038E999B" w:rsidR="00644097" w:rsidRPr="00A961C4" w:rsidRDefault="0064409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92304C7" w14:textId="77777777" w:rsidR="00644097" w:rsidRPr="00A961C4" w:rsidRDefault="0064409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46B8" w14:textId="492FC222" w:rsidR="00644097" w:rsidRPr="00A961C4" w:rsidRDefault="00644097" w:rsidP="0048364F">
    <w:pPr>
      <w:jc w:val="right"/>
      <w:rPr>
        <w:sz w:val="20"/>
      </w:rPr>
    </w:pPr>
    <w:r w:rsidRPr="00263886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2C5B485B" wp14:editId="22C7DCC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7" name="Text Box 2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732790" w14:textId="44BDD5AA" w:rsidR="00644097" w:rsidRPr="00324EB0" w:rsidRDefault="000929F5" w:rsidP="0042122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B485B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5" type="#_x0000_t202" alt="Sec-Headerprimary" style="position:absolute;left:0;text-align:left;margin-left:0;margin-top:-25pt;width:454.55pt;height:31.15pt;z-index:-2516623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fHS9cI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45732790" w14:textId="44BDD5AA" w:rsidR="00644097" w:rsidRPr="00324EB0" w:rsidRDefault="000929F5" w:rsidP="0042122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60718B">
      <w:rPr>
        <w:sz w:val="20"/>
      </w:rPr>
      <w:fldChar w:fldCharType="separate"/>
    </w:r>
    <w:r w:rsidR="0060718B">
      <w:rPr>
        <w:noProof/>
        <w:sz w:val="20"/>
      </w:rPr>
      <w:t>Other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0718B">
      <w:rPr>
        <w:b/>
        <w:sz w:val="20"/>
      </w:rPr>
      <w:fldChar w:fldCharType="separate"/>
    </w:r>
    <w:r w:rsidR="0060718B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14:paraId="60AECDB8" w14:textId="5FB8F5A9" w:rsidR="00644097" w:rsidRPr="00A961C4" w:rsidRDefault="0064409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D16F39F" w14:textId="77777777" w:rsidR="00644097" w:rsidRPr="00A961C4" w:rsidRDefault="0064409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CC57" w14:textId="77777777" w:rsidR="00644097" w:rsidRPr="00A961C4" w:rsidRDefault="00644097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480882070">
    <w:abstractNumId w:val="9"/>
  </w:num>
  <w:num w:numId="2" w16cid:durableId="47539419">
    <w:abstractNumId w:val="7"/>
  </w:num>
  <w:num w:numId="3" w16cid:durableId="118577038">
    <w:abstractNumId w:val="6"/>
  </w:num>
  <w:num w:numId="4" w16cid:durableId="1844315088">
    <w:abstractNumId w:val="5"/>
  </w:num>
  <w:num w:numId="5" w16cid:durableId="66727243">
    <w:abstractNumId w:val="4"/>
  </w:num>
  <w:num w:numId="6" w16cid:durableId="10423630">
    <w:abstractNumId w:val="8"/>
  </w:num>
  <w:num w:numId="7" w16cid:durableId="1334719342">
    <w:abstractNumId w:val="3"/>
  </w:num>
  <w:num w:numId="8" w16cid:durableId="247471261">
    <w:abstractNumId w:val="2"/>
  </w:num>
  <w:num w:numId="9" w16cid:durableId="50887625">
    <w:abstractNumId w:val="1"/>
  </w:num>
  <w:num w:numId="10" w16cid:durableId="912082005">
    <w:abstractNumId w:val="0"/>
  </w:num>
  <w:num w:numId="11" w16cid:durableId="386611643">
    <w:abstractNumId w:val="15"/>
  </w:num>
  <w:num w:numId="12" w16cid:durableId="1842819705">
    <w:abstractNumId w:val="11"/>
  </w:num>
  <w:num w:numId="13" w16cid:durableId="985082841">
    <w:abstractNumId w:val="12"/>
  </w:num>
  <w:num w:numId="14" w16cid:durableId="1245800587">
    <w:abstractNumId w:val="14"/>
  </w:num>
  <w:num w:numId="15" w16cid:durableId="1639647949">
    <w:abstractNumId w:val="13"/>
  </w:num>
  <w:num w:numId="16" w16cid:durableId="1023095138">
    <w:abstractNumId w:val="10"/>
  </w:num>
  <w:num w:numId="17" w16cid:durableId="69545858">
    <w:abstractNumId w:val="17"/>
  </w:num>
  <w:num w:numId="18" w16cid:durableId="13387694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E2"/>
    <w:rsid w:val="00000146"/>
    <w:rsid w:val="00000263"/>
    <w:rsid w:val="00004C6C"/>
    <w:rsid w:val="000062DA"/>
    <w:rsid w:val="000113BC"/>
    <w:rsid w:val="00012B2C"/>
    <w:rsid w:val="000136AF"/>
    <w:rsid w:val="00013ABB"/>
    <w:rsid w:val="00015C5E"/>
    <w:rsid w:val="000204F0"/>
    <w:rsid w:val="00023202"/>
    <w:rsid w:val="00024E9E"/>
    <w:rsid w:val="00027DA6"/>
    <w:rsid w:val="000311E9"/>
    <w:rsid w:val="00036E24"/>
    <w:rsid w:val="00037065"/>
    <w:rsid w:val="000379DF"/>
    <w:rsid w:val="0004044E"/>
    <w:rsid w:val="00045D51"/>
    <w:rsid w:val="00045F69"/>
    <w:rsid w:val="00046F47"/>
    <w:rsid w:val="0005120E"/>
    <w:rsid w:val="00054577"/>
    <w:rsid w:val="00056E11"/>
    <w:rsid w:val="000614BF"/>
    <w:rsid w:val="000627B5"/>
    <w:rsid w:val="0006362E"/>
    <w:rsid w:val="00065C2E"/>
    <w:rsid w:val="00065E9B"/>
    <w:rsid w:val="000662F4"/>
    <w:rsid w:val="000668A0"/>
    <w:rsid w:val="0007169C"/>
    <w:rsid w:val="00072AFD"/>
    <w:rsid w:val="00077593"/>
    <w:rsid w:val="00077A41"/>
    <w:rsid w:val="00083F48"/>
    <w:rsid w:val="000854DF"/>
    <w:rsid w:val="0009031E"/>
    <w:rsid w:val="000929F5"/>
    <w:rsid w:val="00093950"/>
    <w:rsid w:val="0009401D"/>
    <w:rsid w:val="00096DB3"/>
    <w:rsid w:val="0009744F"/>
    <w:rsid w:val="00097F1B"/>
    <w:rsid w:val="000A0CE0"/>
    <w:rsid w:val="000A6293"/>
    <w:rsid w:val="000A71FD"/>
    <w:rsid w:val="000A7DF9"/>
    <w:rsid w:val="000B0CD2"/>
    <w:rsid w:val="000B3E01"/>
    <w:rsid w:val="000B6F24"/>
    <w:rsid w:val="000B705B"/>
    <w:rsid w:val="000B7149"/>
    <w:rsid w:val="000B714D"/>
    <w:rsid w:val="000C1CEF"/>
    <w:rsid w:val="000D05EF"/>
    <w:rsid w:val="000D0665"/>
    <w:rsid w:val="000D16CB"/>
    <w:rsid w:val="000D5485"/>
    <w:rsid w:val="000D5EFB"/>
    <w:rsid w:val="000D687D"/>
    <w:rsid w:val="000D7B59"/>
    <w:rsid w:val="000D7F75"/>
    <w:rsid w:val="000E0080"/>
    <w:rsid w:val="000E0838"/>
    <w:rsid w:val="000E0914"/>
    <w:rsid w:val="000E681F"/>
    <w:rsid w:val="000F21C1"/>
    <w:rsid w:val="000F23E1"/>
    <w:rsid w:val="00100D43"/>
    <w:rsid w:val="0010570E"/>
    <w:rsid w:val="00105D72"/>
    <w:rsid w:val="0010745C"/>
    <w:rsid w:val="00110476"/>
    <w:rsid w:val="00110C19"/>
    <w:rsid w:val="00111888"/>
    <w:rsid w:val="001146E8"/>
    <w:rsid w:val="00114A45"/>
    <w:rsid w:val="0011620F"/>
    <w:rsid w:val="00117277"/>
    <w:rsid w:val="00121D6C"/>
    <w:rsid w:val="00121F46"/>
    <w:rsid w:val="001227B0"/>
    <w:rsid w:val="00122D59"/>
    <w:rsid w:val="00125E77"/>
    <w:rsid w:val="0012738A"/>
    <w:rsid w:val="00133E67"/>
    <w:rsid w:val="00137FF5"/>
    <w:rsid w:val="001439B0"/>
    <w:rsid w:val="00144ADC"/>
    <w:rsid w:val="001513AC"/>
    <w:rsid w:val="00155873"/>
    <w:rsid w:val="00160BD7"/>
    <w:rsid w:val="00160D4C"/>
    <w:rsid w:val="00163A81"/>
    <w:rsid w:val="001643C9"/>
    <w:rsid w:val="00165568"/>
    <w:rsid w:val="00165A1C"/>
    <w:rsid w:val="00165CD6"/>
    <w:rsid w:val="00166082"/>
    <w:rsid w:val="00166C2F"/>
    <w:rsid w:val="00167BC1"/>
    <w:rsid w:val="00170782"/>
    <w:rsid w:val="001716C9"/>
    <w:rsid w:val="00172370"/>
    <w:rsid w:val="001729DB"/>
    <w:rsid w:val="00173768"/>
    <w:rsid w:val="00174A94"/>
    <w:rsid w:val="00176104"/>
    <w:rsid w:val="00176471"/>
    <w:rsid w:val="00184129"/>
    <w:rsid w:val="00184261"/>
    <w:rsid w:val="001851D5"/>
    <w:rsid w:val="00190BA1"/>
    <w:rsid w:val="00190DF5"/>
    <w:rsid w:val="00192157"/>
    <w:rsid w:val="00193461"/>
    <w:rsid w:val="001934AC"/>
    <w:rsid w:val="001939E1"/>
    <w:rsid w:val="00195382"/>
    <w:rsid w:val="00195D34"/>
    <w:rsid w:val="00197C46"/>
    <w:rsid w:val="001A3B9F"/>
    <w:rsid w:val="001A4302"/>
    <w:rsid w:val="001A4568"/>
    <w:rsid w:val="001A65C0"/>
    <w:rsid w:val="001B2812"/>
    <w:rsid w:val="001B6456"/>
    <w:rsid w:val="001B7A5D"/>
    <w:rsid w:val="001C09A0"/>
    <w:rsid w:val="001C2E7E"/>
    <w:rsid w:val="001C317C"/>
    <w:rsid w:val="001C3F5B"/>
    <w:rsid w:val="001C4CE0"/>
    <w:rsid w:val="001C4D53"/>
    <w:rsid w:val="001C614A"/>
    <w:rsid w:val="001C69C4"/>
    <w:rsid w:val="001C7FE6"/>
    <w:rsid w:val="001D06E6"/>
    <w:rsid w:val="001D7C55"/>
    <w:rsid w:val="001E0A8D"/>
    <w:rsid w:val="001E2E73"/>
    <w:rsid w:val="001E3590"/>
    <w:rsid w:val="001E512A"/>
    <w:rsid w:val="001E54E8"/>
    <w:rsid w:val="001E7407"/>
    <w:rsid w:val="001F0D59"/>
    <w:rsid w:val="001F1622"/>
    <w:rsid w:val="001F39A0"/>
    <w:rsid w:val="001F39DE"/>
    <w:rsid w:val="00201D27"/>
    <w:rsid w:val="0020300C"/>
    <w:rsid w:val="00204322"/>
    <w:rsid w:val="0020542E"/>
    <w:rsid w:val="00211EC5"/>
    <w:rsid w:val="00211F6C"/>
    <w:rsid w:val="002144B8"/>
    <w:rsid w:val="0021459D"/>
    <w:rsid w:val="00217CE9"/>
    <w:rsid w:val="00220A0C"/>
    <w:rsid w:val="00222C3E"/>
    <w:rsid w:val="002238A6"/>
    <w:rsid w:val="00223E4A"/>
    <w:rsid w:val="00226861"/>
    <w:rsid w:val="00227B57"/>
    <w:rsid w:val="002302CC"/>
    <w:rsid w:val="002302EA"/>
    <w:rsid w:val="002330C5"/>
    <w:rsid w:val="00236306"/>
    <w:rsid w:val="00240563"/>
    <w:rsid w:val="00240749"/>
    <w:rsid w:val="00240A70"/>
    <w:rsid w:val="00242A1C"/>
    <w:rsid w:val="002468D7"/>
    <w:rsid w:val="00250415"/>
    <w:rsid w:val="00250E90"/>
    <w:rsid w:val="002545CF"/>
    <w:rsid w:val="00254BDA"/>
    <w:rsid w:val="002579C6"/>
    <w:rsid w:val="0026030D"/>
    <w:rsid w:val="002637E6"/>
    <w:rsid w:val="00263886"/>
    <w:rsid w:val="002668C1"/>
    <w:rsid w:val="002733D1"/>
    <w:rsid w:val="0027384D"/>
    <w:rsid w:val="00274F15"/>
    <w:rsid w:val="00275773"/>
    <w:rsid w:val="002758BA"/>
    <w:rsid w:val="00275D9D"/>
    <w:rsid w:val="00276E58"/>
    <w:rsid w:val="002807FC"/>
    <w:rsid w:val="00282A41"/>
    <w:rsid w:val="00285CDD"/>
    <w:rsid w:val="00286E9B"/>
    <w:rsid w:val="00291167"/>
    <w:rsid w:val="00294939"/>
    <w:rsid w:val="00295E8A"/>
    <w:rsid w:val="0029760D"/>
    <w:rsid w:val="00297ECB"/>
    <w:rsid w:val="002A03CD"/>
    <w:rsid w:val="002A1C9F"/>
    <w:rsid w:val="002A1CD3"/>
    <w:rsid w:val="002A2683"/>
    <w:rsid w:val="002A32C3"/>
    <w:rsid w:val="002B160A"/>
    <w:rsid w:val="002B1ACF"/>
    <w:rsid w:val="002B3467"/>
    <w:rsid w:val="002B3D66"/>
    <w:rsid w:val="002B5F24"/>
    <w:rsid w:val="002B6D3D"/>
    <w:rsid w:val="002C152A"/>
    <w:rsid w:val="002C1A77"/>
    <w:rsid w:val="002C2FD3"/>
    <w:rsid w:val="002C56B8"/>
    <w:rsid w:val="002D043A"/>
    <w:rsid w:val="002D08F6"/>
    <w:rsid w:val="002D1A0A"/>
    <w:rsid w:val="002D2DF8"/>
    <w:rsid w:val="002D39AD"/>
    <w:rsid w:val="002D3FE6"/>
    <w:rsid w:val="002D45BE"/>
    <w:rsid w:val="002D4689"/>
    <w:rsid w:val="002D7481"/>
    <w:rsid w:val="002D7C5C"/>
    <w:rsid w:val="002E01E8"/>
    <w:rsid w:val="002E078F"/>
    <w:rsid w:val="002E07C6"/>
    <w:rsid w:val="002E0D58"/>
    <w:rsid w:val="002E378C"/>
    <w:rsid w:val="002E4217"/>
    <w:rsid w:val="002E7644"/>
    <w:rsid w:val="002F322A"/>
    <w:rsid w:val="002F3539"/>
    <w:rsid w:val="00300FA5"/>
    <w:rsid w:val="0030110B"/>
    <w:rsid w:val="00305321"/>
    <w:rsid w:val="00305D46"/>
    <w:rsid w:val="00307722"/>
    <w:rsid w:val="00310DCB"/>
    <w:rsid w:val="003144A5"/>
    <w:rsid w:val="00316F07"/>
    <w:rsid w:val="0031713F"/>
    <w:rsid w:val="00321913"/>
    <w:rsid w:val="00322742"/>
    <w:rsid w:val="00323ED3"/>
    <w:rsid w:val="00324EE6"/>
    <w:rsid w:val="00325FDF"/>
    <w:rsid w:val="00326987"/>
    <w:rsid w:val="003316DC"/>
    <w:rsid w:val="00332594"/>
    <w:rsid w:val="00332E0D"/>
    <w:rsid w:val="00336B51"/>
    <w:rsid w:val="003411D1"/>
    <w:rsid w:val="003415C5"/>
    <w:rsid w:val="003415D3"/>
    <w:rsid w:val="0034439F"/>
    <w:rsid w:val="00346335"/>
    <w:rsid w:val="00346B45"/>
    <w:rsid w:val="00352B0F"/>
    <w:rsid w:val="003557F9"/>
    <w:rsid w:val="003561B0"/>
    <w:rsid w:val="00361E6D"/>
    <w:rsid w:val="00362910"/>
    <w:rsid w:val="00364AA3"/>
    <w:rsid w:val="00366871"/>
    <w:rsid w:val="00367960"/>
    <w:rsid w:val="00367B54"/>
    <w:rsid w:val="00370A47"/>
    <w:rsid w:val="00372F09"/>
    <w:rsid w:val="003755CC"/>
    <w:rsid w:val="00380D80"/>
    <w:rsid w:val="00382959"/>
    <w:rsid w:val="00384B60"/>
    <w:rsid w:val="00385171"/>
    <w:rsid w:val="0038703B"/>
    <w:rsid w:val="00392FC7"/>
    <w:rsid w:val="00395F19"/>
    <w:rsid w:val="003965D1"/>
    <w:rsid w:val="00397F85"/>
    <w:rsid w:val="003A0F70"/>
    <w:rsid w:val="003A15AC"/>
    <w:rsid w:val="003A3396"/>
    <w:rsid w:val="003A56EB"/>
    <w:rsid w:val="003B0627"/>
    <w:rsid w:val="003B3016"/>
    <w:rsid w:val="003B62AE"/>
    <w:rsid w:val="003C2042"/>
    <w:rsid w:val="003C2993"/>
    <w:rsid w:val="003C2CC8"/>
    <w:rsid w:val="003C5663"/>
    <w:rsid w:val="003C5F2B"/>
    <w:rsid w:val="003C615F"/>
    <w:rsid w:val="003C72FE"/>
    <w:rsid w:val="003D0BFE"/>
    <w:rsid w:val="003D1D9F"/>
    <w:rsid w:val="003D1E8E"/>
    <w:rsid w:val="003D4A4B"/>
    <w:rsid w:val="003D5700"/>
    <w:rsid w:val="003D5A16"/>
    <w:rsid w:val="003E057C"/>
    <w:rsid w:val="003E34CC"/>
    <w:rsid w:val="003E4994"/>
    <w:rsid w:val="003E58C1"/>
    <w:rsid w:val="003F0F5A"/>
    <w:rsid w:val="003F2EB8"/>
    <w:rsid w:val="003F48D2"/>
    <w:rsid w:val="00400A30"/>
    <w:rsid w:val="004022CA"/>
    <w:rsid w:val="00402C4B"/>
    <w:rsid w:val="00406CCB"/>
    <w:rsid w:val="004116CD"/>
    <w:rsid w:val="00412119"/>
    <w:rsid w:val="00412E5F"/>
    <w:rsid w:val="00413A75"/>
    <w:rsid w:val="00413B5C"/>
    <w:rsid w:val="00414524"/>
    <w:rsid w:val="00414ADE"/>
    <w:rsid w:val="004152E2"/>
    <w:rsid w:val="00415E0A"/>
    <w:rsid w:val="00415E77"/>
    <w:rsid w:val="004166B5"/>
    <w:rsid w:val="00421223"/>
    <w:rsid w:val="004218FD"/>
    <w:rsid w:val="00424097"/>
    <w:rsid w:val="00424CA9"/>
    <w:rsid w:val="004257BB"/>
    <w:rsid w:val="0042583E"/>
    <w:rsid w:val="00425990"/>
    <w:rsid w:val="004261D9"/>
    <w:rsid w:val="00432008"/>
    <w:rsid w:val="00433973"/>
    <w:rsid w:val="004340EE"/>
    <w:rsid w:val="004356DC"/>
    <w:rsid w:val="00436029"/>
    <w:rsid w:val="00442893"/>
    <w:rsid w:val="0044291A"/>
    <w:rsid w:val="0045281D"/>
    <w:rsid w:val="00453927"/>
    <w:rsid w:val="0045655A"/>
    <w:rsid w:val="00456F6D"/>
    <w:rsid w:val="00457E0C"/>
    <w:rsid w:val="00460499"/>
    <w:rsid w:val="00460730"/>
    <w:rsid w:val="0047050A"/>
    <w:rsid w:val="00470BC3"/>
    <w:rsid w:val="00471B70"/>
    <w:rsid w:val="004736F5"/>
    <w:rsid w:val="00474835"/>
    <w:rsid w:val="004754FF"/>
    <w:rsid w:val="00475C61"/>
    <w:rsid w:val="00476665"/>
    <w:rsid w:val="00477107"/>
    <w:rsid w:val="00477133"/>
    <w:rsid w:val="004819C7"/>
    <w:rsid w:val="0048364F"/>
    <w:rsid w:val="00484838"/>
    <w:rsid w:val="00490F2E"/>
    <w:rsid w:val="004910CE"/>
    <w:rsid w:val="004918BC"/>
    <w:rsid w:val="00494A4B"/>
    <w:rsid w:val="00496DB3"/>
    <w:rsid w:val="00496F97"/>
    <w:rsid w:val="00497468"/>
    <w:rsid w:val="004A02FC"/>
    <w:rsid w:val="004A2439"/>
    <w:rsid w:val="004A31B3"/>
    <w:rsid w:val="004A5196"/>
    <w:rsid w:val="004A53EA"/>
    <w:rsid w:val="004A5506"/>
    <w:rsid w:val="004B2829"/>
    <w:rsid w:val="004B389C"/>
    <w:rsid w:val="004B49B0"/>
    <w:rsid w:val="004B4D71"/>
    <w:rsid w:val="004B4E1A"/>
    <w:rsid w:val="004B5B32"/>
    <w:rsid w:val="004C024D"/>
    <w:rsid w:val="004C2E6F"/>
    <w:rsid w:val="004C3D1D"/>
    <w:rsid w:val="004D0988"/>
    <w:rsid w:val="004D339F"/>
    <w:rsid w:val="004D3695"/>
    <w:rsid w:val="004E05DA"/>
    <w:rsid w:val="004E6316"/>
    <w:rsid w:val="004E7D59"/>
    <w:rsid w:val="004F1FAC"/>
    <w:rsid w:val="004F55BF"/>
    <w:rsid w:val="004F676E"/>
    <w:rsid w:val="00501CDE"/>
    <w:rsid w:val="00502B1F"/>
    <w:rsid w:val="0050462D"/>
    <w:rsid w:val="00505648"/>
    <w:rsid w:val="005077CA"/>
    <w:rsid w:val="0051058F"/>
    <w:rsid w:val="00511104"/>
    <w:rsid w:val="005159CE"/>
    <w:rsid w:val="00516B8D"/>
    <w:rsid w:val="00524DB9"/>
    <w:rsid w:val="00525010"/>
    <w:rsid w:val="00525458"/>
    <w:rsid w:val="0052686F"/>
    <w:rsid w:val="0052756C"/>
    <w:rsid w:val="00530230"/>
    <w:rsid w:val="00530CC9"/>
    <w:rsid w:val="00530DC6"/>
    <w:rsid w:val="00534D2F"/>
    <w:rsid w:val="0053759C"/>
    <w:rsid w:val="00537FBC"/>
    <w:rsid w:val="00541D73"/>
    <w:rsid w:val="00542467"/>
    <w:rsid w:val="00542855"/>
    <w:rsid w:val="00543469"/>
    <w:rsid w:val="005444FC"/>
    <w:rsid w:val="005452CC"/>
    <w:rsid w:val="00546450"/>
    <w:rsid w:val="00546991"/>
    <w:rsid w:val="00546FA3"/>
    <w:rsid w:val="00554243"/>
    <w:rsid w:val="00555660"/>
    <w:rsid w:val="00555CD9"/>
    <w:rsid w:val="00557C7A"/>
    <w:rsid w:val="00560DBC"/>
    <w:rsid w:val="00561AE2"/>
    <w:rsid w:val="00562A58"/>
    <w:rsid w:val="00564840"/>
    <w:rsid w:val="005660D1"/>
    <w:rsid w:val="00566B17"/>
    <w:rsid w:val="00570D84"/>
    <w:rsid w:val="0057183A"/>
    <w:rsid w:val="00580160"/>
    <w:rsid w:val="00581211"/>
    <w:rsid w:val="00582AB9"/>
    <w:rsid w:val="00584811"/>
    <w:rsid w:val="005852FC"/>
    <w:rsid w:val="00585CB2"/>
    <w:rsid w:val="00591FB0"/>
    <w:rsid w:val="00593AA6"/>
    <w:rsid w:val="00594161"/>
    <w:rsid w:val="00594512"/>
    <w:rsid w:val="00594749"/>
    <w:rsid w:val="005949C0"/>
    <w:rsid w:val="00595D73"/>
    <w:rsid w:val="00596090"/>
    <w:rsid w:val="0059793C"/>
    <w:rsid w:val="005A07DE"/>
    <w:rsid w:val="005A197D"/>
    <w:rsid w:val="005A482B"/>
    <w:rsid w:val="005A5A68"/>
    <w:rsid w:val="005B0B37"/>
    <w:rsid w:val="005B1F67"/>
    <w:rsid w:val="005B20D0"/>
    <w:rsid w:val="005B4067"/>
    <w:rsid w:val="005B7DE4"/>
    <w:rsid w:val="005C0D6E"/>
    <w:rsid w:val="005C3500"/>
    <w:rsid w:val="005C36E0"/>
    <w:rsid w:val="005C3F41"/>
    <w:rsid w:val="005C697A"/>
    <w:rsid w:val="005D168D"/>
    <w:rsid w:val="005D274A"/>
    <w:rsid w:val="005D3193"/>
    <w:rsid w:val="005D3824"/>
    <w:rsid w:val="005D4EBD"/>
    <w:rsid w:val="005D5EA1"/>
    <w:rsid w:val="005D65F6"/>
    <w:rsid w:val="005E08A2"/>
    <w:rsid w:val="005E14E5"/>
    <w:rsid w:val="005E2D42"/>
    <w:rsid w:val="005E6069"/>
    <w:rsid w:val="005E61D3"/>
    <w:rsid w:val="005F3DC0"/>
    <w:rsid w:val="005F4840"/>
    <w:rsid w:val="005F6ADD"/>
    <w:rsid w:val="005F7738"/>
    <w:rsid w:val="00600219"/>
    <w:rsid w:val="00603C12"/>
    <w:rsid w:val="00605A19"/>
    <w:rsid w:val="0060718B"/>
    <w:rsid w:val="0060799B"/>
    <w:rsid w:val="00607ABE"/>
    <w:rsid w:val="00610DF4"/>
    <w:rsid w:val="00610FAF"/>
    <w:rsid w:val="00613EAD"/>
    <w:rsid w:val="006158AC"/>
    <w:rsid w:val="00620704"/>
    <w:rsid w:val="00621059"/>
    <w:rsid w:val="0062110E"/>
    <w:rsid w:val="00622317"/>
    <w:rsid w:val="0062426A"/>
    <w:rsid w:val="00624CF2"/>
    <w:rsid w:val="006260E2"/>
    <w:rsid w:val="00626F72"/>
    <w:rsid w:val="00631051"/>
    <w:rsid w:val="00632DCD"/>
    <w:rsid w:val="00634208"/>
    <w:rsid w:val="00636695"/>
    <w:rsid w:val="0064020F"/>
    <w:rsid w:val="00640402"/>
    <w:rsid w:val="00640F78"/>
    <w:rsid w:val="00641CB3"/>
    <w:rsid w:val="0064316C"/>
    <w:rsid w:val="00643C4F"/>
    <w:rsid w:val="00644097"/>
    <w:rsid w:val="00644E08"/>
    <w:rsid w:val="00646E7B"/>
    <w:rsid w:val="00651BBF"/>
    <w:rsid w:val="0065326B"/>
    <w:rsid w:val="00653395"/>
    <w:rsid w:val="00655D6A"/>
    <w:rsid w:val="00656DE9"/>
    <w:rsid w:val="00660C58"/>
    <w:rsid w:val="00662730"/>
    <w:rsid w:val="00662791"/>
    <w:rsid w:val="00662AD4"/>
    <w:rsid w:val="006700B8"/>
    <w:rsid w:val="0067167D"/>
    <w:rsid w:val="0067270A"/>
    <w:rsid w:val="0067590D"/>
    <w:rsid w:val="00675B3B"/>
    <w:rsid w:val="00677CC2"/>
    <w:rsid w:val="00677FB4"/>
    <w:rsid w:val="0068419D"/>
    <w:rsid w:val="006841E8"/>
    <w:rsid w:val="00685037"/>
    <w:rsid w:val="00685F42"/>
    <w:rsid w:val="006866A1"/>
    <w:rsid w:val="00690472"/>
    <w:rsid w:val="00690CF1"/>
    <w:rsid w:val="00690DB2"/>
    <w:rsid w:val="0069131B"/>
    <w:rsid w:val="0069207B"/>
    <w:rsid w:val="00693D70"/>
    <w:rsid w:val="00696329"/>
    <w:rsid w:val="00697865"/>
    <w:rsid w:val="006A1D94"/>
    <w:rsid w:val="006A372D"/>
    <w:rsid w:val="006A4309"/>
    <w:rsid w:val="006A45E7"/>
    <w:rsid w:val="006A5EAF"/>
    <w:rsid w:val="006A6A21"/>
    <w:rsid w:val="006B0DBF"/>
    <w:rsid w:val="006B0E55"/>
    <w:rsid w:val="006B35C8"/>
    <w:rsid w:val="006B3864"/>
    <w:rsid w:val="006B3C92"/>
    <w:rsid w:val="006B639B"/>
    <w:rsid w:val="006B7006"/>
    <w:rsid w:val="006C1A46"/>
    <w:rsid w:val="006C7F8C"/>
    <w:rsid w:val="006D02F2"/>
    <w:rsid w:val="006D20CB"/>
    <w:rsid w:val="006D4D59"/>
    <w:rsid w:val="006D56E6"/>
    <w:rsid w:val="006D62C0"/>
    <w:rsid w:val="006D7AB9"/>
    <w:rsid w:val="006E0AA5"/>
    <w:rsid w:val="006E3837"/>
    <w:rsid w:val="006F10BA"/>
    <w:rsid w:val="006F62AB"/>
    <w:rsid w:val="006F6596"/>
    <w:rsid w:val="006F75AE"/>
    <w:rsid w:val="00700B2C"/>
    <w:rsid w:val="0070268F"/>
    <w:rsid w:val="00702767"/>
    <w:rsid w:val="007043B5"/>
    <w:rsid w:val="00706B7F"/>
    <w:rsid w:val="0070735C"/>
    <w:rsid w:val="0071079E"/>
    <w:rsid w:val="00711706"/>
    <w:rsid w:val="00713084"/>
    <w:rsid w:val="00714875"/>
    <w:rsid w:val="007163D9"/>
    <w:rsid w:val="0071686D"/>
    <w:rsid w:val="00720FC2"/>
    <w:rsid w:val="00724A80"/>
    <w:rsid w:val="00726363"/>
    <w:rsid w:val="00727344"/>
    <w:rsid w:val="00731A85"/>
    <w:rsid w:val="00731E00"/>
    <w:rsid w:val="00732CB9"/>
    <w:rsid w:val="00732E9D"/>
    <w:rsid w:val="00733515"/>
    <w:rsid w:val="00733B82"/>
    <w:rsid w:val="0073491A"/>
    <w:rsid w:val="007440B7"/>
    <w:rsid w:val="007450BA"/>
    <w:rsid w:val="00747275"/>
    <w:rsid w:val="007473C5"/>
    <w:rsid w:val="0074795C"/>
    <w:rsid w:val="00747993"/>
    <w:rsid w:val="007519CB"/>
    <w:rsid w:val="007634AD"/>
    <w:rsid w:val="007647CE"/>
    <w:rsid w:val="00764DAD"/>
    <w:rsid w:val="00764E19"/>
    <w:rsid w:val="007654C1"/>
    <w:rsid w:val="007679A9"/>
    <w:rsid w:val="0077022B"/>
    <w:rsid w:val="007715C9"/>
    <w:rsid w:val="00773845"/>
    <w:rsid w:val="00773A47"/>
    <w:rsid w:val="00774B26"/>
    <w:rsid w:val="00774EDD"/>
    <w:rsid w:val="007757EC"/>
    <w:rsid w:val="00775DDF"/>
    <w:rsid w:val="00776ED7"/>
    <w:rsid w:val="007776E7"/>
    <w:rsid w:val="007828B0"/>
    <w:rsid w:val="00790B5D"/>
    <w:rsid w:val="00791712"/>
    <w:rsid w:val="00791CD0"/>
    <w:rsid w:val="00792462"/>
    <w:rsid w:val="00792EC7"/>
    <w:rsid w:val="00793F25"/>
    <w:rsid w:val="00794761"/>
    <w:rsid w:val="007965D2"/>
    <w:rsid w:val="00797792"/>
    <w:rsid w:val="00797C46"/>
    <w:rsid w:val="007A115D"/>
    <w:rsid w:val="007A35E6"/>
    <w:rsid w:val="007A396C"/>
    <w:rsid w:val="007A6863"/>
    <w:rsid w:val="007B0475"/>
    <w:rsid w:val="007B2A52"/>
    <w:rsid w:val="007B3A61"/>
    <w:rsid w:val="007B3D2F"/>
    <w:rsid w:val="007B43D6"/>
    <w:rsid w:val="007B779F"/>
    <w:rsid w:val="007C1162"/>
    <w:rsid w:val="007C1ABC"/>
    <w:rsid w:val="007C2F7A"/>
    <w:rsid w:val="007D266A"/>
    <w:rsid w:val="007D45C1"/>
    <w:rsid w:val="007D68E1"/>
    <w:rsid w:val="007D76C3"/>
    <w:rsid w:val="007D78EF"/>
    <w:rsid w:val="007D7A8F"/>
    <w:rsid w:val="007D7B69"/>
    <w:rsid w:val="007E126B"/>
    <w:rsid w:val="007E25D8"/>
    <w:rsid w:val="007E4943"/>
    <w:rsid w:val="007E6E6B"/>
    <w:rsid w:val="007E7828"/>
    <w:rsid w:val="007E7D4A"/>
    <w:rsid w:val="007F48ED"/>
    <w:rsid w:val="007F6507"/>
    <w:rsid w:val="007F7947"/>
    <w:rsid w:val="00800066"/>
    <w:rsid w:val="00800FF5"/>
    <w:rsid w:val="00802F2E"/>
    <w:rsid w:val="00803394"/>
    <w:rsid w:val="008073F6"/>
    <w:rsid w:val="0081083B"/>
    <w:rsid w:val="00811035"/>
    <w:rsid w:val="00812F45"/>
    <w:rsid w:val="00817B53"/>
    <w:rsid w:val="0082154F"/>
    <w:rsid w:val="00823B55"/>
    <w:rsid w:val="00824E0D"/>
    <w:rsid w:val="00830E83"/>
    <w:rsid w:val="008320D0"/>
    <w:rsid w:val="0083560F"/>
    <w:rsid w:val="008370CB"/>
    <w:rsid w:val="0084172C"/>
    <w:rsid w:val="008448EF"/>
    <w:rsid w:val="00844DA1"/>
    <w:rsid w:val="00845724"/>
    <w:rsid w:val="008467FB"/>
    <w:rsid w:val="00850581"/>
    <w:rsid w:val="008528CC"/>
    <w:rsid w:val="008543B4"/>
    <w:rsid w:val="00856A31"/>
    <w:rsid w:val="00857CBE"/>
    <w:rsid w:val="0086541B"/>
    <w:rsid w:val="008660FA"/>
    <w:rsid w:val="0086770B"/>
    <w:rsid w:val="00872882"/>
    <w:rsid w:val="00875302"/>
    <w:rsid w:val="008754D0"/>
    <w:rsid w:val="00876C0E"/>
    <w:rsid w:val="00877D48"/>
    <w:rsid w:val="008802E2"/>
    <w:rsid w:val="008816F0"/>
    <w:rsid w:val="0088345B"/>
    <w:rsid w:val="008835FD"/>
    <w:rsid w:val="00892BF2"/>
    <w:rsid w:val="008942E1"/>
    <w:rsid w:val="008946F1"/>
    <w:rsid w:val="00895308"/>
    <w:rsid w:val="00895772"/>
    <w:rsid w:val="008A08F4"/>
    <w:rsid w:val="008A16A5"/>
    <w:rsid w:val="008A42F0"/>
    <w:rsid w:val="008A62FF"/>
    <w:rsid w:val="008A6D57"/>
    <w:rsid w:val="008A762A"/>
    <w:rsid w:val="008B0037"/>
    <w:rsid w:val="008B2ABA"/>
    <w:rsid w:val="008B37D1"/>
    <w:rsid w:val="008B5D20"/>
    <w:rsid w:val="008B5D42"/>
    <w:rsid w:val="008B7626"/>
    <w:rsid w:val="008C087D"/>
    <w:rsid w:val="008C1B6C"/>
    <w:rsid w:val="008C270E"/>
    <w:rsid w:val="008C2B5D"/>
    <w:rsid w:val="008C6128"/>
    <w:rsid w:val="008D0EE0"/>
    <w:rsid w:val="008D3A74"/>
    <w:rsid w:val="008D3DB0"/>
    <w:rsid w:val="008D5B99"/>
    <w:rsid w:val="008D669A"/>
    <w:rsid w:val="008D7A27"/>
    <w:rsid w:val="008E14E8"/>
    <w:rsid w:val="008E29E2"/>
    <w:rsid w:val="008E4702"/>
    <w:rsid w:val="008E58F2"/>
    <w:rsid w:val="008E69AA"/>
    <w:rsid w:val="008F3C1B"/>
    <w:rsid w:val="008F4B13"/>
    <w:rsid w:val="008F4F04"/>
    <w:rsid w:val="008F4F1C"/>
    <w:rsid w:val="008F73AD"/>
    <w:rsid w:val="009058C0"/>
    <w:rsid w:val="0090738C"/>
    <w:rsid w:val="009100C5"/>
    <w:rsid w:val="00911310"/>
    <w:rsid w:val="00912726"/>
    <w:rsid w:val="00913552"/>
    <w:rsid w:val="0091586B"/>
    <w:rsid w:val="0091785F"/>
    <w:rsid w:val="009210D4"/>
    <w:rsid w:val="00921841"/>
    <w:rsid w:val="00922764"/>
    <w:rsid w:val="00922B0A"/>
    <w:rsid w:val="00923588"/>
    <w:rsid w:val="0092434D"/>
    <w:rsid w:val="00925204"/>
    <w:rsid w:val="00926CDC"/>
    <w:rsid w:val="00927442"/>
    <w:rsid w:val="00930F6D"/>
    <w:rsid w:val="00932048"/>
    <w:rsid w:val="00932377"/>
    <w:rsid w:val="00935EFC"/>
    <w:rsid w:val="009408EA"/>
    <w:rsid w:val="00943102"/>
    <w:rsid w:val="00944A89"/>
    <w:rsid w:val="0094523D"/>
    <w:rsid w:val="009474EE"/>
    <w:rsid w:val="00950B50"/>
    <w:rsid w:val="009515AC"/>
    <w:rsid w:val="00952DC1"/>
    <w:rsid w:val="009559E6"/>
    <w:rsid w:val="00956F7F"/>
    <w:rsid w:val="0095768A"/>
    <w:rsid w:val="00957DE6"/>
    <w:rsid w:val="00964C4C"/>
    <w:rsid w:val="009656D2"/>
    <w:rsid w:val="009748EA"/>
    <w:rsid w:val="00976A63"/>
    <w:rsid w:val="00977AD1"/>
    <w:rsid w:val="009809FD"/>
    <w:rsid w:val="00982233"/>
    <w:rsid w:val="00983419"/>
    <w:rsid w:val="00984C51"/>
    <w:rsid w:val="00986AAD"/>
    <w:rsid w:val="00991E29"/>
    <w:rsid w:val="00994821"/>
    <w:rsid w:val="009A02D2"/>
    <w:rsid w:val="009A344F"/>
    <w:rsid w:val="009A3656"/>
    <w:rsid w:val="009A3BB6"/>
    <w:rsid w:val="009A466F"/>
    <w:rsid w:val="009A77C5"/>
    <w:rsid w:val="009B74E9"/>
    <w:rsid w:val="009C0320"/>
    <w:rsid w:val="009C1B0A"/>
    <w:rsid w:val="009C3431"/>
    <w:rsid w:val="009C4813"/>
    <w:rsid w:val="009C4C05"/>
    <w:rsid w:val="009C4C35"/>
    <w:rsid w:val="009C5989"/>
    <w:rsid w:val="009D020E"/>
    <w:rsid w:val="009D08DA"/>
    <w:rsid w:val="009D2E54"/>
    <w:rsid w:val="009D36D3"/>
    <w:rsid w:val="009D50EC"/>
    <w:rsid w:val="009D635D"/>
    <w:rsid w:val="009E1731"/>
    <w:rsid w:val="009E1E0D"/>
    <w:rsid w:val="009E3B92"/>
    <w:rsid w:val="009E4A1C"/>
    <w:rsid w:val="009E5899"/>
    <w:rsid w:val="009E6663"/>
    <w:rsid w:val="009E6838"/>
    <w:rsid w:val="009E7047"/>
    <w:rsid w:val="009F45B8"/>
    <w:rsid w:val="00A007AB"/>
    <w:rsid w:val="00A06860"/>
    <w:rsid w:val="00A07F49"/>
    <w:rsid w:val="00A11453"/>
    <w:rsid w:val="00A11EBF"/>
    <w:rsid w:val="00A136F5"/>
    <w:rsid w:val="00A13C68"/>
    <w:rsid w:val="00A22334"/>
    <w:rsid w:val="00A231E2"/>
    <w:rsid w:val="00A2550D"/>
    <w:rsid w:val="00A31D83"/>
    <w:rsid w:val="00A33459"/>
    <w:rsid w:val="00A335DA"/>
    <w:rsid w:val="00A33AEC"/>
    <w:rsid w:val="00A34EFB"/>
    <w:rsid w:val="00A37425"/>
    <w:rsid w:val="00A4140B"/>
    <w:rsid w:val="00A4169B"/>
    <w:rsid w:val="00A43462"/>
    <w:rsid w:val="00A445F2"/>
    <w:rsid w:val="00A50D55"/>
    <w:rsid w:val="00A5165B"/>
    <w:rsid w:val="00A52FDA"/>
    <w:rsid w:val="00A5456C"/>
    <w:rsid w:val="00A56FF3"/>
    <w:rsid w:val="00A60334"/>
    <w:rsid w:val="00A62EFA"/>
    <w:rsid w:val="00A64912"/>
    <w:rsid w:val="00A6595C"/>
    <w:rsid w:val="00A67279"/>
    <w:rsid w:val="00A67A28"/>
    <w:rsid w:val="00A70A74"/>
    <w:rsid w:val="00A72451"/>
    <w:rsid w:val="00A73B6C"/>
    <w:rsid w:val="00A74450"/>
    <w:rsid w:val="00A80CB5"/>
    <w:rsid w:val="00A81557"/>
    <w:rsid w:val="00A87427"/>
    <w:rsid w:val="00A90EA8"/>
    <w:rsid w:val="00A9207E"/>
    <w:rsid w:val="00A93549"/>
    <w:rsid w:val="00A941EC"/>
    <w:rsid w:val="00A94A5C"/>
    <w:rsid w:val="00A96E93"/>
    <w:rsid w:val="00AA0343"/>
    <w:rsid w:val="00AA192F"/>
    <w:rsid w:val="00AA2A5C"/>
    <w:rsid w:val="00AA4234"/>
    <w:rsid w:val="00AA443E"/>
    <w:rsid w:val="00AA5AC7"/>
    <w:rsid w:val="00AA5D9A"/>
    <w:rsid w:val="00AB16F5"/>
    <w:rsid w:val="00AB1B1C"/>
    <w:rsid w:val="00AB4E1A"/>
    <w:rsid w:val="00AB5ABA"/>
    <w:rsid w:val="00AB78E9"/>
    <w:rsid w:val="00AC10A7"/>
    <w:rsid w:val="00AC3DC8"/>
    <w:rsid w:val="00AC42BB"/>
    <w:rsid w:val="00AC6A49"/>
    <w:rsid w:val="00AC6B58"/>
    <w:rsid w:val="00AC73D1"/>
    <w:rsid w:val="00AC78C8"/>
    <w:rsid w:val="00AD0CB1"/>
    <w:rsid w:val="00AD25CF"/>
    <w:rsid w:val="00AD3467"/>
    <w:rsid w:val="00AD4CE1"/>
    <w:rsid w:val="00AD5641"/>
    <w:rsid w:val="00AD7252"/>
    <w:rsid w:val="00AD7AF4"/>
    <w:rsid w:val="00AE01C4"/>
    <w:rsid w:val="00AE0421"/>
    <w:rsid w:val="00AE0F9B"/>
    <w:rsid w:val="00AE253D"/>
    <w:rsid w:val="00AE255F"/>
    <w:rsid w:val="00AE39EA"/>
    <w:rsid w:val="00AE4B5C"/>
    <w:rsid w:val="00AE6D2A"/>
    <w:rsid w:val="00AF0030"/>
    <w:rsid w:val="00AF279E"/>
    <w:rsid w:val="00AF3031"/>
    <w:rsid w:val="00AF3438"/>
    <w:rsid w:val="00AF3C31"/>
    <w:rsid w:val="00AF55FF"/>
    <w:rsid w:val="00AF582A"/>
    <w:rsid w:val="00AF60E4"/>
    <w:rsid w:val="00B01355"/>
    <w:rsid w:val="00B01BFE"/>
    <w:rsid w:val="00B032D8"/>
    <w:rsid w:val="00B10546"/>
    <w:rsid w:val="00B1065A"/>
    <w:rsid w:val="00B10F68"/>
    <w:rsid w:val="00B15CB3"/>
    <w:rsid w:val="00B169CA"/>
    <w:rsid w:val="00B17998"/>
    <w:rsid w:val="00B24571"/>
    <w:rsid w:val="00B31CB4"/>
    <w:rsid w:val="00B32660"/>
    <w:rsid w:val="00B33B3C"/>
    <w:rsid w:val="00B341A0"/>
    <w:rsid w:val="00B3654D"/>
    <w:rsid w:val="00B37262"/>
    <w:rsid w:val="00B374A8"/>
    <w:rsid w:val="00B4029A"/>
    <w:rsid w:val="00B40D74"/>
    <w:rsid w:val="00B41B4D"/>
    <w:rsid w:val="00B42B76"/>
    <w:rsid w:val="00B43EB3"/>
    <w:rsid w:val="00B453D5"/>
    <w:rsid w:val="00B47364"/>
    <w:rsid w:val="00B50E77"/>
    <w:rsid w:val="00B52663"/>
    <w:rsid w:val="00B56DCB"/>
    <w:rsid w:val="00B6003B"/>
    <w:rsid w:val="00B65DB1"/>
    <w:rsid w:val="00B7112F"/>
    <w:rsid w:val="00B72EF0"/>
    <w:rsid w:val="00B7417E"/>
    <w:rsid w:val="00B74E81"/>
    <w:rsid w:val="00B753F5"/>
    <w:rsid w:val="00B76C0D"/>
    <w:rsid w:val="00B770D2"/>
    <w:rsid w:val="00B77A12"/>
    <w:rsid w:val="00B77E64"/>
    <w:rsid w:val="00B81338"/>
    <w:rsid w:val="00B81DCC"/>
    <w:rsid w:val="00B820CF"/>
    <w:rsid w:val="00B830B9"/>
    <w:rsid w:val="00B83364"/>
    <w:rsid w:val="00B8509D"/>
    <w:rsid w:val="00B87180"/>
    <w:rsid w:val="00B94D6E"/>
    <w:rsid w:val="00B94F68"/>
    <w:rsid w:val="00B96FA8"/>
    <w:rsid w:val="00B97CE1"/>
    <w:rsid w:val="00B97E15"/>
    <w:rsid w:val="00BA0745"/>
    <w:rsid w:val="00BA470D"/>
    <w:rsid w:val="00BA47A3"/>
    <w:rsid w:val="00BA5026"/>
    <w:rsid w:val="00BB6E79"/>
    <w:rsid w:val="00BC0428"/>
    <w:rsid w:val="00BC1012"/>
    <w:rsid w:val="00BC264B"/>
    <w:rsid w:val="00BC4297"/>
    <w:rsid w:val="00BC60B2"/>
    <w:rsid w:val="00BD161A"/>
    <w:rsid w:val="00BD3A51"/>
    <w:rsid w:val="00BD6227"/>
    <w:rsid w:val="00BD6681"/>
    <w:rsid w:val="00BD7825"/>
    <w:rsid w:val="00BE02DB"/>
    <w:rsid w:val="00BE2277"/>
    <w:rsid w:val="00BE3B31"/>
    <w:rsid w:val="00BE4523"/>
    <w:rsid w:val="00BE55FC"/>
    <w:rsid w:val="00BE5E38"/>
    <w:rsid w:val="00BE602F"/>
    <w:rsid w:val="00BE6C49"/>
    <w:rsid w:val="00BE719A"/>
    <w:rsid w:val="00BE720A"/>
    <w:rsid w:val="00BF5789"/>
    <w:rsid w:val="00BF6650"/>
    <w:rsid w:val="00BF676A"/>
    <w:rsid w:val="00BF6FB8"/>
    <w:rsid w:val="00C0623B"/>
    <w:rsid w:val="00C067E5"/>
    <w:rsid w:val="00C13C70"/>
    <w:rsid w:val="00C14D62"/>
    <w:rsid w:val="00C161B4"/>
    <w:rsid w:val="00C164CA"/>
    <w:rsid w:val="00C1690D"/>
    <w:rsid w:val="00C22044"/>
    <w:rsid w:val="00C22CBA"/>
    <w:rsid w:val="00C25C2A"/>
    <w:rsid w:val="00C269D1"/>
    <w:rsid w:val="00C31E56"/>
    <w:rsid w:val="00C334B2"/>
    <w:rsid w:val="00C34471"/>
    <w:rsid w:val="00C364AF"/>
    <w:rsid w:val="00C36861"/>
    <w:rsid w:val="00C37064"/>
    <w:rsid w:val="00C3716B"/>
    <w:rsid w:val="00C42BF8"/>
    <w:rsid w:val="00C42E31"/>
    <w:rsid w:val="00C445F7"/>
    <w:rsid w:val="00C45BEB"/>
    <w:rsid w:val="00C45D53"/>
    <w:rsid w:val="00C460AE"/>
    <w:rsid w:val="00C47968"/>
    <w:rsid w:val="00C5000D"/>
    <w:rsid w:val="00C50043"/>
    <w:rsid w:val="00C50A0F"/>
    <w:rsid w:val="00C50E06"/>
    <w:rsid w:val="00C54B4F"/>
    <w:rsid w:val="00C560E4"/>
    <w:rsid w:val="00C56968"/>
    <w:rsid w:val="00C63449"/>
    <w:rsid w:val="00C64670"/>
    <w:rsid w:val="00C665A9"/>
    <w:rsid w:val="00C67255"/>
    <w:rsid w:val="00C676C1"/>
    <w:rsid w:val="00C74222"/>
    <w:rsid w:val="00C7573B"/>
    <w:rsid w:val="00C768FC"/>
    <w:rsid w:val="00C769A3"/>
    <w:rsid w:val="00C76CF3"/>
    <w:rsid w:val="00C76F8D"/>
    <w:rsid w:val="00C80826"/>
    <w:rsid w:val="00C8100C"/>
    <w:rsid w:val="00C8419A"/>
    <w:rsid w:val="00C84371"/>
    <w:rsid w:val="00C84A5C"/>
    <w:rsid w:val="00C855CE"/>
    <w:rsid w:val="00C860C4"/>
    <w:rsid w:val="00C86A47"/>
    <w:rsid w:val="00C93A4D"/>
    <w:rsid w:val="00C941E3"/>
    <w:rsid w:val="00C95665"/>
    <w:rsid w:val="00C974F1"/>
    <w:rsid w:val="00CA2E66"/>
    <w:rsid w:val="00CA3023"/>
    <w:rsid w:val="00CA7844"/>
    <w:rsid w:val="00CB53B6"/>
    <w:rsid w:val="00CB58EF"/>
    <w:rsid w:val="00CB6602"/>
    <w:rsid w:val="00CC08FC"/>
    <w:rsid w:val="00CC5BC7"/>
    <w:rsid w:val="00CC6BDF"/>
    <w:rsid w:val="00CD079B"/>
    <w:rsid w:val="00CD1A65"/>
    <w:rsid w:val="00CD1DA6"/>
    <w:rsid w:val="00CD567D"/>
    <w:rsid w:val="00CD737A"/>
    <w:rsid w:val="00CE3243"/>
    <w:rsid w:val="00CE3635"/>
    <w:rsid w:val="00CE54D3"/>
    <w:rsid w:val="00CE6254"/>
    <w:rsid w:val="00CE7D64"/>
    <w:rsid w:val="00CF0BB2"/>
    <w:rsid w:val="00CF2DBD"/>
    <w:rsid w:val="00CF66F0"/>
    <w:rsid w:val="00CF6EDF"/>
    <w:rsid w:val="00CF71BE"/>
    <w:rsid w:val="00D00235"/>
    <w:rsid w:val="00D02616"/>
    <w:rsid w:val="00D02E3B"/>
    <w:rsid w:val="00D039A5"/>
    <w:rsid w:val="00D04139"/>
    <w:rsid w:val="00D050BC"/>
    <w:rsid w:val="00D071D3"/>
    <w:rsid w:val="00D07D96"/>
    <w:rsid w:val="00D10B02"/>
    <w:rsid w:val="00D10E54"/>
    <w:rsid w:val="00D123EE"/>
    <w:rsid w:val="00D13441"/>
    <w:rsid w:val="00D13509"/>
    <w:rsid w:val="00D13E23"/>
    <w:rsid w:val="00D13EC2"/>
    <w:rsid w:val="00D15B36"/>
    <w:rsid w:val="00D17D91"/>
    <w:rsid w:val="00D20665"/>
    <w:rsid w:val="00D21C38"/>
    <w:rsid w:val="00D243A3"/>
    <w:rsid w:val="00D3200B"/>
    <w:rsid w:val="00D33440"/>
    <w:rsid w:val="00D33919"/>
    <w:rsid w:val="00D33F4F"/>
    <w:rsid w:val="00D3432E"/>
    <w:rsid w:val="00D356ED"/>
    <w:rsid w:val="00D3627A"/>
    <w:rsid w:val="00D40BA9"/>
    <w:rsid w:val="00D40F05"/>
    <w:rsid w:val="00D411F8"/>
    <w:rsid w:val="00D41496"/>
    <w:rsid w:val="00D47C61"/>
    <w:rsid w:val="00D50C7C"/>
    <w:rsid w:val="00D5106C"/>
    <w:rsid w:val="00D52EFE"/>
    <w:rsid w:val="00D53EF3"/>
    <w:rsid w:val="00D54842"/>
    <w:rsid w:val="00D56A0D"/>
    <w:rsid w:val="00D5767F"/>
    <w:rsid w:val="00D616D1"/>
    <w:rsid w:val="00D63EF6"/>
    <w:rsid w:val="00D646EF"/>
    <w:rsid w:val="00D66518"/>
    <w:rsid w:val="00D66897"/>
    <w:rsid w:val="00D70DFB"/>
    <w:rsid w:val="00D71EEA"/>
    <w:rsid w:val="00D735CD"/>
    <w:rsid w:val="00D766DF"/>
    <w:rsid w:val="00D84703"/>
    <w:rsid w:val="00D85889"/>
    <w:rsid w:val="00D85DBF"/>
    <w:rsid w:val="00D865A7"/>
    <w:rsid w:val="00D870C6"/>
    <w:rsid w:val="00D92F7F"/>
    <w:rsid w:val="00D933B4"/>
    <w:rsid w:val="00D940AA"/>
    <w:rsid w:val="00D95300"/>
    <w:rsid w:val="00D955B0"/>
    <w:rsid w:val="00D957B8"/>
    <w:rsid w:val="00D95891"/>
    <w:rsid w:val="00D9669A"/>
    <w:rsid w:val="00DA13DF"/>
    <w:rsid w:val="00DA2FC3"/>
    <w:rsid w:val="00DA562D"/>
    <w:rsid w:val="00DA5CBE"/>
    <w:rsid w:val="00DA6E5B"/>
    <w:rsid w:val="00DB5CB4"/>
    <w:rsid w:val="00DB7248"/>
    <w:rsid w:val="00DC0EFE"/>
    <w:rsid w:val="00DC10DB"/>
    <w:rsid w:val="00DC61C5"/>
    <w:rsid w:val="00DC7A3C"/>
    <w:rsid w:val="00DD0EAD"/>
    <w:rsid w:val="00DD138F"/>
    <w:rsid w:val="00DD4F46"/>
    <w:rsid w:val="00DD599F"/>
    <w:rsid w:val="00DD67EC"/>
    <w:rsid w:val="00DD75C8"/>
    <w:rsid w:val="00DD7D8F"/>
    <w:rsid w:val="00DE149E"/>
    <w:rsid w:val="00DE3E5D"/>
    <w:rsid w:val="00DE7F05"/>
    <w:rsid w:val="00DF0EA4"/>
    <w:rsid w:val="00DF4485"/>
    <w:rsid w:val="00DF5237"/>
    <w:rsid w:val="00DF5414"/>
    <w:rsid w:val="00E00089"/>
    <w:rsid w:val="00E00A76"/>
    <w:rsid w:val="00E032C0"/>
    <w:rsid w:val="00E03E0D"/>
    <w:rsid w:val="00E03E87"/>
    <w:rsid w:val="00E049A7"/>
    <w:rsid w:val="00E04EC3"/>
    <w:rsid w:val="00E0564D"/>
    <w:rsid w:val="00E05704"/>
    <w:rsid w:val="00E10184"/>
    <w:rsid w:val="00E12890"/>
    <w:rsid w:val="00E12F1A"/>
    <w:rsid w:val="00E13052"/>
    <w:rsid w:val="00E15561"/>
    <w:rsid w:val="00E2149B"/>
    <w:rsid w:val="00E21CFB"/>
    <w:rsid w:val="00E22935"/>
    <w:rsid w:val="00E24F58"/>
    <w:rsid w:val="00E26400"/>
    <w:rsid w:val="00E27BD8"/>
    <w:rsid w:val="00E306BB"/>
    <w:rsid w:val="00E30D4E"/>
    <w:rsid w:val="00E35AD7"/>
    <w:rsid w:val="00E35B69"/>
    <w:rsid w:val="00E35BE6"/>
    <w:rsid w:val="00E42393"/>
    <w:rsid w:val="00E46BFA"/>
    <w:rsid w:val="00E471B6"/>
    <w:rsid w:val="00E504D6"/>
    <w:rsid w:val="00E54292"/>
    <w:rsid w:val="00E54F07"/>
    <w:rsid w:val="00E60191"/>
    <w:rsid w:val="00E622CD"/>
    <w:rsid w:val="00E62F77"/>
    <w:rsid w:val="00E640BB"/>
    <w:rsid w:val="00E649ED"/>
    <w:rsid w:val="00E70946"/>
    <w:rsid w:val="00E74D78"/>
    <w:rsid w:val="00E74DC7"/>
    <w:rsid w:val="00E82946"/>
    <w:rsid w:val="00E845CA"/>
    <w:rsid w:val="00E87699"/>
    <w:rsid w:val="00E92A88"/>
    <w:rsid w:val="00E92E27"/>
    <w:rsid w:val="00E945FD"/>
    <w:rsid w:val="00E9586B"/>
    <w:rsid w:val="00E96368"/>
    <w:rsid w:val="00E97334"/>
    <w:rsid w:val="00E97DA3"/>
    <w:rsid w:val="00EA0D36"/>
    <w:rsid w:val="00EA0F25"/>
    <w:rsid w:val="00EA0F7B"/>
    <w:rsid w:val="00EA45CC"/>
    <w:rsid w:val="00EA5774"/>
    <w:rsid w:val="00EB26EE"/>
    <w:rsid w:val="00EB39D3"/>
    <w:rsid w:val="00EB3CC6"/>
    <w:rsid w:val="00EB4A54"/>
    <w:rsid w:val="00EB510E"/>
    <w:rsid w:val="00EB5A77"/>
    <w:rsid w:val="00EC1185"/>
    <w:rsid w:val="00EC7D33"/>
    <w:rsid w:val="00ED0E65"/>
    <w:rsid w:val="00ED4000"/>
    <w:rsid w:val="00ED4928"/>
    <w:rsid w:val="00EE2714"/>
    <w:rsid w:val="00EE3749"/>
    <w:rsid w:val="00EE5478"/>
    <w:rsid w:val="00EE5502"/>
    <w:rsid w:val="00EE6190"/>
    <w:rsid w:val="00EE7B3A"/>
    <w:rsid w:val="00EF2E3A"/>
    <w:rsid w:val="00EF3C1C"/>
    <w:rsid w:val="00EF5C82"/>
    <w:rsid w:val="00EF63B3"/>
    <w:rsid w:val="00EF6402"/>
    <w:rsid w:val="00EF6D85"/>
    <w:rsid w:val="00F025DF"/>
    <w:rsid w:val="00F026AC"/>
    <w:rsid w:val="00F036DF"/>
    <w:rsid w:val="00F047E2"/>
    <w:rsid w:val="00F04C98"/>
    <w:rsid w:val="00F04D57"/>
    <w:rsid w:val="00F078DC"/>
    <w:rsid w:val="00F105E9"/>
    <w:rsid w:val="00F12ED2"/>
    <w:rsid w:val="00F13E86"/>
    <w:rsid w:val="00F15B3A"/>
    <w:rsid w:val="00F16032"/>
    <w:rsid w:val="00F23781"/>
    <w:rsid w:val="00F25175"/>
    <w:rsid w:val="00F2595B"/>
    <w:rsid w:val="00F267B4"/>
    <w:rsid w:val="00F278AD"/>
    <w:rsid w:val="00F32832"/>
    <w:rsid w:val="00F32FCB"/>
    <w:rsid w:val="00F37F5F"/>
    <w:rsid w:val="00F4028A"/>
    <w:rsid w:val="00F437D5"/>
    <w:rsid w:val="00F44EEA"/>
    <w:rsid w:val="00F4644D"/>
    <w:rsid w:val="00F50059"/>
    <w:rsid w:val="00F5248B"/>
    <w:rsid w:val="00F53384"/>
    <w:rsid w:val="00F551C3"/>
    <w:rsid w:val="00F55D7E"/>
    <w:rsid w:val="00F56838"/>
    <w:rsid w:val="00F60B29"/>
    <w:rsid w:val="00F61633"/>
    <w:rsid w:val="00F633EB"/>
    <w:rsid w:val="00F63EDC"/>
    <w:rsid w:val="00F6709F"/>
    <w:rsid w:val="00F677A9"/>
    <w:rsid w:val="00F702DE"/>
    <w:rsid w:val="00F723BD"/>
    <w:rsid w:val="00F732EA"/>
    <w:rsid w:val="00F81EC0"/>
    <w:rsid w:val="00F838CD"/>
    <w:rsid w:val="00F84CF5"/>
    <w:rsid w:val="00F8570C"/>
    <w:rsid w:val="00F8612E"/>
    <w:rsid w:val="00F87D8C"/>
    <w:rsid w:val="00F91E1A"/>
    <w:rsid w:val="00F92E75"/>
    <w:rsid w:val="00F94028"/>
    <w:rsid w:val="00F97753"/>
    <w:rsid w:val="00F97CD6"/>
    <w:rsid w:val="00FA420B"/>
    <w:rsid w:val="00FA4666"/>
    <w:rsid w:val="00FA613D"/>
    <w:rsid w:val="00FA6AEF"/>
    <w:rsid w:val="00FA78F2"/>
    <w:rsid w:val="00FB164B"/>
    <w:rsid w:val="00FB2923"/>
    <w:rsid w:val="00FB525F"/>
    <w:rsid w:val="00FB7577"/>
    <w:rsid w:val="00FB7D1C"/>
    <w:rsid w:val="00FC60BB"/>
    <w:rsid w:val="00FC685E"/>
    <w:rsid w:val="00FC6F30"/>
    <w:rsid w:val="00FC707D"/>
    <w:rsid w:val="00FD0162"/>
    <w:rsid w:val="00FD03F9"/>
    <w:rsid w:val="00FD1EC5"/>
    <w:rsid w:val="00FD5F39"/>
    <w:rsid w:val="00FE0781"/>
    <w:rsid w:val="00FE71FA"/>
    <w:rsid w:val="00FE726B"/>
    <w:rsid w:val="00FE76BE"/>
    <w:rsid w:val="00FE7AF0"/>
    <w:rsid w:val="00FE7CBC"/>
    <w:rsid w:val="00FF1721"/>
    <w:rsid w:val="00FF39DE"/>
    <w:rsid w:val="00FF617B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  <w14:docId w14:val="2835C5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31CB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CB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CB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1CB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1CB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1CB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31CB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31CB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31CB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31CB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31CB4"/>
  </w:style>
  <w:style w:type="paragraph" w:customStyle="1" w:styleId="OPCParaBase">
    <w:name w:val="OPCParaBase"/>
    <w:qFormat/>
    <w:rsid w:val="00B31CB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31CB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31CB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31CB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31CB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31CB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31CB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31CB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31CB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31CB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31CB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31CB4"/>
  </w:style>
  <w:style w:type="paragraph" w:customStyle="1" w:styleId="Blocks">
    <w:name w:val="Blocks"/>
    <w:aliases w:val="bb"/>
    <w:basedOn w:val="OPCParaBase"/>
    <w:qFormat/>
    <w:rsid w:val="00B31CB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31C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31CB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31CB4"/>
    <w:rPr>
      <w:i/>
    </w:rPr>
  </w:style>
  <w:style w:type="paragraph" w:customStyle="1" w:styleId="BoxList">
    <w:name w:val="BoxList"/>
    <w:aliases w:val="bl"/>
    <w:basedOn w:val="BoxText"/>
    <w:qFormat/>
    <w:rsid w:val="00B31CB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31CB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31CB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31CB4"/>
    <w:pPr>
      <w:ind w:left="1985" w:hanging="851"/>
    </w:pPr>
  </w:style>
  <w:style w:type="character" w:customStyle="1" w:styleId="CharAmPartNo">
    <w:name w:val="CharAmPartNo"/>
    <w:basedOn w:val="OPCCharBase"/>
    <w:qFormat/>
    <w:rsid w:val="00B31CB4"/>
  </w:style>
  <w:style w:type="character" w:customStyle="1" w:styleId="CharAmPartText">
    <w:name w:val="CharAmPartText"/>
    <w:basedOn w:val="OPCCharBase"/>
    <w:qFormat/>
    <w:rsid w:val="00B31CB4"/>
  </w:style>
  <w:style w:type="character" w:customStyle="1" w:styleId="CharAmSchNo">
    <w:name w:val="CharAmSchNo"/>
    <w:basedOn w:val="OPCCharBase"/>
    <w:qFormat/>
    <w:rsid w:val="00B31CB4"/>
  </w:style>
  <w:style w:type="character" w:customStyle="1" w:styleId="CharAmSchText">
    <w:name w:val="CharAmSchText"/>
    <w:basedOn w:val="OPCCharBase"/>
    <w:qFormat/>
    <w:rsid w:val="00B31CB4"/>
  </w:style>
  <w:style w:type="character" w:customStyle="1" w:styleId="CharBoldItalic">
    <w:name w:val="CharBoldItalic"/>
    <w:basedOn w:val="OPCCharBase"/>
    <w:uiPriority w:val="1"/>
    <w:qFormat/>
    <w:rsid w:val="00B31CB4"/>
    <w:rPr>
      <w:b/>
      <w:i/>
    </w:rPr>
  </w:style>
  <w:style w:type="character" w:customStyle="1" w:styleId="CharChapNo">
    <w:name w:val="CharChapNo"/>
    <w:basedOn w:val="OPCCharBase"/>
    <w:uiPriority w:val="1"/>
    <w:qFormat/>
    <w:rsid w:val="00B31CB4"/>
  </w:style>
  <w:style w:type="character" w:customStyle="1" w:styleId="CharChapText">
    <w:name w:val="CharChapText"/>
    <w:basedOn w:val="OPCCharBase"/>
    <w:uiPriority w:val="1"/>
    <w:qFormat/>
    <w:rsid w:val="00B31CB4"/>
  </w:style>
  <w:style w:type="character" w:customStyle="1" w:styleId="CharDivNo">
    <w:name w:val="CharDivNo"/>
    <w:basedOn w:val="OPCCharBase"/>
    <w:uiPriority w:val="1"/>
    <w:qFormat/>
    <w:rsid w:val="00B31CB4"/>
  </w:style>
  <w:style w:type="character" w:customStyle="1" w:styleId="CharDivText">
    <w:name w:val="CharDivText"/>
    <w:basedOn w:val="OPCCharBase"/>
    <w:uiPriority w:val="1"/>
    <w:qFormat/>
    <w:rsid w:val="00B31CB4"/>
  </w:style>
  <w:style w:type="character" w:customStyle="1" w:styleId="CharItalic">
    <w:name w:val="CharItalic"/>
    <w:basedOn w:val="OPCCharBase"/>
    <w:uiPriority w:val="1"/>
    <w:qFormat/>
    <w:rsid w:val="00B31CB4"/>
    <w:rPr>
      <w:i/>
    </w:rPr>
  </w:style>
  <w:style w:type="character" w:customStyle="1" w:styleId="CharPartNo">
    <w:name w:val="CharPartNo"/>
    <w:basedOn w:val="OPCCharBase"/>
    <w:uiPriority w:val="1"/>
    <w:qFormat/>
    <w:rsid w:val="00B31CB4"/>
  </w:style>
  <w:style w:type="character" w:customStyle="1" w:styleId="CharPartText">
    <w:name w:val="CharPartText"/>
    <w:basedOn w:val="OPCCharBase"/>
    <w:uiPriority w:val="1"/>
    <w:qFormat/>
    <w:rsid w:val="00B31CB4"/>
  </w:style>
  <w:style w:type="character" w:customStyle="1" w:styleId="CharSectno">
    <w:name w:val="CharSectno"/>
    <w:basedOn w:val="OPCCharBase"/>
    <w:qFormat/>
    <w:rsid w:val="00B31CB4"/>
  </w:style>
  <w:style w:type="character" w:customStyle="1" w:styleId="CharSubdNo">
    <w:name w:val="CharSubdNo"/>
    <w:basedOn w:val="OPCCharBase"/>
    <w:uiPriority w:val="1"/>
    <w:qFormat/>
    <w:rsid w:val="00B31CB4"/>
  </w:style>
  <w:style w:type="character" w:customStyle="1" w:styleId="CharSubdText">
    <w:name w:val="CharSubdText"/>
    <w:basedOn w:val="OPCCharBase"/>
    <w:uiPriority w:val="1"/>
    <w:qFormat/>
    <w:rsid w:val="00B31CB4"/>
  </w:style>
  <w:style w:type="paragraph" w:customStyle="1" w:styleId="CTA--">
    <w:name w:val="CTA --"/>
    <w:basedOn w:val="OPCParaBase"/>
    <w:next w:val="Normal"/>
    <w:rsid w:val="00B31CB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31CB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31CB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31CB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31CB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31CB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31CB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31CB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31CB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31CB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31CB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31CB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1CB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31CB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31CB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31CB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31CB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31CB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31CB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31CB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31CB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31CB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31CB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31CB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31CB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31CB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31CB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31CB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31CB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31CB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31CB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31CB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31CB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31CB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31CB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31CB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31CB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31CB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31CB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31CB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31CB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31CB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31CB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31CB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31CB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31CB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31CB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31CB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31CB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31CB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31CB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31C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31CB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31CB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31CB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31CB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31CB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31CB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31CB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31CB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31CB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31CB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31CB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31CB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31CB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31CB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31CB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31CB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31CB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31CB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31CB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31CB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31CB4"/>
    <w:rPr>
      <w:sz w:val="16"/>
    </w:rPr>
  </w:style>
  <w:style w:type="table" w:customStyle="1" w:styleId="CFlag">
    <w:name w:val="CFlag"/>
    <w:basedOn w:val="TableNormal"/>
    <w:uiPriority w:val="99"/>
    <w:rsid w:val="00B31CB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31C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31C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1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31CB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31CB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31CB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31CB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31CB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31CB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31CB4"/>
    <w:pPr>
      <w:spacing w:before="120"/>
    </w:pPr>
  </w:style>
  <w:style w:type="paragraph" w:customStyle="1" w:styleId="CompiledActNo">
    <w:name w:val="CompiledActNo"/>
    <w:basedOn w:val="OPCParaBase"/>
    <w:next w:val="Normal"/>
    <w:rsid w:val="00B31CB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31CB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1CB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31CB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31CB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31CB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31CB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31CB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31CB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31CB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31CB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31CB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31CB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31CB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31CB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31CB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31CB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31CB4"/>
  </w:style>
  <w:style w:type="character" w:customStyle="1" w:styleId="CharSubPartNoCASA">
    <w:name w:val="CharSubPartNo(CASA)"/>
    <w:basedOn w:val="OPCCharBase"/>
    <w:uiPriority w:val="1"/>
    <w:rsid w:val="00B31CB4"/>
  </w:style>
  <w:style w:type="paragraph" w:customStyle="1" w:styleId="ENoteTTIndentHeadingSub">
    <w:name w:val="ENoteTTIndentHeadingSub"/>
    <w:aliases w:val="enTTHis"/>
    <w:basedOn w:val="OPCParaBase"/>
    <w:rsid w:val="00B31CB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31CB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31CB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31CB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31CB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31CB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31C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31CB4"/>
    <w:rPr>
      <w:sz w:val="22"/>
    </w:rPr>
  </w:style>
  <w:style w:type="paragraph" w:customStyle="1" w:styleId="SOTextNote">
    <w:name w:val="SO TextNote"/>
    <w:aliases w:val="sont"/>
    <w:basedOn w:val="SOText"/>
    <w:qFormat/>
    <w:rsid w:val="00B31CB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31CB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31CB4"/>
    <w:rPr>
      <w:sz w:val="22"/>
    </w:rPr>
  </w:style>
  <w:style w:type="paragraph" w:customStyle="1" w:styleId="FileName">
    <w:name w:val="FileName"/>
    <w:basedOn w:val="Normal"/>
    <w:rsid w:val="00B31CB4"/>
  </w:style>
  <w:style w:type="paragraph" w:customStyle="1" w:styleId="TableHeading">
    <w:name w:val="TableHeading"/>
    <w:aliases w:val="th"/>
    <w:basedOn w:val="OPCParaBase"/>
    <w:next w:val="Tabletext"/>
    <w:rsid w:val="00B31CB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31CB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31CB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31CB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31CB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31CB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31CB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31CB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31CB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31C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31CB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31CB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31CB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31CB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31C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31C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1CB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1CB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31CB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31CB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31CB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31CB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31C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31CB4"/>
  </w:style>
  <w:style w:type="character" w:customStyle="1" w:styleId="charlegsubtitle1">
    <w:name w:val="charlegsubtitle1"/>
    <w:basedOn w:val="DefaultParagraphFont"/>
    <w:rsid w:val="00B31CB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31CB4"/>
    <w:pPr>
      <w:ind w:left="240" w:hanging="240"/>
    </w:pPr>
  </w:style>
  <w:style w:type="paragraph" w:styleId="Index2">
    <w:name w:val="index 2"/>
    <w:basedOn w:val="Normal"/>
    <w:next w:val="Normal"/>
    <w:autoRedefine/>
    <w:rsid w:val="00B31CB4"/>
    <w:pPr>
      <w:ind w:left="480" w:hanging="240"/>
    </w:pPr>
  </w:style>
  <w:style w:type="paragraph" w:styleId="Index3">
    <w:name w:val="index 3"/>
    <w:basedOn w:val="Normal"/>
    <w:next w:val="Normal"/>
    <w:autoRedefine/>
    <w:rsid w:val="00B31CB4"/>
    <w:pPr>
      <w:ind w:left="720" w:hanging="240"/>
    </w:pPr>
  </w:style>
  <w:style w:type="paragraph" w:styleId="Index4">
    <w:name w:val="index 4"/>
    <w:basedOn w:val="Normal"/>
    <w:next w:val="Normal"/>
    <w:autoRedefine/>
    <w:rsid w:val="00B31CB4"/>
    <w:pPr>
      <w:ind w:left="960" w:hanging="240"/>
    </w:pPr>
  </w:style>
  <w:style w:type="paragraph" w:styleId="Index5">
    <w:name w:val="index 5"/>
    <w:basedOn w:val="Normal"/>
    <w:next w:val="Normal"/>
    <w:autoRedefine/>
    <w:rsid w:val="00B31CB4"/>
    <w:pPr>
      <w:ind w:left="1200" w:hanging="240"/>
    </w:pPr>
  </w:style>
  <w:style w:type="paragraph" w:styleId="Index6">
    <w:name w:val="index 6"/>
    <w:basedOn w:val="Normal"/>
    <w:next w:val="Normal"/>
    <w:autoRedefine/>
    <w:rsid w:val="00B31CB4"/>
    <w:pPr>
      <w:ind w:left="1440" w:hanging="240"/>
    </w:pPr>
  </w:style>
  <w:style w:type="paragraph" w:styleId="Index7">
    <w:name w:val="index 7"/>
    <w:basedOn w:val="Normal"/>
    <w:next w:val="Normal"/>
    <w:autoRedefine/>
    <w:rsid w:val="00B31CB4"/>
    <w:pPr>
      <w:ind w:left="1680" w:hanging="240"/>
    </w:pPr>
  </w:style>
  <w:style w:type="paragraph" w:styleId="Index8">
    <w:name w:val="index 8"/>
    <w:basedOn w:val="Normal"/>
    <w:next w:val="Normal"/>
    <w:autoRedefine/>
    <w:rsid w:val="00B31CB4"/>
    <w:pPr>
      <w:ind w:left="1920" w:hanging="240"/>
    </w:pPr>
  </w:style>
  <w:style w:type="paragraph" w:styleId="Index9">
    <w:name w:val="index 9"/>
    <w:basedOn w:val="Normal"/>
    <w:next w:val="Normal"/>
    <w:autoRedefine/>
    <w:rsid w:val="00B31CB4"/>
    <w:pPr>
      <w:ind w:left="2160" w:hanging="240"/>
    </w:pPr>
  </w:style>
  <w:style w:type="paragraph" w:styleId="NormalIndent">
    <w:name w:val="Normal Indent"/>
    <w:basedOn w:val="Normal"/>
    <w:rsid w:val="00B31CB4"/>
    <w:pPr>
      <w:ind w:left="720"/>
    </w:pPr>
  </w:style>
  <w:style w:type="paragraph" w:styleId="FootnoteText">
    <w:name w:val="footnote text"/>
    <w:basedOn w:val="Normal"/>
    <w:link w:val="FootnoteTextChar"/>
    <w:rsid w:val="00B31CB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31CB4"/>
  </w:style>
  <w:style w:type="paragraph" w:styleId="CommentText">
    <w:name w:val="annotation text"/>
    <w:basedOn w:val="Normal"/>
    <w:link w:val="CommentTextChar"/>
    <w:rsid w:val="00B31CB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31CB4"/>
  </w:style>
  <w:style w:type="paragraph" w:styleId="IndexHeading">
    <w:name w:val="index heading"/>
    <w:basedOn w:val="Normal"/>
    <w:next w:val="Index1"/>
    <w:rsid w:val="00B31CB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31CB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31CB4"/>
    <w:pPr>
      <w:ind w:left="480" w:hanging="480"/>
    </w:pPr>
  </w:style>
  <w:style w:type="paragraph" w:styleId="EnvelopeAddress">
    <w:name w:val="envelope address"/>
    <w:basedOn w:val="Normal"/>
    <w:rsid w:val="00B31CB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31CB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31CB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31CB4"/>
    <w:rPr>
      <w:sz w:val="16"/>
      <w:szCs w:val="16"/>
    </w:rPr>
  </w:style>
  <w:style w:type="character" w:styleId="PageNumber">
    <w:name w:val="page number"/>
    <w:basedOn w:val="DefaultParagraphFont"/>
    <w:rsid w:val="00B31CB4"/>
  </w:style>
  <w:style w:type="character" w:styleId="EndnoteReference">
    <w:name w:val="endnote reference"/>
    <w:basedOn w:val="DefaultParagraphFont"/>
    <w:rsid w:val="00B31CB4"/>
    <w:rPr>
      <w:vertAlign w:val="superscript"/>
    </w:rPr>
  </w:style>
  <w:style w:type="paragraph" w:styleId="EndnoteText">
    <w:name w:val="endnote text"/>
    <w:basedOn w:val="Normal"/>
    <w:link w:val="EndnoteTextChar"/>
    <w:rsid w:val="00B31CB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31CB4"/>
  </w:style>
  <w:style w:type="paragraph" w:styleId="TableofAuthorities">
    <w:name w:val="table of authorities"/>
    <w:basedOn w:val="Normal"/>
    <w:next w:val="Normal"/>
    <w:rsid w:val="00B31CB4"/>
    <w:pPr>
      <w:ind w:left="240" w:hanging="240"/>
    </w:pPr>
  </w:style>
  <w:style w:type="paragraph" w:styleId="MacroText">
    <w:name w:val="macro"/>
    <w:link w:val="MacroTextChar"/>
    <w:rsid w:val="00B31C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31CB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31CB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31CB4"/>
    <w:pPr>
      <w:ind w:left="283" w:hanging="283"/>
    </w:pPr>
  </w:style>
  <w:style w:type="paragraph" w:styleId="ListBullet">
    <w:name w:val="List Bullet"/>
    <w:basedOn w:val="Normal"/>
    <w:autoRedefine/>
    <w:rsid w:val="00B31CB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31CB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31CB4"/>
    <w:pPr>
      <w:ind w:left="566" w:hanging="283"/>
    </w:pPr>
  </w:style>
  <w:style w:type="paragraph" w:styleId="List3">
    <w:name w:val="List 3"/>
    <w:basedOn w:val="Normal"/>
    <w:rsid w:val="00B31CB4"/>
    <w:pPr>
      <w:ind w:left="849" w:hanging="283"/>
    </w:pPr>
  </w:style>
  <w:style w:type="paragraph" w:styleId="List4">
    <w:name w:val="List 4"/>
    <w:basedOn w:val="Normal"/>
    <w:rsid w:val="00B31CB4"/>
    <w:pPr>
      <w:ind w:left="1132" w:hanging="283"/>
    </w:pPr>
  </w:style>
  <w:style w:type="paragraph" w:styleId="List5">
    <w:name w:val="List 5"/>
    <w:basedOn w:val="Normal"/>
    <w:rsid w:val="00B31CB4"/>
    <w:pPr>
      <w:ind w:left="1415" w:hanging="283"/>
    </w:pPr>
  </w:style>
  <w:style w:type="paragraph" w:styleId="ListBullet2">
    <w:name w:val="List Bullet 2"/>
    <w:basedOn w:val="Normal"/>
    <w:autoRedefine/>
    <w:rsid w:val="00B31CB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31CB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31CB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31CB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31CB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31CB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31CB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31CB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31CB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31CB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31CB4"/>
    <w:pPr>
      <w:ind w:left="4252"/>
    </w:pPr>
  </w:style>
  <w:style w:type="character" w:customStyle="1" w:styleId="ClosingChar">
    <w:name w:val="Closing Char"/>
    <w:basedOn w:val="DefaultParagraphFont"/>
    <w:link w:val="Closing"/>
    <w:rsid w:val="00B31CB4"/>
    <w:rPr>
      <w:sz w:val="22"/>
    </w:rPr>
  </w:style>
  <w:style w:type="paragraph" w:styleId="Signature">
    <w:name w:val="Signature"/>
    <w:basedOn w:val="Normal"/>
    <w:link w:val="SignatureChar"/>
    <w:rsid w:val="00B31CB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31CB4"/>
    <w:rPr>
      <w:sz w:val="22"/>
    </w:rPr>
  </w:style>
  <w:style w:type="paragraph" w:styleId="BodyText">
    <w:name w:val="Body Text"/>
    <w:basedOn w:val="Normal"/>
    <w:link w:val="BodyTextChar"/>
    <w:rsid w:val="00B31CB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1CB4"/>
    <w:rPr>
      <w:sz w:val="22"/>
    </w:rPr>
  </w:style>
  <w:style w:type="paragraph" w:styleId="BodyTextIndent">
    <w:name w:val="Body Text Indent"/>
    <w:basedOn w:val="Normal"/>
    <w:link w:val="BodyTextIndentChar"/>
    <w:rsid w:val="00B31CB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31CB4"/>
    <w:rPr>
      <w:sz w:val="22"/>
    </w:rPr>
  </w:style>
  <w:style w:type="paragraph" w:styleId="ListContinue">
    <w:name w:val="List Continue"/>
    <w:basedOn w:val="Normal"/>
    <w:rsid w:val="00B31CB4"/>
    <w:pPr>
      <w:spacing w:after="120"/>
      <w:ind w:left="283"/>
    </w:pPr>
  </w:style>
  <w:style w:type="paragraph" w:styleId="ListContinue2">
    <w:name w:val="List Continue 2"/>
    <w:basedOn w:val="Normal"/>
    <w:rsid w:val="00B31CB4"/>
    <w:pPr>
      <w:spacing w:after="120"/>
      <w:ind w:left="566"/>
    </w:pPr>
  </w:style>
  <w:style w:type="paragraph" w:styleId="ListContinue3">
    <w:name w:val="List Continue 3"/>
    <w:basedOn w:val="Normal"/>
    <w:rsid w:val="00B31CB4"/>
    <w:pPr>
      <w:spacing w:after="120"/>
      <w:ind w:left="849"/>
    </w:pPr>
  </w:style>
  <w:style w:type="paragraph" w:styleId="ListContinue4">
    <w:name w:val="List Continue 4"/>
    <w:basedOn w:val="Normal"/>
    <w:rsid w:val="00B31CB4"/>
    <w:pPr>
      <w:spacing w:after="120"/>
      <w:ind w:left="1132"/>
    </w:pPr>
  </w:style>
  <w:style w:type="paragraph" w:styleId="ListContinue5">
    <w:name w:val="List Continue 5"/>
    <w:basedOn w:val="Normal"/>
    <w:rsid w:val="00B31CB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31C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31CB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31CB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31CB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31CB4"/>
  </w:style>
  <w:style w:type="character" w:customStyle="1" w:styleId="SalutationChar">
    <w:name w:val="Salutation Char"/>
    <w:basedOn w:val="DefaultParagraphFont"/>
    <w:link w:val="Salutation"/>
    <w:rsid w:val="00B31CB4"/>
    <w:rPr>
      <w:sz w:val="22"/>
    </w:rPr>
  </w:style>
  <w:style w:type="paragraph" w:styleId="Date">
    <w:name w:val="Date"/>
    <w:basedOn w:val="Normal"/>
    <w:next w:val="Normal"/>
    <w:link w:val="DateChar"/>
    <w:rsid w:val="00B31CB4"/>
  </w:style>
  <w:style w:type="character" w:customStyle="1" w:styleId="DateChar">
    <w:name w:val="Date Char"/>
    <w:basedOn w:val="DefaultParagraphFont"/>
    <w:link w:val="Date"/>
    <w:rsid w:val="00B31CB4"/>
    <w:rPr>
      <w:sz w:val="22"/>
    </w:rPr>
  </w:style>
  <w:style w:type="paragraph" w:styleId="BodyTextFirstIndent">
    <w:name w:val="Body Text First Indent"/>
    <w:basedOn w:val="BodyText"/>
    <w:link w:val="BodyTextFirstIndentChar"/>
    <w:rsid w:val="00B31CB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31CB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31CB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31CB4"/>
    <w:rPr>
      <w:sz w:val="22"/>
    </w:rPr>
  </w:style>
  <w:style w:type="paragraph" w:styleId="BodyText2">
    <w:name w:val="Body Text 2"/>
    <w:basedOn w:val="Normal"/>
    <w:link w:val="BodyText2Char"/>
    <w:rsid w:val="00B31C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1CB4"/>
    <w:rPr>
      <w:sz w:val="22"/>
    </w:rPr>
  </w:style>
  <w:style w:type="paragraph" w:styleId="BodyText3">
    <w:name w:val="Body Text 3"/>
    <w:basedOn w:val="Normal"/>
    <w:link w:val="BodyText3Char"/>
    <w:rsid w:val="00B31C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1CB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31CB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31CB4"/>
    <w:rPr>
      <w:sz w:val="22"/>
    </w:rPr>
  </w:style>
  <w:style w:type="paragraph" w:styleId="BodyTextIndent3">
    <w:name w:val="Body Text Indent 3"/>
    <w:basedOn w:val="Normal"/>
    <w:link w:val="BodyTextIndent3Char"/>
    <w:rsid w:val="00B31CB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1CB4"/>
    <w:rPr>
      <w:sz w:val="16"/>
      <w:szCs w:val="16"/>
    </w:rPr>
  </w:style>
  <w:style w:type="paragraph" w:styleId="BlockText">
    <w:name w:val="Block Text"/>
    <w:basedOn w:val="Normal"/>
    <w:rsid w:val="00B31CB4"/>
    <w:pPr>
      <w:spacing w:after="120"/>
      <w:ind w:left="1440" w:right="1440"/>
    </w:pPr>
  </w:style>
  <w:style w:type="character" w:styleId="Hyperlink">
    <w:name w:val="Hyperlink"/>
    <w:basedOn w:val="DefaultParagraphFont"/>
    <w:rsid w:val="00B31CB4"/>
    <w:rPr>
      <w:color w:val="0000FF"/>
      <w:u w:val="single"/>
    </w:rPr>
  </w:style>
  <w:style w:type="character" w:styleId="FollowedHyperlink">
    <w:name w:val="FollowedHyperlink"/>
    <w:basedOn w:val="DefaultParagraphFont"/>
    <w:rsid w:val="00B31CB4"/>
    <w:rPr>
      <w:color w:val="800080"/>
      <w:u w:val="single"/>
    </w:rPr>
  </w:style>
  <w:style w:type="character" w:styleId="Strong">
    <w:name w:val="Strong"/>
    <w:basedOn w:val="DefaultParagraphFont"/>
    <w:qFormat/>
    <w:rsid w:val="00B31CB4"/>
    <w:rPr>
      <w:b/>
      <w:bCs/>
    </w:rPr>
  </w:style>
  <w:style w:type="character" w:styleId="Emphasis">
    <w:name w:val="Emphasis"/>
    <w:basedOn w:val="DefaultParagraphFont"/>
    <w:qFormat/>
    <w:rsid w:val="00B31CB4"/>
    <w:rPr>
      <w:i/>
      <w:iCs/>
    </w:rPr>
  </w:style>
  <w:style w:type="paragraph" w:styleId="DocumentMap">
    <w:name w:val="Document Map"/>
    <w:basedOn w:val="Normal"/>
    <w:link w:val="DocumentMapChar"/>
    <w:rsid w:val="00B31CB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31CB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31CB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31CB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31CB4"/>
  </w:style>
  <w:style w:type="character" w:customStyle="1" w:styleId="E-mailSignatureChar">
    <w:name w:val="E-mail Signature Char"/>
    <w:basedOn w:val="DefaultParagraphFont"/>
    <w:link w:val="E-mailSignature"/>
    <w:rsid w:val="00B31CB4"/>
    <w:rPr>
      <w:sz w:val="22"/>
    </w:rPr>
  </w:style>
  <w:style w:type="paragraph" w:styleId="NormalWeb">
    <w:name w:val="Normal (Web)"/>
    <w:basedOn w:val="Normal"/>
    <w:rsid w:val="00B31CB4"/>
  </w:style>
  <w:style w:type="character" w:styleId="HTMLAcronym">
    <w:name w:val="HTML Acronym"/>
    <w:basedOn w:val="DefaultParagraphFont"/>
    <w:rsid w:val="00B31CB4"/>
  </w:style>
  <w:style w:type="paragraph" w:styleId="HTMLAddress">
    <w:name w:val="HTML Address"/>
    <w:basedOn w:val="Normal"/>
    <w:link w:val="HTMLAddressChar"/>
    <w:rsid w:val="00B31CB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1CB4"/>
    <w:rPr>
      <w:i/>
      <w:iCs/>
      <w:sz w:val="22"/>
    </w:rPr>
  </w:style>
  <w:style w:type="character" w:styleId="HTMLCite">
    <w:name w:val="HTML Cite"/>
    <w:basedOn w:val="DefaultParagraphFont"/>
    <w:rsid w:val="00B31CB4"/>
    <w:rPr>
      <w:i/>
      <w:iCs/>
    </w:rPr>
  </w:style>
  <w:style w:type="character" w:styleId="HTMLCode">
    <w:name w:val="HTML Code"/>
    <w:basedOn w:val="DefaultParagraphFont"/>
    <w:rsid w:val="00B31CB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31CB4"/>
    <w:rPr>
      <w:i/>
      <w:iCs/>
    </w:rPr>
  </w:style>
  <w:style w:type="character" w:styleId="HTMLKeyboard">
    <w:name w:val="HTML Keyboard"/>
    <w:basedOn w:val="DefaultParagraphFont"/>
    <w:rsid w:val="00B31CB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31CB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31CB4"/>
    <w:rPr>
      <w:rFonts w:ascii="Courier New" w:hAnsi="Courier New" w:cs="Courier New"/>
    </w:rPr>
  </w:style>
  <w:style w:type="character" w:styleId="HTMLSample">
    <w:name w:val="HTML Sample"/>
    <w:basedOn w:val="DefaultParagraphFont"/>
    <w:rsid w:val="00B31CB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31CB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31CB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31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1CB4"/>
    <w:rPr>
      <w:b/>
      <w:bCs/>
    </w:rPr>
  </w:style>
  <w:style w:type="numbering" w:styleId="1ai">
    <w:name w:val="Outline List 1"/>
    <w:basedOn w:val="NoList"/>
    <w:rsid w:val="00B31CB4"/>
    <w:pPr>
      <w:numPr>
        <w:numId w:val="14"/>
      </w:numPr>
    </w:pPr>
  </w:style>
  <w:style w:type="numbering" w:styleId="111111">
    <w:name w:val="Outline List 2"/>
    <w:basedOn w:val="NoList"/>
    <w:rsid w:val="00B31CB4"/>
    <w:pPr>
      <w:numPr>
        <w:numId w:val="15"/>
      </w:numPr>
    </w:pPr>
  </w:style>
  <w:style w:type="numbering" w:styleId="ArticleSection">
    <w:name w:val="Outline List 3"/>
    <w:basedOn w:val="NoList"/>
    <w:rsid w:val="00B31CB4"/>
    <w:pPr>
      <w:numPr>
        <w:numId w:val="17"/>
      </w:numPr>
    </w:pPr>
  </w:style>
  <w:style w:type="table" w:styleId="TableSimple1">
    <w:name w:val="Table Simple 1"/>
    <w:basedOn w:val="TableNormal"/>
    <w:rsid w:val="00B31CB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31CB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31CB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31CB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31CB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31CB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31CB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31CB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31CB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31CB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31CB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31CB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31CB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31CB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31CB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31CB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31CB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31CB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31CB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31CB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31CB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31CB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31CB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31CB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31CB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31CB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31CB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31CB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31CB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31CB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31CB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31CB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31CB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31CB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31CB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31CB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31CB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31CB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31CB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31CB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31CB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31CB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31CB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31CB4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B31CB4"/>
  </w:style>
  <w:style w:type="character" w:styleId="BookTitle">
    <w:name w:val="Book Title"/>
    <w:basedOn w:val="DefaultParagraphFont"/>
    <w:uiPriority w:val="33"/>
    <w:qFormat/>
    <w:rsid w:val="00B31CB4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B31C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31C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31C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31C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31C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31C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31C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31CB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31CB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31CB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31CB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31CB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31CB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31CB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31CB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31CB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31CB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31CB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31CB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31CB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31CB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B31CB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31CB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31CB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31CB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31CB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31CB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31CB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B31CB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31CB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31CB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31CB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31CB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31CB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31CB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31CB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31CB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31CB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31CB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31CB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31CB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31CB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31CB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31CB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31CB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31CB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31CB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31CB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31CB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31CB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31CB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31CB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31CB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31CB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31CB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31CB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31CB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31CB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31CB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31CB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31CB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31CB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31CB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31CB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31CB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31CB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31CB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31CB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31CB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31CB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31CB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31CB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31CB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31CB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31CB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31CB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31CB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B31CB4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B31CB4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CB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CB4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B31CB4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B31CB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31CB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31CB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31CB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31CB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31CB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31CB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31CB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31CB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31CB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31CB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31CB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31CB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31CB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31CB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31CB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31CB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31CB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31CB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31CB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31CB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B31CB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31C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31C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31C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31C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31C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31C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31C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31CB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31CB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31CB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31CB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31CB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31CB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31CB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31CB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31CB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31CB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31CB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31CB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31CB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31CB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31CB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31CB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31CB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31CB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31CB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31CB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31CB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31CB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31CB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31CB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31CB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31CB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31CB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31CB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31CB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31CB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31CB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31CB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31CB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31CB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31CB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31CB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31CB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31CB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31CB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31CB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31CB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31CB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B31CB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31CB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31CB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31CB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31CB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31CB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31CB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31C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31C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31C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31C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31C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31C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31C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31C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31C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31C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31C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31C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31C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31C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31CB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31CB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31CB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31CB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31CB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31CB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31CB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31C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31C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31C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31C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31C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31C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31C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31CB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31CB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31CB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31CB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31CB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31CB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31CB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31C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31C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31C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31C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31C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31C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31C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B31CB4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B31CB4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31CB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31CB4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B31CB4"/>
    <w:rPr>
      <w:color w:val="808080"/>
    </w:rPr>
  </w:style>
  <w:style w:type="table" w:styleId="PlainTable1">
    <w:name w:val="Plain Table 1"/>
    <w:basedOn w:val="TableNormal"/>
    <w:uiPriority w:val="41"/>
    <w:rsid w:val="00B31C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31CB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31CB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31CB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31CB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B31C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CB4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B31CB4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B31CB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31CB4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B31C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1CB4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31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2125</Words>
  <Characters>11372</Characters>
  <Application>Microsoft Office Word</Application>
  <DocSecurity>0</DocSecurity>
  <PresentationFormat/>
  <Lines>192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– Payment Systems Legislation Amendment (2025 Measures No. 1) Regulations 2025</vt:lpstr>
    </vt:vector>
  </TitlesOfParts>
  <Manager/>
  <Company/>
  <LinksUpToDate>false</LinksUpToDate>
  <CharactersWithSpaces>13401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– Payment Systems Legislation Amendment (2025 Measures No. 1) Regulations 2025</dc:title>
  <dc:subject/>
  <dc:creator>The Treasury</dc:creator>
  <cp:keywords/>
  <dc:description/>
  <cp:lastModifiedBy/>
  <cp:revision>1</cp:revision>
  <dcterms:created xsi:type="dcterms:W3CDTF">2025-10-20T01:48:00Z</dcterms:created>
  <dcterms:modified xsi:type="dcterms:W3CDTF">2025-10-20T01:50:00Z</dcterms:modified>
  <cp:category/>
  <cp:contentStatus/>
  <dc:language>English</dc:language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4f932d64-9ab1-4d9b-81d2-a3a8b82dd47d_Enabled">
    <vt:lpwstr>true</vt:lpwstr>
  </property>
  <property fmtid="{D5CDD505-2E9C-101B-9397-08002B2CF9AE}" pid="4" name="MSIP_Label_4f932d64-9ab1-4d9b-81d2-a3a8b82dd47d_SetDate">
    <vt:lpwstr>2025-10-20T01:50:12Z</vt:lpwstr>
  </property>
  <property fmtid="{D5CDD505-2E9C-101B-9397-08002B2CF9AE}" pid="5" name="MSIP_Label_4f932d64-9ab1-4d9b-81d2-a3a8b82dd47d_Method">
    <vt:lpwstr>Privileged</vt:lpwstr>
  </property>
  <property fmtid="{D5CDD505-2E9C-101B-9397-08002B2CF9AE}" pid="6" name="MSIP_Label_4f932d64-9ab1-4d9b-81d2-a3a8b82dd47d_Name">
    <vt:lpwstr>OFFICIAL No Visual Marking</vt:lpwstr>
  </property>
  <property fmtid="{D5CDD505-2E9C-101B-9397-08002B2CF9AE}" pid="7" name="MSIP_Label_4f932d64-9ab1-4d9b-81d2-a3a8b82dd47d_SiteId">
    <vt:lpwstr>214f1646-2021-47cc-8397-e3d3a7ba7d9d</vt:lpwstr>
  </property>
  <property fmtid="{D5CDD505-2E9C-101B-9397-08002B2CF9AE}" pid="8" name="MSIP_Label_4f932d64-9ab1-4d9b-81d2-a3a8b82dd47d_ActionId">
    <vt:lpwstr>a99fe9aa-dd0d-4439-a6b3-319056095c46</vt:lpwstr>
  </property>
  <property fmtid="{D5CDD505-2E9C-101B-9397-08002B2CF9AE}" pid="9" name="MSIP_Label_4f932d64-9ab1-4d9b-81d2-a3a8b82dd47d_ContentBits">
    <vt:lpwstr>0</vt:lpwstr>
  </property>
  <property fmtid="{D5CDD505-2E9C-101B-9397-08002B2CF9AE}" pid="10" name="MSIP_Label_4f932d64-9ab1-4d9b-81d2-a3a8b82dd47d_Tag">
    <vt:lpwstr>10, 0, 1, 1</vt:lpwstr>
  </property>
</Properties>
</file>