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DE9E" w14:textId="7E3BCCC1" w:rsidR="00F109D4" w:rsidRPr="003C5719" w:rsidRDefault="004324F7"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154A31F6" w14:textId="6D142EA7"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DC02E911F8814A5780B5EC488EBE4115"/>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4846D5">
            <w:rPr>
              <w:rStyle w:val="DefaultChar"/>
            </w:rPr>
            <w:t>the Treasurer</w:t>
          </w:r>
        </w:sdtContent>
      </w:sdt>
      <w:r w:rsidR="00076178" w:rsidRPr="003C5719">
        <w:rPr>
          <w:sz w:val="24"/>
          <w:szCs w:val="24"/>
        </w:rPr>
        <w:t xml:space="preserve"> </w:t>
      </w:r>
    </w:p>
    <w:p w14:paraId="1E332C32" w14:textId="77777777" w:rsidR="00CB0FC1" w:rsidRDefault="00CB0FC1" w:rsidP="004A27A8">
      <w:pPr>
        <w:spacing w:before="240" w:after="240"/>
        <w:jc w:val="center"/>
        <w:rPr>
          <w:i/>
        </w:rPr>
      </w:pPr>
      <w:r w:rsidRPr="00CB0FC1">
        <w:rPr>
          <w:i/>
        </w:rPr>
        <w:t>Australian Securities and Investments Commission Act 2001</w:t>
      </w:r>
    </w:p>
    <w:p w14:paraId="02DE460A" w14:textId="7CCB71D6" w:rsidR="008D150B" w:rsidRDefault="008D150B" w:rsidP="00F43380">
      <w:pPr>
        <w:spacing w:before="240" w:after="240"/>
        <w:jc w:val="center"/>
        <w:rPr>
          <w:i/>
        </w:rPr>
      </w:pPr>
      <w:r w:rsidRPr="008D150B">
        <w:rPr>
          <w:i/>
        </w:rPr>
        <w:t>Corporations Act 2001</w:t>
      </w:r>
    </w:p>
    <w:p w14:paraId="2B140EC0" w14:textId="38BF7102" w:rsidR="008D150B" w:rsidRPr="003C5719" w:rsidRDefault="008D150B" w:rsidP="004A27A8">
      <w:pPr>
        <w:spacing w:before="240" w:after="240"/>
        <w:jc w:val="center"/>
        <w:rPr>
          <w:i/>
        </w:rPr>
      </w:pPr>
      <w:r w:rsidRPr="008D150B">
        <w:rPr>
          <w:i/>
        </w:rPr>
        <w:t>Payment Systems (Regulation) Act 1998</w:t>
      </w:r>
    </w:p>
    <w:p w14:paraId="654F29E1" w14:textId="70F2A7FC" w:rsidR="00F109D4" w:rsidRPr="003C5719" w:rsidRDefault="00834F12" w:rsidP="004A27A8">
      <w:pPr>
        <w:tabs>
          <w:tab w:val="left" w:pos="1418"/>
        </w:tabs>
        <w:spacing w:before="0" w:after="240"/>
        <w:jc w:val="center"/>
        <w:rPr>
          <w:i/>
        </w:rPr>
      </w:pPr>
      <w:r w:rsidRPr="00834F12">
        <w:rPr>
          <w:i/>
        </w:rPr>
        <w:t>Payment Systems Legislation Amendment (202</w:t>
      </w:r>
      <w:r w:rsidR="007D4E7A">
        <w:rPr>
          <w:i/>
        </w:rPr>
        <w:t>5</w:t>
      </w:r>
      <w:r w:rsidRPr="00834F12">
        <w:rPr>
          <w:i/>
        </w:rPr>
        <w:t xml:space="preserve"> Measures No. 1) Regulations 202</w:t>
      </w:r>
      <w:r w:rsidR="007D4E7A">
        <w:rPr>
          <w:i/>
        </w:rPr>
        <w:t>5</w:t>
      </w:r>
    </w:p>
    <w:p w14:paraId="29068291" w14:textId="47188941" w:rsidR="00892D3B" w:rsidRDefault="00C55D29" w:rsidP="004A27A8">
      <w:pPr>
        <w:spacing w:before="240"/>
      </w:pPr>
      <w:r w:rsidRPr="003C5719">
        <w:t xml:space="preserve">Section </w:t>
      </w:r>
      <w:r w:rsidR="00910867">
        <w:t>251</w:t>
      </w:r>
      <w:r w:rsidR="005E4BAC" w:rsidRPr="003C5719">
        <w:t xml:space="preserve"> </w:t>
      </w:r>
      <w:r w:rsidR="00F109D4" w:rsidRPr="003C5719">
        <w:t xml:space="preserve">of the </w:t>
      </w:r>
      <w:r w:rsidR="00204F5E" w:rsidRPr="00204F5E">
        <w:rPr>
          <w:i/>
          <w:iCs/>
        </w:rPr>
        <w:t xml:space="preserve">Australian Securities and Investments Commission Act 2001 </w:t>
      </w:r>
      <w:r w:rsidR="00F109D4" w:rsidRPr="003C5719">
        <w:t>(</w:t>
      </w:r>
      <w:r w:rsidR="00910867">
        <w:t xml:space="preserve">ASIC </w:t>
      </w:r>
      <w:r w:rsidR="00F109D4" w:rsidRPr="003C5719">
        <w:t>Act) provides that the Governor</w:t>
      </w:r>
      <w:r w:rsidR="009E27A5">
        <w:noBreakHyphen/>
      </w:r>
      <w:r w:rsidR="00F109D4" w:rsidRPr="003C5719">
        <w:t xml:space="preserve">General may make regulations prescribing matters required or permitted by the </w:t>
      </w:r>
      <w:r w:rsidR="00EF7EB7">
        <w:t xml:space="preserve">ASIC </w:t>
      </w:r>
      <w:r w:rsidR="00F109D4" w:rsidRPr="003C5719">
        <w:t xml:space="preserve">Act to be prescribed, or necessary or convenient to be prescribed for carrying out or giving effect to the </w:t>
      </w:r>
      <w:r w:rsidR="00EF7EB7">
        <w:t xml:space="preserve">ASIC </w:t>
      </w:r>
      <w:r w:rsidR="00F109D4" w:rsidRPr="003C5719">
        <w:t>Act.</w:t>
      </w:r>
    </w:p>
    <w:p w14:paraId="55ECAF5D" w14:textId="6BAA8315" w:rsidR="00B9583D" w:rsidRDefault="00B9583D" w:rsidP="00B9583D">
      <w:pPr>
        <w:spacing w:before="240"/>
      </w:pPr>
      <w:r w:rsidRPr="003C5719">
        <w:t xml:space="preserve">Section </w:t>
      </w:r>
      <w:r w:rsidR="0063196D">
        <w:t>1364</w:t>
      </w:r>
      <w:r w:rsidRPr="003C5719">
        <w:t xml:space="preserve"> of the </w:t>
      </w:r>
      <w:r w:rsidR="00B06E99" w:rsidRPr="00B06E99">
        <w:rPr>
          <w:i/>
          <w:iCs/>
        </w:rPr>
        <w:t>Corporations Act 2001</w:t>
      </w:r>
      <w:r w:rsidRPr="003C5719">
        <w:t xml:space="preserve"> (</w:t>
      </w:r>
      <w:r w:rsidR="00B06E99">
        <w:t xml:space="preserve">Corporations </w:t>
      </w:r>
      <w:r w:rsidRPr="003C5719">
        <w:t>Act) provides that the Governor</w:t>
      </w:r>
      <w:r>
        <w:noBreakHyphen/>
      </w:r>
      <w:r w:rsidRPr="003C5719">
        <w:t xml:space="preserve">General may make regulations prescribing matters required or permitted by the </w:t>
      </w:r>
      <w:r w:rsidR="00EF7EB7">
        <w:t xml:space="preserve">Corporations </w:t>
      </w:r>
      <w:r w:rsidRPr="003C5719">
        <w:t xml:space="preserve">Act to be prescribed, or necessary or convenient to be prescribed for carrying out or giving effect to the </w:t>
      </w:r>
      <w:r w:rsidR="00EF7EB7">
        <w:t xml:space="preserve">Corporations </w:t>
      </w:r>
      <w:r w:rsidRPr="003C5719">
        <w:t>Act.</w:t>
      </w:r>
    </w:p>
    <w:p w14:paraId="7DC55924" w14:textId="28874256" w:rsidR="00B9583D" w:rsidRDefault="00B9583D" w:rsidP="00B9583D">
      <w:pPr>
        <w:spacing w:before="240"/>
      </w:pPr>
      <w:r w:rsidRPr="003C5719">
        <w:t xml:space="preserve">Section </w:t>
      </w:r>
      <w:r w:rsidR="007E0851">
        <w:t>32</w:t>
      </w:r>
      <w:r w:rsidRPr="003C5719">
        <w:t xml:space="preserve"> of the </w:t>
      </w:r>
      <w:r w:rsidR="00B06E99" w:rsidRPr="00B06E99">
        <w:rPr>
          <w:i/>
          <w:iCs/>
        </w:rPr>
        <w:t>Payment Systems (Regulation) Act 1998</w:t>
      </w:r>
      <w:r w:rsidR="00B06E99">
        <w:t xml:space="preserve"> </w:t>
      </w:r>
      <w:r w:rsidRPr="003C5719">
        <w:t>(</w:t>
      </w:r>
      <w:r w:rsidR="00D77F39">
        <w:t>PSRA</w:t>
      </w:r>
      <w:r w:rsidRPr="003C5719">
        <w:t>) provides that the Governor</w:t>
      </w:r>
      <w:r>
        <w:noBreakHyphen/>
      </w:r>
      <w:r w:rsidRPr="003C5719">
        <w:t xml:space="preserve">General may make regulations prescribing matters required or permitted by the </w:t>
      </w:r>
      <w:r w:rsidR="00EF7EB7">
        <w:t>PSRA</w:t>
      </w:r>
      <w:r w:rsidRPr="003C5719">
        <w:t xml:space="preserve"> to be prescribed, or necessary or convenient to be prescribed for carrying out or giving effect to the </w:t>
      </w:r>
      <w:r w:rsidR="00EF7EB7">
        <w:t>PSRA</w:t>
      </w:r>
      <w:r w:rsidRPr="003C5719">
        <w:t>.</w:t>
      </w:r>
    </w:p>
    <w:p w14:paraId="58FBC42E" w14:textId="3B8BB1DA" w:rsidR="007224A8" w:rsidRDefault="00462644" w:rsidP="00AE4584">
      <w:pPr>
        <w:spacing w:before="240"/>
        <w:rPr>
          <w:iCs/>
        </w:rPr>
      </w:pPr>
      <w:r>
        <w:t xml:space="preserve">The </w:t>
      </w:r>
      <w:r w:rsidRPr="00DA5FE2">
        <w:rPr>
          <w:i/>
        </w:rPr>
        <w:t>Payment Systems Legislation Amendment (202</w:t>
      </w:r>
      <w:r w:rsidR="007D4E7A">
        <w:rPr>
          <w:i/>
        </w:rPr>
        <w:t>5</w:t>
      </w:r>
      <w:r w:rsidRPr="00DA5FE2">
        <w:rPr>
          <w:i/>
        </w:rPr>
        <w:t xml:space="preserve"> Measures No. 1) Regulations 202</w:t>
      </w:r>
      <w:r w:rsidR="007D4E7A">
        <w:rPr>
          <w:i/>
        </w:rPr>
        <w:t>5</w:t>
      </w:r>
      <w:r>
        <w:rPr>
          <w:iCs/>
        </w:rPr>
        <w:t xml:space="preserve"> (the Regulations)</w:t>
      </w:r>
      <w:r w:rsidR="007224A8">
        <w:rPr>
          <w:iCs/>
        </w:rPr>
        <w:t xml:space="preserve"> make amendments to the following:</w:t>
      </w:r>
    </w:p>
    <w:p w14:paraId="4B1B1F26" w14:textId="0B5781B5" w:rsidR="00AE4584" w:rsidRDefault="00AE4584" w:rsidP="00AE4584">
      <w:pPr>
        <w:pStyle w:val="Bullet"/>
      </w:pPr>
      <w:r>
        <w:t xml:space="preserve">the </w:t>
      </w:r>
      <w:r w:rsidR="008B5830" w:rsidRPr="00780A08">
        <w:rPr>
          <w:i/>
          <w:iCs/>
        </w:rPr>
        <w:t>Australian Securities and Investments Commission Regulations 2001</w:t>
      </w:r>
      <w:r w:rsidR="008B5830">
        <w:t xml:space="preserve"> (ASIC </w:t>
      </w:r>
      <w:r w:rsidR="00780A08">
        <w:t>R</w:t>
      </w:r>
      <w:r w:rsidR="008B5830">
        <w:t>egulations</w:t>
      </w:r>
      <w:proofErr w:type="gramStart"/>
      <w:r w:rsidR="008B5830">
        <w:t>)</w:t>
      </w:r>
      <w:r w:rsidR="00780A08">
        <w:t>;</w:t>
      </w:r>
      <w:proofErr w:type="gramEnd"/>
    </w:p>
    <w:p w14:paraId="23F8ABC9" w14:textId="0E9B6C0F" w:rsidR="00780A08" w:rsidRDefault="00F65BCF" w:rsidP="00AE4584">
      <w:pPr>
        <w:pStyle w:val="Bullet"/>
      </w:pPr>
      <w:r>
        <w:t xml:space="preserve">the </w:t>
      </w:r>
      <w:r w:rsidRPr="00650CAD">
        <w:rPr>
          <w:i/>
          <w:iCs/>
        </w:rPr>
        <w:t>Corporations Regulations 2001</w:t>
      </w:r>
      <w:r>
        <w:t xml:space="preserve"> (Corporations Regulations);</w:t>
      </w:r>
      <w:r w:rsidR="00F43380">
        <w:t xml:space="preserve"> and</w:t>
      </w:r>
    </w:p>
    <w:p w14:paraId="284DD1DA" w14:textId="6C22FC8F" w:rsidR="00CD3D52" w:rsidRPr="00AE4584" w:rsidRDefault="003D39C8" w:rsidP="00AE4584">
      <w:pPr>
        <w:pStyle w:val="Bullet"/>
      </w:pPr>
      <w:r>
        <w:t xml:space="preserve">the </w:t>
      </w:r>
      <w:r w:rsidRPr="00930CA1">
        <w:rPr>
          <w:i/>
          <w:iCs/>
        </w:rPr>
        <w:t>Payment Systems (Regulation) Regulations 2006</w:t>
      </w:r>
      <w:r>
        <w:t xml:space="preserve"> (</w:t>
      </w:r>
      <w:r w:rsidR="00930CA1">
        <w:t>PSR Regulations).</w:t>
      </w:r>
    </w:p>
    <w:p w14:paraId="595A246F" w14:textId="0AA032ED" w:rsidR="006E3AB4" w:rsidRDefault="004F03F4" w:rsidP="004A27A8">
      <w:pPr>
        <w:spacing w:before="240"/>
      </w:pPr>
      <w:r w:rsidRPr="003C5719">
        <w:t xml:space="preserve">The purpose of the </w:t>
      </w:r>
      <w:r w:rsidR="00462644">
        <w:rPr>
          <w:iCs/>
        </w:rPr>
        <w:t>Regulations</w:t>
      </w:r>
      <w:r w:rsidR="00563C12">
        <w:rPr>
          <w:iCs/>
        </w:rPr>
        <w:t xml:space="preserve"> </w:t>
      </w:r>
      <w:r w:rsidRPr="003C5719">
        <w:t xml:space="preserve">is to </w:t>
      </w:r>
      <w:r w:rsidR="00563C12">
        <w:t xml:space="preserve">support the amendments in </w:t>
      </w:r>
      <w:r w:rsidR="00C54D2E">
        <w:t xml:space="preserve">Schedule </w:t>
      </w:r>
      <w:r w:rsidR="00D33432">
        <w:t>1</w:t>
      </w:r>
      <w:r w:rsidR="00C54D2E">
        <w:t xml:space="preserve"> to </w:t>
      </w:r>
      <w:r w:rsidR="00563C12">
        <w:t xml:space="preserve">the </w:t>
      </w:r>
      <w:r w:rsidR="00AB2DEF" w:rsidRPr="00AB2DEF">
        <w:t>Treasury Laws Amendment (Payments System Modernisation) Bill 2025</w:t>
      </w:r>
      <w:r w:rsidR="009706F1" w:rsidRPr="00992BC2">
        <w:rPr>
          <w:i/>
          <w:iCs/>
        </w:rPr>
        <w:t xml:space="preserve"> </w:t>
      </w:r>
      <w:r w:rsidR="009706F1" w:rsidRPr="00992BC2">
        <w:t xml:space="preserve">(the </w:t>
      </w:r>
      <w:r w:rsidR="009249B1" w:rsidRPr="00992BC2">
        <w:t>Bill</w:t>
      </w:r>
      <w:r w:rsidR="006E037D" w:rsidRPr="00992BC2">
        <w:t>)</w:t>
      </w:r>
      <w:r w:rsidR="001B2E2A" w:rsidRPr="00992BC2">
        <w:t xml:space="preserve">, which </w:t>
      </w:r>
      <w:r w:rsidR="003B10F9">
        <w:t>was passed by both Houses on 4 September 2025</w:t>
      </w:r>
      <w:r w:rsidR="00300B78">
        <w:t>.</w:t>
      </w:r>
    </w:p>
    <w:p w14:paraId="73AAFF84" w14:textId="604E13E9" w:rsidR="000C56D4" w:rsidRDefault="0027125F" w:rsidP="004A27A8">
      <w:pPr>
        <w:spacing w:before="240"/>
      </w:pPr>
      <w:r>
        <w:t xml:space="preserve">Schedule </w:t>
      </w:r>
      <w:r w:rsidR="00BE7517">
        <w:t>1</w:t>
      </w:r>
      <w:r>
        <w:t xml:space="preserve"> to the </w:t>
      </w:r>
      <w:r w:rsidR="00F02102">
        <w:t xml:space="preserve">Bill </w:t>
      </w:r>
      <w:r>
        <w:t>amends the PSRA</w:t>
      </w:r>
      <w:r w:rsidR="007F306F">
        <w:t xml:space="preserve"> to modernise the payments regulatory framework, ensuring it is fit-for-purpose and can address emerging risks related to payments.</w:t>
      </w:r>
    </w:p>
    <w:p w14:paraId="34115C91" w14:textId="6B47F25D" w:rsidR="007D0692" w:rsidRDefault="007F306F" w:rsidP="00A55582">
      <w:pPr>
        <w:spacing w:before="240"/>
      </w:pPr>
      <w:r>
        <w:t xml:space="preserve">In particular, </w:t>
      </w:r>
      <w:r w:rsidR="00B4161A">
        <w:t xml:space="preserve">Schedule </w:t>
      </w:r>
      <w:r w:rsidR="00BE7517">
        <w:t>1</w:t>
      </w:r>
      <w:r w:rsidR="00B4161A">
        <w:t xml:space="preserve"> to the </w:t>
      </w:r>
      <w:r w:rsidR="00A47FA5">
        <w:t xml:space="preserve">Bill </w:t>
      </w:r>
      <w:r w:rsidR="004C074D">
        <w:t xml:space="preserve">provides that the Minister </w:t>
      </w:r>
      <w:r w:rsidR="00AD6BB7">
        <w:t xml:space="preserve">may designate a payment system as a special designated payment system if the Minister considers that doing so is in the national interest. </w:t>
      </w:r>
      <w:r w:rsidR="00567F74">
        <w:t xml:space="preserve">The amendments </w:t>
      </w:r>
      <w:r w:rsidR="00E40CAF">
        <w:t xml:space="preserve">in the Schedule </w:t>
      </w:r>
      <w:r w:rsidR="00567F74">
        <w:t xml:space="preserve">empower the Minister to nominate special regulators in relation to special designated payment systems and to give directions in relation to the special regulator’s performance of functions or exercise of powers under the PSRA. </w:t>
      </w:r>
      <w:r w:rsidR="00AA6012">
        <w:t xml:space="preserve">This </w:t>
      </w:r>
      <w:r w:rsidR="00CD34F0">
        <w:t xml:space="preserve">allows the Minister to direct a </w:t>
      </w:r>
      <w:r w:rsidR="00312C48">
        <w:t xml:space="preserve">special </w:t>
      </w:r>
      <w:r w:rsidR="00CD34F0">
        <w:t>regulator to address payments issues that are beyond the existing remit of the R</w:t>
      </w:r>
      <w:r w:rsidR="0030582C">
        <w:t>eserve Bank of Australia (RBA)</w:t>
      </w:r>
      <w:r w:rsidR="00CD34F0">
        <w:t xml:space="preserve"> under the </w:t>
      </w:r>
      <w:r w:rsidR="00CD34F0">
        <w:lastRenderedPageBreak/>
        <w:t>PSRA.</w:t>
      </w:r>
      <w:r w:rsidR="00A55582">
        <w:t xml:space="preserve"> </w:t>
      </w:r>
      <w:r w:rsidR="007D0692">
        <w:t xml:space="preserve">The Regulations support the amendments in Schedule </w:t>
      </w:r>
      <w:r w:rsidR="00585324">
        <w:t>1</w:t>
      </w:r>
      <w:r w:rsidR="007D0692">
        <w:t xml:space="preserve"> to the </w:t>
      </w:r>
      <w:r w:rsidR="001B04BB">
        <w:t>Bill</w:t>
      </w:r>
      <w:r w:rsidR="00A55582">
        <w:t xml:space="preserve"> by p</w:t>
      </w:r>
      <w:r w:rsidR="00985C9E">
        <w:t xml:space="preserve">rescribing </w:t>
      </w:r>
      <w:r w:rsidR="00B34975">
        <w:t>special regulators</w:t>
      </w:r>
      <w:r w:rsidR="00DA0614">
        <w:t>, heads of special regulators</w:t>
      </w:r>
      <w:r w:rsidR="00A55582">
        <w:t xml:space="preserve"> and</w:t>
      </w:r>
      <w:r w:rsidR="00DA0614">
        <w:t xml:space="preserve"> eligible delegates in relation to special regulators that are nominated special regulators</w:t>
      </w:r>
      <w:r w:rsidR="00EB1DF7">
        <w:t>.</w:t>
      </w:r>
    </w:p>
    <w:p w14:paraId="593FDCF4" w14:textId="49100F31" w:rsidR="00EC1C20" w:rsidRDefault="00EC1C20" w:rsidP="00A55582">
      <w:pPr>
        <w:spacing w:before="240"/>
      </w:pPr>
      <w:r w:rsidRPr="004B3670">
        <w:t xml:space="preserve">Schedule </w:t>
      </w:r>
      <w:r w:rsidR="00BE7517">
        <w:t>1</w:t>
      </w:r>
      <w:r w:rsidRPr="004B3670">
        <w:t xml:space="preserve"> to the </w:t>
      </w:r>
      <w:r w:rsidR="002F1786" w:rsidRPr="004B3670">
        <w:t>Bill</w:t>
      </w:r>
      <w:r w:rsidRPr="004B3670">
        <w:t xml:space="preserve"> also provides</w:t>
      </w:r>
      <w:r>
        <w:t xml:space="preserve"> </w:t>
      </w:r>
      <w:r w:rsidR="003118A2">
        <w:t xml:space="preserve">that </w:t>
      </w:r>
      <w:r w:rsidR="004B1689">
        <w:t xml:space="preserve">the following </w:t>
      </w:r>
      <w:r w:rsidR="003118A2">
        <w:t>persons may use or disclose information or documents obtained under, or for the purposes</w:t>
      </w:r>
      <w:r w:rsidR="008B573F">
        <w:t xml:space="preserve"> </w:t>
      </w:r>
      <w:r w:rsidR="003118A2">
        <w:t>of</w:t>
      </w:r>
      <w:r w:rsidR="008B573F">
        <w:t>,</w:t>
      </w:r>
      <w:r w:rsidR="003118A2">
        <w:t xml:space="preserve"> the PSRA to </w:t>
      </w:r>
      <w:r w:rsidR="008B573F">
        <w:t>either the RBA or another nominated special regulator in relation to a special designated payment system for the purposes of the PSRA</w:t>
      </w:r>
      <w:r w:rsidR="00E3351F">
        <w:t>:</w:t>
      </w:r>
    </w:p>
    <w:p w14:paraId="0337F763" w14:textId="0672F041" w:rsidR="00E3351F" w:rsidRDefault="00E3351F" w:rsidP="00493586">
      <w:pPr>
        <w:pStyle w:val="Bullet"/>
      </w:pPr>
      <w:r>
        <w:t xml:space="preserve">a nominated special </w:t>
      </w:r>
      <w:proofErr w:type="gramStart"/>
      <w:r>
        <w:t>regulator;</w:t>
      </w:r>
      <w:proofErr w:type="gramEnd"/>
    </w:p>
    <w:p w14:paraId="43B37249" w14:textId="7BB23DBF" w:rsidR="00E3351F" w:rsidRDefault="00E3351F" w:rsidP="00493586">
      <w:pPr>
        <w:pStyle w:val="Bullet"/>
      </w:pPr>
      <w:r>
        <w:t xml:space="preserve">the head of such a nominated special </w:t>
      </w:r>
      <w:proofErr w:type="gramStart"/>
      <w:r>
        <w:t>regulator;</w:t>
      </w:r>
      <w:proofErr w:type="gramEnd"/>
    </w:p>
    <w:p w14:paraId="5E0B2F4B" w14:textId="760DAB79" w:rsidR="00E3351F" w:rsidRDefault="00E3351F" w:rsidP="00493586">
      <w:pPr>
        <w:pStyle w:val="Bullet"/>
      </w:pPr>
      <w:r>
        <w:t>a delegate of such a nominated special regulator or of the head of such a nominated special regulator; or</w:t>
      </w:r>
    </w:p>
    <w:p w14:paraId="707FBE30" w14:textId="02098995" w:rsidR="00E3351F" w:rsidRDefault="00E3351F" w:rsidP="00493586">
      <w:pPr>
        <w:pStyle w:val="Bullet"/>
      </w:pPr>
      <w:r>
        <w:t>a person prescribed by the regulations.</w:t>
      </w:r>
    </w:p>
    <w:p w14:paraId="78B97A94" w14:textId="75C39304" w:rsidR="003202AD" w:rsidRDefault="00E3351F" w:rsidP="00A55582">
      <w:pPr>
        <w:spacing w:before="240"/>
      </w:pPr>
      <w:r>
        <w:t xml:space="preserve">The Regulations support the amendments in Schedule </w:t>
      </w:r>
      <w:r w:rsidR="003D6137">
        <w:t>1</w:t>
      </w:r>
      <w:r>
        <w:t xml:space="preserve"> to the </w:t>
      </w:r>
      <w:r w:rsidR="009E4E3C">
        <w:t>Bill</w:t>
      </w:r>
      <w:r>
        <w:t xml:space="preserve"> by </w:t>
      </w:r>
      <w:r w:rsidR="00DA4216">
        <w:t>specifying prescribed persons</w:t>
      </w:r>
      <w:r w:rsidR="00EB0A26">
        <w:t>.</w:t>
      </w:r>
    </w:p>
    <w:p w14:paraId="204605FA" w14:textId="731957C8" w:rsidR="00F85A38" w:rsidRDefault="00590901" w:rsidP="00B92E30">
      <w:pPr>
        <w:spacing w:before="240"/>
      </w:pPr>
      <w:r>
        <w:t xml:space="preserve">Schedule </w:t>
      </w:r>
      <w:r w:rsidR="003D6137">
        <w:t>1</w:t>
      </w:r>
      <w:r>
        <w:t xml:space="preserve"> to the </w:t>
      </w:r>
      <w:r w:rsidR="00A948DE">
        <w:t>Bill</w:t>
      </w:r>
      <w:r>
        <w:t xml:space="preserve"> further provides</w:t>
      </w:r>
      <w:r w:rsidR="00077E4A">
        <w:t xml:space="preserve"> that</w:t>
      </w:r>
      <w:r w:rsidR="00405AD4">
        <w:t xml:space="preserve"> </w:t>
      </w:r>
      <w:r w:rsidR="004B1689">
        <w:t xml:space="preserve">the following </w:t>
      </w:r>
      <w:r w:rsidR="00405AD4">
        <w:t xml:space="preserve">persons are not subject to civil liability in respect of an act or omission if the act or omission </w:t>
      </w:r>
      <w:r w:rsidR="00774D75">
        <w:t>relates t</w:t>
      </w:r>
      <w:r w:rsidR="00405AD4">
        <w:t>o a special designated payment system, and is done in good faith in the performance or exercise (or purported performance or exercise) of a function or power under the PSRA, or for the purposes of assisting another person to perform or exercise a function or power under the PS</w:t>
      </w:r>
      <w:r w:rsidR="00F85A38">
        <w:t>RA:</w:t>
      </w:r>
    </w:p>
    <w:p w14:paraId="149B7402" w14:textId="463A3BE4" w:rsidR="00F85A38" w:rsidRDefault="00F85A38" w:rsidP="00493586">
      <w:pPr>
        <w:pStyle w:val="Bullet"/>
      </w:pPr>
      <w:r>
        <w:t>a nominated special regulator (other than the RBA</w:t>
      </w:r>
      <w:proofErr w:type="gramStart"/>
      <w:r>
        <w:t>);</w:t>
      </w:r>
      <w:proofErr w:type="gramEnd"/>
    </w:p>
    <w:p w14:paraId="1B11C4B2" w14:textId="46FA85E1" w:rsidR="00F85A38" w:rsidRDefault="00F85A38" w:rsidP="00493586">
      <w:pPr>
        <w:pStyle w:val="Bullet"/>
      </w:pPr>
      <w:r>
        <w:t xml:space="preserve">the head of such a nominated special </w:t>
      </w:r>
      <w:proofErr w:type="gramStart"/>
      <w:r>
        <w:t>regulator;</w:t>
      </w:r>
      <w:proofErr w:type="gramEnd"/>
    </w:p>
    <w:p w14:paraId="5168378E" w14:textId="3E07F51D" w:rsidR="00F85A38" w:rsidRDefault="00F85A38" w:rsidP="00493586">
      <w:pPr>
        <w:pStyle w:val="Bullet"/>
      </w:pPr>
      <w:r>
        <w:t>a delegate of such a nominated special regulator, or the head of such a nominated special regulator; or</w:t>
      </w:r>
    </w:p>
    <w:p w14:paraId="5BDB6793" w14:textId="2AFE0B39" w:rsidR="00F85A38" w:rsidRDefault="00F85A38" w:rsidP="00493586">
      <w:pPr>
        <w:pStyle w:val="Bullet"/>
      </w:pPr>
      <w:r>
        <w:t>a person prescribed by regulations in relation to such a nominated special regulator.</w:t>
      </w:r>
    </w:p>
    <w:p w14:paraId="632607A6" w14:textId="7B7F4979" w:rsidR="00B92E30" w:rsidRDefault="00B92E30" w:rsidP="00B92E30">
      <w:pPr>
        <w:spacing w:before="240"/>
      </w:pPr>
      <w:r>
        <w:t xml:space="preserve">The Regulations support the amendments in Schedule </w:t>
      </w:r>
      <w:r w:rsidR="003D6137">
        <w:t>1</w:t>
      </w:r>
      <w:r>
        <w:t xml:space="preserve"> to the </w:t>
      </w:r>
      <w:r w:rsidR="00FB14EC">
        <w:t xml:space="preserve">Bill </w:t>
      </w:r>
      <w:r>
        <w:t>by specifying prescribed person</w:t>
      </w:r>
      <w:r w:rsidR="007C7C35">
        <w:t>s.</w:t>
      </w:r>
    </w:p>
    <w:p w14:paraId="2AF0BE24" w14:textId="4452BC4B" w:rsidR="00E9163F" w:rsidRPr="00C56F2E" w:rsidRDefault="00E9163F" w:rsidP="00E9163F">
      <w:pPr>
        <w:pStyle w:val="Bullet"/>
        <w:numPr>
          <w:ilvl w:val="0"/>
          <w:numId w:val="0"/>
        </w:numPr>
        <w:rPr>
          <w:color w:val="FF0000"/>
        </w:rPr>
      </w:pPr>
      <w:r>
        <w:t xml:space="preserve">The </w:t>
      </w:r>
      <w:r w:rsidR="00A20321">
        <w:t>empowering Acts</w:t>
      </w:r>
      <w:r>
        <w:t xml:space="preserve"> do </w:t>
      </w:r>
      <w:r w:rsidR="00010BDF">
        <w:t xml:space="preserve">not </w:t>
      </w:r>
      <w:r>
        <w:t xml:space="preserve">specify </w:t>
      </w:r>
      <w:r w:rsidR="00010BDF">
        <w:t xml:space="preserve">any </w:t>
      </w:r>
      <w:r>
        <w:t>conditions that need to be satisfied before the power to make the Regulations may be exercised.</w:t>
      </w:r>
      <w:r w:rsidR="003354BE">
        <w:t xml:space="preserve"> </w:t>
      </w:r>
      <w:r w:rsidR="003354BE" w:rsidRPr="003354BE">
        <w:t xml:space="preserve">Section 4 of the </w:t>
      </w:r>
      <w:r w:rsidR="003354BE" w:rsidRPr="003354BE">
        <w:rPr>
          <w:i/>
          <w:iCs/>
        </w:rPr>
        <w:t xml:space="preserve">Acts Interpretation Act 1901 </w:t>
      </w:r>
      <w:r w:rsidR="003354BE" w:rsidRPr="003354BE">
        <w:t xml:space="preserve">enables regulations to be made in anticipation of the commencement of the relevant authorising provisions in </w:t>
      </w:r>
      <w:r w:rsidR="003354BE">
        <w:t xml:space="preserve">Schedule </w:t>
      </w:r>
      <w:r w:rsidR="003D6137">
        <w:t>1</w:t>
      </w:r>
      <w:r w:rsidR="003354BE">
        <w:t xml:space="preserve"> to the </w:t>
      </w:r>
      <w:r w:rsidR="00F353B1">
        <w:t>Bill</w:t>
      </w:r>
      <w:r w:rsidR="003354BE" w:rsidRPr="003354BE">
        <w:t>.</w:t>
      </w:r>
    </w:p>
    <w:p w14:paraId="1C885880" w14:textId="0AD7F083" w:rsidR="00180048" w:rsidRDefault="00360CE5" w:rsidP="00613B16">
      <w:pPr>
        <w:spacing w:before="240"/>
      </w:pPr>
      <w:r w:rsidRPr="00360CE5">
        <w:t xml:space="preserve">The Regulations are a legislative instrument for the purposes of the </w:t>
      </w:r>
      <w:r w:rsidR="00180048" w:rsidRPr="006F522B">
        <w:rPr>
          <w:i/>
          <w:iCs/>
        </w:rPr>
        <w:t>Legislation Act</w:t>
      </w:r>
      <w:r w:rsidR="000C22B8" w:rsidRPr="006F522B">
        <w:rPr>
          <w:i/>
          <w:iCs/>
        </w:rPr>
        <w:t xml:space="preserve"> 2003</w:t>
      </w:r>
      <w:r w:rsidR="000C22B8">
        <w:t xml:space="preserve"> (Legislation Act)</w:t>
      </w:r>
      <w:r w:rsidR="00180048">
        <w:t xml:space="preserve">. </w:t>
      </w:r>
      <w:r w:rsidR="00180048" w:rsidRPr="00180048">
        <w:t>The Regulations are subject to disallowance under section 42 of the Legislation Act and will be repealed automatically by section 48A of that Act.</w:t>
      </w:r>
    </w:p>
    <w:p w14:paraId="63723AB8" w14:textId="07094EC8" w:rsidR="0065394D" w:rsidRDefault="0065394D" w:rsidP="006D3F9A">
      <w:pPr>
        <w:spacing w:before="240"/>
      </w:pPr>
      <w:r w:rsidRPr="0065394D">
        <w:t xml:space="preserve">The </w:t>
      </w:r>
      <w:r w:rsidR="006769A1">
        <w:t>PSR Regulations</w:t>
      </w:r>
      <w:r w:rsidR="006769A1" w:rsidRPr="0065394D">
        <w:t xml:space="preserve"> </w:t>
      </w:r>
      <w:r w:rsidRPr="0065394D">
        <w:t xml:space="preserve">are not subject to sunsetting in </w:t>
      </w:r>
      <w:r w:rsidRPr="00DA14A7">
        <w:t xml:space="preserve">accordance with table item </w:t>
      </w:r>
      <w:r w:rsidR="00B659D9" w:rsidRPr="00DA14A7">
        <w:t>5</w:t>
      </w:r>
      <w:r w:rsidR="003755F8" w:rsidRPr="00DA14A7">
        <w:t>0</w:t>
      </w:r>
      <w:r w:rsidRPr="00DA14A7">
        <w:t xml:space="preserve"> in section 12 of the</w:t>
      </w:r>
      <w:r w:rsidR="006769A1" w:rsidRPr="00DA14A7">
        <w:t xml:space="preserve"> </w:t>
      </w:r>
      <w:r w:rsidR="00743E32" w:rsidRPr="00CD3D52">
        <w:rPr>
          <w:i/>
          <w:iCs/>
        </w:rPr>
        <w:t>Legislation (Exemptions and Other Matters) Regulation 2015</w:t>
      </w:r>
      <w:r w:rsidR="00743E32">
        <w:t xml:space="preserve"> (LEOMR)</w:t>
      </w:r>
      <w:r w:rsidR="006769A1" w:rsidRPr="00DA14A7">
        <w:t>.</w:t>
      </w:r>
      <w:r w:rsidRPr="00DA14A7">
        <w:t xml:space="preserve"> </w:t>
      </w:r>
      <w:r w:rsidRPr="00DA14A7">
        <w:lastRenderedPageBreak/>
        <w:t>They were exempted from sunsetting by the</w:t>
      </w:r>
      <w:r w:rsidR="00844BE0" w:rsidRPr="00DA14A7">
        <w:t xml:space="preserve"> LEOMR</w:t>
      </w:r>
      <w:r w:rsidRPr="00DA14A7">
        <w:t>, because</w:t>
      </w:r>
      <w:r w:rsidRPr="006D3F9A">
        <w:t xml:space="preserve"> </w:t>
      </w:r>
      <w:r w:rsidR="007171C4" w:rsidRPr="006D3F9A">
        <w:t xml:space="preserve">the sunsetting of </w:t>
      </w:r>
      <w:r w:rsidR="006D3F9A" w:rsidRPr="006D3F9A">
        <w:t xml:space="preserve">a regulation made under the PSRA would undermine commercial certainty. </w:t>
      </w:r>
    </w:p>
    <w:p w14:paraId="3B3BFE47" w14:textId="56A12351" w:rsidR="001F462A" w:rsidRDefault="00E45759" w:rsidP="001F462A">
      <w:pPr>
        <w:spacing w:before="240"/>
      </w:pPr>
      <w:r w:rsidRPr="0065394D">
        <w:t xml:space="preserve">The </w:t>
      </w:r>
      <w:r w:rsidR="00394605">
        <w:t>ASIC Regulations</w:t>
      </w:r>
      <w:r w:rsidR="00394605" w:rsidRPr="0065394D">
        <w:t xml:space="preserve"> </w:t>
      </w:r>
      <w:r w:rsidRPr="0065394D">
        <w:t xml:space="preserve">are not subject to sunsetting in accordance with </w:t>
      </w:r>
      <w:r w:rsidRPr="00B828DE">
        <w:t>table item</w:t>
      </w:r>
      <w:r w:rsidR="00944941" w:rsidRPr="00B828DE">
        <w:t xml:space="preserve"> 9B</w:t>
      </w:r>
      <w:r w:rsidRPr="00B828DE">
        <w:t xml:space="preserve"> in</w:t>
      </w:r>
      <w:r w:rsidRPr="0065394D">
        <w:t xml:space="preserve"> section 12 of the </w:t>
      </w:r>
      <w:r w:rsidR="00B22D68">
        <w:t>LEOMR</w:t>
      </w:r>
      <w:r w:rsidRPr="00BB363F">
        <w:t xml:space="preserve">. They were exempted from sunsetting by the </w:t>
      </w:r>
      <w:r w:rsidRPr="00BB363F">
        <w:rPr>
          <w:i/>
          <w:iCs/>
        </w:rPr>
        <w:t>Legislation (Exemptions and Other Matters) Amendment (Sunsetting Exemptions) Regulations 2017</w:t>
      </w:r>
      <w:r w:rsidRPr="00BB363F">
        <w:t xml:space="preserve">, because </w:t>
      </w:r>
      <w:r w:rsidR="001F462A">
        <w:t xml:space="preserve">regulations made under ASIC Act are integral to the </w:t>
      </w:r>
      <w:r w:rsidR="00DA14A7" w:rsidRPr="00DA14A7">
        <w:t>Corporations Agreement 2002 (the Corporations Agreement)</w:t>
      </w:r>
      <w:r w:rsidR="001F462A" w:rsidRPr="00DA14A7">
        <w:t>.</w:t>
      </w:r>
      <w:r w:rsidR="001F462A">
        <w:t xml:space="preserve"> These Regulations cannot be used for any other purpose other than to support the legislative framework underpinning ASIC as the relevant regulator under the Corporations Agreement. Under the terms of the Corporations Agreement, the law giving effect to the Corporations Agreement cannot be amended without agreement from or notifying the Legislative and Governance Forum on Corporations. The </w:t>
      </w:r>
      <w:r w:rsidR="00C57504">
        <w:t>ASIC Act</w:t>
      </w:r>
      <w:r w:rsidR="001F462A">
        <w:t xml:space="preserve"> and regulations made under that Act are also integral to the intergovernmental schemes on business names registration and national consumer credit law which refer the supervision of those intergovernmental schemes to ASIC.</w:t>
      </w:r>
      <w:r w:rsidR="00E028F8">
        <w:t xml:space="preserve"> </w:t>
      </w:r>
      <w:r w:rsidR="001F462A">
        <w:t xml:space="preserve">Accordingly, it is appropriate to exempt regulations made under the </w:t>
      </w:r>
      <w:r w:rsidR="00E028F8">
        <w:t>ASIC</w:t>
      </w:r>
      <w:r w:rsidR="001F462A">
        <w:t xml:space="preserve"> Act from sunsetting on the basis that they are part of intergovernmental schemes.</w:t>
      </w:r>
      <w:r w:rsidR="001F462A" w:rsidRPr="0065394D">
        <w:t xml:space="preserve"> </w:t>
      </w:r>
    </w:p>
    <w:p w14:paraId="2B7EA0BD" w14:textId="7ED4ADBE" w:rsidR="00AE0BF5" w:rsidRDefault="00E45759" w:rsidP="001F462A">
      <w:pPr>
        <w:spacing w:before="240"/>
      </w:pPr>
      <w:r w:rsidRPr="0065394D">
        <w:t xml:space="preserve">The </w:t>
      </w:r>
      <w:r w:rsidR="00EF6498" w:rsidRPr="00B828DE">
        <w:t xml:space="preserve">Corporations Regulations </w:t>
      </w:r>
      <w:r w:rsidRPr="00B828DE">
        <w:t xml:space="preserve">are not subject to sunsetting in accordance with table item </w:t>
      </w:r>
      <w:r w:rsidR="00B828DE" w:rsidRPr="00B828DE">
        <w:t>18</w:t>
      </w:r>
      <w:r w:rsidRPr="00B828DE">
        <w:t xml:space="preserve"> in section 12 of </w:t>
      </w:r>
      <w:r w:rsidR="00D62D91" w:rsidRPr="00B828DE">
        <w:t>the LEOMR</w:t>
      </w:r>
      <w:r w:rsidRPr="00B828DE">
        <w:t xml:space="preserve">. </w:t>
      </w:r>
      <w:r w:rsidR="00AE0BF5" w:rsidRPr="00B828DE">
        <w:t xml:space="preserve">They were exempted from sunsetting by the </w:t>
      </w:r>
      <w:r w:rsidR="00AE0BF5" w:rsidRPr="00B828DE">
        <w:rPr>
          <w:i/>
          <w:iCs/>
        </w:rPr>
        <w:t>Legislation (Exemptions</w:t>
      </w:r>
      <w:r w:rsidR="00AE0BF5" w:rsidRPr="00BB363F">
        <w:rPr>
          <w:i/>
          <w:iCs/>
        </w:rPr>
        <w:t xml:space="preserve"> and Other Matters) Amendment (Sunsetting Exemptions) Regulations 2017</w:t>
      </w:r>
      <w:r w:rsidR="00AE0BF5" w:rsidRPr="00BB363F">
        <w:t xml:space="preserve">, because they </w:t>
      </w:r>
      <w:r w:rsidR="00AE0BF5" w:rsidRPr="006B6AF6">
        <w:t>are integral to the Corporations Agreement, an intergovernmental scheme</w:t>
      </w:r>
      <w:r w:rsidR="00AE0BF5" w:rsidRPr="00BB363F">
        <w:t xml:space="preserve"> between the Commonwealth, States and Territories. They are reliant on a referral of power from the States. Ordinarily, amendments to the Corporations Regulations must be approved by the Legislative and Governance Forum for Corporations. The sunsetting of the Corporations Regulations would bypass this requirement, contrary to the Commonwealth’s obligations under the Corporations Agreement</w:t>
      </w:r>
      <w:r w:rsidR="00AE0BF5">
        <w:t>.</w:t>
      </w:r>
      <w:r w:rsidR="00E028F8">
        <w:t xml:space="preserve"> </w:t>
      </w:r>
      <w:r w:rsidR="00B05A1C" w:rsidRPr="00B05A1C">
        <w:t xml:space="preserve">The Corporations Regulations are also integral to long-term decision making by the relevant stakeholders. Subjecting the regulations to the sunsetting regime would create significant commercial uncertainty and impose a heavy regulatory burden on stakeholders. </w:t>
      </w:r>
      <w:r w:rsidR="00E028F8" w:rsidRPr="00E028F8">
        <w:t>Accordingly, it is appropriate to exempt the Corporations Regulations from sunsetting.</w:t>
      </w:r>
    </w:p>
    <w:p w14:paraId="63402D56" w14:textId="1BEA624C" w:rsidR="002C226C" w:rsidRPr="003C5719" w:rsidRDefault="002C226C" w:rsidP="004A27A8">
      <w:pPr>
        <w:spacing w:before="240"/>
      </w:pPr>
      <w:r w:rsidRPr="003C5719">
        <w:t xml:space="preserve">The Regulations are a legislative instrument for the purposes of the </w:t>
      </w:r>
      <w:r w:rsidRPr="006F522B">
        <w:t>Legislation Act</w:t>
      </w:r>
      <w:r w:rsidRPr="003C5719">
        <w:t>.</w:t>
      </w:r>
    </w:p>
    <w:p w14:paraId="301826DE" w14:textId="50C81FE8" w:rsidR="0000628C" w:rsidRDefault="00F109D4" w:rsidP="004A27A8">
      <w:pPr>
        <w:spacing w:before="240"/>
      </w:pPr>
      <w:r w:rsidRPr="003C5719">
        <w:t xml:space="preserve">The Regulations commence </w:t>
      </w:r>
      <w:r w:rsidR="00BD4585">
        <w:t>at the same time as th</w:t>
      </w:r>
      <w:r w:rsidR="00724650">
        <w:t xml:space="preserve">e </w:t>
      </w:r>
      <w:r w:rsidR="00AB3E0D">
        <w:t>Bill</w:t>
      </w:r>
      <w:r w:rsidR="008F0C50" w:rsidRPr="003C5719">
        <w:t>.</w:t>
      </w:r>
      <w:r w:rsidR="0047265F" w:rsidRPr="003C5719">
        <w:t xml:space="preserve"> </w:t>
      </w:r>
    </w:p>
    <w:p w14:paraId="41530BDF" w14:textId="182E05E4" w:rsidR="0011527C" w:rsidRPr="003C5719" w:rsidRDefault="0011527C" w:rsidP="004A27A8">
      <w:pPr>
        <w:spacing w:before="240"/>
      </w:pPr>
      <w:r w:rsidRPr="003C5719">
        <w:t xml:space="preserve">Details of the Regulations are set out in </w:t>
      </w:r>
      <w:r w:rsidRPr="003C5719">
        <w:rPr>
          <w:u w:val="single"/>
        </w:rPr>
        <w:t xml:space="preserve">Attachment </w:t>
      </w:r>
      <w:r w:rsidR="00AB2528">
        <w:rPr>
          <w:u w:val="single"/>
        </w:rPr>
        <w:t>A</w:t>
      </w:r>
      <w:r w:rsidRPr="003C5719">
        <w:t xml:space="preserve">. </w:t>
      </w:r>
    </w:p>
    <w:p w14:paraId="4FF1C6E7" w14:textId="77777777" w:rsidR="00EB2AEF" w:rsidRPr="003C5719" w:rsidRDefault="00EB2AEF" w:rsidP="004A27A8">
      <w:pPr>
        <w:spacing w:before="240"/>
      </w:pPr>
    </w:p>
    <w:p w14:paraId="09687259" w14:textId="7256F064" w:rsidR="00EA4DD8" w:rsidRPr="003C5719" w:rsidRDefault="00EA4DD8" w:rsidP="004A27A8">
      <w:pPr>
        <w:pageBreakBefore/>
        <w:spacing w:before="240"/>
        <w:jc w:val="right"/>
        <w:rPr>
          <w:b/>
          <w:u w:val="single"/>
        </w:rPr>
      </w:pPr>
      <w:r w:rsidRPr="003C5719">
        <w:rPr>
          <w:b/>
          <w:u w:val="single"/>
        </w:rPr>
        <w:lastRenderedPageBreak/>
        <w:t xml:space="preserve">ATTACHMENT </w:t>
      </w:r>
      <w:r w:rsidR="004D57C4">
        <w:rPr>
          <w:b/>
          <w:u w:val="single"/>
        </w:rPr>
        <w:t>A</w:t>
      </w:r>
    </w:p>
    <w:p w14:paraId="06F77F6D" w14:textId="05D9655D" w:rsidR="00EA4DD8" w:rsidRPr="003C5719" w:rsidRDefault="00EA4DD8" w:rsidP="004A27A8">
      <w:pPr>
        <w:spacing w:before="240"/>
        <w:rPr>
          <w:b/>
          <w:bCs/>
          <w:szCs w:val="24"/>
          <w:u w:val="single"/>
        </w:rPr>
      </w:pPr>
      <w:r w:rsidRPr="003C5719">
        <w:rPr>
          <w:b/>
          <w:bCs/>
          <w:u w:val="single"/>
        </w:rPr>
        <w:t xml:space="preserve">Details of the </w:t>
      </w:r>
      <w:r w:rsidR="00276AC3" w:rsidRPr="00276AC3">
        <w:rPr>
          <w:b/>
          <w:i/>
          <w:u w:val="single"/>
        </w:rPr>
        <w:t>Payment Systems Legislation Amendment (202</w:t>
      </w:r>
      <w:r w:rsidR="007D4E7A">
        <w:rPr>
          <w:b/>
          <w:i/>
          <w:u w:val="single"/>
        </w:rPr>
        <w:t>5</w:t>
      </w:r>
      <w:r w:rsidR="00276AC3" w:rsidRPr="00276AC3">
        <w:rPr>
          <w:b/>
          <w:i/>
          <w:u w:val="single"/>
        </w:rPr>
        <w:t xml:space="preserve"> Measures No. 1) Regulations 202</w:t>
      </w:r>
      <w:r w:rsidR="007D4E7A">
        <w:rPr>
          <w:b/>
          <w:i/>
          <w:u w:val="single"/>
        </w:rPr>
        <w:t>5</w:t>
      </w:r>
      <w:r w:rsidRPr="003C5719">
        <w:rPr>
          <w:b/>
          <w:bCs/>
          <w:u w:val="single"/>
        </w:rPr>
        <w:t xml:space="preserve"> </w:t>
      </w:r>
    </w:p>
    <w:p w14:paraId="5FE029D3"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5B16A74" w14:textId="3BDBB7DC"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9B2DD6" w:rsidRPr="009B2DD6">
        <w:rPr>
          <w:i/>
          <w:iCs/>
        </w:rPr>
        <w:t>Payment Systems Legislation Amendment (202</w:t>
      </w:r>
      <w:r w:rsidR="007D4E7A">
        <w:rPr>
          <w:i/>
          <w:iCs/>
        </w:rPr>
        <w:t>5</w:t>
      </w:r>
      <w:r w:rsidR="009B2DD6" w:rsidRPr="009B2DD6">
        <w:rPr>
          <w:i/>
          <w:iCs/>
        </w:rPr>
        <w:t xml:space="preserve"> Measures No. 1) Regulations 202</w:t>
      </w:r>
      <w:r w:rsidR="007D4E7A">
        <w:rPr>
          <w:i/>
          <w:iCs/>
        </w:rPr>
        <w:t>5</w:t>
      </w:r>
      <w:r w:rsidRPr="009B2DD6">
        <w:rPr>
          <w:i/>
          <w:iCs/>
        </w:rPr>
        <w:t xml:space="preserve"> </w:t>
      </w:r>
      <w:r w:rsidRPr="003C5719">
        <w:t>(the Regulations).</w:t>
      </w:r>
    </w:p>
    <w:p w14:paraId="724DC612" w14:textId="77777777" w:rsidR="00EA4DD8" w:rsidRPr="003C5719" w:rsidRDefault="00EA4DD8" w:rsidP="004A27A8">
      <w:pPr>
        <w:spacing w:before="240"/>
        <w:rPr>
          <w:u w:val="single"/>
        </w:rPr>
      </w:pPr>
      <w:r w:rsidRPr="003C5719">
        <w:rPr>
          <w:u w:val="single"/>
        </w:rPr>
        <w:t>Section 2 – Commencement</w:t>
      </w:r>
    </w:p>
    <w:p w14:paraId="2CB489E4" w14:textId="684DC175" w:rsidR="00EA4DD8" w:rsidRPr="003C5719" w:rsidRDefault="00ED4BF7" w:rsidP="004A27A8">
      <w:pPr>
        <w:spacing w:before="240"/>
      </w:pPr>
      <w:r>
        <w:t>T</w:t>
      </w:r>
      <w:r w:rsidR="00EA4DD8" w:rsidRPr="003C5719">
        <w:t xml:space="preserve">he Regulations commence </w:t>
      </w:r>
      <w:r w:rsidR="007E0B7E">
        <w:t>a</w:t>
      </w:r>
      <w:r w:rsidR="007E0B7E" w:rsidRPr="007E0B7E">
        <w:t xml:space="preserve">t the same time as </w:t>
      </w:r>
      <w:r w:rsidR="00C65514">
        <w:t xml:space="preserve">the </w:t>
      </w:r>
      <w:r w:rsidR="000A022C" w:rsidRPr="000A022C">
        <w:t>Treasury Laws Amendment (Payments System Modernisation) Bill 2025</w:t>
      </w:r>
      <w:r w:rsidR="00C65514" w:rsidRPr="00992BC2">
        <w:rPr>
          <w:i/>
          <w:iCs/>
        </w:rPr>
        <w:t xml:space="preserve"> </w:t>
      </w:r>
      <w:r w:rsidR="00C65514" w:rsidRPr="00992BC2">
        <w:t>(the Bill)</w:t>
      </w:r>
      <w:r w:rsidR="000245BA">
        <w:t xml:space="preserve"> </w:t>
      </w:r>
      <w:r w:rsidR="007E0B7E" w:rsidRPr="007E0B7E">
        <w:t>commences</w:t>
      </w:r>
      <w:r w:rsidR="00EA4DD8" w:rsidRPr="003C5719">
        <w:t>.</w:t>
      </w:r>
    </w:p>
    <w:p w14:paraId="251AB24B" w14:textId="77777777" w:rsidR="00EA4DD8" w:rsidRPr="003C5719" w:rsidRDefault="00EA4DD8" w:rsidP="004A27A8">
      <w:pPr>
        <w:spacing w:before="240"/>
        <w:rPr>
          <w:u w:val="single"/>
        </w:rPr>
      </w:pPr>
      <w:r w:rsidRPr="003C5719">
        <w:rPr>
          <w:u w:val="single"/>
        </w:rPr>
        <w:t>Section 3 – Authority</w:t>
      </w:r>
    </w:p>
    <w:p w14:paraId="1E8954E8" w14:textId="77777777" w:rsidR="00AF54FC" w:rsidRDefault="00EA4DD8" w:rsidP="004A27A8">
      <w:pPr>
        <w:spacing w:before="240"/>
      </w:pPr>
      <w:r w:rsidRPr="003C5719">
        <w:t>The Regulations are made under</w:t>
      </w:r>
      <w:r w:rsidR="00AF54FC">
        <w:t>:</w:t>
      </w:r>
    </w:p>
    <w:p w14:paraId="5FD59763" w14:textId="1045698A" w:rsidR="00C34031" w:rsidRDefault="00826CA2" w:rsidP="00493586">
      <w:pPr>
        <w:pStyle w:val="Bullet"/>
      </w:pPr>
      <w:r>
        <w:t xml:space="preserve">the </w:t>
      </w:r>
      <w:r w:rsidR="00C34031" w:rsidRPr="00493586">
        <w:rPr>
          <w:i/>
          <w:iCs/>
        </w:rPr>
        <w:t>Australian Securities and Investments Commission Act 2001</w:t>
      </w:r>
      <w:r w:rsidR="00AF54FC">
        <w:t xml:space="preserve"> (ASIC Act</w:t>
      </w:r>
      <w:proofErr w:type="gramStart"/>
      <w:r w:rsidR="00AF54FC">
        <w:t>);</w:t>
      </w:r>
      <w:proofErr w:type="gramEnd"/>
      <w:r w:rsidR="00AF54FC">
        <w:t xml:space="preserve"> </w:t>
      </w:r>
    </w:p>
    <w:p w14:paraId="201D9286" w14:textId="560EFBB2" w:rsidR="00C34031" w:rsidRDefault="00826CA2" w:rsidP="00493586">
      <w:pPr>
        <w:pStyle w:val="Bullet"/>
      </w:pPr>
      <w:r>
        <w:t xml:space="preserve">the </w:t>
      </w:r>
      <w:r w:rsidR="00C34031" w:rsidRPr="00493586">
        <w:rPr>
          <w:i/>
          <w:iCs/>
        </w:rPr>
        <w:t>Corporations Act 2001</w:t>
      </w:r>
      <w:r>
        <w:t xml:space="preserve"> (Corporations Act);</w:t>
      </w:r>
      <w:r w:rsidR="00F43380">
        <w:t xml:space="preserve"> and</w:t>
      </w:r>
    </w:p>
    <w:p w14:paraId="00E4C459" w14:textId="1E032D52" w:rsidR="00C34031" w:rsidRPr="003C5719" w:rsidRDefault="00826CA2" w:rsidP="00493586">
      <w:pPr>
        <w:pStyle w:val="Bullet"/>
      </w:pPr>
      <w:r>
        <w:t xml:space="preserve">the </w:t>
      </w:r>
      <w:r w:rsidR="00C34031" w:rsidRPr="00493586">
        <w:rPr>
          <w:i/>
          <w:iCs/>
        </w:rPr>
        <w:t>Payment Systems (Regulation) Act 1998</w:t>
      </w:r>
      <w:r>
        <w:t xml:space="preserve"> (PSRA).</w:t>
      </w:r>
    </w:p>
    <w:p w14:paraId="26841540" w14:textId="26289159" w:rsidR="00EA4DD8" w:rsidRPr="003C5719" w:rsidRDefault="00EA4DD8" w:rsidP="004A27A8">
      <w:pPr>
        <w:spacing w:before="240"/>
        <w:rPr>
          <w:u w:val="single"/>
        </w:rPr>
      </w:pPr>
      <w:r w:rsidRPr="003C5719">
        <w:rPr>
          <w:u w:val="single"/>
        </w:rPr>
        <w:t>Section 4 – Schedul</w:t>
      </w:r>
      <w:r w:rsidR="00A7574F">
        <w:rPr>
          <w:u w:val="single"/>
        </w:rPr>
        <w:t>es</w:t>
      </w:r>
    </w:p>
    <w:p w14:paraId="343004AE"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7DD53923" w14:textId="749F0C6B" w:rsidR="00A667C0" w:rsidRPr="00E914F8" w:rsidRDefault="00A667C0" w:rsidP="00466DD5">
      <w:pPr>
        <w:spacing w:before="240" w:after="200"/>
        <w:rPr>
          <w:b/>
          <w:bCs/>
          <w:u w:val="single"/>
        </w:rPr>
      </w:pPr>
      <w:r w:rsidRPr="00E914F8">
        <w:rPr>
          <w:b/>
          <w:bCs/>
          <w:u w:val="single"/>
        </w:rPr>
        <w:t>Schedule 1 – Main amendments</w:t>
      </w:r>
    </w:p>
    <w:p w14:paraId="6DD4AB98" w14:textId="796FC735" w:rsidR="00DF5858" w:rsidRPr="00DF5858" w:rsidRDefault="00DF5858" w:rsidP="00466DD5">
      <w:pPr>
        <w:spacing w:before="240" w:after="200"/>
        <w:rPr>
          <w:i/>
          <w:iCs/>
        </w:rPr>
      </w:pPr>
      <w:r w:rsidRPr="00DF5858">
        <w:rPr>
          <w:i/>
          <w:iCs/>
        </w:rPr>
        <w:t>Payment Systems (Regulation) Regulations 2006</w:t>
      </w:r>
    </w:p>
    <w:p w14:paraId="59F07791" w14:textId="65F11C39" w:rsidR="00E914F8" w:rsidRPr="00960704" w:rsidRDefault="009206CE" w:rsidP="00466DD5">
      <w:pPr>
        <w:spacing w:before="240" w:after="200"/>
        <w:rPr>
          <w:u w:val="single"/>
        </w:rPr>
      </w:pPr>
      <w:r w:rsidRPr="00960704">
        <w:rPr>
          <w:u w:val="single"/>
        </w:rPr>
        <w:t xml:space="preserve">Item 1 – </w:t>
      </w:r>
      <w:r w:rsidR="00A90A72" w:rsidRPr="00960704">
        <w:rPr>
          <w:u w:val="single"/>
        </w:rPr>
        <w:t>New definition for AUSTRAC</w:t>
      </w:r>
    </w:p>
    <w:p w14:paraId="1D3E69C1" w14:textId="4E46FB99" w:rsidR="00A90A72" w:rsidRPr="00403196" w:rsidRDefault="00960704" w:rsidP="00466DD5">
      <w:pPr>
        <w:spacing w:before="240" w:after="200"/>
        <w:rPr>
          <w:iCs/>
        </w:rPr>
      </w:pPr>
      <w:r>
        <w:t xml:space="preserve">Item 1 inserts a new definition of AUSTRAC into the </w:t>
      </w:r>
      <w:r w:rsidRPr="00960704">
        <w:rPr>
          <w:i/>
          <w:iCs/>
        </w:rPr>
        <w:t>Payment Systems (Regulation) Regulations 2006</w:t>
      </w:r>
      <w:r w:rsidRPr="00960704">
        <w:t xml:space="preserve"> (PSR Regulations)</w:t>
      </w:r>
      <w:r w:rsidR="00364040">
        <w:t xml:space="preserve">. The definition refers to the corresponding definition in the </w:t>
      </w:r>
      <w:r w:rsidR="00403196">
        <w:rPr>
          <w:i/>
        </w:rPr>
        <w:t>Anti</w:t>
      </w:r>
      <w:r w:rsidR="190BBB16" w:rsidRPr="2C5C706B">
        <w:rPr>
          <w:i/>
          <w:iCs/>
        </w:rPr>
        <w:t>-</w:t>
      </w:r>
      <w:r w:rsidR="00403196">
        <w:rPr>
          <w:i/>
        </w:rPr>
        <w:t>Money Laundering and Counter</w:t>
      </w:r>
      <w:r w:rsidR="1FDFD477" w:rsidRPr="2C5C706B">
        <w:rPr>
          <w:i/>
          <w:iCs/>
        </w:rPr>
        <w:t>-</w:t>
      </w:r>
      <w:r w:rsidR="00403196">
        <w:rPr>
          <w:i/>
        </w:rPr>
        <w:t>Terrorism Financing Act 2006</w:t>
      </w:r>
      <w:r w:rsidR="00203EB4">
        <w:rPr>
          <w:i/>
        </w:rPr>
        <w:t xml:space="preserve"> </w:t>
      </w:r>
      <w:r w:rsidR="00203EB4">
        <w:rPr>
          <w:iCs/>
        </w:rPr>
        <w:t>(AMLCTF Act)</w:t>
      </w:r>
      <w:r w:rsidR="00403196">
        <w:rPr>
          <w:iCs/>
        </w:rPr>
        <w:t>.</w:t>
      </w:r>
    </w:p>
    <w:p w14:paraId="10A108B0" w14:textId="13089186" w:rsidR="009578BA" w:rsidRDefault="003A3F81" w:rsidP="00466DD5">
      <w:pPr>
        <w:spacing w:before="240" w:after="200"/>
        <w:rPr>
          <w:u w:val="single"/>
        </w:rPr>
      </w:pPr>
      <w:r w:rsidRPr="00C93785">
        <w:rPr>
          <w:u w:val="single"/>
        </w:rPr>
        <w:t xml:space="preserve">Item 2 – </w:t>
      </w:r>
      <w:r w:rsidR="009578BA">
        <w:rPr>
          <w:u w:val="single"/>
        </w:rPr>
        <w:t xml:space="preserve">Other amendments to the </w:t>
      </w:r>
      <w:r w:rsidR="009578BA" w:rsidRPr="009578BA">
        <w:rPr>
          <w:i/>
          <w:iCs/>
          <w:u w:val="single"/>
        </w:rPr>
        <w:t>Payment Systems (Regulation) Regulations 2006</w:t>
      </w:r>
    </w:p>
    <w:p w14:paraId="0CF8B2A8" w14:textId="48CFF8DA" w:rsidR="00F0678E" w:rsidRPr="00BB0BAC" w:rsidRDefault="00CC1CE5" w:rsidP="00466DD5">
      <w:pPr>
        <w:spacing w:before="240" w:after="200"/>
        <w:rPr>
          <w:b/>
          <w:bCs/>
          <w:i/>
          <w:iCs/>
        </w:rPr>
      </w:pPr>
      <w:r>
        <w:rPr>
          <w:b/>
          <w:bCs/>
          <w:i/>
          <w:iCs/>
        </w:rPr>
        <w:t xml:space="preserve">Regulation 7 – </w:t>
      </w:r>
      <w:r w:rsidR="00C93785" w:rsidRPr="00BB0BAC">
        <w:rPr>
          <w:b/>
          <w:bCs/>
          <w:i/>
          <w:iCs/>
        </w:rPr>
        <w:t>Prescribing special regulators, heads and eligible delegates</w:t>
      </w:r>
    </w:p>
    <w:p w14:paraId="7A972AC4" w14:textId="11300425" w:rsidR="000A5C85" w:rsidRDefault="00C34990" w:rsidP="00BC05E8">
      <w:pPr>
        <w:spacing w:before="240" w:after="200"/>
      </w:pPr>
      <w:r>
        <w:t xml:space="preserve">The amendments in </w:t>
      </w:r>
      <w:r w:rsidR="000248B6">
        <w:t xml:space="preserve">Schedule </w:t>
      </w:r>
      <w:r w:rsidR="00601E7C">
        <w:t>1</w:t>
      </w:r>
      <w:r w:rsidR="000248B6">
        <w:t xml:space="preserve"> to the </w:t>
      </w:r>
      <w:r w:rsidR="00871089">
        <w:t>B</w:t>
      </w:r>
      <w:r w:rsidR="00AE20A1">
        <w:t>i</w:t>
      </w:r>
      <w:r w:rsidR="00871089">
        <w:t>ll</w:t>
      </w:r>
      <w:r>
        <w:t xml:space="preserve"> empower the Minister to nominate special regulators in relation to special designated payment systems and to give directions in relation to the special regulator’s performance of functions or exercise of powers under the PSRA</w:t>
      </w:r>
      <w:r w:rsidR="00BC05E8">
        <w:t xml:space="preserve">. A </w:t>
      </w:r>
      <w:r w:rsidR="0045442C">
        <w:t xml:space="preserve">special regulator </w:t>
      </w:r>
      <w:r w:rsidR="00BC05E8">
        <w:t>is defined as the RBA or an entity that the regulations prescribed as a special regulator</w:t>
      </w:r>
      <w:r w:rsidR="0082361B">
        <w:t xml:space="preserve"> (see </w:t>
      </w:r>
      <w:r w:rsidR="00CC4A60">
        <w:t>paragraph 11C(1)(b)</w:t>
      </w:r>
      <w:r w:rsidR="006D6BB8">
        <w:t xml:space="preserve"> of the </w:t>
      </w:r>
      <w:r w:rsidR="000C5B76">
        <w:t>PSRA</w:t>
      </w:r>
      <w:r w:rsidR="000045F4">
        <w:t xml:space="preserve"> as amended by the Bill</w:t>
      </w:r>
      <w:r w:rsidR="00CC4A60">
        <w:t>)</w:t>
      </w:r>
      <w:r w:rsidR="00BC05E8">
        <w:t xml:space="preserve">. An entity must only be prescribed as a special regulator if the entity is a </w:t>
      </w:r>
      <w:r w:rsidR="00BC05E8">
        <w:lastRenderedPageBreak/>
        <w:t xml:space="preserve">Commonwealth entity or a Commonwealth company (within the meaning of the </w:t>
      </w:r>
      <w:r w:rsidR="00BC05E8" w:rsidRPr="00BC05E8">
        <w:rPr>
          <w:i/>
          <w:iCs/>
        </w:rPr>
        <w:t>Public Governance, Performance and Accountability Act 2013</w:t>
      </w:r>
      <w:r w:rsidR="00BC05E8">
        <w:t>).</w:t>
      </w:r>
    </w:p>
    <w:p w14:paraId="5FC3B95B" w14:textId="7ED1B3E8" w:rsidR="00C93785" w:rsidRDefault="00CC1CE5" w:rsidP="00466DD5">
      <w:pPr>
        <w:spacing w:before="240" w:after="200"/>
      </w:pPr>
      <w:r>
        <w:t>Regulation 7</w:t>
      </w:r>
      <w:r w:rsidR="00C93785">
        <w:t xml:space="preserve"> </w:t>
      </w:r>
      <w:r w:rsidR="006175E5">
        <w:t>prescribes the following as</w:t>
      </w:r>
      <w:r w:rsidR="00E11A7A">
        <w:t xml:space="preserve"> special regulator</w:t>
      </w:r>
      <w:r w:rsidR="00AF0B8C">
        <w:t>s</w:t>
      </w:r>
      <w:r w:rsidR="00F72F46">
        <w:t xml:space="preserve"> (for the purposes of paragraph 11C(1)(b) of the</w:t>
      </w:r>
      <w:r w:rsidR="000C5B76">
        <w:t xml:space="preserve"> PSRA</w:t>
      </w:r>
      <w:r w:rsidR="007B15AA">
        <w:t xml:space="preserve"> as amended by the Bill</w:t>
      </w:r>
      <w:r w:rsidR="00F72F46">
        <w:t>)</w:t>
      </w:r>
      <w:r w:rsidR="00E11A7A">
        <w:t>:</w:t>
      </w:r>
    </w:p>
    <w:p w14:paraId="2E4F4F76" w14:textId="2F413320" w:rsidR="00E11A7A" w:rsidRDefault="00E11A7A" w:rsidP="00E11A7A">
      <w:pPr>
        <w:pStyle w:val="Bullet"/>
      </w:pPr>
      <w:r>
        <w:t>the Australian Competition and Consumer Commission (the Commission</w:t>
      </w:r>
      <w:proofErr w:type="gramStart"/>
      <w:r>
        <w:t>);</w:t>
      </w:r>
      <w:proofErr w:type="gramEnd"/>
    </w:p>
    <w:p w14:paraId="56E69989" w14:textId="593E2F53" w:rsidR="00E11A7A" w:rsidRDefault="00E40CEE" w:rsidP="00E11A7A">
      <w:pPr>
        <w:pStyle w:val="Bullet"/>
      </w:pPr>
      <w:r>
        <w:t>the Australian Prudential Regulation Authority (APRA</w:t>
      </w:r>
      <w:proofErr w:type="gramStart"/>
      <w:r>
        <w:t>);</w:t>
      </w:r>
      <w:proofErr w:type="gramEnd"/>
    </w:p>
    <w:p w14:paraId="4347C535" w14:textId="63072798" w:rsidR="00E40CEE" w:rsidRDefault="00E40CEE" w:rsidP="00E11A7A">
      <w:pPr>
        <w:pStyle w:val="Bullet"/>
      </w:pPr>
      <w:r>
        <w:t>the Australian Securities and Investments Commission (ASIC); and</w:t>
      </w:r>
    </w:p>
    <w:p w14:paraId="33A83257" w14:textId="7755DC38" w:rsidR="00E11A7A" w:rsidRDefault="009B116D" w:rsidP="00E11A7A">
      <w:pPr>
        <w:pStyle w:val="Bullet"/>
      </w:pPr>
      <w:r>
        <w:t>AUSTRAC.</w:t>
      </w:r>
    </w:p>
    <w:p w14:paraId="59F8937B" w14:textId="256A1C93" w:rsidR="00E11A7A" w:rsidRDefault="00A41059" w:rsidP="00466DD5">
      <w:pPr>
        <w:spacing w:before="240" w:after="200"/>
      </w:pPr>
      <w:r>
        <w:t xml:space="preserve">Under the </w:t>
      </w:r>
      <w:r w:rsidR="00004B75">
        <w:t>Bil</w:t>
      </w:r>
      <w:r w:rsidR="009E4876">
        <w:t>l</w:t>
      </w:r>
      <w:r>
        <w:t>, a person is the head of a special regulator if</w:t>
      </w:r>
      <w:r w:rsidR="00F7684F">
        <w:t>:</w:t>
      </w:r>
    </w:p>
    <w:p w14:paraId="76F77668" w14:textId="038059D5" w:rsidR="00F7684F" w:rsidRDefault="00F7684F" w:rsidP="00F7684F">
      <w:pPr>
        <w:pStyle w:val="Bullet"/>
      </w:pPr>
      <w:r>
        <w:t>in the case of the RBA, that person is the Governor of the RBA; or</w:t>
      </w:r>
    </w:p>
    <w:p w14:paraId="0E865DBC" w14:textId="79715538" w:rsidR="00F7684F" w:rsidRDefault="003B1433" w:rsidP="00F7684F">
      <w:pPr>
        <w:pStyle w:val="Bullet"/>
      </w:pPr>
      <w:r>
        <w:t>i</w:t>
      </w:r>
      <w:r w:rsidR="00F7684F">
        <w:t>n the case</w:t>
      </w:r>
      <w:r w:rsidR="00F461A4">
        <w:t xml:space="preserve"> of an entity prescribed by the regulations as a special regulator, the person prescribed by the regulations as the head of that special regulator (see paragraph 7(2)(b) of the </w:t>
      </w:r>
      <w:r w:rsidR="000C5B76">
        <w:t>PSRA</w:t>
      </w:r>
      <w:r w:rsidR="006F7901">
        <w:t xml:space="preserve"> as amended by the Bill</w:t>
      </w:r>
      <w:r w:rsidR="00F461A4">
        <w:t>).</w:t>
      </w:r>
    </w:p>
    <w:p w14:paraId="4A7352CA" w14:textId="61D2F378" w:rsidR="00EB2DC9" w:rsidRDefault="007949C5" w:rsidP="00EB2DC9">
      <w:pPr>
        <w:spacing w:before="240" w:after="200"/>
      </w:pPr>
      <w:r>
        <w:t>Regulation 7</w:t>
      </w:r>
      <w:r w:rsidR="00EB2DC9">
        <w:t xml:space="preserve"> prescribes the following as heads of special regulators (for the purposes of paragraph </w:t>
      </w:r>
      <w:r w:rsidR="009731F1">
        <w:t>7(2)(b) of the PSRA</w:t>
      </w:r>
      <w:r w:rsidR="000718A4">
        <w:t xml:space="preserve"> as amended by the Bill</w:t>
      </w:r>
      <w:r w:rsidR="00EB2DC9">
        <w:t>):</w:t>
      </w:r>
    </w:p>
    <w:p w14:paraId="453BF92E" w14:textId="69A96C59" w:rsidR="00EB2DC9" w:rsidRDefault="000A358A" w:rsidP="00EB2DC9">
      <w:pPr>
        <w:pStyle w:val="Bullet"/>
      </w:pPr>
      <w:r>
        <w:t xml:space="preserve">the Chairperson of the </w:t>
      </w:r>
      <w:proofErr w:type="gramStart"/>
      <w:r>
        <w:t>Commission</w:t>
      </w:r>
      <w:r w:rsidR="00EB2DC9">
        <w:t>;</w:t>
      </w:r>
      <w:proofErr w:type="gramEnd"/>
    </w:p>
    <w:p w14:paraId="28D345D6" w14:textId="6D55FD56" w:rsidR="00EB2DC9" w:rsidRDefault="00EB2DC9" w:rsidP="00EB2DC9">
      <w:pPr>
        <w:pStyle w:val="Bullet"/>
      </w:pPr>
      <w:r>
        <w:t>the</w:t>
      </w:r>
      <w:r w:rsidR="000A358A">
        <w:t xml:space="preserve"> Chair of </w:t>
      </w:r>
      <w:proofErr w:type="gramStart"/>
      <w:r w:rsidR="000A358A">
        <w:t>APRA</w:t>
      </w:r>
      <w:r>
        <w:t>;</w:t>
      </w:r>
      <w:proofErr w:type="gramEnd"/>
    </w:p>
    <w:p w14:paraId="4C2ADA57" w14:textId="016AC3B2" w:rsidR="00EB2DC9" w:rsidRDefault="00EB2DC9" w:rsidP="00EB2DC9">
      <w:pPr>
        <w:pStyle w:val="Bullet"/>
      </w:pPr>
      <w:r>
        <w:t xml:space="preserve">the </w:t>
      </w:r>
      <w:r w:rsidR="000A358A">
        <w:t>Chairperson of ASIC</w:t>
      </w:r>
      <w:r>
        <w:t>; and</w:t>
      </w:r>
    </w:p>
    <w:p w14:paraId="23070CE8" w14:textId="7EDD9D04" w:rsidR="00EB2DC9" w:rsidRDefault="00035A78" w:rsidP="00EB2DC9">
      <w:pPr>
        <w:pStyle w:val="Bullet"/>
      </w:pPr>
      <w:r>
        <w:t xml:space="preserve">the Chief Executive Officer of </w:t>
      </w:r>
      <w:r w:rsidR="00EB2DC9">
        <w:t>AUSTRAC.</w:t>
      </w:r>
    </w:p>
    <w:p w14:paraId="6DF83364" w14:textId="77777777" w:rsidR="00951E7A" w:rsidRDefault="006A62AA" w:rsidP="00933B10">
      <w:pPr>
        <w:spacing w:before="240" w:after="200"/>
      </w:pPr>
      <w:r>
        <w:t xml:space="preserve">Under the </w:t>
      </w:r>
      <w:r w:rsidR="004129B9">
        <w:t>Bill</w:t>
      </w:r>
      <w:r>
        <w:t>, a nominated special regulator (other than the RBA), in relation to special designated payment systems may, by wri</w:t>
      </w:r>
      <w:r w:rsidR="00742866">
        <w:t>tten instrument, delegate all or any of their functions or powers under the PSRA to the head of the nominated special regulator or a person prescribed as an eligible delegate in the regulations</w:t>
      </w:r>
      <w:r w:rsidR="00A160A8">
        <w:t xml:space="preserve"> (see paragraph 31A(1)(b) of the PSRA</w:t>
      </w:r>
      <w:r w:rsidR="003D6BF3">
        <w:t xml:space="preserve"> as amended by the Bill</w:t>
      </w:r>
      <w:r w:rsidR="00A160A8">
        <w:t>)</w:t>
      </w:r>
      <w:r w:rsidR="00742866">
        <w:t>.</w:t>
      </w:r>
      <w:r w:rsidR="00A160A8">
        <w:t xml:space="preserve"> In turn, the head of a nominated special regulator (other than the Governor of the RBA), in relation to a special designated payment system may, in writing, delegate all or any of the head’s functions or powers under the PSRA to a person prescribed as an eligible delegate in the regulations</w:t>
      </w:r>
      <w:r w:rsidR="007A2ADC">
        <w:t xml:space="preserve"> (see subsection 31A(2) of the PSRA</w:t>
      </w:r>
      <w:r w:rsidR="00B52A57">
        <w:t xml:space="preserve"> as amended by the Bill</w:t>
      </w:r>
      <w:r w:rsidR="007A2ADC">
        <w:t>)</w:t>
      </w:r>
      <w:r w:rsidR="00A160A8">
        <w:t xml:space="preserve">, except for the functions and powers relating to the conduct of arbitrations. </w:t>
      </w:r>
    </w:p>
    <w:p w14:paraId="66EF93C5" w14:textId="6EDB4BCF" w:rsidR="003A3F81" w:rsidRDefault="00933B10" w:rsidP="00933B10">
      <w:pPr>
        <w:spacing w:before="240" w:after="200"/>
      </w:pPr>
      <w:r>
        <w:t xml:space="preserve">This does not limit </w:t>
      </w:r>
      <w:r w:rsidR="00332FD1">
        <w:t>a</w:t>
      </w:r>
      <w:r>
        <w:t xml:space="preserve"> nominated special regulator</w:t>
      </w:r>
      <w:r w:rsidR="00332FD1">
        <w:t xml:space="preserve"> or the head of a nominated special regulator</w:t>
      </w:r>
      <w:r>
        <w:t xml:space="preserve"> from delegating powers in accordance with another Act.</w:t>
      </w:r>
    </w:p>
    <w:p w14:paraId="774BAF34" w14:textId="47E47E42" w:rsidR="006A62AA" w:rsidRDefault="008A07C2" w:rsidP="00466DD5">
      <w:pPr>
        <w:spacing w:before="240" w:after="200"/>
      </w:pPr>
      <w:r>
        <w:t xml:space="preserve">Regulation 7 </w:t>
      </w:r>
      <w:r w:rsidR="00A160A8">
        <w:t xml:space="preserve">prescribes the following as </w:t>
      </w:r>
      <w:r w:rsidR="00197B4A">
        <w:t xml:space="preserve">eligible delegates in relation to special regulators that are nominated special regulators (for the purposes of </w:t>
      </w:r>
      <w:r w:rsidR="00140867">
        <w:t>paragraph 31A(1)(b) and subsection 31A(2) of the PSRA</w:t>
      </w:r>
      <w:r w:rsidR="00437CBB">
        <w:t xml:space="preserve"> as amended by the Bill</w:t>
      </w:r>
      <w:r w:rsidR="00140867">
        <w:t>):</w:t>
      </w:r>
    </w:p>
    <w:p w14:paraId="371A7A9D" w14:textId="1614EF9F" w:rsidR="00A75470" w:rsidRDefault="00C146B7" w:rsidP="00140867">
      <w:pPr>
        <w:pStyle w:val="Bullet"/>
      </w:pPr>
      <w:r>
        <w:lastRenderedPageBreak/>
        <w:t>i</w:t>
      </w:r>
      <w:r w:rsidR="00140867">
        <w:t>f the nominated special regulator in relation to a special designated payment system is the Commission</w:t>
      </w:r>
      <w:r w:rsidR="00A75470">
        <w:t xml:space="preserve"> – each of the following:</w:t>
      </w:r>
    </w:p>
    <w:p w14:paraId="4B75FB69" w14:textId="29330C6C" w:rsidR="00FA5B39" w:rsidRDefault="00FA5B39" w:rsidP="00FA5B39">
      <w:pPr>
        <w:pStyle w:val="Bullet"/>
        <w:numPr>
          <w:ilvl w:val="0"/>
          <w:numId w:val="26"/>
        </w:numPr>
      </w:pPr>
      <w:r>
        <w:t xml:space="preserve">a member of the Commission (within the meaning of the </w:t>
      </w:r>
      <w:r w:rsidRPr="00FA5B39">
        <w:rPr>
          <w:i/>
          <w:iCs/>
        </w:rPr>
        <w:t>Competition and Consumer Act 2010</w:t>
      </w:r>
      <w:r w:rsidR="0079503E">
        <w:rPr>
          <w:i/>
          <w:iCs/>
        </w:rPr>
        <w:t xml:space="preserve"> </w:t>
      </w:r>
      <w:r w:rsidR="0079503E" w:rsidRPr="0079503E">
        <w:t>(CCA)</w:t>
      </w:r>
      <w:proofErr w:type="gramStart"/>
      <w:r>
        <w:t>);</w:t>
      </w:r>
      <w:proofErr w:type="gramEnd"/>
      <w:r w:rsidR="00631FF2">
        <w:t xml:space="preserve"> </w:t>
      </w:r>
    </w:p>
    <w:p w14:paraId="564BE5C4" w14:textId="3C2532F7" w:rsidR="00FA5B39" w:rsidRPr="00B57ACB" w:rsidRDefault="00FA5B39" w:rsidP="64EE0FA5">
      <w:pPr>
        <w:pStyle w:val="Bullet"/>
      </w:pPr>
      <w:r>
        <w:t>a person who</w:t>
      </w:r>
      <w:r w:rsidR="00B64351">
        <w:t xml:space="preserve"> </w:t>
      </w:r>
      <w:r>
        <w:t xml:space="preserve">is referred to in subsection 27(1) of </w:t>
      </w:r>
      <w:r w:rsidR="00B64351">
        <w:t xml:space="preserve">the </w:t>
      </w:r>
      <w:r w:rsidR="0079503E">
        <w:t>CCA</w:t>
      </w:r>
      <w:r w:rsidR="00B64351" w:rsidRPr="00B57ACB">
        <w:t xml:space="preserve"> and </w:t>
      </w:r>
      <w:r w:rsidRPr="00B57ACB">
        <w:t xml:space="preserve">is </w:t>
      </w:r>
      <w:r w:rsidR="00A32812" w:rsidRPr="00B57ACB">
        <w:t>a</w:t>
      </w:r>
      <w:r w:rsidRPr="00B57ACB">
        <w:t xml:space="preserve"> </w:t>
      </w:r>
      <w:r w:rsidR="009854B5">
        <w:t xml:space="preserve">Senior Executive Service (SES) </w:t>
      </w:r>
      <w:r w:rsidRPr="00B57ACB">
        <w:t>employee or acting SES employee in the Commission.</w:t>
      </w:r>
    </w:p>
    <w:p w14:paraId="438482E0" w14:textId="009518D6" w:rsidR="00B57ACB" w:rsidRDefault="00C146B7" w:rsidP="00B57ACB">
      <w:pPr>
        <w:pStyle w:val="Bullet"/>
      </w:pPr>
      <w:r>
        <w:t>i</w:t>
      </w:r>
      <w:r w:rsidR="00B57ACB">
        <w:t>f the nominated special regulator in relation to a special designated payment system is APRA – each of the following:</w:t>
      </w:r>
    </w:p>
    <w:p w14:paraId="195CE41F" w14:textId="4B16EED9" w:rsidR="006B2138" w:rsidRDefault="00C146B7">
      <w:pPr>
        <w:pStyle w:val="Bullet"/>
        <w:numPr>
          <w:ilvl w:val="0"/>
          <w:numId w:val="26"/>
        </w:numPr>
      </w:pPr>
      <w:r>
        <w:t xml:space="preserve">an APRA member (within the meaning of the </w:t>
      </w:r>
      <w:r w:rsidRPr="006B2138">
        <w:rPr>
          <w:i/>
          <w:iCs/>
        </w:rPr>
        <w:t>Australian Prudential Regulation Authority Act 1998</w:t>
      </w:r>
      <w:r w:rsidR="00234A9F">
        <w:t xml:space="preserve"> (APRA Act)</w:t>
      </w:r>
      <w:proofErr w:type="gramStart"/>
      <w:r>
        <w:t>);</w:t>
      </w:r>
      <w:proofErr w:type="gramEnd"/>
      <w:r w:rsidR="006B2138">
        <w:t xml:space="preserve"> </w:t>
      </w:r>
    </w:p>
    <w:p w14:paraId="061AF822" w14:textId="6B8B0025" w:rsidR="008264A3" w:rsidRPr="00B57ACB" w:rsidRDefault="00C146B7" w:rsidP="008264A3">
      <w:pPr>
        <w:pStyle w:val="Bullet"/>
        <w:numPr>
          <w:ilvl w:val="0"/>
          <w:numId w:val="26"/>
        </w:numPr>
      </w:pPr>
      <w:r>
        <w:t>a person who</w:t>
      </w:r>
      <w:r w:rsidR="006B2138">
        <w:t xml:space="preserve"> </w:t>
      </w:r>
      <w:r>
        <w:t xml:space="preserve">is an APRA staff member (within the meaning of </w:t>
      </w:r>
      <w:r w:rsidR="006B2138">
        <w:t>the</w:t>
      </w:r>
      <w:r w:rsidR="00234A9F">
        <w:t xml:space="preserve"> APRA Act</w:t>
      </w:r>
      <w:r>
        <w:t xml:space="preserve">), other than a person engaged under section 47 of </w:t>
      </w:r>
      <w:r w:rsidR="005402E3">
        <w:t>the</w:t>
      </w:r>
      <w:r w:rsidR="00234A9F">
        <w:t xml:space="preserve"> APRA Act</w:t>
      </w:r>
      <w:r>
        <w:t xml:space="preserve"> (about consultants and other people engaged to perform services)</w:t>
      </w:r>
      <w:r w:rsidR="005402E3">
        <w:t>, and holds</w:t>
      </w:r>
      <w:r>
        <w:t xml:space="preserve"> or is acting in, a position in APRA that is equivalent to, or higher than, a position occupied by an SES employee</w:t>
      </w:r>
      <w:r w:rsidR="008264A3">
        <w:t>.</w:t>
      </w:r>
    </w:p>
    <w:p w14:paraId="36F1FBC1" w14:textId="5752FBF9" w:rsidR="008264A3" w:rsidRDefault="008264A3" w:rsidP="008264A3">
      <w:pPr>
        <w:pStyle w:val="Bullet"/>
      </w:pPr>
      <w:r>
        <w:t>if the nominated special regulator in relation to a special designated payment system is ASIC – each of the following:</w:t>
      </w:r>
    </w:p>
    <w:p w14:paraId="7C53F805" w14:textId="36D6D5EC" w:rsidR="008264A3" w:rsidRDefault="008264A3" w:rsidP="008264A3">
      <w:pPr>
        <w:pStyle w:val="Bullet"/>
        <w:numPr>
          <w:ilvl w:val="0"/>
          <w:numId w:val="26"/>
        </w:numPr>
      </w:pPr>
      <w:r>
        <w:t>a</w:t>
      </w:r>
      <w:r w:rsidR="00DD6AEF">
        <w:t xml:space="preserve"> </w:t>
      </w:r>
      <w:r w:rsidR="00DD6AEF" w:rsidRPr="00DD6AEF">
        <w:t xml:space="preserve">member of ASIC (within the meaning of the </w:t>
      </w:r>
      <w:r w:rsidR="00DD6AEF">
        <w:t>ASIC Act</w:t>
      </w:r>
      <w:proofErr w:type="gramStart"/>
      <w:r w:rsidR="00DD6AEF" w:rsidRPr="00DD6AEF">
        <w:t>);</w:t>
      </w:r>
      <w:proofErr w:type="gramEnd"/>
    </w:p>
    <w:p w14:paraId="140E574E" w14:textId="3902F363" w:rsidR="00A42A2C" w:rsidRDefault="00A1261C" w:rsidP="008264A3">
      <w:pPr>
        <w:pStyle w:val="Bullet"/>
        <w:numPr>
          <w:ilvl w:val="0"/>
          <w:numId w:val="26"/>
        </w:numPr>
      </w:pPr>
      <w:r>
        <w:t xml:space="preserve">a </w:t>
      </w:r>
      <w:r w:rsidR="00DE0E30">
        <w:t xml:space="preserve">senior </w:t>
      </w:r>
      <w:r w:rsidR="006E0A91" w:rsidRPr="006E0A91">
        <w:t xml:space="preserve">staff member (within the meaning of </w:t>
      </w:r>
      <w:r w:rsidR="006E0A91">
        <w:t xml:space="preserve">the </w:t>
      </w:r>
      <w:r w:rsidR="00A849FF" w:rsidRPr="00A849FF">
        <w:t>ASIC Act</w:t>
      </w:r>
      <w:r w:rsidR="006E0A91" w:rsidRPr="006E0A91">
        <w:t>), other than a person engaged under subsection 121(1) of th</w:t>
      </w:r>
      <w:r w:rsidR="00A849FF">
        <w:t>e ASIC Act</w:t>
      </w:r>
      <w:r w:rsidR="00A849FF" w:rsidRPr="006E0A91">
        <w:t xml:space="preserve"> </w:t>
      </w:r>
      <w:r w:rsidR="006E0A91" w:rsidRPr="006E0A91">
        <w:t>(about consultants etc.</w:t>
      </w:r>
      <w:proofErr w:type="gramStart"/>
      <w:r w:rsidR="006E0A91" w:rsidRPr="006E0A91">
        <w:t>)</w:t>
      </w:r>
      <w:r w:rsidR="00A42A2C">
        <w:t>;</w:t>
      </w:r>
      <w:proofErr w:type="gramEnd"/>
    </w:p>
    <w:p w14:paraId="49F79C6D" w14:textId="1F230D05" w:rsidR="00A1261C" w:rsidRDefault="00A7342F" w:rsidP="008264A3">
      <w:pPr>
        <w:pStyle w:val="Bullet"/>
        <w:numPr>
          <w:ilvl w:val="0"/>
          <w:numId w:val="26"/>
        </w:numPr>
      </w:pPr>
      <w:r w:rsidRPr="00A7342F">
        <w:t>an SES employee</w:t>
      </w:r>
      <w:r w:rsidR="00A42A2C">
        <w:t xml:space="preserve"> or acting SES employee who is seconded to ASIC under section 122 of the ASIC Act</w:t>
      </w:r>
      <w:r>
        <w:t>.</w:t>
      </w:r>
    </w:p>
    <w:p w14:paraId="18851704" w14:textId="6334FAD4" w:rsidR="00A7342F" w:rsidRDefault="00A7342F" w:rsidP="00A7342F">
      <w:pPr>
        <w:pStyle w:val="Bullet"/>
      </w:pPr>
      <w:r>
        <w:t xml:space="preserve">if the nominated special regulator in relation to a special designated payment system is AUSTRAC – </w:t>
      </w:r>
      <w:r w:rsidR="00A33F87">
        <w:t>a person who:</w:t>
      </w:r>
    </w:p>
    <w:p w14:paraId="44D0C36D" w14:textId="36332BEA" w:rsidR="00A7342F" w:rsidRDefault="00A33F87" w:rsidP="00A7342F">
      <w:pPr>
        <w:pStyle w:val="Bullet"/>
        <w:numPr>
          <w:ilvl w:val="0"/>
          <w:numId w:val="26"/>
        </w:numPr>
      </w:pPr>
      <w:r w:rsidRPr="00A33F87">
        <w:t xml:space="preserve">is covered by the definition of </w:t>
      </w:r>
      <w:r w:rsidRPr="00A33F87">
        <w:rPr>
          <w:b/>
          <w:bCs/>
          <w:i/>
          <w:iCs/>
        </w:rPr>
        <w:t>AUSTRAC entrusted person</w:t>
      </w:r>
      <w:r w:rsidRPr="00A33F87">
        <w:t xml:space="preserve"> in section 5 of the </w:t>
      </w:r>
      <w:r w:rsidR="00203EB4">
        <w:t>AMLCTF Act</w:t>
      </w:r>
      <w:r w:rsidRPr="00A33F87">
        <w:t xml:space="preserve">, other than a person covered by paragraph </w:t>
      </w:r>
      <w:r w:rsidRPr="00E37432">
        <w:t xml:space="preserve">(c), (e) or (g) </w:t>
      </w:r>
      <w:r w:rsidRPr="008F0E0D">
        <w:t>of that</w:t>
      </w:r>
      <w:r w:rsidRPr="00A33F87">
        <w:t xml:space="preserve"> definition</w:t>
      </w:r>
      <w:r w:rsidR="002C4EE5">
        <w:t xml:space="preserve"> </w:t>
      </w:r>
      <w:r w:rsidR="00271A6E">
        <w:t>and</w:t>
      </w:r>
      <w:r w:rsidR="008F0E0D">
        <w:t xml:space="preserve"> </w:t>
      </w:r>
      <w:r w:rsidR="00D356C2" w:rsidRPr="00E37432">
        <w:t xml:space="preserve">a person covered by paragraph 225(3)(g) of </w:t>
      </w:r>
      <w:r w:rsidR="00436AB2" w:rsidRPr="00E37432">
        <w:t>that Act</w:t>
      </w:r>
      <w:r w:rsidR="002048E9" w:rsidRPr="00BE37C6">
        <w:t>,</w:t>
      </w:r>
      <w:r w:rsidR="002048E9">
        <w:t xml:space="preserve"> and is either </w:t>
      </w:r>
      <w:r w:rsidR="00D732C1" w:rsidRPr="00D732C1">
        <w:t>an SES employee or acting SES employee in AUSTRAC</w:t>
      </w:r>
      <w:r w:rsidR="00950D84">
        <w:t xml:space="preserve"> or </w:t>
      </w:r>
      <w:r w:rsidR="00950D84" w:rsidRPr="00950D84">
        <w:t>holds, or is acting in, a position in AUSTRAC that is equivalent to, or higher than, a position occupied by an SES employee</w:t>
      </w:r>
      <w:r w:rsidR="00950D84">
        <w:t>.</w:t>
      </w:r>
    </w:p>
    <w:p w14:paraId="37639299" w14:textId="7E488270" w:rsidR="00684F75" w:rsidRDefault="00FA617F" w:rsidP="00684F75">
      <w:pPr>
        <w:spacing w:before="240" w:after="200"/>
      </w:pPr>
      <w:r>
        <w:t>Given the nature of the functions of a nominated special regulator, d</w:t>
      </w:r>
      <w:r w:rsidR="00684F75">
        <w:t xml:space="preserve">elegations are limited to </w:t>
      </w:r>
      <w:r w:rsidR="00362E2F">
        <w:t>SES employees or acting SES employees</w:t>
      </w:r>
      <w:r w:rsidR="00B62BE6">
        <w:t xml:space="preserve"> (and</w:t>
      </w:r>
      <w:r w:rsidR="001564B9">
        <w:t xml:space="preserve"> </w:t>
      </w:r>
      <w:r w:rsidR="001564B9" w:rsidRPr="001564B9">
        <w:t>person</w:t>
      </w:r>
      <w:r w:rsidR="001564B9">
        <w:t>s</w:t>
      </w:r>
      <w:r w:rsidR="001564B9" w:rsidRPr="001564B9">
        <w:t xml:space="preserve"> hold</w:t>
      </w:r>
      <w:r w:rsidR="001564B9">
        <w:t>ing</w:t>
      </w:r>
      <w:r w:rsidR="001564B9" w:rsidRPr="001564B9">
        <w:t xml:space="preserve"> a position in the </w:t>
      </w:r>
      <w:r w:rsidR="00A67365">
        <w:t>Commonwealth entity</w:t>
      </w:r>
      <w:r w:rsidR="001564B9" w:rsidRPr="001564B9">
        <w:t xml:space="preserve"> that is equivalent to or higher than an SES position</w:t>
      </w:r>
      <w:r w:rsidR="001564B9">
        <w:t>)</w:t>
      </w:r>
      <w:r w:rsidR="00BF7F4D">
        <w:t>.</w:t>
      </w:r>
    </w:p>
    <w:p w14:paraId="05371515" w14:textId="604E0F9D" w:rsidR="00272463" w:rsidRPr="00BB0BAC" w:rsidRDefault="00272463" w:rsidP="00272463">
      <w:pPr>
        <w:spacing w:before="240" w:after="200"/>
        <w:rPr>
          <w:b/>
          <w:bCs/>
          <w:i/>
          <w:iCs/>
        </w:rPr>
      </w:pPr>
      <w:r>
        <w:rPr>
          <w:b/>
          <w:bCs/>
          <w:i/>
          <w:iCs/>
        </w:rPr>
        <w:t xml:space="preserve">Regulation 8 – </w:t>
      </w:r>
      <w:r w:rsidRPr="00BB0BAC">
        <w:rPr>
          <w:b/>
          <w:bCs/>
          <w:i/>
          <w:iCs/>
        </w:rPr>
        <w:t xml:space="preserve">Prescribing </w:t>
      </w:r>
      <w:r w:rsidR="00651565">
        <w:rPr>
          <w:b/>
          <w:bCs/>
          <w:i/>
          <w:iCs/>
        </w:rPr>
        <w:t>persons authorised to use or disclose information (in relation to nominated special regulators)</w:t>
      </w:r>
    </w:p>
    <w:p w14:paraId="6AA6D7C2" w14:textId="69ADE285" w:rsidR="00DF40BE" w:rsidRDefault="003167F8" w:rsidP="003167F8">
      <w:pPr>
        <w:spacing w:before="240" w:after="200"/>
      </w:pPr>
      <w:r>
        <w:t xml:space="preserve">The amendments in Schedule </w:t>
      </w:r>
      <w:r w:rsidR="00743896">
        <w:t>1</w:t>
      </w:r>
      <w:r>
        <w:t xml:space="preserve"> to the </w:t>
      </w:r>
      <w:r w:rsidR="006F52FF">
        <w:t>Bill</w:t>
      </w:r>
      <w:r>
        <w:t xml:space="preserve"> allow the following persons to use or disclose information or documents obtained under, or for the purposes of, the PSRA to</w:t>
      </w:r>
      <w:r w:rsidR="00DF40BE">
        <w:t xml:space="preserve"> either the </w:t>
      </w:r>
      <w:r w:rsidR="00DF40BE">
        <w:lastRenderedPageBreak/>
        <w:t>RBA or another nominated special regulator in relation to a special designated payment system for the purposes of the PSRA:</w:t>
      </w:r>
    </w:p>
    <w:p w14:paraId="2116FB50" w14:textId="1B88A2A8" w:rsidR="00DF40BE" w:rsidRDefault="00C64BFE" w:rsidP="00DF40BE">
      <w:pPr>
        <w:pStyle w:val="Bullet"/>
      </w:pPr>
      <w:r>
        <w:t xml:space="preserve">a nominated special </w:t>
      </w:r>
      <w:proofErr w:type="gramStart"/>
      <w:r>
        <w:t>regulator</w:t>
      </w:r>
      <w:r w:rsidR="00DF40BE">
        <w:t>;</w:t>
      </w:r>
      <w:proofErr w:type="gramEnd"/>
    </w:p>
    <w:p w14:paraId="7376D9B9" w14:textId="3046E70E" w:rsidR="00C64BFE" w:rsidRDefault="00C64BFE" w:rsidP="00DF40BE">
      <w:pPr>
        <w:pStyle w:val="Bullet"/>
      </w:pPr>
      <w:r>
        <w:t xml:space="preserve">the head of such a nominated special </w:t>
      </w:r>
      <w:proofErr w:type="gramStart"/>
      <w:r>
        <w:t>regulator;</w:t>
      </w:r>
      <w:proofErr w:type="gramEnd"/>
    </w:p>
    <w:p w14:paraId="3D2E87E5" w14:textId="03288DB6" w:rsidR="00C64BFE" w:rsidRDefault="00C64BFE" w:rsidP="00DF40BE">
      <w:pPr>
        <w:pStyle w:val="Bullet"/>
      </w:pPr>
      <w:r>
        <w:t>a delegate of such a nominated special regulator or of the head of such a nominated special regulator; or</w:t>
      </w:r>
    </w:p>
    <w:p w14:paraId="0297E50A" w14:textId="31E9218A" w:rsidR="00C64BFE" w:rsidRDefault="00C64BFE" w:rsidP="00DF40BE">
      <w:pPr>
        <w:pStyle w:val="Bullet"/>
      </w:pPr>
      <w:r>
        <w:t>a person prescribed by the regulations (see paragraph 26A(4)(d) of the PSRA</w:t>
      </w:r>
      <w:r w:rsidR="007D5CD1">
        <w:t xml:space="preserve"> as amended by the Bill</w:t>
      </w:r>
      <w:r>
        <w:t>).</w:t>
      </w:r>
    </w:p>
    <w:p w14:paraId="50AB005B" w14:textId="45CADB83" w:rsidR="00D36F92" w:rsidRDefault="003167F8" w:rsidP="00D36F92">
      <w:pPr>
        <w:spacing w:before="240" w:after="200"/>
      </w:pPr>
      <w:r>
        <w:t xml:space="preserve">Regulation </w:t>
      </w:r>
      <w:r w:rsidR="00C64BFE">
        <w:t>8</w:t>
      </w:r>
      <w:r>
        <w:t xml:space="preserve"> </w:t>
      </w:r>
      <w:r w:rsidR="00D36F92">
        <w:t xml:space="preserve">prescribes the following as </w:t>
      </w:r>
      <w:r w:rsidR="00A922D1">
        <w:t xml:space="preserve">persons authorised to use or disclose information </w:t>
      </w:r>
      <w:r w:rsidR="00D36F92">
        <w:t>(for the purposes of p</w:t>
      </w:r>
      <w:r w:rsidR="009D3BE9">
        <w:t>aragraph 26A(4)(d)</w:t>
      </w:r>
      <w:r w:rsidR="00046249">
        <w:t xml:space="preserve"> </w:t>
      </w:r>
      <w:r w:rsidR="00D36F92">
        <w:t>of the PSRA</w:t>
      </w:r>
      <w:r w:rsidR="003660BC">
        <w:t xml:space="preserve"> as amended by the Bill</w:t>
      </w:r>
      <w:r w:rsidR="00D36F92">
        <w:t>):</w:t>
      </w:r>
    </w:p>
    <w:p w14:paraId="4B39934D" w14:textId="77777777" w:rsidR="00D36F92" w:rsidRDefault="00D36F92" w:rsidP="00D36F92">
      <w:pPr>
        <w:pStyle w:val="Bullet"/>
      </w:pPr>
      <w:r>
        <w:t>if the nominated special regulator in relation to a special designated payment system is the Commission – each of the following:</w:t>
      </w:r>
    </w:p>
    <w:p w14:paraId="7AD4CE8E" w14:textId="5C2A2510" w:rsidR="00D36F92" w:rsidRDefault="00D36F92" w:rsidP="00D36F92">
      <w:pPr>
        <w:pStyle w:val="Bullet"/>
        <w:numPr>
          <w:ilvl w:val="0"/>
          <w:numId w:val="26"/>
        </w:numPr>
      </w:pPr>
      <w:r>
        <w:t>a member of the Commission (within the meaning of the</w:t>
      </w:r>
      <w:r w:rsidR="00E6298F">
        <w:t xml:space="preserve"> CCA</w:t>
      </w:r>
      <w:proofErr w:type="gramStart"/>
      <w:r w:rsidR="00825F89">
        <w:t>)</w:t>
      </w:r>
      <w:r>
        <w:t>;</w:t>
      </w:r>
      <w:proofErr w:type="gramEnd"/>
      <w:r>
        <w:t xml:space="preserve"> </w:t>
      </w:r>
    </w:p>
    <w:p w14:paraId="27F87001" w14:textId="4BC7DCED" w:rsidR="00FB1217" w:rsidRDefault="00FB1217" w:rsidP="00D36F92">
      <w:pPr>
        <w:pStyle w:val="Bullet"/>
        <w:numPr>
          <w:ilvl w:val="0"/>
          <w:numId w:val="26"/>
        </w:numPr>
      </w:pPr>
      <w:r>
        <w:t>an associate member of the Commission (within the meaning of th</w:t>
      </w:r>
      <w:r w:rsidR="00E6298F">
        <w:t>e CCA</w:t>
      </w:r>
      <w:proofErr w:type="gramStart"/>
      <w:r>
        <w:t>);</w:t>
      </w:r>
      <w:proofErr w:type="gramEnd"/>
    </w:p>
    <w:p w14:paraId="510518C4" w14:textId="602432A7" w:rsidR="00D36F92" w:rsidRPr="00B57ACB" w:rsidRDefault="00D36F92" w:rsidP="00D36F92">
      <w:pPr>
        <w:pStyle w:val="Bullet"/>
        <w:numPr>
          <w:ilvl w:val="0"/>
          <w:numId w:val="26"/>
        </w:numPr>
      </w:pPr>
      <w:r>
        <w:t xml:space="preserve">a person who is referred to in subsection 27(1) of the </w:t>
      </w:r>
      <w:r w:rsidRPr="00B57ACB">
        <w:t xml:space="preserve">CCA </w:t>
      </w:r>
      <w:r w:rsidR="007D4372">
        <w:t xml:space="preserve">(staff necessary to assist the Commission) </w:t>
      </w:r>
      <w:r w:rsidR="00E6298F">
        <w:t>or en</w:t>
      </w:r>
      <w:r w:rsidR="005E640A">
        <w:t xml:space="preserve">gaged under section 27A </w:t>
      </w:r>
      <w:r w:rsidR="0079503E">
        <w:t xml:space="preserve">(consultants engaged to give advice to and perform services for the Commission) </w:t>
      </w:r>
      <w:r w:rsidR="005E640A">
        <w:t>of that Act.</w:t>
      </w:r>
    </w:p>
    <w:p w14:paraId="4B9408B8" w14:textId="77777777" w:rsidR="00D36F92" w:rsidRDefault="00D36F92" w:rsidP="00D36F92">
      <w:pPr>
        <w:pStyle w:val="Bullet"/>
      </w:pPr>
      <w:r>
        <w:t>if the nominated special regulator in relation to a special designated payment system is APRA – each of the following:</w:t>
      </w:r>
    </w:p>
    <w:p w14:paraId="091F5BCE" w14:textId="1AB4ED38" w:rsidR="00D36F92" w:rsidRDefault="00D36F92" w:rsidP="00D36F92">
      <w:pPr>
        <w:pStyle w:val="Bullet"/>
        <w:numPr>
          <w:ilvl w:val="0"/>
          <w:numId w:val="26"/>
        </w:numPr>
      </w:pPr>
      <w:r>
        <w:t>an APRA member (within the meaning of the</w:t>
      </w:r>
      <w:r w:rsidR="00234A9F">
        <w:t xml:space="preserve"> APRA Act</w:t>
      </w:r>
      <w:r>
        <w:t>)</w:t>
      </w:r>
      <w:r w:rsidR="00CE7751">
        <w:t xml:space="preserve">, other than the Chair of </w:t>
      </w:r>
      <w:proofErr w:type="gramStart"/>
      <w:r w:rsidR="00CE7751">
        <w:t>APRA;</w:t>
      </w:r>
      <w:proofErr w:type="gramEnd"/>
    </w:p>
    <w:p w14:paraId="1311A2F7" w14:textId="6DDA7051" w:rsidR="00D36F92" w:rsidRPr="00B57ACB" w:rsidRDefault="00D36F92" w:rsidP="00D36F92">
      <w:pPr>
        <w:pStyle w:val="Bullet"/>
        <w:numPr>
          <w:ilvl w:val="0"/>
          <w:numId w:val="26"/>
        </w:numPr>
      </w:pPr>
      <w:r>
        <w:t>a</w:t>
      </w:r>
      <w:r w:rsidR="00CE7751">
        <w:t>n APRA staff member (within the meaning of the</w:t>
      </w:r>
      <w:r w:rsidR="00234A9F">
        <w:t xml:space="preserve"> APRA Act</w:t>
      </w:r>
      <w:r w:rsidR="00CE7751">
        <w:t>).</w:t>
      </w:r>
    </w:p>
    <w:p w14:paraId="26A588E4" w14:textId="77777777" w:rsidR="00D36F92" w:rsidRDefault="00D36F92" w:rsidP="00D36F92">
      <w:pPr>
        <w:pStyle w:val="Bullet"/>
      </w:pPr>
      <w:r>
        <w:t>if the nominated special regulator in relation to a special designated payment system is ASIC – each of the following:</w:t>
      </w:r>
    </w:p>
    <w:p w14:paraId="37815E48" w14:textId="77777777" w:rsidR="00D36F92" w:rsidRDefault="00D36F92" w:rsidP="00D36F92">
      <w:pPr>
        <w:pStyle w:val="Bullet"/>
        <w:numPr>
          <w:ilvl w:val="0"/>
          <w:numId w:val="26"/>
        </w:numPr>
      </w:pPr>
      <w:r>
        <w:t xml:space="preserve">a </w:t>
      </w:r>
      <w:r w:rsidRPr="00DD6AEF">
        <w:t xml:space="preserve">member of ASIC (within the meaning of the </w:t>
      </w:r>
      <w:r>
        <w:t>ASIC Act</w:t>
      </w:r>
      <w:proofErr w:type="gramStart"/>
      <w:r w:rsidRPr="00DD6AEF">
        <w:t>);</w:t>
      </w:r>
      <w:proofErr w:type="gramEnd"/>
    </w:p>
    <w:p w14:paraId="790AC69F" w14:textId="11081203" w:rsidR="00D36F92" w:rsidRDefault="00D36F92" w:rsidP="00D36F92">
      <w:pPr>
        <w:pStyle w:val="Bullet"/>
        <w:numPr>
          <w:ilvl w:val="0"/>
          <w:numId w:val="26"/>
        </w:numPr>
      </w:pPr>
      <w:r>
        <w:t xml:space="preserve">a </w:t>
      </w:r>
      <w:r w:rsidRPr="006E0A91">
        <w:t xml:space="preserve">staff member (within the meaning of </w:t>
      </w:r>
      <w:r>
        <w:t xml:space="preserve">the </w:t>
      </w:r>
      <w:r w:rsidRPr="00A849FF">
        <w:t>ASIC Act</w:t>
      </w:r>
      <w:r w:rsidR="00E95D2E">
        <w:t>)</w:t>
      </w:r>
      <w:r>
        <w:t>.</w:t>
      </w:r>
    </w:p>
    <w:p w14:paraId="2D72B321" w14:textId="296ADB1E" w:rsidR="00D36F92" w:rsidRDefault="00D36F92" w:rsidP="00D36F92">
      <w:pPr>
        <w:pStyle w:val="Bullet"/>
      </w:pPr>
      <w:r>
        <w:t>if the nominated special regulator in relation to a special designated payment system is AUSTRAC – a</w:t>
      </w:r>
      <w:r w:rsidR="008168D0">
        <w:t xml:space="preserve">n AUSTRAC entrusted person (within the meaning </w:t>
      </w:r>
      <w:r w:rsidR="008168D0" w:rsidRPr="00A33F87">
        <w:t>of the</w:t>
      </w:r>
      <w:r w:rsidR="00203EB4">
        <w:t xml:space="preserve"> AMLCTF</w:t>
      </w:r>
      <w:r w:rsidR="00563ACF">
        <w:t xml:space="preserve"> Act</w:t>
      </w:r>
      <w:r w:rsidR="008168D0">
        <w:t>).</w:t>
      </w:r>
    </w:p>
    <w:p w14:paraId="307CDC22" w14:textId="7DF82C53" w:rsidR="00940364" w:rsidRPr="00BB0BAC" w:rsidRDefault="00940364" w:rsidP="00D36F92">
      <w:pPr>
        <w:spacing w:before="240" w:after="200"/>
        <w:rPr>
          <w:b/>
          <w:bCs/>
          <w:i/>
          <w:iCs/>
        </w:rPr>
      </w:pPr>
      <w:r>
        <w:rPr>
          <w:b/>
          <w:bCs/>
          <w:i/>
          <w:iCs/>
        </w:rPr>
        <w:t xml:space="preserve">Regulation 9 – </w:t>
      </w:r>
      <w:r w:rsidRPr="00BB0BAC">
        <w:rPr>
          <w:b/>
          <w:bCs/>
          <w:i/>
          <w:iCs/>
        </w:rPr>
        <w:t xml:space="preserve">Prescribing </w:t>
      </w:r>
      <w:r>
        <w:rPr>
          <w:b/>
          <w:bCs/>
          <w:i/>
          <w:iCs/>
        </w:rPr>
        <w:t>persons protected from civil liability (in relation to nominated special regulators)</w:t>
      </w:r>
    </w:p>
    <w:p w14:paraId="4115C7A3" w14:textId="3E51AFCA" w:rsidR="00940364" w:rsidRDefault="00940364" w:rsidP="00940364">
      <w:pPr>
        <w:spacing w:before="240" w:after="200"/>
      </w:pPr>
      <w:r>
        <w:t xml:space="preserve">The amendments in Schedule </w:t>
      </w:r>
      <w:r w:rsidR="00A46F60">
        <w:t>1</w:t>
      </w:r>
      <w:r>
        <w:t xml:space="preserve"> to the </w:t>
      </w:r>
      <w:r w:rsidR="00AA6251">
        <w:t>Bill</w:t>
      </w:r>
      <w:r>
        <w:t xml:space="preserve"> </w:t>
      </w:r>
      <w:r w:rsidR="006B5EB9">
        <w:t>provide that</w:t>
      </w:r>
      <w:r w:rsidR="005227D1">
        <w:t>:</w:t>
      </w:r>
    </w:p>
    <w:p w14:paraId="0F509DE9" w14:textId="6EFF26C1" w:rsidR="005227D1" w:rsidRDefault="005227D1" w:rsidP="005227D1">
      <w:pPr>
        <w:pStyle w:val="Bullet"/>
      </w:pPr>
      <w:r>
        <w:t>a nominated special regulator (other than the RBA</w:t>
      </w:r>
      <w:proofErr w:type="gramStart"/>
      <w:r>
        <w:t>);</w:t>
      </w:r>
      <w:proofErr w:type="gramEnd"/>
    </w:p>
    <w:p w14:paraId="22C6A2C7" w14:textId="77777777" w:rsidR="005227D1" w:rsidRDefault="005227D1" w:rsidP="005227D1">
      <w:pPr>
        <w:pStyle w:val="Bullet"/>
      </w:pPr>
      <w:r>
        <w:lastRenderedPageBreak/>
        <w:t xml:space="preserve">the head of such a nominated special </w:t>
      </w:r>
      <w:proofErr w:type="gramStart"/>
      <w:r>
        <w:t>regulator;</w:t>
      </w:r>
      <w:proofErr w:type="gramEnd"/>
    </w:p>
    <w:p w14:paraId="395F696F" w14:textId="77777777" w:rsidR="005227D1" w:rsidRDefault="005227D1" w:rsidP="005227D1">
      <w:pPr>
        <w:pStyle w:val="Bullet"/>
      </w:pPr>
      <w:r>
        <w:t>a delegate of such a nominated special regulator or of the head of such a nominated special regulator; or</w:t>
      </w:r>
    </w:p>
    <w:p w14:paraId="1C5CA98F" w14:textId="3F518A3F" w:rsidR="005227D1" w:rsidRDefault="005227D1" w:rsidP="005227D1">
      <w:pPr>
        <w:pStyle w:val="Bullet"/>
      </w:pPr>
      <w:r>
        <w:t>a person prescribed by the regulations</w:t>
      </w:r>
      <w:r w:rsidR="00D137FB">
        <w:t xml:space="preserve"> in relation to such a nominated special regulator</w:t>
      </w:r>
      <w:r>
        <w:t xml:space="preserve"> (see paragraph </w:t>
      </w:r>
      <w:r w:rsidR="00A1536C">
        <w:t>30B</w:t>
      </w:r>
      <w:r>
        <w:t>(4)(d) of the PSRA</w:t>
      </w:r>
      <w:r w:rsidR="00760876">
        <w:t xml:space="preserve"> as amended by the Bill</w:t>
      </w:r>
      <w:proofErr w:type="gramStart"/>
      <w:r>
        <w:t>)</w:t>
      </w:r>
      <w:r w:rsidR="00CB5D4C">
        <w:t>;</w:t>
      </w:r>
      <w:proofErr w:type="gramEnd"/>
    </w:p>
    <w:p w14:paraId="19669239" w14:textId="1ECDF7B3" w:rsidR="00CB5D4C" w:rsidRDefault="00CB5D4C" w:rsidP="00CB5D4C">
      <w:pPr>
        <w:pStyle w:val="Bullet"/>
        <w:numPr>
          <w:ilvl w:val="0"/>
          <w:numId w:val="0"/>
        </w:numPr>
      </w:pPr>
      <w:r>
        <w:t>is not subject to civil liability</w:t>
      </w:r>
      <w:r w:rsidR="0057289D">
        <w:t xml:space="preserve"> in respect of an act or omission if the act or omission relates to a special designated payment system, and is done in good faith in the performance or exercise (or purported performance or exercise) of a function or power under the PSRA, or for the purposes of assisting another person to perform or exercise a function or power under the PSRA. If the act or omission contravenes a direction given by the Minister or a delegator, the person must have attempted in good faith to comply with the direction.</w:t>
      </w:r>
    </w:p>
    <w:p w14:paraId="617FAB02" w14:textId="6FC67675" w:rsidR="00D81A08" w:rsidRDefault="00D81A08" w:rsidP="00D81A08">
      <w:pPr>
        <w:spacing w:before="240" w:after="200"/>
      </w:pPr>
      <w:r>
        <w:t xml:space="preserve">Regulation 9 prescribes the following as persons </w:t>
      </w:r>
      <w:r w:rsidR="003B2FEC">
        <w:t>protected from civil liability</w:t>
      </w:r>
      <w:r>
        <w:t xml:space="preserve"> (for the purposes of paragraph </w:t>
      </w:r>
      <w:r w:rsidR="003B2FEC">
        <w:t xml:space="preserve">30B(4)(d) </w:t>
      </w:r>
      <w:r>
        <w:t>of the PSRA</w:t>
      </w:r>
      <w:r w:rsidR="000C314D">
        <w:t xml:space="preserve"> as amended by the Bill</w:t>
      </w:r>
      <w:r>
        <w:t>):</w:t>
      </w:r>
    </w:p>
    <w:p w14:paraId="79D04E41" w14:textId="1746D7C9" w:rsidR="00D81A08" w:rsidRDefault="00D81A08" w:rsidP="00D81A08">
      <w:pPr>
        <w:pStyle w:val="Bullet"/>
      </w:pPr>
      <w:r>
        <w:t>if the nominated special regulator is the Commission – each of the following:</w:t>
      </w:r>
    </w:p>
    <w:p w14:paraId="47570E59" w14:textId="3CD8B54F" w:rsidR="00D81A08" w:rsidRDefault="00D81A08" w:rsidP="00D81A08">
      <w:pPr>
        <w:pStyle w:val="Bullet"/>
        <w:numPr>
          <w:ilvl w:val="0"/>
          <w:numId w:val="26"/>
        </w:numPr>
      </w:pPr>
      <w:r>
        <w:t>a member of the Commission (within the meaning of the CCA</w:t>
      </w:r>
      <w:proofErr w:type="gramStart"/>
      <w:r>
        <w:t>);</w:t>
      </w:r>
      <w:proofErr w:type="gramEnd"/>
      <w:r>
        <w:t xml:space="preserve"> </w:t>
      </w:r>
    </w:p>
    <w:p w14:paraId="71CE3430" w14:textId="77777777" w:rsidR="00D81A08" w:rsidRDefault="00D81A08" w:rsidP="00D81A08">
      <w:pPr>
        <w:pStyle w:val="Bullet"/>
        <w:numPr>
          <w:ilvl w:val="0"/>
          <w:numId w:val="26"/>
        </w:numPr>
      </w:pPr>
      <w:r>
        <w:t>an associate member of the Commission (within the meaning of the CCA</w:t>
      </w:r>
      <w:proofErr w:type="gramStart"/>
      <w:r>
        <w:t>);</w:t>
      </w:r>
      <w:proofErr w:type="gramEnd"/>
    </w:p>
    <w:p w14:paraId="0EB4F6B3" w14:textId="77777777" w:rsidR="00D81A08" w:rsidRPr="00B57ACB" w:rsidRDefault="00D81A08" w:rsidP="00D81A08">
      <w:pPr>
        <w:pStyle w:val="Bullet"/>
        <w:numPr>
          <w:ilvl w:val="0"/>
          <w:numId w:val="26"/>
        </w:numPr>
      </w:pPr>
      <w:r>
        <w:t xml:space="preserve">a person who is referred to in subsection 27(1) of the </w:t>
      </w:r>
      <w:r w:rsidRPr="00B57ACB">
        <w:t xml:space="preserve">CCA </w:t>
      </w:r>
      <w:r>
        <w:t>or engaged under section 27A of that Act.</w:t>
      </w:r>
    </w:p>
    <w:p w14:paraId="4F68DBD0" w14:textId="13D0E8DA" w:rsidR="00D81A08" w:rsidRDefault="00D81A08" w:rsidP="00D81A08">
      <w:pPr>
        <w:pStyle w:val="Bullet"/>
      </w:pPr>
      <w:r>
        <w:t>if the nominated special regulator is APRA – each of the following:</w:t>
      </w:r>
    </w:p>
    <w:p w14:paraId="04C5898A" w14:textId="43CA3519" w:rsidR="00D81A08" w:rsidRDefault="00D81A08" w:rsidP="00D81A08">
      <w:pPr>
        <w:pStyle w:val="Bullet"/>
        <w:numPr>
          <w:ilvl w:val="0"/>
          <w:numId w:val="26"/>
        </w:numPr>
      </w:pPr>
      <w:r>
        <w:t>an APRA member (within the meaning of the</w:t>
      </w:r>
      <w:r w:rsidR="00234A9F">
        <w:t xml:space="preserve"> APRA Act</w:t>
      </w:r>
      <w:r>
        <w:t xml:space="preserve">), other than the Chair of </w:t>
      </w:r>
      <w:proofErr w:type="gramStart"/>
      <w:r>
        <w:t>APRA;</w:t>
      </w:r>
      <w:proofErr w:type="gramEnd"/>
    </w:p>
    <w:p w14:paraId="293A37D8" w14:textId="3F63DA4C" w:rsidR="00D81A08" w:rsidRPr="00B57ACB" w:rsidRDefault="00D81A08" w:rsidP="00D81A08">
      <w:pPr>
        <w:pStyle w:val="Bullet"/>
        <w:numPr>
          <w:ilvl w:val="0"/>
          <w:numId w:val="26"/>
        </w:numPr>
      </w:pPr>
      <w:r>
        <w:t xml:space="preserve">an APRA staff member (within the meaning of the </w:t>
      </w:r>
      <w:r w:rsidR="00234A9F">
        <w:t>APRA Act</w:t>
      </w:r>
      <w:r>
        <w:t>).</w:t>
      </w:r>
    </w:p>
    <w:p w14:paraId="397D2299" w14:textId="5081BAD3" w:rsidR="00D81A08" w:rsidRDefault="00D81A08" w:rsidP="00D81A08">
      <w:pPr>
        <w:pStyle w:val="Bullet"/>
      </w:pPr>
      <w:r>
        <w:t>if the nominated special regulator is ASIC – each of the following:</w:t>
      </w:r>
    </w:p>
    <w:p w14:paraId="10A52C37" w14:textId="77777777" w:rsidR="00D81A08" w:rsidRDefault="00D81A08" w:rsidP="00D81A08">
      <w:pPr>
        <w:pStyle w:val="Bullet"/>
        <w:numPr>
          <w:ilvl w:val="0"/>
          <w:numId w:val="26"/>
        </w:numPr>
      </w:pPr>
      <w:r>
        <w:t xml:space="preserve">a </w:t>
      </w:r>
      <w:r w:rsidRPr="00DD6AEF">
        <w:t xml:space="preserve">member of ASIC (within the meaning of the </w:t>
      </w:r>
      <w:r>
        <w:t>ASIC Act</w:t>
      </w:r>
      <w:proofErr w:type="gramStart"/>
      <w:r w:rsidRPr="00DD6AEF">
        <w:t>);</w:t>
      </w:r>
      <w:proofErr w:type="gramEnd"/>
    </w:p>
    <w:p w14:paraId="2B9DEB49" w14:textId="77777777" w:rsidR="00D81A08" w:rsidRDefault="00D81A08" w:rsidP="00D81A08">
      <w:pPr>
        <w:pStyle w:val="Bullet"/>
        <w:numPr>
          <w:ilvl w:val="0"/>
          <w:numId w:val="26"/>
        </w:numPr>
      </w:pPr>
      <w:r>
        <w:t xml:space="preserve">a </w:t>
      </w:r>
      <w:r w:rsidRPr="006E0A91">
        <w:t xml:space="preserve">staff member (within the meaning of </w:t>
      </w:r>
      <w:r>
        <w:t xml:space="preserve">the </w:t>
      </w:r>
      <w:r w:rsidRPr="00A849FF">
        <w:t>ASIC Act</w:t>
      </w:r>
      <w:r>
        <w:t>).</w:t>
      </w:r>
    </w:p>
    <w:p w14:paraId="645816ED" w14:textId="2D91F4A0" w:rsidR="00D81A08" w:rsidRDefault="00D81A08" w:rsidP="00D81A08">
      <w:pPr>
        <w:pStyle w:val="Bullet"/>
      </w:pPr>
      <w:r>
        <w:t xml:space="preserve">if the nominated special regulator is AUSTRAC – an AUSTRAC entrusted person (within the meaning </w:t>
      </w:r>
      <w:r w:rsidRPr="00A33F87">
        <w:t>of the</w:t>
      </w:r>
      <w:r w:rsidR="00203EB4">
        <w:t xml:space="preserve"> AMLCTF Act</w:t>
      </w:r>
      <w:r>
        <w:t>).</w:t>
      </w:r>
    </w:p>
    <w:p w14:paraId="35D66E68" w14:textId="761085DD" w:rsidR="00A667C0" w:rsidRPr="000F51D2" w:rsidRDefault="00A667C0" w:rsidP="00466DD5">
      <w:pPr>
        <w:spacing w:before="240" w:after="200"/>
        <w:rPr>
          <w:b/>
          <w:bCs/>
          <w:u w:val="single"/>
        </w:rPr>
      </w:pPr>
      <w:r w:rsidRPr="000F51D2">
        <w:rPr>
          <w:b/>
          <w:bCs/>
          <w:u w:val="single"/>
        </w:rPr>
        <w:t xml:space="preserve">Schedule 2 – </w:t>
      </w:r>
      <w:r w:rsidR="003239A6" w:rsidRPr="000F51D2">
        <w:rPr>
          <w:b/>
          <w:bCs/>
          <w:u w:val="single"/>
        </w:rPr>
        <w:t>Other amendments</w:t>
      </w:r>
    </w:p>
    <w:p w14:paraId="3815C5A8" w14:textId="5D7F6793" w:rsidR="00AF0EBD" w:rsidRDefault="00813590" w:rsidP="00AF0EBD">
      <w:pPr>
        <w:spacing w:before="240" w:after="200"/>
        <w:rPr>
          <w:i/>
          <w:iCs/>
        </w:rPr>
      </w:pPr>
      <w:r w:rsidRPr="00813590">
        <w:rPr>
          <w:i/>
          <w:iCs/>
        </w:rPr>
        <w:t>Australian Securities and Investments Commission Regulations 2001</w:t>
      </w:r>
    </w:p>
    <w:p w14:paraId="564E4A0B" w14:textId="77777777" w:rsidR="00EA2E4F" w:rsidRPr="00A26EBA" w:rsidRDefault="00EA2E4F" w:rsidP="00EA2E4F">
      <w:pPr>
        <w:spacing w:before="240" w:after="200"/>
        <w:rPr>
          <w:i/>
          <w:iCs/>
        </w:rPr>
      </w:pPr>
      <w:r w:rsidRPr="00AA5E71">
        <w:rPr>
          <w:i/>
          <w:iCs/>
        </w:rPr>
        <w:t>Corporations Regulations 2001</w:t>
      </w:r>
    </w:p>
    <w:p w14:paraId="364C90E7" w14:textId="2030CCE1" w:rsidR="00AF0EBD" w:rsidRPr="00960704" w:rsidRDefault="00AF0EBD" w:rsidP="00AF0EBD">
      <w:pPr>
        <w:spacing w:before="240" w:after="200"/>
        <w:rPr>
          <w:u w:val="single"/>
        </w:rPr>
      </w:pPr>
      <w:r w:rsidRPr="00960704">
        <w:rPr>
          <w:u w:val="single"/>
        </w:rPr>
        <w:t>Item</w:t>
      </w:r>
      <w:r w:rsidR="00EA2E4F">
        <w:rPr>
          <w:u w:val="single"/>
        </w:rPr>
        <w:t>s</w:t>
      </w:r>
      <w:r w:rsidRPr="00960704">
        <w:rPr>
          <w:u w:val="single"/>
        </w:rPr>
        <w:t xml:space="preserve"> 1</w:t>
      </w:r>
      <w:r w:rsidR="00EA2E4F">
        <w:rPr>
          <w:u w:val="single"/>
        </w:rPr>
        <w:t xml:space="preserve"> and 2</w:t>
      </w:r>
      <w:r w:rsidRPr="00960704">
        <w:rPr>
          <w:u w:val="single"/>
        </w:rPr>
        <w:t xml:space="preserve"> – </w:t>
      </w:r>
      <w:r w:rsidR="00A34404">
        <w:rPr>
          <w:u w:val="single"/>
        </w:rPr>
        <w:t>Specific things that are not financial products</w:t>
      </w:r>
      <w:r w:rsidR="00023D51">
        <w:rPr>
          <w:u w:val="single"/>
        </w:rPr>
        <w:t xml:space="preserve"> </w:t>
      </w:r>
    </w:p>
    <w:p w14:paraId="5EE55E84" w14:textId="0D3E6537" w:rsidR="00617149" w:rsidRDefault="00617149" w:rsidP="00617149">
      <w:pPr>
        <w:spacing w:before="240" w:after="200"/>
      </w:pPr>
      <w:r>
        <w:t xml:space="preserve">Subsection 12BAA(8) of the ASIC Act provides a list of specific things that are not financial products for the purposes of Division 2 of the ASIC Act. This includes a facility </w:t>
      </w:r>
      <w:r>
        <w:lastRenderedPageBreak/>
        <w:t xml:space="preserve">that is a designated payment system for the purposes of the PSRA. Schedule </w:t>
      </w:r>
      <w:r w:rsidR="00185EB9">
        <w:t>1</w:t>
      </w:r>
      <w:r>
        <w:t xml:space="preserve"> to the </w:t>
      </w:r>
      <w:r w:rsidR="00EF6C19">
        <w:t>Bill</w:t>
      </w:r>
      <w:r w:rsidR="00424007">
        <w:t xml:space="preserve"> </w:t>
      </w:r>
      <w:r>
        <w:t xml:space="preserve">amends this provision to provide that a facility that is a designated payment system or a special designated payment system (or both) will not be a financial product for the purposes of </w:t>
      </w:r>
      <w:r w:rsidR="00DD435F" w:rsidRPr="00D8224B">
        <w:t xml:space="preserve">Division 2 of the ASIC Act </w:t>
      </w:r>
      <w:r w:rsidRPr="00D8224B">
        <w:t>where it is declared by regulations not to be a financial product</w:t>
      </w:r>
      <w:r w:rsidR="009D6EC5" w:rsidRPr="00D8224B">
        <w:t xml:space="preserve"> (see paragraph 12BAA(8)(e)</w:t>
      </w:r>
      <w:r w:rsidR="0081365F" w:rsidRPr="00D8224B">
        <w:t xml:space="preserve"> </w:t>
      </w:r>
      <w:r w:rsidR="009D6EC5" w:rsidRPr="00D8224B">
        <w:t xml:space="preserve">of the </w:t>
      </w:r>
      <w:r w:rsidR="00123C7A" w:rsidRPr="00D8224B">
        <w:t>ASIC Act</w:t>
      </w:r>
      <w:r w:rsidR="004A3E33" w:rsidRPr="00D8224B">
        <w:t xml:space="preserve"> as amended by the Bill</w:t>
      </w:r>
      <w:r w:rsidR="009D6EC5" w:rsidRPr="00D8224B">
        <w:t>).</w:t>
      </w:r>
    </w:p>
    <w:p w14:paraId="55AB2E91" w14:textId="0FC68903" w:rsidR="00D107AD" w:rsidRPr="00D8224B" w:rsidRDefault="00D107AD" w:rsidP="00D107AD">
      <w:pPr>
        <w:spacing w:before="240" w:after="200"/>
      </w:pPr>
      <w:r>
        <w:t xml:space="preserve">Section 765A of the Corporations Act provides a list of specific things that are not financial products for the purposes of Chapter 7 of the Corporations Act. This includes a facility that is a designated payment system for the purposes of the PSRA. Schedule </w:t>
      </w:r>
      <w:r w:rsidR="00185EB9">
        <w:t>1</w:t>
      </w:r>
      <w:r>
        <w:t xml:space="preserve"> to the Bill amends this provision to provide that a facility that is a designated payment system or a special designated payment system (or both) will not be a financial product for the purposes of Chapter 7 of the Corporations Act</w:t>
      </w:r>
      <w:r w:rsidRPr="00D8224B">
        <w:t xml:space="preserve"> where it is declared by regulations not to be a financial product (see paragraph </w:t>
      </w:r>
      <w:r>
        <w:t>765A</w:t>
      </w:r>
      <w:r w:rsidRPr="00D8224B">
        <w:t>(</w:t>
      </w:r>
      <w:r>
        <w:t>1</w:t>
      </w:r>
      <w:r w:rsidRPr="00D8224B">
        <w:t>)(</w:t>
      </w:r>
      <w:r>
        <w:t>j</w:t>
      </w:r>
      <w:r w:rsidRPr="00D8224B">
        <w:t xml:space="preserve">) of the </w:t>
      </w:r>
      <w:r>
        <w:t>Corporations</w:t>
      </w:r>
      <w:r w:rsidRPr="00D8224B">
        <w:t xml:space="preserve"> Act as amended by the Bill).</w:t>
      </w:r>
    </w:p>
    <w:p w14:paraId="23265468" w14:textId="071F91EC" w:rsidR="00D107AD" w:rsidRDefault="00D107AD" w:rsidP="00D107AD">
      <w:pPr>
        <w:spacing w:before="240" w:after="200"/>
      </w:pPr>
      <w:r w:rsidRPr="00D8224B">
        <w:t xml:space="preserve">Regulation 2BAA </w:t>
      </w:r>
      <w:r>
        <w:t>of the ASIC Regulations and r</w:t>
      </w:r>
      <w:r w:rsidRPr="00D8224B">
        <w:t xml:space="preserve">egulation </w:t>
      </w:r>
      <w:r>
        <w:t>7.1.04P</w:t>
      </w:r>
      <w:r w:rsidRPr="00D8224B">
        <w:t xml:space="preserve"> </w:t>
      </w:r>
      <w:r>
        <w:t xml:space="preserve">of the Corporations Regulations </w:t>
      </w:r>
      <w:r w:rsidRPr="00D8224B">
        <w:t>declare that each of the following is not a financial product (for the purposes of paragraph 12BAA(8</w:t>
      </w:r>
      <w:r>
        <w:t>)(e) of the ASIC Act</w:t>
      </w:r>
      <w:r w:rsidRPr="00D8224B">
        <w:t xml:space="preserve"> </w:t>
      </w:r>
      <w:r>
        <w:t>as amended by the Bill</w:t>
      </w:r>
      <w:r w:rsidRPr="00D8224B">
        <w:t xml:space="preserve"> </w:t>
      </w:r>
      <w:r>
        <w:t xml:space="preserve">and </w:t>
      </w:r>
      <w:r w:rsidRPr="00D8224B">
        <w:t xml:space="preserve">paragraph </w:t>
      </w:r>
      <w:r>
        <w:t>765A</w:t>
      </w:r>
      <w:r w:rsidRPr="00D8224B">
        <w:t>(</w:t>
      </w:r>
      <w:r>
        <w:t>1</w:t>
      </w:r>
      <w:r w:rsidRPr="00D8224B">
        <w:t>)(</w:t>
      </w:r>
      <w:r>
        <w:t>j</w:t>
      </w:r>
      <w:r w:rsidRPr="00D8224B">
        <w:t xml:space="preserve">) of the </w:t>
      </w:r>
      <w:r>
        <w:t>Corporations</w:t>
      </w:r>
      <w:r w:rsidRPr="00D8224B">
        <w:t xml:space="preserve"> Act </w:t>
      </w:r>
      <w:r>
        <w:t>as amended by the Bill</w:t>
      </w:r>
      <w:r w:rsidR="00DC1B62">
        <w:t xml:space="preserve">, </w:t>
      </w:r>
      <w:r>
        <w:t>respectively):</w:t>
      </w:r>
    </w:p>
    <w:p w14:paraId="60110E28" w14:textId="43872A4E" w:rsidR="00B814A6" w:rsidRDefault="00020E67" w:rsidP="00B814A6">
      <w:pPr>
        <w:pStyle w:val="Bullet"/>
      </w:pPr>
      <w:r>
        <w:t>t</w:t>
      </w:r>
      <w:r w:rsidRPr="00020E67">
        <w:t xml:space="preserve">he credit card system operated within Australia known as the MasterCard system or MasterCard network card system and designated as a payment system under section 11 of the </w:t>
      </w:r>
      <w:r w:rsidR="00472777">
        <w:t>PSRA</w:t>
      </w:r>
      <w:r w:rsidRPr="00020E67">
        <w:t xml:space="preserve"> on 12 April 2001</w:t>
      </w:r>
      <w:r w:rsidR="00414F9C">
        <w:t xml:space="preserve">. </w:t>
      </w:r>
      <w:r w:rsidR="0088030E">
        <w:t>Notification of</w:t>
      </w:r>
      <w:r w:rsidR="006E36BD">
        <w:t xml:space="preserve"> des</w:t>
      </w:r>
      <w:r w:rsidR="00533969">
        <w:t xml:space="preserve">ignation </w:t>
      </w:r>
      <w:r w:rsidR="00B814A6">
        <w:t xml:space="preserve">through the </w:t>
      </w:r>
      <w:r w:rsidR="00B814A6" w:rsidRPr="0065661E">
        <w:t xml:space="preserve">Commonwealth of Australia Special Gazette No S </w:t>
      </w:r>
      <w:r w:rsidR="00C11F24">
        <w:t>130</w:t>
      </w:r>
      <w:r w:rsidR="00B814A6" w:rsidRPr="0065661E">
        <w:t xml:space="preserve"> of </w:t>
      </w:r>
      <w:r w:rsidR="00C11F24">
        <w:t>12 April 2001</w:t>
      </w:r>
      <w:r w:rsidR="00B814A6" w:rsidRPr="0065661E">
        <w:t xml:space="preserve"> could be accessed on the Federal Register of Legislation https://www.legislation.gov.au.</w:t>
      </w:r>
    </w:p>
    <w:p w14:paraId="4D1B7FE9" w14:textId="09F55E14" w:rsidR="00472777" w:rsidRDefault="00472777" w:rsidP="00472777">
      <w:pPr>
        <w:pStyle w:val="Bullet"/>
      </w:pPr>
      <w:r>
        <w:t xml:space="preserve">the credit card system operated within Australia known as the VISA system or the VISA network card system and designated as a payment system under section 11 of the </w:t>
      </w:r>
      <w:r w:rsidR="002878CC">
        <w:t>PSRA</w:t>
      </w:r>
      <w:r>
        <w:t xml:space="preserve"> on 12 April 2001</w:t>
      </w:r>
      <w:r w:rsidR="00E03AB5">
        <w:t>.</w:t>
      </w:r>
      <w:r w:rsidR="00E03AB5" w:rsidRPr="00E03AB5">
        <w:t xml:space="preserve"> </w:t>
      </w:r>
      <w:r w:rsidR="00E03AB5">
        <w:t xml:space="preserve">Notification of designation through the </w:t>
      </w:r>
      <w:r w:rsidR="00E03AB5" w:rsidRPr="0065661E">
        <w:t xml:space="preserve">Commonwealth of Australia Special Gazette No S </w:t>
      </w:r>
      <w:r w:rsidR="00E03AB5">
        <w:t>130</w:t>
      </w:r>
      <w:r w:rsidR="00E03AB5" w:rsidRPr="0065661E">
        <w:t xml:space="preserve"> of </w:t>
      </w:r>
      <w:r w:rsidR="00E03AB5">
        <w:t>12 April 2001</w:t>
      </w:r>
      <w:r w:rsidR="00E03AB5" w:rsidRPr="0065661E">
        <w:t xml:space="preserve"> could be accessed on the Federal Register of Legislation https://www.legislation.gov.au.</w:t>
      </w:r>
    </w:p>
    <w:p w14:paraId="2BB1A8CC" w14:textId="27FF50DC" w:rsidR="00472777" w:rsidRDefault="00472777" w:rsidP="00472777">
      <w:pPr>
        <w:pStyle w:val="Bullet"/>
      </w:pPr>
      <w:r>
        <w:t xml:space="preserve">the debit card system operated within Australia known as Visa debit and designated as a payment system under section 11 of the </w:t>
      </w:r>
      <w:r w:rsidR="002878CC">
        <w:t xml:space="preserve">PSRA </w:t>
      </w:r>
      <w:r>
        <w:t>on 23 February 2004</w:t>
      </w:r>
      <w:r w:rsidR="00E03AB5">
        <w:t>.</w:t>
      </w:r>
      <w:r w:rsidR="00E03AB5" w:rsidRPr="00E03AB5">
        <w:t xml:space="preserve"> </w:t>
      </w:r>
      <w:r w:rsidR="00E03AB5">
        <w:t xml:space="preserve">Notification of designation through the </w:t>
      </w:r>
      <w:r w:rsidR="00E03AB5" w:rsidRPr="0065661E">
        <w:t xml:space="preserve">Commonwealth of Australia Special Gazette No S </w:t>
      </w:r>
      <w:r w:rsidR="00E03AB5">
        <w:t xml:space="preserve">41 </w:t>
      </w:r>
      <w:r w:rsidR="00E03AB5" w:rsidRPr="0065661E">
        <w:t xml:space="preserve">of </w:t>
      </w:r>
      <w:r w:rsidR="00E03AB5">
        <w:t>23 February 2004</w:t>
      </w:r>
      <w:r w:rsidR="00E03AB5" w:rsidRPr="0065661E">
        <w:t xml:space="preserve"> could be accessed on the Federal Register of Legislation https://www.legislation.gov.au.</w:t>
      </w:r>
    </w:p>
    <w:p w14:paraId="38EE3F03" w14:textId="15B9B045" w:rsidR="00472777" w:rsidRDefault="00472777" w:rsidP="00472777">
      <w:pPr>
        <w:pStyle w:val="Bullet"/>
      </w:pPr>
      <w:r>
        <w:t xml:space="preserve">the payment system operated within Australia known as the ATM system and designated by </w:t>
      </w:r>
      <w:r w:rsidRPr="00A11FFC">
        <w:rPr>
          <w:i/>
          <w:iCs/>
        </w:rPr>
        <w:t>Designation No 1 of 2008</w:t>
      </w:r>
      <w:r>
        <w:t xml:space="preserve"> as a payment system under section 11 of the </w:t>
      </w:r>
      <w:r w:rsidR="005A7110">
        <w:t>PSRA</w:t>
      </w:r>
      <w:r>
        <w:t xml:space="preserve"> on 10 December 2008</w:t>
      </w:r>
      <w:r w:rsidR="002F5244">
        <w:t>.</w:t>
      </w:r>
      <w:r w:rsidR="002F5244" w:rsidRPr="002F5244">
        <w:t xml:space="preserve"> </w:t>
      </w:r>
      <w:r w:rsidR="002F5244">
        <w:t xml:space="preserve">Notification of designation through the </w:t>
      </w:r>
      <w:r w:rsidR="002F5244" w:rsidRPr="0065661E">
        <w:t xml:space="preserve">Commonwealth of Australia Special Gazette No S </w:t>
      </w:r>
      <w:r w:rsidR="002F5244">
        <w:t>271</w:t>
      </w:r>
      <w:r w:rsidR="002F5244" w:rsidRPr="0065661E">
        <w:t xml:space="preserve"> of </w:t>
      </w:r>
      <w:r w:rsidR="002F5244">
        <w:t xml:space="preserve">10 December 2008 </w:t>
      </w:r>
      <w:r w:rsidR="002F5244" w:rsidRPr="0065661E">
        <w:t xml:space="preserve">could be accessed on </w:t>
      </w:r>
      <w:r w:rsidR="002F5244" w:rsidRPr="00A22C98">
        <w:t>the Federal Register of Legislation https://www.legislation.gov.au.</w:t>
      </w:r>
      <w:r w:rsidR="00A0732A" w:rsidRPr="00A22C98">
        <w:t xml:space="preserve"> </w:t>
      </w:r>
      <w:r w:rsidR="00D86A56" w:rsidRPr="00A22C98">
        <w:t>It should be noted that the</w:t>
      </w:r>
      <w:r w:rsidR="00A0732A" w:rsidRPr="00A22C98">
        <w:t xml:space="preserve"> designation was signed on 8 December 2008 but gazetted on 10 December 2008. Given how section 11 of the PSRA was drafted at the time, </w:t>
      </w:r>
      <w:r w:rsidR="00822B86" w:rsidRPr="00A22C98">
        <w:t xml:space="preserve">the Regulations </w:t>
      </w:r>
      <w:r w:rsidR="00A22C98" w:rsidRPr="00A22C98">
        <w:t>state</w:t>
      </w:r>
      <w:r w:rsidR="00A0732A" w:rsidRPr="00A22C98">
        <w:t xml:space="preserve"> that the payment system was designated on 10 December 2008, when it was gazetted.</w:t>
      </w:r>
    </w:p>
    <w:p w14:paraId="02975B5A" w14:textId="3BBFE378" w:rsidR="00472777" w:rsidRDefault="00472777" w:rsidP="00472777">
      <w:pPr>
        <w:pStyle w:val="Bullet"/>
      </w:pPr>
      <w:r>
        <w:t xml:space="preserve">the debit card system operated within Australia known as the EFTPOS system and designated by </w:t>
      </w:r>
      <w:r w:rsidRPr="005A7110">
        <w:rPr>
          <w:i/>
          <w:iCs/>
        </w:rPr>
        <w:t>Designation No 1 of 2012</w:t>
      </w:r>
      <w:r>
        <w:t xml:space="preserve"> as a payment system under subsection 11(1) of the </w:t>
      </w:r>
      <w:r w:rsidR="005A7110">
        <w:t>PSRA</w:t>
      </w:r>
      <w:r>
        <w:t xml:space="preserve"> on 12 June 2012</w:t>
      </w:r>
      <w:r w:rsidR="00BA2B2C">
        <w:t xml:space="preserve">. Notification of designation through the </w:t>
      </w:r>
      <w:r w:rsidR="00BA2B2C" w:rsidRPr="0065661E">
        <w:lastRenderedPageBreak/>
        <w:t xml:space="preserve">Commonwealth of Australia Special Gazette No S </w:t>
      </w:r>
      <w:r w:rsidR="00BA2B2C">
        <w:t>70</w:t>
      </w:r>
      <w:r w:rsidR="00BA2B2C" w:rsidRPr="0065661E">
        <w:t xml:space="preserve"> of </w:t>
      </w:r>
      <w:r w:rsidR="00BA2B2C">
        <w:t>12 June 2012</w:t>
      </w:r>
      <w:r w:rsidR="00BA2B2C" w:rsidRPr="0065661E">
        <w:t xml:space="preserve"> could be accessed on the Federal Register of Legislation https://www.legislation.gov.au.</w:t>
      </w:r>
    </w:p>
    <w:p w14:paraId="002A0A47" w14:textId="5DB8757C" w:rsidR="00472777" w:rsidRDefault="00472777" w:rsidP="00472777">
      <w:pPr>
        <w:pStyle w:val="Bullet"/>
      </w:pPr>
      <w:r>
        <w:t xml:space="preserve">the debit card system operated within Australia known as Debit MasterCard and designated by </w:t>
      </w:r>
      <w:r w:rsidRPr="005A7110">
        <w:rPr>
          <w:i/>
          <w:iCs/>
        </w:rPr>
        <w:t>Designation No 2 of 2015 (Designation of the Debit MasterCard system)</w:t>
      </w:r>
      <w:r w:rsidRPr="005A7110">
        <w:t xml:space="preserve"> as</w:t>
      </w:r>
      <w:r>
        <w:t xml:space="preserve"> a payment system under subsection 11(1) of the </w:t>
      </w:r>
      <w:r w:rsidR="00FC0288">
        <w:t>PSRA</w:t>
      </w:r>
      <w:r>
        <w:t xml:space="preserve"> on 15 October 2015</w:t>
      </w:r>
      <w:r w:rsidR="0032460A">
        <w:t xml:space="preserve">. The designation of the system is </w:t>
      </w:r>
      <w:r w:rsidR="0032460A" w:rsidRPr="00F23654">
        <w:t xml:space="preserve">currently on the Federal Register of Legislation as </w:t>
      </w:r>
      <w:r w:rsidR="0032460A">
        <w:t xml:space="preserve">an </w:t>
      </w:r>
      <w:r w:rsidR="0032460A" w:rsidRPr="00F23654">
        <w:t>individual item</w:t>
      </w:r>
      <w:r w:rsidR="0032460A">
        <w:t>.</w:t>
      </w:r>
    </w:p>
    <w:p w14:paraId="0AF33558" w14:textId="52BC78CB" w:rsidR="00472777" w:rsidRDefault="00472777" w:rsidP="00472777">
      <w:pPr>
        <w:pStyle w:val="Bullet"/>
      </w:pPr>
      <w:r>
        <w:t xml:space="preserve">the prepaid card system operated within Australia and designated by </w:t>
      </w:r>
      <w:r w:rsidRPr="00FC0288">
        <w:rPr>
          <w:i/>
          <w:iCs/>
        </w:rPr>
        <w:t>Designation No 3 of 2015 (Designation of the EFTPOS prepaid system)</w:t>
      </w:r>
      <w:r>
        <w:t xml:space="preserve"> as a payment system under subsection 11(1) of the </w:t>
      </w:r>
      <w:r w:rsidR="00FC0288">
        <w:t>PSRA</w:t>
      </w:r>
      <w:r>
        <w:t xml:space="preserve"> on 15 October 2015</w:t>
      </w:r>
      <w:r w:rsidR="0032460A">
        <w:t xml:space="preserve">. The designation of the system is </w:t>
      </w:r>
      <w:r w:rsidR="0032460A" w:rsidRPr="00F23654">
        <w:t xml:space="preserve">currently on the Federal Register of Legislation as </w:t>
      </w:r>
      <w:r w:rsidR="0032460A">
        <w:t xml:space="preserve">an </w:t>
      </w:r>
      <w:r w:rsidR="0032460A" w:rsidRPr="00F23654">
        <w:t>individual item</w:t>
      </w:r>
      <w:r w:rsidR="0032460A">
        <w:t>.</w:t>
      </w:r>
    </w:p>
    <w:p w14:paraId="2F522BB7" w14:textId="2947F35E" w:rsidR="00472777" w:rsidRDefault="00472777" w:rsidP="00472777">
      <w:pPr>
        <w:pStyle w:val="Bullet"/>
      </w:pPr>
      <w:r>
        <w:t xml:space="preserve">the prepaid card system operated within Australia known as MasterCard Prepaid and designated by </w:t>
      </w:r>
      <w:r w:rsidRPr="00FC0288">
        <w:rPr>
          <w:i/>
          <w:iCs/>
        </w:rPr>
        <w:t>Designation No 4 of 2015 (Designation of the MasterCard prepaid system)</w:t>
      </w:r>
      <w:r>
        <w:t xml:space="preserve"> as a payment system under subsection 11(1) of the </w:t>
      </w:r>
      <w:r w:rsidR="001B7B93">
        <w:t>PSRA</w:t>
      </w:r>
      <w:r>
        <w:t xml:space="preserve"> on 15 October 2015</w:t>
      </w:r>
      <w:r w:rsidR="0032460A">
        <w:t xml:space="preserve">. The designation of the system is </w:t>
      </w:r>
      <w:r w:rsidR="0032460A" w:rsidRPr="00F23654">
        <w:t xml:space="preserve">currently on the Federal Register of Legislation as </w:t>
      </w:r>
      <w:r w:rsidR="0032460A">
        <w:t xml:space="preserve">an </w:t>
      </w:r>
      <w:r w:rsidR="0032460A" w:rsidRPr="00F23654">
        <w:t>individual item</w:t>
      </w:r>
      <w:r w:rsidR="0032460A">
        <w:t>.</w:t>
      </w:r>
    </w:p>
    <w:p w14:paraId="62C247AB" w14:textId="4369927C" w:rsidR="00472777" w:rsidRPr="00AA5E71" w:rsidRDefault="00472777" w:rsidP="00472777">
      <w:pPr>
        <w:pStyle w:val="Bullet"/>
      </w:pPr>
      <w:r>
        <w:t xml:space="preserve">the prepaid card system operated within Australia known as Visa Prepaid and designated by </w:t>
      </w:r>
      <w:r w:rsidRPr="00866A69">
        <w:rPr>
          <w:i/>
          <w:iCs/>
        </w:rPr>
        <w:t>Designation No 5 of 2015 (Designation of the Visa prepaid system)</w:t>
      </w:r>
      <w:r>
        <w:t xml:space="preserve"> as a payment system under subsection 11(1) of the </w:t>
      </w:r>
      <w:r w:rsidR="008C7410">
        <w:t xml:space="preserve">PSRA </w:t>
      </w:r>
      <w:r>
        <w:t>on 15 October 2015.</w:t>
      </w:r>
      <w:r w:rsidR="0032460A">
        <w:t xml:space="preserve"> The </w:t>
      </w:r>
      <w:r w:rsidR="0032460A" w:rsidRPr="00AA5E71">
        <w:t>designation of the system is currently on the Federal Register of Legislation as an individual item.</w:t>
      </w:r>
    </w:p>
    <w:p w14:paraId="303125A3" w14:textId="6EB803AD" w:rsidR="000F7120" w:rsidRPr="00AA5E71" w:rsidRDefault="000F7120" w:rsidP="00680CE9">
      <w:pPr>
        <w:pStyle w:val="Bullet"/>
        <w:numPr>
          <w:ilvl w:val="0"/>
          <w:numId w:val="0"/>
        </w:numPr>
      </w:pPr>
      <w:r w:rsidRPr="00AA5E71">
        <w:t xml:space="preserve">Where there is descriptive </w:t>
      </w:r>
      <w:r w:rsidR="008C5604">
        <w:t xml:space="preserve">text in the titles of </w:t>
      </w:r>
      <w:r w:rsidRPr="00AA5E71">
        <w:t>the instruments</w:t>
      </w:r>
      <w:r w:rsidR="00C154DC" w:rsidRPr="00AA5E71">
        <w:t xml:space="preserve"> </w:t>
      </w:r>
      <w:r w:rsidR="00F83B0D">
        <w:t xml:space="preserve">– </w:t>
      </w:r>
      <w:r w:rsidR="00C154DC" w:rsidRPr="00AA5E71">
        <w:t>t</w:t>
      </w:r>
      <w:r w:rsidRPr="00AA5E71">
        <w:t xml:space="preserve">he specific instruments are referred </w:t>
      </w:r>
      <w:r w:rsidR="00C55682" w:rsidRPr="00AA5E71">
        <w:t>to</w:t>
      </w:r>
      <w:r w:rsidR="00703BA1" w:rsidRPr="00AA5E71">
        <w:t>.</w:t>
      </w:r>
      <w:r w:rsidR="00C919C0">
        <w:t xml:space="preserve"> </w:t>
      </w:r>
      <w:r w:rsidR="00C919C0" w:rsidRPr="00C919C0">
        <w:t xml:space="preserve">This descriptive text may be particularly helpful for the </w:t>
      </w:r>
      <w:r w:rsidR="00267DF3" w:rsidRPr="00FC0288">
        <w:rPr>
          <w:i/>
          <w:iCs/>
        </w:rPr>
        <w:t>Designation No 3 of 2015 (Designation of the EFTPOS prepaid system)</w:t>
      </w:r>
      <w:r w:rsidR="001675CA">
        <w:t xml:space="preserve"> </w:t>
      </w:r>
      <w:r w:rsidR="00C919C0" w:rsidRPr="00C919C0">
        <w:t>as that designation does not otherwise appear to refer to the name of the payment system that it</w:t>
      </w:r>
      <w:r w:rsidR="00B37422">
        <w:t xml:space="preserve"> i</w:t>
      </w:r>
      <w:r w:rsidR="00C919C0" w:rsidRPr="00C919C0">
        <w:t>s designating.</w:t>
      </w:r>
    </w:p>
    <w:p w14:paraId="7D947B47" w14:textId="11FF5AFF" w:rsidR="000253D8" w:rsidRPr="00AA5E71" w:rsidRDefault="0025597A" w:rsidP="00F23654">
      <w:pPr>
        <w:pStyle w:val="Bullet"/>
        <w:numPr>
          <w:ilvl w:val="0"/>
          <w:numId w:val="0"/>
        </w:numPr>
      </w:pPr>
      <w:r w:rsidRPr="00AA5E71">
        <w:t>Where</w:t>
      </w:r>
      <w:r w:rsidR="003D24C5" w:rsidRPr="00AA5E71">
        <w:t xml:space="preserve"> provisions </w:t>
      </w:r>
      <w:r w:rsidRPr="00AA5E71">
        <w:t xml:space="preserve">are </w:t>
      </w:r>
      <w:r w:rsidR="003D24C5" w:rsidRPr="00AA5E71">
        <w:t>referred to (</w:t>
      </w:r>
      <w:r w:rsidR="00D9131A">
        <w:t xml:space="preserve">that is, </w:t>
      </w:r>
      <w:r w:rsidR="003D24C5" w:rsidRPr="00AA5E71">
        <w:t>subsection 11(1) and section 11)</w:t>
      </w:r>
      <w:r w:rsidR="00680CE9" w:rsidRPr="00AA5E71">
        <w:t xml:space="preserve"> – </w:t>
      </w:r>
      <w:r w:rsidR="00D9131A">
        <w:t>the intention is</w:t>
      </w:r>
      <w:r w:rsidR="002B5C19" w:rsidRPr="00AA5E71">
        <w:t xml:space="preserve"> to </w:t>
      </w:r>
      <w:r w:rsidR="003D24C5" w:rsidRPr="00AA5E71">
        <w:t>mirror the wording of the designations.</w:t>
      </w:r>
    </w:p>
    <w:p w14:paraId="6F2A6543" w14:textId="481B60E8" w:rsidR="00CA3C50" w:rsidRPr="004E2599" w:rsidRDefault="00CA3C50" w:rsidP="00AF0EBD">
      <w:pPr>
        <w:spacing w:before="240" w:after="200"/>
      </w:pPr>
    </w:p>
    <w:sectPr w:rsidR="00CA3C50" w:rsidRPr="004E2599"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4B26" w14:textId="77777777" w:rsidR="004F0566" w:rsidRDefault="004F0566" w:rsidP="00954679">
      <w:pPr>
        <w:spacing w:before="0" w:after="0"/>
      </w:pPr>
      <w:r>
        <w:separator/>
      </w:r>
    </w:p>
  </w:endnote>
  <w:endnote w:type="continuationSeparator" w:id="0">
    <w:p w14:paraId="209E381B" w14:textId="77777777" w:rsidR="004F0566" w:rsidRDefault="004F0566" w:rsidP="00954679">
      <w:pPr>
        <w:spacing w:before="0" w:after="0"/>
      </w:pPr>
      <w:r>
        <w:continuationSeparator/>
      </w:r>
    </w:p>
  </w:endnote>
  <w:endnote w:type="continuationNotice" w:id="1">
    <w:p w14:paraId="250FA408" w14:textId="77777777" w:rsidR="004F0566" w:rsidRDefault="004F05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21217E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75C7" w14:textId="77777777" w:rsidR="004F0566" w:rsidRDefault="004F0566" w:rsidP="00954679">
      <w:pPr>
        <w:spacing w:before="0" w:after="0"/>
      </w:pPr>
      <w:r>
        <w:separator/>
      </w:r>
    </w:p>
  </w:footnote>
  <w:footnote w:type="continuationSeparator" w:id="0">
    <w:p w14:paraId="36053D01" w14:textId="77777777" w:rsidR="004F0566" w:rsidRDefault="004F0566" w:rsidP="00954679">
      <w:pPr>
        <w:spacing w:before="0" w:after="0"/>
      </w:pPr>
      <w:r>
        <w:continuationSeparator/>
      </w:r>
    </w:p>
  </w:footnote>
  <w:footnote w:type="continuationNotice" w:id="1">
    <w:p w14:paraId="27A5E50E" w14:textId="77777777" w:rsidR="004F0566" w:rsidRDefault="004F05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6932" w14:textId="138DDD99" w:rsidR="00843D05" w:rsidRDefault="002D3E6B">
    <w:pPr>
      <w:pStyle w:val="Header"/>
    </w:pPr>
    <w:r>
      <w:rPr>
        <w:noProof/>
      </w:rPr>
      <w:pict w14:anchorId="61FBC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4360" o:spid="_x0000_s1026" type="#_x0000_t136" style="position:absolute;margin-left:0;margin-top:0;width:503.25pt;height:116.1pt;rotation:315;z-index:-251658239;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08FA" w14:textId="50CA7D54" w:rsidR="00843D05" w:rsidRDefault="002D3E6B">
    <w:pPr>
      <w:pStyle w:val="Header"/>
    </w:pPr>
    <w:r>
      <w:rPr>
        <w:noProof/>
      </w:rPr>
      <w:pict w14:anchorId="742BD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4361" o:spid="_x0000_s1027" type="#_x0000_t136" style="position:absolute;margin-left:0;margin-top:0;width:503.25pt;height:116.1pt;rotation:315;z-index:-251658238;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2495" w14:textId="69B9890C" w:rsidR="00843D05" w:rsidRDefault="002D3E6B">
    <w:pPr>
      <w:pStyle w:val="Header"/>
    </w:pPr>
    <w:r>
      <w:rPr>
        <w:noProof/>
      </w:rPr>
      <w:pict w14:anchorId="3AA51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4359" o:spid="_x0000_s1025" type="#_x0000_t136" style="position:absolute;margin-left:0;margin-top:0;width:503.25pt;height:116.1pt;rotation:315;z-index:-251658240;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114DEF"/>
    <w:multiLevelType w:val="hybridMultilevel"/>
    <w:tmpl w:val="1728A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249A1"/>
    <w:multiLevelType w:val="hybridMultilevel"/>
    <w:tmpl w:val="B4D01676"/>
    <w:lvl w:ilvl="0" w:tplc="266C6182">
      <w:start w:val="1"/>
      <w:numFmt w:val="decimal"/>
      <w:lvlText w:val="%1."/>
      <w:lvlJc w:val="left"/>
      <w:pPr>
        <w:ind w:left="1020" w:hanging="360"/>
      </w:pPr>
    </w:lvl>
    <w:lvl w:ilvl="1" w:tplc="24760D20">
      <w:start w:val="1"/>
      <w:numFmt w:val="decimal"/>
      <w:lvlText w:val="%2."/>
      <w:lvlJc w:val="left"/>
      <w:pPr>
        <w:ind w:left="1020" w:hanging="360"/>
      </w:pPr>
    </w:lvl>
    <w:lvl w:ilvl="2" w:tplc="FCEA374C">
      <w:start w:val="1"/>
      <w:numFmt w:val="decimal"/>
      <w:lvlText w:val="%3."/>
      <w:lvlJc w:val="left"/>
      <w:pPr>
        <w:ind w:left="1020" w:hanging="360"/>
      </w:pPr>
    </w:lvl>
    <w:lvl w:ilvl="3" w:tplc="C2DE60FC">
      <w:start w:val="1"/>
      <w:numFmt w:val="decimal"/>
      <w:lvlText w:val="%4."/>
      <w:lvlJc w:val="left"/>
      <w:pPr>
        <w:ind w:left="1020" w:hanging="360"/>
      </w:pPr>
    </w:lvl>
    <w:lvl w:ilvl="4" w:tplc="FFD2E636">
      <w:start w:val="1"/>
      <w:numFmt w:val="decimal"/>
      <w:lvlText w:val="%5."/>
      <w:lvlJc w:val="left"/>
      <w:pPr>
        <w:ind w:left="1020" w:hanging="360"/>
      </w:pPr>
    </w:lvl>
    <w:lvl w:ilvl="5" w:tplc="3F981A58">
      <w:start w:val="1"/>
      <w:numFmt w:val="decimal"/>
      <w:lvlText w:val="%6."/>
      <w:lvlJc w:val="left"/>
      <w:pPr>
        <w:ind w:left="1020" w:hanging="360"/>
      </w:pPr>
    </w:lvl>
    <w:lvl w:ilvl="6" w:tplc="E6284EEC">
      <w:start w:val="1"/>
      <w:numFmt w:val="decimal"/>
      <w:lvlText w:val="%7."/>
      <w:lvlJc w:val="left"/>
      <w:pPr>
        <w:ind w:left="1020" w:hanging="360"/>
      </w:pPr>
    </w:lvl>
    <w:lvl w:ilvl="7" w:tplc="18D26EB2">
      <w:start w:val="1"/>
      <w:numFmt w:val="decimal"/>
      <w:lvlText w:val="%8."/>
      <w:lvlJc w:val="left"/>
      <w:pPr>
        <w:ind w:left="1020" w:hanging="360"/>
      </w:pPr>
    </w:lvl>
    <w:lvl w:ilvl="8" w:tplc="289075AE">
      <w:start w:val="1"/>
      <w:numFmt w:val="decimal"/>
      <w:lvlText w:val="%9."/>
      <w:lvlJc w:val="left"/>
      <w:pPr>
        <w:ind w:left="1020" w:hanging="36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43875FE7"/>
    <w:multiLevelType w:val="hybridMultilevel"/>
    <w:tmpl w:val="FD6E1E88"/>
    <w:lvl w:ilvl="0" w:tplc="BCAC96A8">
      <w:start w:val="1"/>
      <w:numFmt w:val="decimal"/>
      <w:lvlText w:val="%1."/>
      <w:lvlJc w:val="left"/>
      <w:pPr>
        <w:ind w:left="1020" w:hanging="360"/>
      </w:pPr>
    </w:lvl>
    <w:lvl w:ilvl="1" w:tplc="3C001AD8">
      <w:start w:val="1"/>
      <w:numFmt w:val="decimal"/>
      <w:lvlText w:val="%2."/>
      <w:lvlJc w:val="left"/>
      <w:pPr>
        <w:ind w:left="1020" w:hanging="360"/>
      </w:pPr>
    </w:lvl>
    <w:lvl w:ilvl="2" w:tplc="407894D8">
      <w:start w:val="1"/>
      <w:numFmt w:val="decimal"/>
      <w:lvlText w:val="%3."/>
      <w:lvlJc w:val="left"/>
      <w:pPr>
        <w:ind w:left="1020" w:hanging="360"/>
      </w:pPr>
    </w:lvl>
    <w:lvl w:ilvl="3" w:tplc="A30C7790">
      <w:start w:val="1"/>
      <w:numFmt w:val="decimal"/>
      <w:lvlText w:val="%4."/>
      <w:lvlJc w:val="left"/>
      <w:pPr>
        <w:ind w:left="1020" w:hanging="360"/>
      </w:pPr>
    </w:lvl>
    <w:lvl w:ilvl="4" w:tplc="2FCC0910">
      <w:start w:val="1"/>
      <w:numFmt w:val="decimal"/>
      <w:lvlText w:val="%5."/>
      <w:lvlJc w:val="left"/>
      <w:pPr>
        <w:ind w:left="1020" w:hanging="360"/>
      </w:pPr>
    </w:lvl>
    <w:lvl w:ilvl="5" w:tplc="E544F97C">
      <w:start w:val="1"/>
      <w:numFmt w:val="decimal"/>
      <w:lvlText w:val="%6."/>
      <w:lvlJc w:val="left"/>
      <w:pPr>
        <w:ind w:left="1020" w:hanging="360"/>
      </w:pPr>
    </w:lvl>
    <w:lvl w:ilvl="6" w:tplc="C92AC2AA">
      <w:start w:val="1"/>
      <w:numFmt w:val="decimal"/>
      <w:lvlText w:val="%7."/>
      <w:lvlJc w:val="left"/>
      <w:pPr>
        <w:ind w:left="1020" w:hanging="360"/>
      </w:pPr>
    </w:lvl>
    <w:lvl w:ilvl="7" w:tplc="89CC000A">
      <w:start w:val="1"/>
      <w:numFmt w:val="decimal"/>
      <w:lvlText w:val="%8."/>
      <w:lvlJc w:val="left"/>
      <w:pPr>
        <w:ind w:left="1020" w:hanging="360"/>
      </w:pPr>
    </w:lvl>
    <w:lvl w:ilvl="8" w:tplc="D6E466DE">
      <w:start w:val="1"/>
      <w:numFmt w:val="decimal"/>
      <w:lvlText w:val="%9."/>
      <w:lvlJc w:val="left"/>
      <w:pPr>
        <w:ind w:left="1020" w:hanging="360"/>
      </w:pPr>
    </w:lvl>
  </w:abstractNum>
  <w:abstractNum w:abstractNumId="6" w15:restartNumberingAfterBreak="0">
    <w:nsid w:val="454E7B36"/>
    <w:multiLevelType w:val="hybridMultilevel"/>
    <w:tmpl w:val="249A7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2B0658"/>
    <w:multiLevelType w:val="hybridMultilevel"/>
    <w:tmpl w:val="F210F590"/>
    <w:lvl w:ilvl="0" w:tplc="E1949912">
      <w:start w:val="8"/>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2E67CB1"/>
    <w:multiLevelType w:val="hybridMultilevel"/>
    <w:tmpl w:val="03B23F9E"/>
    <w:lvl w:ilvl="0" w:tplc="A73AFBAE">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628D74D7"/>
    <w:multiLevelType w:val="hybridMultilevel"/>
    <w:tmpl w:val="6B143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7A43C0B"/>
    <w:multiLevelType w:val="multilevel"/>
    <w:tmpl w:val="EBEE8AF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0709C8"/>
    <w:multiLevelType w:val="hybridMultilevel"/>
    <w:tmpl w:val="E2F4435E"/>
    <w:lvl w:ilvl="0" w:tplc="BEB48E2A">
      <w:start w:val="1"/>
      <w:numFmt w:val="decimal"/>
      <w:lvlText w:val="%1."/>
      <w:lvlJc w:val="left"/>
      <w:pPr>
        <w:ind w:left="1020" w:hanging="360"/>
      </w:pPr>
    </w:lvl>
    <w:lvl w:ilvl="1" w:tplc="882C6832">
      <w:start w:val="1"/>
      <w:numFmt w:val="decimal"/>
      <w:lvlText w:val="%2."/>
      <w:lvlJc w:val="left"/>
      <w:pPr>
        <w:ind w:left="1020" w:hanging="360"/>
      </w:pPr>
    </w:lvl>
    <w:lvl w:ilvl="2" w:tplc="BE7C1B1E">
      <w:start w:val="1"/>
      <w:numFmt w:val="decimal"/>
      <w:lvlText w:val="%3."/>
      <w:lvlJc w:val="left"/>
      <w:pPr>
        <w:ind w:left="1020" w:hanging="360"/>
      </w:pPr>
    </w:lvl>
    <w:lvl w:ilvl="3" w:tplc="CA000688">
      <w:start w:val="1"/>
      <w:numFmt w:val="decimal"/>
      <w:lvlText w:val="%4."/>
      <w:lvlJc w:val="left"/>
      <w:pPr>
        <w:ind w:left="1020" w:hanging="360"/>
      </w:pPr>
    </w:lvl>
    <w:lvl w:ilvl="4" w:tplc="E8D6160A">
      <w:start w:val="1"/>
      <w:numFmt w:val="decimal"/>
      <w:lvlText w:val="%5."/>
      <w:lvlJc w:val="left"/>
      <w:pPr>
        <w:ind w:left="1020" w:hanging="360"/>
      </w:pPr>
    </w:lvl>
    <w:lvl w:ilvl="5" w:tplc="E512A376">
      <w:start w:val="1"/>
      <w:numFmt w:val="decimal"/>
      <w:lvlText w:val="%6."/>
      <w:lvlJc w:val="left"/>
      <w:pPr>
        <w:ind w:left="1020" w:hanging="360"/>
      </w:pPr>
    </w:lvl>
    <w:lvl w:ilvl="6" w:tplc="7082C542">
      <w:start w:val="1"/>
      <w:numFmt w:val="decimal"/>
      <w:lvlText w:val="%7."/>
      <w:lvlJc w:val="left"/>
      <w:pPr>
        <w:ind w:left="1020" w:hanging="360"/>
      </w:pPr>
    </w:lvl>
    <w:lvl w:ilvl="7" w:tplc="14241272">
      <w:start w:val="1"/>
      <w:numFmt w:val="decimal"/>
      <w:lvlText w:val="%8."/>
      <w:lvlJc w:val="left"/>
      <w:pPr>
        <w:ind w:left="1020" w:hanging="360"/>
      </w:pPr>
    </w:lvl>
    <w:lvl w:ilvl="8" w:tplc="241EDB48">
      <w:start w:val="1"/>
      <w:numFmt w:val="decimal"/>
      <w:lvlText w:val="%9."/>
      <w:lvlJc w:val="left"/>
      <w:pPr>
        <w:ind w:left="1020" w:hanging="360"/>
      </w:pPr>
    </w:lvl>
  </w:abstractNum>
  <w:abstractNum w:abstractNumId="12" w15:restartNumberingAfterBreak="0">
    <w:nsid w:val="74E3782B"/>
    <w:multiLevelType w:val="hybridMultilevel"/>
    <w:tmpl w:val="D35E584E"/>
    <w:lvl w:ilvl="0" w:tplc="390250D6">
      <w:start w:val="1"/>
      <w:numFmt w:val="decimal"/>
      <w:lvlText w:val="%1."/>
      <w:lvlJc w:val="left"/>
      <w:pPr>
        <w:ind w:left="1020" w:hanging="360"/>
      </w:pPr>
    </w:lvl>
    <w:lvl w:ilvl="1" w:tplc="8E6E7F98">
      <w:start w:val="1"/>
      <w:numFmt w:val="decimal"/>
      <w:lvlText w:val="%2."/>
      <w:lvlJc w:val="left"/>
      <w:pPr>
        <w:ind w:left="1020" w:hanging="360"/>
      </w:pPr>
    </w:lvl>
    <w:lvl w:ilvl="2" w:tplc="56BCEE30">
      <w:start w:val="1"/>
      <w:numFmt w:val="decimal"/>
      <w:lvlText w:val="%3."/>
      <w:lvlJc w:val="left"/>
      <w:pPr>
        <w:ind w:left="1020" w:hanging="360"/>
      </w:pPr>
    </w:lvl>
    <w:lvl w:ilvl="3" w:tplc="24ECF634">
      <w:start w:val="1"/>
      <w:numFmt w:val="decimal"/>
      <w:lvlText w:val="%4."/>
      <w:lvlJc w:val="left"/>
      <w:pPr>
        <w:ind w:left="1020" w:hanging="360"/>
      </w:pPr>
    </w:lvl>
    <w:lvl w:ilvl="4" w:tplc="E982CC4C">
      <w:start w:val="1"/>
      <w:numFmt w:val="decimal"/>
      <w:lvlText w:val="%5."/>
      <w:lvlJc w:val="left"/>
      <w:pPr>
        <w:ind w:left="1020" w:hanging="360"/>
      </w:pPr>
    </w:lvl>
    <w:lvl w:ilvl="5" w:tplc="10D2CDBA">
      <w:start w:val="1"/>
      <w:numFmt w:val="decimal"/>
      <w:lvlText w:val="%6."/>
      <w:lvlJc w:val="left"/>
      <w:pPr>
        <w:ind w:left="1020" w:hanging="360"/>
      </w:pPr>
    </w:lvl>
    <w:lvl w:ilvl="6" w:tplc="16840B5C">
      <w:start w:val="1"/>
      <w:numFmt w:val="decimal"/>
      <w:lvlText w:val="%7."/>
      <w:lvlJc w:val="left"/>
      <w:pPr>
        <w:ind w:left="1020" w:hanging="360"/>
      </w:pPr>
    </w:lvl>
    <w:lvl w:ilvl="7" w:tplc="447CB404">
      <w:start w:val="1"/>
      <w:numFmt w:val="decimal"/>
      <w:lvlText w:val="%8."/>
      <w:lvlJc w:val="left"/>
      <w:pPr>
        <w:ind w:left="1020" w:hanging="360"/>
      </w:pPr>
    </w:lvl>
    <w:lvl w:ilvl="8" w:tplc="8AA8F5C0">
      <w:start w:val="1"/>
      <w:numFmt w:val="decimal"/>
      <w:lvlText w:val="%9."/>
      <w:lvlJc w:val="left"/>
      <w:pPr>
        <w:ind w:left="1020" w:hanging="360"/>
      </w:pPr>
    </w:lvl>
  </w:abstractNum>
  <w:abstractNum w:abstractNumId="13" w15:restartNumberingAfterBreak="0">
    <w:nsid w:val="7BB769F0"/>
    <w:multiLevelType w:val="hybridMultilevel"/>
    <w:tmpl w:val="CF64D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EB29E7"/>
    <w:multiLevelType w:val="hybridMultilevel"/>
    <w:tmpl w:val="9AFEA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454508"/>
    <w:multiLevelType w:val="hybridMultilevel"/>
    <w:tmpl w:val="12D60CE0"/>
    <w:lvl w:ilvl="0" w:tplc="5A6401BA">
      <w:start w:val="1"/>
      <w:numFmt w:val="decimal"/>
      <w:lvlText w:val="%1."/>
      <w:lvlJc w:val="left"/>
      <w:pPr>
        <w:ind w:left="1020" w:hanging="360"/>
      </w:pPr>
    </w:lvl>
    <w:lvl w:ilvl="1" w:tplc="A70AC68E">
      <w:start w:val="1"/>
      <w:numFmt w:val="decimal"/>
      <w:lvlText w:val="%2."/>
      <w:lvlJc w:val="left"/>
      <w:pPr>
        <w:ind w:left="1020" w:hanging="360"/>
      </w:pPr>
    </w:lvl>
    <w:lvl w:ilvl="2" w:tplc="DCE4B3A8">
      <w:start w:val="1"/>
      <w:numFmt w:val="decimal"/>
      <w:lvlText w:val="%3."/>
      <w:lvlJc w:val="left"/>
      <w:pPr>
        <w:ind w:left="1020" w:hanging="360"/>
      </w:pPr>
    </w:lvl>
    <w:lvl w:ilvl="3" w:tplc="A4086C1C">
      <w:start w:val="1"/>
      <w:numFmt w:val="decimal"/>
      <w:lvlText w:val="%4."/>
      <w:lvlJc w:val="left"/>
      <w:pPr>
        <w:ind w:left="1020" w:hanging="360"/>
      </w:pPr>
    </w:lvl>
    <w:lvl w:ilvl="4" w:tplc="CB900DB8">
      <w:start w:val="1"/>
      <w:numFmt w:val="decimal"/>
      <w:lvlText w:val="%5."/>
      <w:lvlJc w:val="left"/>
      <w:pPr>
        <w:ind w:left="1020" w:hanging="360"/>
      </w:pPr>
    </w:lvl>
    <w:lvl w:ilvl="5" w:tplc="8A16E34E">
      <w:start w:val="1"/>
      <w:numFmt w:val="decimal"/>
      <w:lvlText w:val="%6."/>
      <w:lvlJc w:val="left"/>
      <w:pPr>
        <w:ind w:left="1020" w:hanging="360"/>
      </w:pPr>
    </w:lvl>
    <w:lvl w:ilvl="6" w:tplc="A69AD67A">
      <w:start w:val="1"/>
      <w:numFmt w:val="decimal"/>
      <w:lvlText w:val="%7."/>
      <w:lvlJc w:val="left"/>
      <w:pPr>
        <w:ind w:left="1020" w:hanging="360"/>
      </w:pPr>
    </w:lvl>
    <w:lvl w:ilvl="7" w:tplc="9D463006">
      <w:start w:val="1"/>
      <w:numFmt w:val="decimal"/>
      <w:lvlText w:val="%8."/>
      <w:lvlJc w:val="left"/>
      <w:pPr>
        <w:ind w:left="1020" w:hanging="360"/>
      </w:pPr>
    </w:lvl>
    <w:lvl w:ilvl="8" w:tplc="D72EABE2">
      <w:start w:val="1"/>
      <w:numFmt w:val="decimal"/>
      <w:lvlText w:val="%9."/>
      <w:lvlJc w:val="left"/>
      <w:pPr>
        <w:ind w:left="1020" w:hanging="360"/>
      </w:pPr>
    </w:lvl>
  </w:abstractNum>
  <w:num w:numId="1" w16cid:durableId="2142919768">
    <w:abstractNumId w:val="4"/>
  </w:num>
  <w:num w:numId="2" w16cid:durableId="92435628">
    <w:abstractNumId w:val="10"/>
  </w:num>
  <w:num w:numId="3" w16cid:durableId="102648425">
    <w:abstractNumId w:val="3"/>
  </w:num>
  <w:num w:numId="4" w16cid:durableId="1451314351">
    <w:abstractNumId w:val="0"/>
  </w:num>
  <w:num w:numId="5" w16cid:durableId="1455824937">
    <w:abstractNumId w:val="10"/>
  </w:num>
  <w:num w:numId="6" w16cid:durableId="2012178582">
    <w:abstractNumId w:val="10"/>
  </w:num>
  <w:num w:numId="7" w16cid:durableId="1173374635">
    <w:abstractNumId w:val="10"/>
  </w:num>
  <w:num w:numId="8" w16cid:durableId="1074162301">
    <w:abstractNumId w:val="10"/>
  </w:num>
  <w:num w:numId="9" w16cid:durableId="1206795025">
    <w:abstractNumId w:val="10"/>
  </w:num>
  <w:num w:numId="10" w16cid:durableId="474571849">
    <w:abstractNumId w:val="10"/>
  </w:num>
  <w:num w:numId="11" w16cid:durableId="890385033">
    <w:abstractNumId w:val="10"/>
  </w:num>
  <w:num w:numId="12" w16cid:durableId="392780191">
    <w:abstractNumId w:val="10"/>
  </w:num>
  <w:num w:numId="13" w16cid:durableId="1793669345">
    <w:abstractNumId w:val="10"/>
  </w:num>
  <w:num w:numId="14" w16cid:durableId="2085832638">
    <w:abstractNumId w:val="10"/>
  </w:num>
  <w:num w:numId="15" w16cid:durableId="724838217">
    <w:abstractNumId w:val="10"/>
  </w:num>
  <w:num w:numId="16" w16cid:durableId="951398036">
    <w:abstractNumId w:val="10"/>
  </w:num>
  <w:num w:numId="17" w16cid:durableId="1892570897">
    <w:abstractNumId w:val="9"/>
  </w:num>
  <w:num w:numId="18" w16cid:durableId="714504706">
    <w:abstractNumId w:val="14"/>
  </w:num>
  <w:num w:numId="19" w16cid:durableId="74208611">
    <w:abstractNumId w:val="7"/>
  </w:num>
  <w:num w:numId="20" w16cid:durableId="2018342412">
    <w:abstractNumId w:val="13"/>
  </w:num>
  <w:num w:numId="21" w16cid:durableId="1125583533">
    <w:abstractNumId w:val="6"/>
  </w:num>
  <w:num w:numId="22" w16cid:durableId="547643134">
    <w:abstractNumId w:val="1"/>
  </w:num>
  <w:num w:numId="23" w16cid:durableId="515198254">
    <w:abstractNumId w:val="10"/>
  </w:num>
  <w:num w:numId="24" w16cid:durableId="1614091693">
    <w:abstractNumId w:val="10"/>
  </w:num>
  <w:num w:numId="25" w16cid:durableId="1087726724">
    <w:abstractNumId w:val="10"/>
  </w:num>
  <w:num w:numId="26" w16cid:durableId="588739596">
    <w:abstractNumId w:val="8"/>
  </w:num>
  <w:num w:numId="27" w16cid:durableId="195317440">
    <w:abstractNumId w:val="2"/>
  </w:num>
  <w:num w:numId="28" w16cid:durableId="2142992664">
    <w:abstractNumId w:val="11"/>
  </w:num>
  <w:num w:numId="29" w16cid:durableId="1072505226">
    <w:abstractNumId w:val="12"/>
  </w:num>
  <w:num w:numId="30" w16cid:durableId="1948611296">
    <w:abstractNumId w:val="5"/>
  </w:num>
  <w:num w:numId="31" w16cid:durableId="1372070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C8"/>
    <w:rsid w:val="0000042E"/>
    <w:rsid w:val="000026BE"/>
    <w:rsid w:val="00003189"/>
    <w:rsid w:val="000045F4"/>
    <w:rsid w:val="00004B75"/>
    <w:rsid w:val="00005B51"/>
    <w:rsid w:val="0000628C"/>
    <w:rsid w:val="00007145"/>
    <w:rsid w:val="00010BDF"/>
    <w:rsid w:val="00013390"/>
    <w:rsid w:val="00016EA2"/>
    <w:rsid w:val="00017767"/>
    <w:rsid w:val="00020E67"/>
    <w:rsid w:val="0002166D"/>
    <w:rsid w:val="000220CB"/>
    <w:rsid w:val="00023D51"/>
    <w:rsid w:val="000241C0"/>
    <w:rsid w:val="000245BA"/>
    <w:rsid w:val="000248B6"/>
    <w:rsid w:val="000253D8"/>
    <w:rsid w:val="0002546A"/>
    <w:rsid w:val="00031AE1"/>
    <w:rsid w:val="0003214F"/>
    <w:rsid w:val="00035A78"/>
    <w:rsid w:val="00040980"/>
    <w:rsid w:val="00041C87"/>
    <w:rsid w:val="000455BA"/>
    <w:rsid w:val="00046249"/>
    <w:rsid w:val="00051648"/>
    <w:rsid w:val="000524A9"/>
    <w:rsid w:val="0005316A"/>
    <w:rsid w:val="000547DB"/>
    <w:rsid w:val="00054C8C"/>
    <w:rsid w:val="000621FF"/>
    <w:rsid w:val="00062624"/>
    <w:rsid w:val="000628B2"/>
    <w:rsid w:val="000718A4"/>
    <w:rsid w:val="00075A77"/>
    <w:rsid w:val="00075E14"/>
    <w:rsid w:val="00076178"/>
    <w:rsid w:val="00076E15"/>
    <w:rsid w:val="00076FF9"/>
    <w:rsid w:val="00077E4A"/>
    <w:rsid w:val="00080673"/>
    <w:rsid w:val="000827A0"/>
    <w:rsid w:val="000854E0"/>
    <w:rsid w:val="00085F22"/>
    <w:rsid w:val="0008741E"/>
    <w:rsid w:val="00095211"/>
    <w:rsid w:val="000962D4"/>
    <w:rsid w:val="000A022C"/>
    <w:rsid w:val="000A358A"/>
    <w:rsid w:val="000A5C85"/>
    <w:rsid w:val="000A69C5"/>
    <w:rsid w:val="000B0E49"/>
    <w:rsid w:val="000B39A1"/>
    <w:rsid w:val="000B7475"/>
    <w:rsid w:val="000C10DF"/>
    <w:rsid w:val="000C22B8"/>
    <w:rsid w:val="000C2E12"/>
    <w:rsid w:val="000C314D"/>
    <w:rsid w:val="000C3ECC"/>
    <w:rsid w:val="000C4B61"/>
    <w:rsid w:val="000C56D4"/>
    <w:rsid w:val="000C5B76"/>
    <w:rsid w:val="000C5C40"/>
    <w:rsid w:val="000C61B9"/>
    <w:rsid w:val="000C6935"/>
    <w:rsid w:val="000D11E5"/>
    <w:rsid w:val="000D2234"/>
    <w:rsid w:val="000D5827"/>
    <w:rsid w:val="000D59B4"/>
    <w:rsid w:val="000E3200"/>
    <w:rsid w:val="000E32E3"/>
    <w:rsid w:val="000E49A1"/>
    <w:rsid w:val="000E6BA9"/>
    <w:rsid w:val="000F1F12"/>
    <w:rsid w:val="000F3A05"/>
    <w:rsid w:val="000F51D2"/>
    <w:rsid w:val="000F53D9"/>
    <w:rsid w:val="000F7120"/>
    <w:rsid w:val="001012C2"/>
    <w:rsid w:val="00103067"/>
    <w:rsid w:val="00104DFC"/>
    <w:rsid w:val="00106E41"/>
    <w:rsid w:val="00111BA6"/>
    <w:rsid w:val="00113B45"/>
    <w:rsid w:val="00114003"/>
    <w:rsid w:val="0011527C"/>
    <w:rsid w:val="00117103"/>
    <w:rsid w:val="00117C02"/>
    <w:rsid w:val="001202A6"/>
    <w:rsid w:val="00123C7A"/>
    <w:rsid w:val="001259BC"/>
    <w:rsid w:val="001276B4"/>
    <w:rsid w:val="001301EC"/>
    <w:rsid w:val="001319C8"/>
    <w:rsid w:val="001322F8"/>
    <w:rsid w:val="001331B7"/>
    <w:rsid w:val="00133D7A"/>
    <w:rsid w:val="00140867"/>
    <w:rsid w:val="00142BCF"/>
    <w:rsid w:val="0014608E"/>
    <w:rsid w:val="001564B9"/>
    <w:rsid w:val="00161508"/>
    <w:rsid w:val="00162904"/>
    <w:rsid w:val="001639F4"/>
    <w:rsid w:val="001675CA"/>
    <w:rsid w:val="00172B5A"/>
    <w:rsid w:val="001778DA"/>
    <w:rsid w:val="001778F0"/>
    <w:rsid w:val="00180048"/>
    <w:rsid w:val="00185EB9"/>
    <w:rsid w:val="00186D8B"/>
    <w:rsid w:val="00187857"/>
    <w:rsid w:val="00193DB8"/>
    <w:rsid w:val="00195A29"/>
    <w:rsid w:val="00197B4A"/>
    <w:rsid w:val="001A17EB"/>
    <w:rsid w:val="001A2555"/>
    <w:rsid w:val="001A7F66"/>
    <w:rsid w:val="001B04BB"/>
    <w:rsid w:val="001B25C6"/>
    <w:rsid w:val="001B2E2A"/>
    <w:rsid w:val="001B4919"/>
    <w:rsid w:val="001B5A84"/>
    <w:rsid w:val="001B7535"/>
    <w:rsid w:val="001B7B93"/>
    <w:rsid w:val="001B7EC2"/>
    <w:rsid w:val="001C0477"/>
    <w:rsid w:val="001D2202"/>
    <w:rsid w:val="001D27AD"/>
    <w:rsid w:val="001E1359"/>
    <w:rsid w:val="001E6A74"/>
    <w:rsid w:val="001F0D22"/>
    <w:rsid w:val="001F2C59"/>
    <w:rsid w:val="001F41D0"/>
    <w:rsid w:val="001F462A"/>
    <w:rsid w:val="001F462C"/>
    <w:rsid w:val="001F4E36"/>
    <w:rsid w:val="001F7851"/>
    <w:rsid w:val="00203EB4"/>
    <w:rsid w:val="002048E9"/>
    <w:rsid w:val="00204B32"/>
    <w:rsid w:val="00204F5E"/>
    <w:rsid w:val="002079B3"/>
    <w:rsid w:val="00212ACC"/>
    <w:rsid w:val="002136DC"/>
    <w:rsid w:val="00220F16"/>
    <w:rsid w:val="00221082"/>
    <w:rsid w:val="0022550C"/>
    <w:rsid w:val="00230D62"/>
    <w:rsid w:val="00231837"/>
    <w:rsid w:val="002349A0"/>
    <w:rsid w:val="00234A9F"/>
    <w:rsid w:val="00240D31"/>
    <w:rsid w:val="0024245F"/>
    <w:rsid w:val="002439CC"/>
    <w:rsid w:val="00245AAA"/>
    <w:rsid w:val="0024656C"/>
    <w:rsid w:val="00250E63"/>
    <w:rsid w:val="00254C5B"/>
    <w:rsid w:val="0025597A"/>
    <w:rsid w:val="00261414"/>
    <w:rsid w:val="002625B6"/>
    <w:rsid w:val="00267570"/>
    <w:rsid w:val="00267DF3"/>
    <w:rsid w:val="0027118E"/>
    <w:rsid w:val="0027125F"/>
    <w:rsid w:val="00271A6E"/>
    <w:rsid w:val="00272463"/>
    <w:rsid w:val="002725F4"/>
    <w:rsid w:val="00276AC3"/>
    <w:rsid w:val="002771E5"/>
    <w:rsid w:val="00277840"/>
    <w:rsid w:val="002818D5"/>
    <w:rsid w:val="002878CC"/>
    <w:rsid w:val="00287C5A"/>
    <w:rsid w:val="00293839"/>
    <w:rsid w:val="00295ED7"/>
    <w:rsid w:val="002A0D1E"/>
    <w:rsid w:val="002A1236"/>
    <w:rsid w:val="002A3C80"/>
    <w:rsid w:val="002A6DA4"/>
    <w:rsid w:val="002A7B74"/>
    <w:rsid w:val="002A7E1F"/>
    <w:rsid w:val="002B2E3A"/>
    <w:rsid w:val="002B5C19"/>
    <w:rsid w:val="002B74A0"/>
    <w:rsid w:val="002B7B00"/>
    <w:rsid w:val="002C0792"/>
    <w:rsid w:val="002C0A5A"/>
    <w:rsid w:val="002C226C"/>
    <w:rsid w:val="002C3EE2"/>
    <w:rsid w:val="002C4EE5"/>
    <w:rsid w:val="002C7A8B"/>
    <w:rsid w:val="002D004C"/>
    <w:rsid w:val="002D3E6B"/>
    <w:rsid w:val="002D4B55"/>
    <w:rsid w:val="002E00E8"/>
    <w:rsid w:val="002E73BB"/>
    <w:rsid w:val="002F022D"/>
    <w:rsid w:val="002F1786"/>
    <w:rsid w:val="002F1797"/>
    <w:rsid w:val="002F5244"/>
    <w:rsid w:val="002F6BB1"/>
    <w:rsid w:val="00300B78"/>
    <w:rsid w:val="003037F8"/>
    <w:rsid w:val="00303FB9"/>
    <w:rsid w:val="003041FA"/>
    <w:rsid w:val="0030582C"/>
    <w:rsid w:val="003118A2"/>
    <w:rsid w:val="00312A68"/>
    <w:rsid w:val="00312C48"/>
    <w:rsid w:val="003148A8"/>
    <w:rsid w:val="003167F8"/>
    <w:rsid w:val="003202AD"/>
    <w:rsid w:val="003239A6"/>
    <w:rsid w:val="0032460A"/>
    <w:rsid w:val="00326957"/>
    <w:rsid w:val="00332FD1"/>
    <w:rsid w:val="003342CD"/>
    <w:rsid w:val="0033477F"/>
    <w:rsid w:val="00335042"/>
    <w:rsid w:val="003354BE"/>
    <w:rsid w:val="0033792B"/>
    <w:rsid w:val="00341642"/>
    <w:rsid w:val="003422CF"/>
    <w:rsid w:val="00346B11"/>
    <w:rsid w:val="00353BD8"/>
    <w:rsid w:val="00355872"/>
    <w:rsid w:val="00356430"/>
    <w:rsid w:val="00357733"/>
    <w:rsid w:val="0036099C"/>
    <w:rsid w:val="00360C0A"/>
    <w:rsid w:val="00360CE5"/>
    <w:rsid w:val="00362B70"/>
    <w:rsid w:val="00362E2F"/>
    <w:rsid w:val="00364040"/>
    <w:rsid w:val="00364901"/>
    <w:rsid w:val="00364DEE"/>
    <w:rsid w:val="003660BC"/>
    <w:rsid w:val="00370395"/>
    <w:rsid w:val="0037180D"/>
    <w:rsid w:val="00373853"/>
    <w:rsid w:val="003755F8"/>
    <w:rsid w:val="003814B2"/>
    <w:rsid w:val="003828CD"/>
    <w:rsid w:val="00383AAC"/>
    <w:rsid w:val="00391B4E"/>
    <w:rsid w:val="00392BBA"/>
    <w:rsid w:val="00392C0C"/>
    <w:rsid w:val="00394605"/>
    <w:rsid w:val="003954FD"/>
    <w:rsid w:val="003A3F81"/>
    <w:rsid w:val="003A5187"/>
    <w:rsid w:val="003B10F9"/>
    <w:rsid w:val="003B1433"/>
    <w:rsid w:val="003B19DD"/>
    <w:rsid w:val="003B2FEC"/>
    <w:rsid w:val="003B31F4"/>
    <w:rsid w:val="003B4356"/>
    <w:rsid w:val="003C0272"/>
    <w:rsid w:val="003C445C"/>
    <w:rsid w:val="003C5719"/>
    <w:rsid w:val="003C7907"/>
    <w:rsid w:val="003C7B82"/>
    <w:rsid w:val="003D0B99"/>
    <w:rsid w:val="003D16FB"/>
    <w:rsid w:val="003D17A9"/>
    <w:rsid w:val="003D2424"/>
    <w:rsid w:val="003D24C5"/>
    <w:rsid w:val="003D3515"/>
    <w:rsid w:val="003D392B"/>
    <w:rsid w:val="003D39C8"/>
    <w:rsid w:val="003D5F8B"/>
    <w:rsid w:val="003D60D7"/>
    <w:rsid w:val="003D6137"/>
    <w:rsid w:val="003D6BF3"/>
    <w:rsid w:val="003D7157"/>
    <w:rsid w:val="003E0411"/>
    <w:rsid w:val="003E1C8F"/>
    <w:rsid w:val="003E1CE3"/>
    <w:rsid w:val="003E3483"/>
    <w:rsid w:val="003E7391"/>
    <w:rsid w:val="003E77BC"/>
    <w:rsid w:val="003F17A4"/>
    <w:rsid w:val="003F19B9"/>
    <w:rsid w:val="003F3B86"/>
    <w:rsid w:val="004000AE"/>
    <w:rsid w:val="004001E6"/>
    <w:rsid w:val="00403196"/>
    <w:rsid w:val="004049A9"/>
    <w:rsid w:val="00405AD4"/>
    <w:rsid w:val="004063D6"/>
    <w:rsid w:val="004116B0"/>
    <w:rsid w:val="004129B9"/>
    <w:rsid w:val="00412BB6"/>
    <w:rsid w:val="00412C22"/>
    <w:rsid w:val="00414F9C"/>
    <w:rsid w:val="00424007"/>
    <w:rsid w:val="004243BD"/>
    <w:rsid w:val="00424726"/>
    <w:rsid w:val="00430A4D"/>
    <w:rsid w:val="004324F7"/>
    <w:rsid w:val="0043343B"/>
    <w:rsid w:val="00436952"/>
    <w:rsid w:val="00436AB2"/>
    <w:rsid w:val="00437A36"/>
    <w:rsid w:val="00437CBB"/>
    <w:rsid w:val="004468EB"/>
    <w:rsid w:val="00452CEC"/>
    <w:rsid w:val="00453F68"/>
    <w:rsid w:val="0045442C"/>
    <w:rsid w:val="00454E2D"/>
    <w:rsid w:val="004577E7"/>
    <w:rsid w:val="00461DBE"/>
    <w:rsid w:val="00462095"/>
    <w:rsid w:val="00462644"/>
    <w:rsid w:val="00464356"/>
    <w:rsid w:val="00466731"/>
    <w:rsid w:val="00466DD5"/>
    <w:rsid w:val="00467E83"/>
    <w:rsid w:val="00471B7C"/>
    <w:rsid w:val="00472408"/>
    <w:rsid w:val="0047265F"/>
    <w:rsid w:val="00472777"/>
    <w:rsid w:val="00473B71"/>
    <w:rsid w:val="004755FE"/>
    <w:rsid w:val="0048290D"/>
    <w:rsid w:val="00482B81"/>
    <w:rsid w:val="00482D4C"/>
    <w:rsid w:val="00483475"/>
    <w:rsid w:val="004838E4"/>
    <w:rsid w:val="0048463A"/>
    <w:rsid w:val="004846D5"/>
    <w:rsid w:val="00492BF6"/>
    <w:rsid w:val="00493586"/>
    <w:rsid w:val="004A10CE"/>
    <w:rsid w:val="004A1638"/>
    <w:rsid w:val="004A27A8"/>
    <w:rsid w:val="004A3018"/>
    <w:rsid w:val="004A3E33"/>
    <w:rsid w:val="004A4499"/>
    <w:rsid w:val="004A4B25"/>
    <w:rsid w:val="004B1689"/>
    <w:rsid w:val="004B3670"/>
    <w:rsid w:val="004B3C0F"/>
    <w:rsid w:val="004B4A3C"/>
    <w:rsid w:val="004B7C63"/>
    <w:rsid w:val="004C05E4"/>
    <w:rsid w:val="004C074D"/>
    <w:rsid w:val="004C1630"/>
    <w:rsid w:val="004C28DF"/>
    <w:rsid w:val="004D1725"/>
    <w:rsid w:val="004D37DD"/>
    <w:rsid w:val="004D4AE5"/>
    <w:rsid w:val="004D56A5"/>
    <w:rsid w:val="004D57C4"/>
    <w:rsid w:val="004D79DC"/>
    <w:rsid w:val="004E1293"/>
    <w:rsid w:val="004E2599"/>
    <w:rsid w:val="004E2EE7"/>
    <w:rsid w:val="004E3590"/>
    <w:rsid w:val="004E39E1"/>
    <w:rsid w:val="004F00BA"/>
    <w:rsid w:val="004F011F"/>
    <w:rsid w:val="004F03F4"/>
    <w:rsid w:val="004F0566"/>
    <w:rsid w:val="004F3A37"/>
    <w:rsid w:val="004F4C00"/>
    <w:rsid w:val="004F56D0"/>
    <w:rsid w:val="004F7E70"/>
    <w:rsid w:val="0050111A"/>
    <w:rsid w:val="0050235E"/>
    <w:rsid w:val="00503A99"/>
    <w:rsid w:val="00503E44"/>
    <w:rsid w:val="00505648"/>
    <w:rsid w:val="0050777E"/>
    <w:rsid w:val="0051245A"/>
    <w:rsid w:val="00513FE8"/>
    <w:rsid w:val="0051429B"/>
    <w:rsid w:val="00515283"/>
    <w:rsid w:val="00521480"/>
    <w:rsid w:val="005227CE"/>
    <w:rsid w:val="005227D1"/>
    <w:rsid w:val="005231C5"/>
    <w:rsid w:val="00525249"/>
    <w:rsid w:val="00533926"/>
    <w:rsid w:val="00533969"/>
    <w:rsid w:val="00537FB7"/>
    <w:rsid w:val="005402E3"/>
    <w:rsid w:val="005411D1"/>
    <w:rsid w:val="00542873"/>
    <w:rsid w:val="00546EB5"/>
    <w:rsid w:val="00554CA1"/>
    <w:rsid w:val="00554CA6"/>
    <w:rsid w:val="0055675D"/>
    <w:rsid w:val="005573C4"/>
    <w:rsid w:val="00563ACF"/>
    <w:rsid w:val="00563C12"/>
    <w:rsid w:val="00565E46"/>
    <w:rsid w:val="005661AE"/>
    <w:rsid w:val="00566E8F"/>
    <w:rsid w:val="00567F74"/>
    <w:rsid w:val="005709DE"/>
    <w:rsid w:val="005726BA"/>
    <w:rsid w:val="0057289D"/>
    <w:rsid w:val="00573FFC"/>
    <w:rsid w:val="0057422E"/>
    <w:rsid w:val="00575155"/>
    <w:rsid w:val="00577BF4"/>
    <w:rsid w:val="005800C8"/>
    <w:rsid w:val="005833BE"/>
    <w:rsid w:val="00585324"/>
    <w:rsid w:val="005858FB"/>
    <w:rsid w:val="00587584"/>
    <w:rsid w:val="00590901"/>
    <w:rsid w:val="0059302A"/>
    <w:rsid w:val="005932A6"/>
    <w:rsid w:val="005937DD"/>
    <w:rsid w:val="005A1F4A"/>
    <w:rsid w:val="005A2572"/>
    <w:rsid w:val="005A7110"/>
    <w:rsid w:val="005B357A"/>
    <w:rsid w:val="005B361F"/>
    <w:rsid w:val="005B3AF1"/>
    <w:rsid w:val="005C032C"/>
    <w:rsid w:val="005C10EA"/>
    <w:rsid w:val="005C73D6"/>
    <w:rsid w:val="005D1941"/>
    <w:rsid w:val="005D2168"/>
    <w:rsid w:val="005D7796"/>
    <w:rsid w:val="005D7D5A"/>
    <w:rsid w:val="005D7E35"/>
    <w:rsid w:val="005E19EF"/>
    <w:rsid w:val="005E24E3"/>
    <w:rsid w:val="005E4792"/>
    <w:rsid w:val="005E4BAC"/>
    <w:rsid w:val="005E580A"/>
    <w:rsid w:val="005E640A"/>
    <w:rsid w:val="005F05DE"/>
    <w:rsid w:val="005F0ABE"/>
    <w:rsid w:val="005F1BC2"/>
    <w:rsid w:val="005F2296"/>
    <w:rsid w:val="0060130D"/>
    <w:rsid w:val="00601E7C"/>
    <w:rsid w:val="006026B6"/>
    <w:rsid w:val="006058B5"/>
    <w:rsid w:val="00606671"/>
    <w:rsid w:val="006100E5"/>
    <w:rsid w:val="00612329"/>
    <w:rsid w:val="006137A6"/>
    <w:rsid w:val="00613B16"/>
    <w:rsid w:val="00614B87"/>
    <w:rsid w:val="00615574"/>
    <w:rsid w:val="00615E89"/>
    <w:rsid w:val="00617149"/>
    <w:rsid w:val="006175E5"/>
    <w:rsid w:val="00623F9C"/>
    <w:rsid w:val="006243C6"/>
    <w:rsid w:val="00624669"/>
    <w:rsid w:val="0062651F"/>
    <w:rsid w:val="006267CF"/>
    <w:rsid w:val="00630893"/>
    <w:rsid w:val="0063196D"/>
    <w:rsid w:val="00631FF2"/>
    <w:rsid w:val="00632383"/>
    <w:rsid w:val="00637A77"/>
    <w:rsid w:val="00637E6D"/>
    <w:rsid w:val="0064129F"/>
    <w:rsid w:val="00642CC0"/>
    <w:rsid w:val="0064309D"/>
    <w:rsid w:val="00647BB7"/>
    <w:rsid w:val="00650CAD"/>
    <w:rsid w:val="00651565"/>
    <w:rsid w:val="0065394D"/>
    <w:rsid w:val="0065661E"/>
    <w:rsid w:val="00660F56"/>
    <w:rsid w:val="00661AEF"/>
    <w:rsid w:val="00664990"/>
    <w:rsid w:val="00666469"/>
    <w:rsid w:val="006711DF"/>
    <w:rsid w:val="006769A1"/>
    <w:rsid w:val="00680297"/>
    <w:rsid w:val="0068046D"/>
    <w:rsid w:val="00680871"/>
    <w:rsid w:val="00680CE9"/>
    <w:rsid w:val="00683956"/>
    <w:rsid w:val="00684F75"/>
    <w:rsid w:val="006873CE"/>
    <w:rsid w:val="0069205F"/>
    <w:rsid w:val="006A00F4"/>
    <w:rsid w:val="006A0786"/>
    <w:rsid w:val="006A11D6"/>
    <w:rsid w:val="006A1BC9"/>
    <w:rsid w:val="006A62AA"/>
    <w:rsid w:val="006A64E8"/>
    <w:rsid w:val="006A7FD8"/>
    <w:rsid w:val="006B164D"/>
    <w:rsid w:val="006B1A77"/>
    <w:rsid w:val="006B2138"/>
    <w:rsid w:val="006B520A"/>
    <w:rsid w:val="006B523A"/>
    <w:rsid w:val="006B5EB9"/>
    <w:rsid w:val="006B6AF6"/>
    <w:rsid w:val="006B7B10"/>
    <w:rsid w:val="006B7FC6"/>
    <w:rsid w:val="006C170A"/>
    <w:rsid w:val="006D10EC"/>
    <w:rsid w:val="006D3F9A"/>
    <w:rsid w:val="006D406B"/>
    <w:rsid w:val="006D478B"/>
    <w:rsid w:val="006D4DAA"/>
    <w:rsid w:val="006D60D0"/>
    <w:rsid w:val="006D672B"/>
    <w:rsid w:val="006D6BB8"/>
    <w:rsid w:val="006E037D"/>
    <w:rsid w:val="006E04DB"/>
    <w:rsid w:val="006E0852"/>
    <w:rsid w:val="006E0A91"/>
    <w:rsid w:val="006E0CBA"/>
    <w:rsid w:val="006E36BD"/>
    <w:rsid w:val="006E3AB4"/>
    <w:rsid w:val="006E6321"/>
    <w:rsid w:val="006F06C1"/>
    <w:rsid w:val="006F0F19"/>
    <w:rsid w:val="006F4A74"/>
    <w:rsid w:val="006F522B"/>
    <w:rsid w:val="006F52FF"/>
    <w:rsid w:val="006F683C"/>
    <w:rsid w:val="006F6C2A"/>
    <w:rsid w:val="006F74AB"/>
    <w:rsid w:val="006F7901"/>
    <w:rsid w:val="0070169C"/>
    <w:rsid w:val="00701F57"/>
    <w:rsid w:val="00703715"/>
    <w:rsid w:val="00703BA1"/>
    <w:rsid w:val="00704CCA"/>
    <w:rsid w:val="00705171"/>
    <w:rsid w:val="007053B0"/>
    <w:rsid w:val="00710E94"/>
    <w:rsid w:val="007171C4"/>
    <w:rsid w:val="007224A8"/>
    <w:rsid w:val="0072370C"/>
    <w:rsid w:val="00724650"/>
    <w:rsid w:val="00727D8A"/>
    <w:rsid w:val="0073078C"/>
    <w:rsid w:val="00730DA8"/>
    <w:rsid w:val="00731FEA"/>
    <w:rsid w:val="007323F4"/>
    <w:rsid w:val="00735921"/>
    <w:rsid w:val="0073599B"/>
    <w:rsid w:val="00736F61"/>
    <w:rsid w:val="0074185E"/>
    <w:rsid w:val="00742253"/>
    <w:rsid w:val="00742866"/>
    <w:rsid w:val="00742C9F"/>
    <w:rsid w:val="007436F0"/>
    <w:rsid w:val="00743896"/>
    <w:rsid w:val="00743E32"/>
    <w:rsid w:val="0074422A"/>
    <w:rsid w:val="0074479F"/>
    <w:rsid w:val="007449A5"/>
    <w:rsid w:val="00746F59"/>
    <w:rsid w:val="0074728E"/>
    <w:rsid w:val="007510A2"/>
    <w:rsid w:val="00753086"/>
    <w:rsid w:val="0075592F"/>
    <w:rsid w:val="0075774B"/>
    <w:rsid w:val="00757B95"/>
    <w:rsid w:val="00760876"/>
    <w:rsid w:val="007662C7"/>
    <w:rsid w:val="0077018B"/>
    <w:rsid w:val="00772FAF"/>
    <w:rsid w:val="00774D75"/>
    <w:rsid w:val="007758DC"/>
    <w:rsid w:val="00776306"/>
    <w:rsid w:val="00780399"/>
    <w:rsid w:val="00780A08"/>
    <w:rsid w:val="007816E2"/>
    <w:rsid w:val="00794275"/>
    <w:rsid w:val="007949C5"/>
    <w:rsid w:val="0079503E"/>
    <w:rsid w:val="0079572E"/>
    <w:rsid w:val="007A1887"/>
    <w:rsid w:val="007A2ADC"/>
    <w:rsid w:val="007A33F8"/>
    <w:rsid w:val="007A3B95"/>
    <w:rsid w:val="007A45A9"/>
    <w:rsid w:val="007A55A7"/>
    <w:rsid w:val="007A57BC"/>
    <w:rsid w:val="007B15AA"/>
    <w:rsid w:val="007B1F10"/>
    <w:rsid w:val="007B2143"/>
    <w:rsid w:val="007B335E"/>
    <w:rsid w:val="007B4A9D"/>
    <w:rsid w:val="007C137D"/>
    <w:rsid w:val="007C333C"/>
    <w:rsid w:val="007C7C35"/>
    <w:rsid w:val="007C7D64"/>
    <w:rsid w:val="007D0692"/>
    <w:rsid w:val="007D124C"/>
    <w:rsid w:val="007D3E34"/>
    <w:rsid w:val="007D4372"/>
    <w:rsid w:val="007D4E7A"/>
    <w:rsid w:val="007D5CD1"/>
    <w:rsid w:val="007D61E3"/>
    <w:rsid w:val="007D6771"/>
    <w:rsid w:val="007E018D"/>
    <w:rsid w:val="007E0851"/>
    <w:rsid w:val="007E0B7E"/>
    <w:rsid w:val="007E22C3"/>
    <w:rsid w:val="007E27B1"/>
    <w:rsid w:val="007E5B3D"/>
    <w:rsid w:val="007E67DD"/>
    <w:rsid w:val="007E6A45"/>
    <w:rsid w:val="007E7B7F"/>
    <w:rsid w:val="007F1B71"/>
    <w:rsid w:val="007F306F"/>
    <w:rsid w:val="007F61AA"/>
    <w:rsid w:val="008012D2"/>
    <w:rsid w:val="0080320B"/>
    <w:rsid w:val="008055FF"/>
    <w:rsid w:val="00807E7D"/>
    <w:rsid w:val="00813590"/>
    <w:rsid w:val="0081365F"/>
    <w:rsid w:val="008145BA"/>
    <w:rsid w:val="008168D0"/>
    <w:rsid w:val="00822B86"/>
    <w:rsid w:val="0082361B"/>
    <w:rsid w:val="008237D4"/>
    <w:rsid w:val="008249BE"/>
    <w:rsid w:val="00825F89"/>
    <w:rsid w:val="00826071"/>
    <w:rsid w:val="008264A3"/>
    <w:rsid w:val="00826CA2"/>
    <w:rsid w:val="00831675"/>
    <w:rsid w:val="00833654"/>
    <w:rsid w:val="00834F12"/>
    <w:rsid w:val="008404AD"/>
    <w:rsid w:val="00843070"/>
    <w:rsid w:val="00843D05"/>
    <w:rsid w:val="00844849"/>
    <w:rsid w:val="00844BE0"/>
    <w:rsid w:val="008457D2"/>
    <w:rsid w:val="00845A80"/>
    <w:rsid w:val="00853CC0"/>
    <w:rsid w:val="008552D6"/>
    <w:rsid w:val="00855DA3"/>
    <w:rsid w:val="00860090"/>
    <w:rsid w:val="00860BB5"/>
    <w:rsid w:val="00860DC8"/>
    <w:rsid w:val="00862443"/>
    <w:rsid w:val="0086432B"/>
    <w:rsid w:val="00866A69"/>
    <w:rsid w:val="00871089"/>
    <w:rsid w:val="00871468"/>
    <w:rsid w:val="00877071"/>
    <w:rsid w:val="008779B4"/>
    <w:rsid w:val="00877A2F"/>
    <w:rsid w:val="0088026C"/>
    <w:rsid w:val="0088030E"/>
    <w:rsid w:val="0088138D"/>
    <w:rsid w:val="00883863"/>
    <w:rsid w:val="0088467C"/>
    <w:rsid w:val="008853B9"/>
    <w:rsid w:val="00885AA3"/>
    <w:rsid w:val="008918A3"/>
    <w:rsid w:val="00891F21"/>
    <w:rsid w:val="00892D3B"/>
    <w:rsid w:val="00894579"/>
    <w:rsid w:val="00895192"/>
    <w:rsid w:val="008A07C2"/>
    <w:rsid w:val="008A2BDB"/>
    <w:rsid w:val="008A4997"/>
    <w:rsid w:val="008A5B67"/>
    <w:rsid w:val="008A5CCD"/>
    <w:rsid w:val="008A6A6D"/>
    <w:rsid w:val="008B29E7"/>
    <w:rsid w:val="008B2C4E"/>
    <w:rsid w:val="008B33DF"/>
    <w:rsid w:val="008B3C1C"/>
    <w:rsid w:val="008B3D28"/>
    <w:rsid w:val="008B573F"/>
    <w:rsid w:val="008B5830"/>
    <w:rsid w:val="008B5C0B"/>
    <w:rsid w:val="008C2216"/>
    <w:rsid w:val="008C5604"/>
    <w:rsid w:val="008C596A"/>
    <w:rsid w:val="008C7410"/>
    <w:rsid w:val="008D07E2"/>
    <w:rsid w:val="008D150B"/>
    <w:rsid w:val="008D16F7"/>
    <w:rsid w:val="008D331F"/>
    <w:rsid w:val="008D40FA"/>
    <w:rsid w:val="008D4835"/>
    <w:rsid w:val="008D4C43"/>
    <w:rsid w:val="008E1427"/>
    <w:rsid w:val="008E52C7"/>
    <w:rsid w:val="008E5A1D"/>
    <w:rsid w:val="008F03B9"/>
    <w:rsid w:val="008F0C50"/>
    <w:rsid w:val="008F0E0D"/>
    <w:rsid w:val="008F2529"/>
    <w:rsid w:val="008F2CEA"/>
    <w:rsid w:val="008F778A"/>
    <w:rsid w:val="00902ED6"/>
    <w:rsid w:val="0090320B"/>
    <w:rsid w:val="00905C17"/>
    <w:rsid w:val="00906037"/>
    <w:rsid w:val="00910867"/>
    <w:rsid w:val="0091280A"/>
    <w:rsid w:val="009143A0"/>
    <w:rsid w:val="009206CE"/>
    <w:rsid w:val="00921B5A"/>
    <w:rsid w:val="009249B1"/>
    <w:rsid w:val="00925124"/>
    <w:rsid w:val="00925635"/>
    <w:rsid w:val="00927C59"/>
    <w:rsid w:val="00930CA1"/>
    <w:rsid w:val="00931881"/>
    <w:rsid w:val="009339DC"/>
    <w:rsid w:val="00933B10"/>
    <w:rsid w:val="0093421F"/>
    <w:rsid w:val="00936902"/>
    <w:rsid w:val="00940364"/>
    <w:rsid w:val="00942170"/>
    <w:rsid w:val="009431CD"/>
    <w:rsid w:val="0094486D"/>
    <w:rsid w:val="00944941"/>
    <w:rsid w:val="00950D84"/>
    <w:rsid w:val="00950E58"/>
    <w:rsid w:val="009513B1"/>
    <w:rsid w:val="00951E7A"/>
    <w:rsid w:val="00952A10"/>
    <w:rsid w:val="00952DF0"/>
    <w:rsid w:val="00954679"/>
    <w:rsid w:val="009552FE"/>
    <w:rsid w:val="00955673"/>
    <w:rsid w:val="009562E9"/>
    <w:rsid w:val="009578BA"/>
    <w:rsid w:val="00960704"/>
    <w:rsid w:val="009621BA"/>
    <w:rsid w:val="009655DA"/>
    <w:rsid w:val="00965BBC"/>
    <w:rsid w:val="009670F2"/>
    <w:rsid w:val="009673D0"/>
    <w:rsid w:val="009706F1"/>
    <w:rsid w:val="00972823"/>
    <w:rsid w:val="009731F1"/>
    <w:rsid w:val="00974118"/>
    <w:rsid w:val="00974996"/>
    <w:rsid w:val="009834AE"/>
    <w:rsid w:val="0098473A"/>
    <w:rsid w:val="009854B5"/>
    <w:rsid w:val="00985C9E"/>
    <w:rsid w:val="0098622A"/>
    <w:rsid w:val="0098737D"/>
    <w:rsid w:val="00990859"/>
    <w:rsid w:val="00990BE6"/>
    <w:rsid w:val="00991204"/>
    <w:rsid w:val="00992BC2"/>
    <w:rsid w:val="009A2167"/>
    <w:rsid w:val="009A49F0"/>
    <w:rsid w:val="009A5307"/>
    <w:rsid w:val="009B116D"/>
    <w:rsid w:val="009B2730"/>
    <w:rsid w:val="009B2DD6"/>
    <w:rsid w:val="009B755F"/>
    <w:rsid w:val="009B7A38"/>
    <w:rsid w:val="009C0051"/>
    <w:rsid w:val="009C197F"/>
    <w:rsid w:val="009C474C"/>
    <w:rsid w:val="009C562D"/>
    <w:rsid w:val="009C6622"/>
    <w:rsid w:val="009C6A1E"/>
    <w:rsid w:val="009D2F0C"/>
    <w:rsid w:val="009D3BE9"/>
    <w:rsid w:val="009D477C"/>
    <w:rsid w:val="009D61CE"/>
    <w:rsid w:val="009D6EC3"/>
    <w:rsid w:val="009D6EC5"/>
    <w:rsid w:val="009E27A5"/>
    <w:rsid w:val="009E2D61"/>
    <w:rsid w:val="009E2D9A"/>
    <w:rsid w:val="009E2F86"/>
    <w:rsid w:val="009E4876"/>
    <w:rsid w:val="009E4E3C"/>
    <w:rsid w:val="009F1D3D"/>
    <w:rsid w:val="009F5237"/>
    <w:rsid w:val="00A01FD1"/>
    <w:rsid w:val="00A0732A"/>
    <w:rsid w:val="00A11FFC"/>
    <w:rsid w:val="00A12209"/>
    <w:rsid w:val="00A1261C"/>
    <w:rsid w:val="00A14A58"/>
    <w:rsid w:val="00A1536C"/>
    <w:rsid w:val="00A15D98"/>
    <w:rsid w:val="00A15F8F"/>
    <w:rsid w:val="00A160A8"/>
    <w:rsid w:val="00A20321"/>
    <w:rsid w:val="00A22C98"/>
    <w:rsid w:val="00A23AD6"/>
    <w:rsid w:val="00A26EBA"/>
    <w:rsid w:val="00A313C8"/>
    <w:rsid w:val="00A31484"/>
    <w:rsid w:val="00A31681"/>
    <w:rsid w:val="00A31D84"/>
    <w:rsid w:val="00A32812"/>
    <w:rsid w:val="00A33F87"/>
    <w:rsid w:val="00A34404"/>
    <w:rsid w:val="00A34CA4"/>
    <w:rsid w:val="00A36DF3"/>
    <w:rsid w:val="00A41059"/>
    <w:rsid w:val="00A4249E"/>
    <w:rsid w:val="00A42A2C"/>
    <w:rsid w:val="00A4441D"/>
    <w:rsid w:val="00A46F60"/>
    <w:rsid w:val="00A47141"/>
    <w:rsid w:val="00A47FA5"/>
    <w:rsid w:val="00A532DD"/>
    <w:rsid w:val="00A54B34"/>
    <w:rsid w:val="00A5522E"/>
    <w:rsid w:val="00A55582"/>
    <w:rsid w:val="00A568D2"/>
    <w:rsid w:val="00A649B6"/>
    <w:rsid w:val="00A66652"/>
    <w:rsid w:val="00A667C0"/>
    <w:rsid w:val="00A67365"/>
    <w:rsid w:val="00A67D5C"/>
    <w:rsid w:val="00A728CE"/>
    <w:rsid w:val="00A7342F"/>
    <w:rsid w:val="00A74B90"/>
    <w:rsid w:val="00A75470"/>
    <w:rsid w:val="00A7574F"/>
    <w:rsid w:val="00A760F0"/>
    <w:rsid w:val="00A80BCF"/>
    <w:rsid w:val="00A825D1"/>
    <w:rsid w:val="00A8369C"/>
    <w:rsid w:val="00A849FF"/>
    <w:rsid w:val="00A84F1E"/>
    <w:rsid w:val="00A86579"/>
    <w:rsid w:val="00A90212"/>
    <w:rsid w:val="00A90A72"/>
    <w:rsid w:val="00A90CC4"/>
    <w:rsid w:val="00A922D1"/>
    <w:rsid w:val="00A92959"/>
    <w:rsid w:val="00A9401D"/>
    <w:rsid w:val="00A948DE"/>
    <w:rsid w:val="00A94C7B"/>
    <w:rsid w:val="00AA1689"/>
    <w:rsid w:val="00AA192E"/>
    <w:rsid w:val="00AA496F"/>
    <w:rsid w:val="00AA5770"/>
    <w:rsid w:val="00AA5E71"/>
    <w:rsid w:val="00AA6012"/>
    <w:rsid w:val="00AA6251"/>
    <w:rsid w:val="00AA70DB"/>
    <w:rsid w:val="00AB2528"/>
    <w:rsid w:val="00AB2DEF"/>
    <w:rsid w:val="00AB2E70"/>
    <w:rsid w:val="00AB33C1"/>
    <w:rsid w:val="00AB3E03"/>
    <w:rsid w:val="00AB3E0D"/>
    <w:rsid w:val="00AC1D15"/>
    <w:rsid w:val="00AC2E2E"/>
    <w:rsid w:val="00AC45DB"/>
    <w:rsid w:val="00AD3D25"/>
    <w:rsid w:val="00AD44C6"/>
    <w:rsid w:val="00AD49EB"/>
    <w:rsid w:val="00AD6BB7"/>
    <w:rsid w:val="00AE0BF5"/>
    <w:rsid w:val="00AE171A"/>
    <w:rsid w:val="00AE1E87"/>
    <w:rsid w:val="00AE20A1"/>
    <w:rsid w:val="00AE2B2D"/>
    <w:rsid w:val="00AE2CAB"/>
    <w:rsid w:val="00AE44F4"/>
    <w:rsid w:val="00AE4584"/>
    <w:rsid w:val="00AE460D"/>
    <w:rsid w:val="00AE7F82"/>
    <w:rsid w:val="00AF0040"/>
    <w:rsid w:val="00AF0B8C"/>
    <w:rsid w:val="00AF0EBD"/>
    <w:rsid w:val="00AF441E"/>
    <w:rsid w:val="00AF54FC"/>
    <w:rsid w:val="00AF7AEF"/>
    <w:rsid w:val="00B05A1C"/>
    <w:rsid w:val="00B064BD"/>
    <w:rsid w:val="00B06E99"/>
    <w:rsid w:val="00B07B0C"/>
    <w:rsid w:val="00B07DD0"/>
    <w:rsid w:val="00B120F9"/>
    <w:rsid w:val="00B13623"/>
    <w:rsid w:val="00B14D1C"/>
    <w:rsid w:val="00B22D68"/>
    <w:rsid w:val="00B23CDB"/>
    <w:rsid w:val="00B25563"/>
    <w:rsid w:val="00B26D48"/>
    <w:rsid w:val="00B27896"/>
    <w:rsid w:val="00B2789F"/>
    <w:rsid w:val="00B312BA"/>
    <w:rsid w:val="00B34975"/>
    <w:rsid w:val="00B37422"/>
    <w:rsid w:val="00B40949"/>
    <w:rsid w:val="00B40D80"/>
    <w:rsid w:val="00B40F97"/>
    <w:rsid w:val="00B41295"/>
    <w:rsid w:val="00B4161A"/>
    <w:rsid w:val="00B41F7B"/>
    <w:rsid w:val="00B42EE1"/>
    <w:rsid w:val="00B44B8A"/>
    <w:rsid w:val="00B46B0F"/>
    <w:rsid w:val="00B47A59"/>
    <w:rsid w:val="00B50071"/>
    <w:rsid w:val="00B52A57"/>
    <w:rsid w:val="00B5349B"/>
    <w:rsid w:val="00B54A36"/>
    <w:rsid w:val="00B5649C"/>
    <w:rsid w:val="00B5677D"/>
    <w:rsid w:val="00B57A23"/>
    <w:rsid w:val="00B57ACB"/>
    <w:rsid w:val="00B57D91"/>
    <w:rsid w:val="00B60BCA"/>
    <w:rsid w:val="00B62BE6"/>
    <w:rsid w:val="00B62FF7"/>
    <w:rsid w:val="00B64351"/>
    <w:rsid w:val="00B659D9"/>
    <w:rsid w:val="00B7138A"/>
    <w:rsid w:val="00B722EB"/>
    <w:rsid w:val="00B814A6"/>
    <w:rsid w:val="00B828DE"/>
    <w:rsid w:val="00B8293D"/>
    <w:rsid w:val="00B87A49"/>
    <w:rsid w:val="00B917B5"/>
    <w:rsid w:val="00B91ECE"/>
    <w:rsid w:val="00B92478"/>
    <w:rsid w:val="00B92E30"/>
    <w:rsid w:val="00B943FB"/>
    <w:rsid w:val="00B94618"/>
    <w:rsid w:val="00B9490E"/>
    <w:rsid w:val="00B9583D"/>
    <w:rsid w:val="00B97463"/>
    <w:rsid w:val="00BA13A1"/>
    <w:rsid w:val="00BA255A"/>
    <w:rsid w:val="00BA25B4"/>
    <w:rsid w:val="00BA2B2C"/>
    <w:rsid w:val="00BA37FD"/>
    <w:rsid w:val="00BA6188"/>
    <w:rsid w:val="00BA7052"/>
    <w:rsid w:val="00BB0BAC"/>
    <w:rsid w:val="00BB17DB"/>
    <w:rsid w:val="00BB363F"/>
    <w:rsid w:val="00BB608E"/>
    <w:rsid w:val="00BB7567"/>
    <w:rsid w:val="00BC05E8"/>
    <w:rsid w:val="00BC1DDE"/>
    <w:rsid w:val="00BC361A"/>
    <w:rsid w:val="00BC59A5"/>
    <w:rsid w:val="00BC68C2"/>
    <w:rsid w:val="00BD2045"/>
    <w:rsid w:val="00BD3450"/>
    <w:rsid w:val="00BD3D7D"/>
    <w:rsid w:val="00BD4585"/>
    <w:rsid w:val="00BD49F7"/>
    <w:rsid w:val="00BD61A2"/>
    <w:rsid w:val="00BD6F49"/>
    <w:rsid w:val="00BE37C6"/>
    <w:rsid w:val="00BE484D"/>
    <w:rsid w:val="00BE7517"/>
    <w:rsid w:val="00BF0BD9"/>
    <w:rsid w:val="00BF141E"/>
    <w:rsid w:val="00BF2596"/>
    <w:rsid w:val="00BF3F85"/>
    <w:rsid w:val="00BF6D4C"/>
    <w:rsid w:val="00BF7F4D"/>
    <w:rsid w:val="00C00B11"/>
    <w:rsid w:val="00C11F24"/>
    <w:rsid w:val="00C13431"/>
    <w:rsid w:val="00C146B7"/>
    <w:rsid w:val="00C154DC"/>
    <w:rsid w:val="00C16362"/>
    <w:rsid w:val="00C23B24"/>
    <w:rsid w:val="00C24EDE"/>
    <w:rsid w:val="00C254EC"/>
    <w:rsid w:val="00C30022"/>
    <w:rsid w:val="00C34031"/>
    <w:rsid w:val="00C34990"/>
    <w:rsid w:val="00C37E05"/>
    <w:rsid w:val="00C4270A"/>
    <w:rsid w:val="00C4281B"/>
    <w:rsid w:val="00C46FE5"/>
    <w:rsid w:val="00C47000"/>
    <w:rsid w:val="00C47789"/>
    <w:rsid w:val="00C52172"/>
    <w:rsid w:val="00C54D2E"/>
    <w:rsid w:val="00C55682"/>
    <w:rsid w:val="00C55D29"/>
    <w:rsid w:val="00C56F2E"/>
    <w:rsid w:val="00C57504"/>
    <w:rsid w:val="00C62B3A"/>
    <w:rsid w:val="00C64BFE"/>
    <w:rsid w:val="00C65514"/>
    <w:rsid w:val="00C76AF0"/>
    <w:rsid w:val="00C802FB"/>
    <w:rsid w:val="00C83DB6"/>
    <w:rsid w:val="00C84FA0"/>
    <w:rsid w:val="00C86F6D"/>
    <w:rsid w:val="00C902EB"/>
    <w:rsid w:val="00C919C0"/>
    <w:rsid w:val="00C93785"/>
    <w:rsid w:val="00C948D8"/>
    <w:rsid w:val="00CA0BE9"/>
    <w:rsid w:val="00CA138D"/>
    <w:rsid w:val="00CA3C50"/>
    <w:rsid w:val="00CA57D9"/>
    <w:rsid w:val="00CA5D67"/>
    <w:rsid w:val="00CB0FC1"/>
    <w:rsid w:val="00CB528C"/>
    <w:rsid w:val="00CB569F"/>
    <w:rsid w:val="00CB5D4C"/>
    <w:rsid w:val="00CB684F"/>
    <w:rsid w:val="00CC1CE5"/>
    <w:rsid w:val="00CC220F"/>
    <w:rsid w:val="00CC2A34"/>
    <w:rsid w:val="00CC2AFE"/>
    <w:rsid w:val="00CC4A60"/>
    <w:rsid w:val="00CC66C0"/>
    <w:rsid w:val="00CC6C78"/>
    <w:rsid w:val="00CC7641"/>
    <w:rsid w:val="00CC7B2E"/>
    <w:rsid w:val="00CD34F0"/>
    <w:rsid w:val="00CD3C3C"/>
    <w:rsid w:val="00CD3D52"/>
    <w:rsid w:val="00CD64B6"/>
    <w:rsid w:val="00CE0B46"/>
    <w:rsid w:val="00CE4EFB"/>
    <w:rsid w:val="00CE7751"/>
    <w:rsid w:val="00CE7D19"/>
    <w:rsid w:val="00CF0681"/>
    <w:rsid w:val="00CF1652"/>
    <w:rsid w:val="00CF2515"/>
    <w:rsid w:val="00CF3A2D"/>
    <w:rsid w:val="00CF3E79"/>
    <w:rsid w:val="00CF6074"/>
    <w:rsid w:val="00D01415"/>
    <w:rsid w:val="00D074A2"/>
    <w:rsid w:val="00D107AD"/>
    <w:rsid w:val="00D116BE"/>
    <w:rsid w:val="00D13794"/>
    <w:rsid w:val="00D137FB"/>
    <w:rsid w:val="00D20DC2"/>
    <w:rsid w:val="00D218E7"/>
    <w:rsid w:val="00D24052"/>
    <w:rsid w:val="00D24386"/>
    <w:rsid w:val="00D247D7"/>
    <w:rsid w:val="00D31575"/>
    <w:rsid w:val="00D31A89"/>
    <w:rsid w:val="00D33432"/>
    <w:rsid w:val="00D34626"/>
    <w:rsid w:val="00D34FB4"/>
    <w:rsid w:val="00D356C2"/>
    <w:rsid w:val="00D35973"/>
    <w:rsid w:val="00D359BA"/>
    <w:rsid w:val="00D36F92"/>
    <w:rsid w:val="00D40F14"/>
    <w:rsid w:val="00D4257A"/>
    <w:rsid w:val="00D43814"/>
    <w:rsid w:val="00D44A00"/>
    <w:rsid w:val="00D456A9"/>
    <w:rsid w:val="00D464A0"/>
    <w:rsid w:val="00D52798"/>
    <w:rsid w:val="00D5468A"/>
    <w:rsid w:val="00D546E1"/>
    <w:rsid w:val="00D60245"/>
    <w:rsid w:val="00D61745"/>
    <w:rsid w:val="00D62665"/>
    <w:rsid w:val="00D62D91"/>
    <w:rsid w:val="00D63046"/>
    <w:rsid w:val="00D645AC"/>
    <w:rsid w:val="00D66C71"/>
    <w:rsid w:val="00D66D7C"/>
    <w:rsid w:val="00D70205"/>
    <w:rsid w:val="00D732C1"/>
    <w:rsid w:val="00D735EF"/>
    <w:rsid w:val="00D7609F"/>
    <w:rsid w:val="00D77F39"/>
    <w:rsid w:val="00D81039"/>
    <w:rsid w:val="00D81A08"/>
    <w:rsid w:val="00D81AA7"/>
    <w:rsid w:val="00D8224B"/>
    <w:rsid w:val="00D82E47"/>
    <w:rsid w:val="00D84A01"/>
    <w:rsid w:val="00D86A56"/>
    <w:rsid w:val="00D9131A"/>
    <w:rsid w:val="00D92CE3"/>
    <w:rsid w:val="00D948D8"/>
    <w:rsid w:val="00D977EA"/>
    <w:rsid w:val="00DA0614"/>
    <w:rsid w:val="00DA0A62"/>
    <w:rsid w:val="00DA14A7"/>
    <w:rsid w:val="00DA37E0"/>
    <w:rsid w:val="00DA4216"/>
    <w:rsid w:val="00DA5FE2"/>
    <w:rsid w:val="00DB148C"/>
    <w:rsid w:val="00DB1A31"/>
    <w:rsid w:val="00DB202E"/>
    <w:rsid w:val="00DB4F78"/>
    <w:rsid w:val="00DB6212"/>
    <w:rsid w:val="00DB6916"/>
    <w:rsid w:val="00DC027B"/>
    <w:rsid w:val="00DC0CDE"/>
    <w:rsid w:val="00DC1A85"/>
    <w:rsid w:val="00DC1B62"/>
    <w:rsid w:val="00DC2B7B"/>
    <w:rsid w:val="00DC498E"/>
    <w:rsid w:val="00DC4D72"/>
    <w:rsid w:val="00DC6525"/>
    <w:rsid w:val="00DC7018"/>
    <w:rsid w:val="00DD12B0"/>
    <w:rsid w:val="00DD3871"/>
    <w:rsid w:val="00DD435F"/>
    <w:rsid w:val="00DD5610"/>
    <w:rsid w:val="00DD5A21"/>
    <w:rsid w:val="00DD6AEF"/>
    <w:rsid w:val="00DE0E30"/>
    <w:rsid w:val="00DE1F1E"/>
    <w:rsid w:val="00DE5086"/>
    <w:rsid w:val="00DE6289"/>
    <w:rsid w:val="00DE669D"/>
    <w:rsid w:val="00DF0CB3"/>
    <w:rsid w:val="00DF40BE"/>
    <w:rsid w:val="00DF494C"/>
    <w:rsid w:val="00DF5858"/>
    <w:rsid w:val="00DF6D0B"/>
    <w:rsid w:val="00DF7E0D"/>
    <w:rsid w:val="00E026AD"/>
    <w:rsid w:val="00E028F8"/>
    <w:rsid w:val="00E03463"/>
    <w:rsid w:val="00E03AB5"/>
    <w:rsid w:val="00E053F8"/>
    <w:rsid w:val="00E0624D"/>
    <w:rsid w:val="00E077C1"/>
    <w:rsid w:val="00E11A7A"/>
    <w:rsid w:val="00E1287D"/>
    <w:rsid w:val="00E12CBB"/>
    <w:rsid w:val="00E179D4"/>
    <w:rsid w:val="00E20023"/>
    <w:rsid w:val="00E23DE7"/>
    <w:rsid w:val="00E3351F"/>
    <w:rsid w:val="00E353A3"/>
    <w:rsid w:val="00E35C9D"/>
    <w:rsid w:val="00E37432"/>
    <w:rsid w:val="00E37FF7"/>
    <w:rsid w:val="00E40CAF"/>
    <w:rsid w:val="00E40CEE"/>
    <w:rsid w:val="00E4438C"/>
    <w:rsid w:val="00E45364"/>
    <w:rsid w:val="00E45759"/>
    <w:rsid w:val="00E457F3"/>
    <w:rsid w:val="00E50663"/>
    <w:rsid w:val="00E526DD"/>
    <w:rsid w:val="00E55F9B"/>
    <w:rsid w:val="00E576F5"/>
    <w:rsid w:val="00E57A6A"/>
    <w:rsid w:val="00E61BBD"/>
    <w:rsid w:val="00E6298F"/>
    <w:rsid w:val="00E6687E"/>
    <w:rsid w:val="00E71075"/>
    <w:rsid w:val="00E73CC1"/>
    <w:rsid w:val="00E75D22"/>
    <w:rsid w:val="00E8098C"/>
    <w:rsid w:val="00E834D6"/>
    <w:rsid w:val="00E86357"/>
    <w:rsid w:val="00E87284"/>
    <w:rsid w:val="00E914F8"/>
    <w:rsid w:val="00E9163F"/>
    <w:rsid w:val="00E95D2E"/>
    <w:rsid w:val="00E97664"/>
    <w:rsid w:val="00EA1689"/>
    <w:rsid w:val="00EA2E4F"/>
    <w:rsid w:val="00EA4DD8"/>
    <w:rsid w:val="00EA540B"/>
    <w:rsid w:val="00EA5981"/>
    <w:rsid w:val="00EA7959"/>
    <w:rsid w:val="00EB0A26"/>
    <w:rsid w:val="00EB1DF7"/>
    <w:rsid w:val="00EB2AEF"/>
    <w:rsid w:val="00EB2BED"/>
    <w:rsid w:val="00EB2DC9"/>
    <w:rsid w:val="00EB7E71"/>
    <w:rsid w:val="00EC14D1"/>
    <w:rsid w:val="00EC1C20"/>
    <w:rsid w:val="00EC737C"/>
    <w:rsid w:val="00ED123E"/>
    <w:rsid w:val="00ED1F15"/>
    <w:rsid w:val="00ED216B"/>
    <w:rsid w:val="00ED4BF7"/>
    <w:rsid w:val="00ED6CBD"/>
    <w:rsid w:val="00ED7F31"/>
    <w:rsid w:val="00EE3772"/>
    <w:rsid w:val="00EE5D1E"/>
    <w:rsid w:val="00EE6819"/>
    <w:rsid w:val="00EF1CCC"/>
    <w:rsid w:val="00EF2788"/>
    <w:rsid w:val="00EF3103"/>
    <w:rsid w:val="00EF6498"/>
    <w:rsid w:val="00EF6C19"/>
    <w:rsid w:val="00EF6E9B"/>
    <w:rsid w:val="00EF7714"/>
    <w:rsid w:val="00EF7EB7"/>
    <w:rsid w:val="00F02102"/>
    <w:rsid w:val="00F023DB"/>
    <w:rsid w:val="00F04470"/>
    <w:rsid w:val="00F0678E"/>
    <w:rsid w:val="00F109D4"/>
    <w:rsid w:val="00F10A6F"/>
    <w:rsid w:val="00F11562"/>
    <w:rsid w:val="00F1532A"/>
    <w:rsid w:val="00F15EE9"/>
    <w:rsid w:val="00F23469"/>
    <w:rsid w:val="00F23654"/>
    <w:rsid w:val="00F24736"/>
    <w:rsid w:val="00F2535F"/>
    <w:rsid w:val="00F261FE"/>
    <w:rsid w:val="00F27344"/>
    <w:rsid w:val="00F30C95"/>
    <w:rsid w:val="00F3415B"/>
    <w:rsid w:val="00F343AA"/>
    <w:rsid w:val="00F353B1"/>
    <w:rsid w:val="00F37439"/>
    <w:rsid w:val="00F415E2"/>
    <w:rsid w:val="00F41BCE"/>
    <w:rsid w:val="00F4241B"/>
    <w:rsid w:val="00F432B8"/>
    <w:rsid w:val="00F43380"/>
    <w:rsid w:val="00F43AF9"/>
    <w:rsid w:val="00F440F2"/>
    <w:rsid w:val="00F461A4"/>
    <w:rsid w:val="00F46704"/>
    <w:rsid w:val="00F46C17"/>
    <w:rsid w:val="00F47585"/>
    <w:rsid w:val="00F510DF"/>
    <w:rsid w:val="00F61624"/>
    <w:rsid w:val="00F6249C"/>
    <w:rsid w:val="00F65BCF"/>
    <w:rsid w:val="00F678B8"/>
    <w:rsid w:val="00F7078E"/>
    <w:rsid w:val="00F72F46"/>
    <w:rsid w:val="00F75BDB"/>
    <w:rsid w:val="00F7684F"/>
    <w:rsid w:val="00F769B7"/>
    <w:rsid w:val="00F81232"/>
    <w:rsid w:val="00F8291C"/>
    <w:rsid w:val="00F830F8"/>
    <w:rsid w:val="00F83B0D"/>
    <w:rsid w:val="00F85A38"/>
    <w:rsid w:val="00F85E6F"/>
    <w:rsid w:val="00F938CA"/>
    <w:rsid w:val="00F94881"/>
    <w:rsid w:val="00F95449"/>
    <w:rsid w:val="00FA1942"/>
    <w:rsid w:val="00FA380A"/>
    <w:rsid w:val="00FA5B39"/>
    <w:rsid w:val="00FA617F"/>
    <w:rsid w:val="00FB1217"/>
    <w:rsid w:val="00FB14EC"/>
    <w:rsid w:val="00FB2449"/>
    <w:rsid w:val="00FC0288"/>
    <w:rsid w:val="00FC2B82"/>
    <w:rsid w:val="00FC2CB5"/>
    <w:rsid w:val="00FC38D9"/>
    <w:rsid w:val="00FC3A8F"/>
    <w:rsid w:val="00FC4E62"/>
    <w:rsid w:val="00FC595E"/>
    <w:rsid w:val="00FD19F7"/>
    <w:rsid w:val="00FD7402"/>
    <w:rsid w:val="00FE04E4"/>
    <w:rsid w:val="00FE2A44"/>
    <w:rsid w:val="00FE2DD7"/>
    <w:rsid w:val="00FE73F9"/>
    <w:rsid w:val="00FF1057"/>
    <w:rsid w:val="00FF1B31"/>
    <w:rsid w:val="00FF3E25"/>
    <w:rsid w:val="00FF5FD8"/>
    <w:rsid w:val="190BBB16"/>
    <w:rsid w:val="1FDFD477"/>
    <w:rsid w:val="2B742A6B"/>
    <w:rsid w:val="2C5C706B"/>
    <w:rsid w:val="44E0D949"/>
    <w:rsid w:val="5BBEF847"/>
    <w:rsid w:val="60A27BDC"/>
    <w:rsid w:val="64EE0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197">
      <w:bodyDiv w:val="1"/>
      <w:marLeft w:val="0"/>
      <w:marRight w:val="0"/>
      <w:marTop w:val="0"/>
      <w:marBottom w:val="0"/>
      <w:divBdr>
        <w:top w:val="none" w:sz="0" w:space="0" w:color="auto"/>
        <w:left w:val="none" w:sz="0" w:space="0" w:color="auto"/>
        <w:bottom w:val="none" w:sz="0" w:space="0" w:color="auto"/>
        <w:right w:val="none" w:sz="0" w:space="0" w:color="auto"/>
      </w:divBdr>
    </w:div>
    <w:div w:id="223025659">
      <w:bodyDiv w:val="1"/>
      <w:marLeft w:val="0"/>
      <w:marRight w:val="0"/>
      <w:marTop w:val="0"/>
      <w:marBottom w:val="0"/>
      <w:divBdr>
        <w:top w:val="none" w:sz="0" w:space="0" w:color="auto"/>
        <w:left w:val="none" w:sz="0" w:space="0" w:color="auto"/>
        <w:bottom w:val="none" w:sz="0" w:space="0" w:color="auto"/>
        <w:right w:val="none" w:sz="0" w:space="0" w:color="auto"/>
      </w:divBdr>
    </w:div>
    <w:div w:id="248317778">
      <w:bodyDiv w:val="1"/>
      <w:marLeft w:val="0"/>
      <w:marRight w:val="0"/>
      <w:marTop w:val="0"/>
      <w:marBottom w:val="0"/>
      <w:divBdr>
        <w:top w:val="none" w:sz="0" w:space="0" w:color="auto"/>
        <w:left w:val="none" w:sz="0" w:space="0" w:color="auto"/>
        <w:bottom w:val="none" w:sz="0" w:space="0" w:color="auto"/>
        <w:right w:val="none" w:sz="0" w:space="0" w:color="auto"/>
      </w:divBdr>
    </w:div>
    <w:div w:id="255333884">
      <w:bodyDiv w:val="1"/>
      <w:marLeft w:val="0"/>
      <w:marRight w:val="0"/>
      <w:marTop w:val="0"/>
      <w:marBottom w:val="0"/>
      <w:divBdr>
        <w:top w:val="none" w:sz="0" w:space="0" w:color="auto"/>
        <w:left w:val="none" w:sz="0" w:space="0" w:color="auto"/>
        <w:bottom w:val="none" w:sz="0" w:space="0" w:color="auto"/>
        <w:right w:val="none" w:sz="0" w:space="0" w:color="auto"/>
      </w:divBdr>
    </w:div>
    <w:div w:id="321199629">
      <w:bodyDiv w:val="1"/>
      <w:marLeft w:val="0"/>
      <w:marRight w:val="0"/>
      <w:marTop w:val="0"/>
      <w:marBottom w:val="0"/>
      <w:divBdr>
        <w:top w:val="none" w:sz="0" w:space="0" w:color="auto"/>
        <w:left w:val="none" w:sz="0" w:space="0" w:color="auto"/>
        <w:bottom w:val="none" w:sz="0" w:space="0" w:color="auto"/>
        <w:right w:val="none" w:sz="0" w:space="0" w:color="auto"/>
      </w:divBdr>
    </w:div>
    <w:div w:id="560871262">
      <w:bodyDiv w:val="1"/>
      <w:marLeft w:val="0"/>
      <w:marRight w:val="0"/>
      <w:marTop w:val="0"/>
      <w:marBottom w:val="0"/>
      <w:divBdr>
        <w:top w:val="none" w:sz="0" w:space="0" w:color="auto"/>
        <w:left w:val="none" w:sz="0" w:space="0" w:color="auto"/>
        <w:bottom w:val="none" w:sz="0" w:space="0" w:color="auto"/>
        <w:right w:val="none" w:sz="0" w:space="0" w:color="auto"/>
      </w:divBdr>
    </w:div>
    <w:div w:id="598681974">
      <w:bodyDiv w:val="1"/>
      <w:marLeft w:val="0"/>
      <w:marRight w:val="0"/>
      <w:marTop w:val="0"/>
      <w:marBottom w:val="0"/>
      <w:divBdr>
        <w:top w:val="none" w:sz="0" w:space="0" w:color="auto"/>
        <w:left w:val="none" w:sz="0" w:space="0" w:color="auto"/>
        <w:bottom w:val="none" w:sz="0" w:space="0" w:color="auto"/>
        <w:right w:val="none" w:sz="0" w:space="0" w:color="auto"/>
      </w:divBdr>
    </w:div>
    <w:div w:id="849216976">
      <w:bodyDiv w:val="1"/>
      <w:marLeft w:val="0"/>
      <w:marRight w:val="0"/>
      <w:marTop w:val="0"/>
      <w:marBottom w:val="0"/>
      <w:divBdr>
        <w:top w:val="none" w:sz="0" w:space="0" w:color="auto"/>
        <w:left w:val="none" w:sz="0" w:space="0" w:color="auto"/>
        <w:bottom w:val="none" w:sz="0" w:space="0" w:color="auto"/>
        <w:right w:val="none" w:sz="0" w:space="0" w:color="auto"/>
      </w:divBdr>
    </w:div>
    <w:div w:id="936212449">
      <w:bodyDiv w:val="1"/>
      <w:marLeft w:val="0"/>
      <w:marRight w:val="0"/>
      <w:marTop w:val="0"/>
      <w:marBottom w:val="0"/>
      <w:divBdr>
        <w:top w:val="none" w:sz="0" w:space="0" w:color="auto"/>
        <w:left w:val="none" w:sz="0" w:space="0" w:color="auto"/>
        <w:bottom w:val="none" w:sz="0" w:space="0" w:color="auto"/>
        <w:right w:val="none" w:sz="0" w:space="0" w:color="auto"/>
      </w:divBdr>
    </w:div>
    <w:div w:id="1105467428">
      <w:bodyDiv w:val="1"/>
      <w:marLeft w:val="0"/>
      <w:marRight w:val="0"/>
      <w:marTop w:val="0"/>
      <w:marBottom w:val="0"/>
      <w:divBdr>
        <w:top w:val="none" w:sz="0" w:space="0" w:color="auto"/>
        <w:left w:val="none" w:sz="0" w:space="0" w:color="auto"/>
        <w:bottom w:val="none" w:sz="0" w:space="0" w:color="auto"/>
        <w:right w:val="none" w:sz="0" w:space="0" w:color="auto"/>
      </w:divBdr>
    </w:div>
    <w:div w:id="1361667797">
      <w:bodyDiv w:val="1"/>
      <w:marLeft w:val="0"/>
      <w:marRight w:val="0"/>
      <w:marTop w:val="0"/>
      <w:marBottom w:val="0"/>
      <w:divBdr>
        <w:top w:val="none" w:sz="0" w:space="0" w:color="auto"/>
        <w:left w:val="none" w:sz="0" w:space="0" w:color="auto"/>
        <w:bottom w:val="none" w:sz="0" w:space="0" w:color="auto"/>
        <w:right w:val="none" w:sz="0" w:space="0" w:color="auto"/>
      </w:divBdr>
    </w:div>
    <w:div w:id="1456874801">
      <w:bodyDiv w:val="1"/>
      <w:marLeft w:val="0"/>
      <w:marRight w:val="0"/>
      <w:marTop w:val="0"/>
      <w:marBottom w:val="0"/>
      <w:divBdr>
        <w:top w:val="none" w:sz="0" w:space="0" w:color="auto"/>
        <w:left w:val="none" w:sz="0" w:space="0" w:color="auto"/>
        <w:bottom w:val="none" w:sz="0" w:space="0" w:color="auto"/>
        <w:right w:val="none" w:sz="0" w:space="0" w:color="auto"/>
      </w:divBdr>
      <w:divsChild>
        <w:div w:id="1708523750">
          <w:marLeft w:val="0"/>
          <w:marRight w:val="0"/>
          <w:marTop w:val="0"/>
          <w:marBottom w:val="0"/>
          <w:divBdr>
            <w:top w:val="none" w:sz="0" w:space="0" w:color="auto"/>
            <w:left w:val="none" w:sz="0" w:space="0" w:color="auto"/>
            <w:bottom w:val="none" w:sz="0" w:space="0" w:color="auto"/>
            <w:right w:val="none" w:sz="0" w:space="0" w:color="auto"/>
          </w:divBdr>
          <w:divsChild>
            <w:div w:id="316081862">
              <w:marLeft w:val="0"/>
              <w:marRight w:val="0"/>
              <w:marTop w:val="0"/>
              <w:marBottom w:val="0"/>
              <w:divBdr>
                <w:top w:val="none" w:sz="0" w:space="0" w:color="auto"/>
                <w:left w:val="none" w:sz="0" w:space="0" w:color="auto"/>
                <w:bottom w:val="none" w:sz="0" w:space="0" w:color="auto"/>
                <w:right w:val="none" w:sz="0" w:space="0" w:color="auto"/>
              </w:divBdr>
            </w:div>
          </w:divsChild>
        </w:div>
        <w:div w:id="2088963079">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none" w:sz="0" w:space="0" w:color="auto"/>
                <w:left w:val="none" w:sz="0" w:space="0" w:color="auto"/>
                <w:bottom w:val="none" w:sz="0" w:space="0" w:color="auto"/>
                <w:right w:val="none" w:sz="0" w:space="0" w:color="auto"/>
              </w:divBdr>
              <w:divsChild>
                <w:div w:id="228931224">
                  <w:marLeft w:val="0"/>
                  <w:marRight w:val="0"/>
                  <w:marTop w:val="0"/>
                  <w:marBottom w:val="0"/>
                  <w:divBdr>
                    <w:top w:val="none" w:sz="0" w:space="0" w:color="auto"/>
                    <w:left w:val="none" w:sz="0" w:space="0" w:color="auto"/>
                    <w:bottom w:val="none" w:sz="0" w:space="0" w:color="auto"/>
                    <w:right w:val="none" w:sz="0" w:space="0" w:color="auto"/>
                  </w:divBdr>
                </w:div>
              </w:divsChild>
            </w:div>
            <w:div w:id="1161851899">
              <w:marLeft w:val="0"/>
              <w:marRight w:val="0"/>
              <w:marTop w:val="0"/>
              <w:marBottom w:val="0"/>
              <w:divBdr>
                <w:top w:val="none" w:sz="0" w:space="0" w:color="auto"/>
                <w:left w:val="none" w:sz="0" w:space="0" w:color="auto"/>
                <w:bottom w:val="none" w:sz="0" w:space="0" w:color="auto"/>
                <w:right w:val="none" w:sz="0" w:space="0" w:color="auto"/>
              </w:divBdr>
            </w:div>
          </w:divsChild>
        </w:div>
        <w:div w:id="2093121384">
          <w:marLeft w:val="0"/>
          <w:marRight w:val="0"/>
          <w:marTop w:val="0"/>
          <w:marBottom w:val="0"/>
          <w:divBdr>
            <w:top w:val="none" w:sz="0" w:space="0" w:color="auto"/>
            <w:left w:val="none" w:sz="0" w:space="0" w:color="auto"/>
            <w:bottom w:val="none" w:sz="0" w:space="0" w:color="auto"/>
            <w:right w:val="none" w:sz="0" w:space="0" w:color="auto"/>
          </w:divBdr>
          <w:divsChild>
            <w:div w:id="306319821">
              <w:marLeft w:val="0"/>
              <w:marRight w:val="0"/>
              <w:marTop w:val="0"/>
              <w:marBottom w:val="0"/>
              <w:divBdr>
                <w:top w:val="none" w:sz="0" w:space="0" w:color="auto"/>
                <w:left w:val="none" w:sz="0" w:space="0" w:color="auto"/>
                <w:bottom w:val="none" w:sz="0" w:space="0" w:color="auto"/>
                <w:right w:val="none" w:sz="0" w:space="0" w:color="auto"/>
              </w:divBdr>
              <w:divsChild>
                <w:div w:id="282737408">
                  <w:marLeft w:val="0"/>
                  <w:marRight w:val="0"/>
                  <w:marTop w:val="0"/>
                  <w:marBottom w:val="0"/>
                  <w:divBdr>
                    <w:top w:val="none" w:sz="0" w:space="0" w:color="auto"/>
                    <w:left w:val="none" w:sz="0" w:space="0" w:color="auto"/>
                    <w:bottom w:val="none" w:sz="0" w:space="0" w:color="auto"/>
                    <w:right w:val="none" w:sz="0" w:space="0" w:color="auto"/>
                  </w:divBdr>
                  <w:divsChild>
                    <w:div w:id="16286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3038">
          <w:marLeft w:val="0"/>
          <w:marRight w:val="0"/>
          <w:marTop w:val="0"/>
          <w:marBottom w:val="0"/>
          <w:divBdr>
            <w:top w:val="none" w:sz="0" w:space="0" w:color="auto"/>
            <w:left w:val="none" w:sz="0" w:space="0" w:color="auto"/>
            <w:bottom w:val="none" w:sz="0" w:space="0" w:color="auto"/>
            <w:right w:val="none" w:sz="0" w:space="0" w:color="auto"/>
          </w:divBdr>
          <w:divsChild>
            <w:div w:id="861406982">
              <w:marLeft w:val="0"/>
              <w:marRight w:val="0"/>
              <w:marTop w:val="0"/>
              <w:marBottom w:val="0"/>
              <w:divBdr>
                <w:top w:val="none" w:sz="0" w:space="0" w:color="auto"/>
                <w:left w:val="none" w:sz="0" w:space="0" w:color="auto"/>
                <w:bottom w:val="none" w:sz="0" w:space="0" w:color="auto"/>
                <w:right w:val="none" w:sz="0" w:space="0" w:color="auto"/>
              </w:divBdr>
              <w:divsChild>
                <w:div w:id="1861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14751">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67975342">
      <w:bodyDiv w:val="1"/>
      <w:marLeft w:val="0"/>
      <w:marRight w:val="0"/>
      <w:marTop w:val="0"/>
      <w:marBottom w:val="0"/>
      <w:divBdr>
        <w:top w:val="none" w:sz="0" w:space="0" w:color="auto"/>
        <w:left w:val="none" w:sz="0" w:space="0" w:color="auto"/>
        <w:bottom w:val="none" w:sz="0" w:space="0" w:color="auto"/>
        <w:right w:val="none" w:sz="0" w:space="0" w:color="auto"/>
      </w:divBdr>
    </w:div>
    <w:div w:id="1709142896">
      <w:bodyDiv w:val="1"/>
      <w:marLeft w:val="0"/>
      <w:marRight w:val="0"/>
      <w:marTop w:val="0"/>
      <w:marBottom w:val="0"/>
      <w:divBdr>
        <w:top w:val="none" w:sz="0" w:space="0" w:color="auto"/>
        <w:left w:val="none" w:sz="0" w:space="0" w:color="auto"/>
        <w:bottom w:val="none" w:sz="0" w:space="0" w:color="auto"/>
        <w:right w:val="none" w:sz="0" w:space="0" w:color="auto"/>
      </w:divBdr>
    </w:div>
    <w:div w:id="1715736477">
      <w:bodyDiv w:val="1"/>
      <w:marLeft w:val="0"/>
      <w:marRight w:val="0"/>
      <w:marTop w:val="0"/>
      <w:marBottom w:val="0"/>
      <w:divBdr>
        <w:top w:val="none" w:sz="0" w:space="0" w:color="auto"/>
        <w:left w:val="none" w:sz="0" w:space="0" w:color="auto"/>
        <w:bottom w:val="none" w:sz="0" w:space="0" w:color="auto"/>
        <w:right w:val="none" w:sz="0" w:space="0" w:color="auto"/>
      </w:divBdr>
    </w:div>
    <w:div w:id="1738283086">
      <w:bodyDiv w:val="1"/>
      <w:marLeft w:val="0"/>
      <w:marRight w:val="0"/>
      <w:marTop w:val="0"/>
      <w:marBottom w:val="0"/>
      <w:divBdr>
        <w:top w:val="none" w:sz="0" w:space="0" w:color="auto"/>
        <w:left w:val="none" w:sz="0" w:space="0" w:color="auto"/>
        <w:bottom w:val="none" w:sz="0" w:space="0" w:color="auto"/>
        <w:right w:val="none" w:sz="0" w:space="0" w:color="auto"/>
      </w:divBdr>
    </w:div>
    <w:div w:id="174679780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82933411">
      <w:bodyDiv w:val="1"/>
      <w:marLeft w:val="0"/>
      <w:marRight w:val="0"/>
      <w:marTop w:val="0"/>
      <w:marBottom w:val="0"/>
      <w:divBdr>
        <w:top w:val="none" w:sz="0" w:space="0" w:color="auto"/>
        <w:left w:val="none" w:sz="0" w:space="0" w:color="auto"/>
        <w:bottom w:val="none" w:sz="0" w:space="0" w:color="auto"/>
        <w:right w:val="none" w:sz="0" w:space="0" w:color="auto"/>
      </w:divBdr>
    </w:div>
    <w:div w:id="2017489217">
      <w:bodyDiv w:val="1"/>
      <w:marLeft w:val="0"/>
      <w:marRight w:val="0"/>
      <w:marTop w:val="0"/>
      <w:marBottom w:val="0"/>
      <w:divBdr>
        <w:top w:val="none" w:sz="0" w:space="0" w:color="auto"/>
        <w:left w:val="none" w:sz="0" w:space="0" w:color="auto"/>
        <w:bottom w:val="none" w:sz="0" w:space="0" w:color="auto"/>
        <w:right w:val="none" w:sz="0" w:space="0" w:color="auto"/>
      </w:divBdr>
    </w:div>
    <w:div w:id="212916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2E911F8814A5780B5EC488EBE4115"/>
        <w:category>
          <w:name w:val="General"/>
          <w:gallery w:val="placeholder"/>
        </w:category>
        <w:types>
          <w:type w:val="bbPlcHdr"/>
        </w:types>
        <w:behaviors>
          <w:behavior w:val="content"/>
        </w:behaviors>
        <w:guid w:val="{158ADDBC-3200-488E-AC56-62A0082B2DC0}"/>
      </w:docPartPr>
      <w:docPartBody>
        <w:p w:rsidR="008F03B9" w:rsidRDefault="008F03B9">
          <w:pPr>
            <w:pStyle w:val="DC02E911F8814A5780B5EC488EBE4115"/>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B9"/>
    <w:rsid w:val="000220CB"/>
    <w:rsid w:val="00167555"/>
    <w:rsid w:val="002F602D"/>
    <w:rsid w:val="003422CF"/>
    <w:rsid w:val="00505648"/>
    <w:rsid w:val="00585CD1"/>
    <w:rsid w:val="00656D67"/>
    <w:rsid w:val="006A7FD8"/>
    <w:rsid w:val="006B164D"/>
    <w:rsid w:val="006B1A77"/>
    <w:rsid w:val="00725B6B"/>
    <w:rsid w:val="008F03B9"/>
    <w:rsid w:val="009F1D3D"/>
    <w:rsid w:val="00EC7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02E911F8814A5780B5EC488EBE4115">
    <w:name w:val="DC02E911F8814A5780B5EC488EBE4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3742</Words>
  <Characters>20022</Characters>
  <Application>Microsoft Office Word</Application>
  <DocSecurity>0</DocSecurity>
  <Lines>339</Lines>
  <Paragraphs>169</Paragraphs>
  <ScaleCrop>false</ScaleCrop>
  <HeadingPairs>
    <vt:vector size="2" baseType="variant">
      <vt:variant>
        <vt:lpstr>Title</vt:lpstr>
      </vt:variant>
      <vt:variant>
        <vt:i4>1</vt:i4>
      </vt:variant>
    </vt:vector>
  </HeadingPairs>
  <TitlesOfParts>
    <vt:vector size="1" baseType="lpstr">
      <vt:lpstr>Exposure draft explanatory material – Payment Systems Legislation Amendment (2025 Measures No. 1) Regulations 2025</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 – Payment Systems Legislation Amendment (2025 Measures No. 1) Regulations 2025</dc:title>
  <dc:subject/>
  <dc:creator>The Treasury</dc:creator>
  <cp:keywords/>
  <dc:description/>
  <cp:lastModifiedBy/>
  <cp:revision>1</cp:revision>
  <dcterms:created xsi:type="dcterms:W3CDTF">2025-10-20T02:22:00Z</dcterms:created>
  <dcterms:modified xsi:type="dcterms:W3CDTF">2025-10-20T02:23:00Z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2025-10-20T02:23:22Z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2e5bb8e5-d90e-4a73-aa34-2d543b2fc1f7</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