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1362"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754C4581" w14:textId="5B3328B3" w:rsidR="007662C7" w:rsidRPr="003C5719" w:rsidRDefault="00F109D4" w:rsidP="004A27A8">
      <w:pPr>
        <w:pStyle w:val="Heading2"/>
        <w:jc w:val="center"/>
        <w:rPr>
          <w:sz w:val="24"/>
          <w:szCs w:val="24"/>
        </w:rPr>
      </w:pPr>
      <w:r w:rsidRPr="003C5719">
        <w:rPr>
          <w:sz w:val="24"/>
          <w:szCs w:val="24"/>
        </w:rPr>
        <w:t xml:space="preserve">Issued by authority of </w:t>
      </w:r>
      <w:r w:rsidR="004C7FEC">
        <w:rPr>
          <w:rStyle w:val="DefaultChar"/>
        </w:rPr>
        <w:t>the Assistant Minister for Productivity, Competition, Charities and Treasury and Parliamentary Secretary to the Treasurer</w:t>
      </w:r>
      <w:r w:rsidR="00076178" w:rsidRPr="003C5719">
        <w:rPr>
          <w:sz w:val="24"/>
          <w:szCs w:val="24"/>
        </w:rPr>
        <w:t xml:space="preserve"> </w:t>
      </w:r>
    </w:p>
    <w:p w14:paraId="0A135AD4" w14:textId="23E46420" w:rsidR="00F109D4" w:rsidRPr="003C5719" w:rsidRDefault="004C7FEC" w:rsidP="004A27A8">
      <w:pPr>
        <w:spacing w:before="240" w:after="240"/>
        <w:jc w:val="center"/>
        <w:rPr>
          <w:i/>
        </w:rPr>
      </w:pPr>
      <w:r>
        <w:rPr>
          <w:i/>
        </w:rPr>
        <w:t>Competition and Consumer Act 2010</w:t>
      </w:r>
    </w:p>
    <w:p w14:paraId="23903F53" w14:textId="414BF52F" w:rsidR="00F109D4" w:rsidRPr="003C5719" w:rsidRDefault="00BE7734" w:rsidP="004A27A8">
      <w:pPr>
        <w:tabs>
          <w:tab w:val="left" w:pos="1418"/>
        </w:tabs>
        <w:spacing w:before="0" w:after="240"/>
        <w:jc w:val="center"/>
        <w:rPr>
          <w:i/>
        </w:rPr>
      </w:pPr>
      <w:r w:rsidRPr="00BE7734">
        <w:rPr>
          <w:i/>
        </w:rPr>
        <w:t>Competition and Consumer (Notification of Acquisitions) Amendment (2025 Measures No.</w:t>
      </w:r>
      <w:r>
        <w:rPr>
          <w:i/>
        </w:rPr>
        <w:t> </w:t>
      </w:r>
      <w:r w:rsidRPr="00BE7734">
        <w:rPr>
          <w:i/>
        </w:rPr>
        <w:t>1) Determination 2025</w:t>
      </w:r>
    </w:p>
    <w:p w14:paraId="12424D4F" w14:textId="3A8EBA2A" w:rsidR="00BE7734" w:rsidRDefault="00BE7734" w:rsidP="00BE7734">
      <w:pPr>
        <w:spacing w:before="240"/>
      </w:pPr>
      <w:r>
        <w:t xml:space="preserve">The </w:t>
      </w:r>
      <w:r>
        <w:rPr>
          <w:i/>
          <w:iCs/>
        </w:rPr>
        <w:t>Competition and Consumer (Notification of Acquisitions) Determination 2025</w:t>
      </w:r>
      <w:r>
        <w:t xml:space="preserve"> (Principal Determination) is a legislative instrument made under the </w:t>
      </w:r>
      <w:r>
        <w:rPr>
          <w:i/>
          <w:iCs/>
        </w:rPr>
        <w:t>Competition and Consumer Act 2010</w:t>
      </w:r>
      <w:r>
        <w:t xml:space="preserve"> (CCA)</w:t>
      </w:r>
      <w:r w:rsidR="004D3EBE">
        <w:t xml:space="preserve">. The </w:t>
      </w:r>
      <w:r w:rsidR="004D3EBE" w:rsidRPr="00A16ACA">
        <w:rPr>
          <w:i/>
          <w:iCs/>
        </w:rPr>
        <w:t>Treasury Laws Amendment (Mergers and Acquisitions Reform) Act 2024</w:t>
      </w:r>
      <w:r w:rsidR="004D3EBE" w:rsidRPr="003F12E8">
        <w:t xml:space="preserve"> </w:t>
      </w:r>
      <w:r w:rsidR="004D3EBE">
        <w:t>(the Mergers Act) introduced a new merger control system in the CCA. This new system requires</w:t>
      </w:r>
      <w:r w:rsidR="004D3EBE" w:rsidDel="009A3160">
        <w:t xml:space="preserve"> </w:t>
      </w:r>
      <w:r w:rsidR="004D3EBE">
        <w:t xml:space="preserve">certain acquisitions of shares or assets to be notified to the </w:t>
      </w:r>
      <w:r w:rsidR="00E44A6C">
        <w:t xml:space="preserve">Australian Competition and Consumer </w:t>
      </w:r>
      <w:r w:rsidR="004D3EBE">
        <w:t xml:space="preserve">Commission </w:t>
      </w:r>
      <w:r w:rsidR="00E44A6C">
        <w:t>(</w:t>
      </w:r>
      <w:r w:rsidR="001605A0">
        <w:t xml:space="preserve">the Commission) </w:t>
      </w:r>
      <w:r w:rsidR="004D3EBE">
        <w:t xml:space="preserve">for assessment prior to completion. </w:t>
      </w:r>
    </w:p>
    <w:p w14:paraId="5202595C" w14:textId="1D06B7BC" w:rsidR="00BE7734" w:rsidRPr="00650BCC" w:rsidRDefault="00BE7734" w:rsidP="001B3464">
      <w:pPr>
        <w:pStyle w:val="Bullet"/>
        <w:numPr>
          <w:ilvl w:val="0"/>
          <w:numId w:val="0"/>
        </w:numPr>
        <w:rPr>
          <w:szCs w:val="24"/>
        </w:rPr>
      </w:pPr>
      <w:r w:rsidRPr="00650BCC">
        <w:rPr>
          <w:szCs w:val="24"/>
        </w:rPr>
        <w:t>Subsection 51ABS(6) of the CCA provides that the Minister may determine a class of acquisitions of shares in the capital of a body corporate which are required to be notified to the Commission.</w:t>
      </w:r>
    </w:p>
    <w:p w14:paraId="44541243" w14:textId="71584AD9" w:rsidR="00571CAD" w:rsidRDefault="00571CAD" w:rsidP="00562521">
      <w:pPr>
        <w:spacing w:before="240"/>
      </w:pPr>
      <w:r w:rsidRPr="00571CAD">
        <w:t>Subsection</w:t>
      </w:r>
      <w:r>
        <w:t xml:space="preserve"> 51ABU(3)</w:t>
      </w:r>
      <w:r w:rsidR="007F3BAC">
        <w:t xml:space="preserve"> of the CCA provides that the Minister may determine requirements for making a notification waiver application. </w:t>
      </w:r>
    </w:p>
    <w:p w14:paraId="1B8F0737" w14:textId="4C78937F" w:rsidR="00571CAD" w:rsidRDefault="00571CAD" w:rsidP="00562521">
      <w:pPr>
        <w:spacing w:before="240"/>
      </w:pPr>
      <w:r>
        <w:t>Subsection 51ABV(3)</w:t>
      </w:r>
      <w:r w:rsidR="008671DB">
        <w:t xml:space="preserve"> of the CCA provides that the Minister may determine requirements the </w:t>
      </w:r>
      <w:r w:rsidR="00C070DB">
        <w:t>Commission</w:t>
      </w:r>
      <w:r w:rsidR="008671DB">
        <w:t xml:space="preserve"> </w:t>
      </w:r>
      <w:r w:rsidR="00C070DB">
        <w:t>must</w:t>
      </w:r>
      <w:r w:rsidR="008671DB">
        <w:t xml:space="preserve"> comply with in making a </w:t>
      </w:r>
      <w:r w:rsidR="00C10EE9">
        <w:t>notification waiver determination.</w:t>
      </w:r>
      <w:r w:rsidR="00C070DB">
        <w:t xml:space="preserve"> </w:t>
      </w:r>
    </w:p>
    <w:p w14:paraId="3BBBE5D7" w14:textId="752755A5" w:rsidR="00D2555D" w:rsidRPr="00670EC7" w:rsidRDefault="007E361D" w:rsidP="001921B3">
      <w:pPr>
        <w:keepNext/>
        <w:keepLines/>
        <w:spacing w:before="240"/>
      </w:pPr>
      <w:r>
        <w:t>The</w:t>
      </w:r>
      <w:r w:rsidR="00AC5D4A">
        <w:t xml:space="preserve"> </w:t>
      </w:r>
      <w:r w:rsidR="00C234B7" w:rsidRPr="00080A1F">
        <w:rPr>
          <w:i/>
          <w:iCs/>
        </w:rPr>
        <w:t>Competition and Consumer (</w:t>
      </w:r>
      <w:r w:rsidR="00C234B7" w:rsidRPr="0019404C">
        <w:rPr>
          <w:i/>
          <w:iCs/>
        </w:rPr>
        <w:t xml:space="preserve">Notification of Acquisitions) Amendment (2025 Measures No. 1) </w:t>
      </w:r>
      <w:r w:rsidR="00C234B7" w:rsidRPr="00670EC7">
        <w:rPr>
          <w:i/>
          <w:iCs/>
        </w:rPr>
        <w:t xml:space="preserve">Determination 2025 </w:t>
      </w:r>
      <w:r w:rsidR="00C234B7" w:rsidRPr="00670EC7">
        <w:rPr>
          <w:iCs/>
        </w:rPr>
        <w:t xml:space="preserve">(Amendment Determination) </w:t>
      </w:r>
      <w:r w:rsidR="002F61EA" w:rsidRPr="00670EC7">
        <w:t>amends the</w:t>
      </w:r>
      <w:r w:rsidR="00D2555D" w:rsidRPr="00670EC7">
        <w:t xml:space="preserve"> Principal Determination</w:t>
      </w:r>
      <w:r w:rsidR="00A11168" w:rsidRPr="00670EC7">
        <w:t xml:space="preserve">. The purpose of the Amendment Determination is to </w:t>
      </w:r>
      <w:r w:rsidR="008A10EA" w:rsidRPr="00670EC7">
        <w:t>support the new system by:</w:t>
      </w:r>
    </w:p>
    <w:p w14:paraId="0CB8BE5A" w14:textId="3E37CB23" w:rsidR="003E584E" w:rsidRPr="00670EC7" w:rsidRDefault="00845D80" w:rsidP="00D2555D">
      <w:pPr>
        <w:pStyle w:val="Bullet"/>
        <w:ind w:left="568" w:hanging="284"/>
      </w:pPr>
      <w:r>
        <w:t>determining</w:t>
      </w:r>
      <w:r w:rsidR="005B66FF">
        <w:t xml:space="preserve"> certain classes of acquisitions that </w:t>
      </w:r>
      <w:r w:rsidR="00250AEF">
        <w:t xml:space="preserve">may </w:t>
      </w:r>
      <w:r w:rsidR="005B66FF">
        <w:t>not result in control</w:t>
      </w:r>
      <w:r w:rsidR="00C32EB9">
        <w:t xml:space="preserve"> </w:t>
      </w:r>
      <w:r w:rsidR="00B06906" w:rsidRPr="00F93E93">
        <w:t xml:space="preserve">or where the </w:t>
      </w:r>
      <w:r w:rsidR="008D19B9">
        <w:t>person</w:t>
      </w:r>
      <w:r w:rsidR="007936B8" w:rsidRPr="00F93E93">
        <w:t xml:space="preserve"> </w:t>
      </w:r>
      <w:r w:rsidR="00B06906" w:rsidRPr="00F93E93">
        <w:t>already has control</w:t>
      </w:r>
      <w:r w:rsidR="00B06906">
        <w:t xml:space="preserve"> </w:t>
      </w:r>
      <w:r w:rsidR="00C32EB9">
        <w:t>which are still required to be notified</w:t>
      </w:r>
      <w:r w:rsidR="00F227A2">
        <w:t xml:space="preserve"> (Schedule 1)</w:t>
      </w:r>
      <w:r w:rsidR="003E584E" w:rsidRPr="00670EC7">
        <w:t>;</w:t>
      </w:r>
      <w:r w:rsidR="007F77A7">
        <w:t xml:space="preserve"> and</w:t>
      </w:r>
    </w:p>
    <w:p w14:paraId="36192E32" w14:textId="3670B346" w:rsidR="0047091E" w:rsidRPr="00670EC7" w:rsidRDefault="00845D80">
      <w:pPr>
        <w:pStyle w:val="Bullet"/>
        <w:ind w:left="568" w:hanging="284"/>
      </w:pPr>
      <w:r>
        <w:t>determining certain requirements for making a notification waiver application</w:t>
      </w:r>
      <w:r w:rsidR="00E44A6C">
        <w:t xml:space="preserve"> and requirements the Commission</w:t>
      </w:r>
      <w:r w:rsidR="00F227A2">
        <w:t xml:space="preserve"> </w:t>
      </w:r>
      <w:r w:rsidR="006B698E">
        <w:t xml:space="preserve">must comply with in making a determination in respect of a waiver application </w:t>
      </w:r>
      <w:r w:rsidR="00F227A2">
        <w:t>(Schedule 2)</w:t>
      </w:r>
      <w:r w:rsidR="008B2047" w:rsidRPr="00670EC7">
        <w:t>.</w:t>
      </w:r>
    </w:p>
    <w:p w14:paraId="3B887C9F" w14:textId="23DBD798" w:rsidR="00431A11" w:rsidRPr="003C5719" w:rsidRDefault="00431A11" w:rsidP="00824732">
      <w:pPr>
        <w:spacing w:before="240"/>
      </w:pPr>
      <w:r w:rsidRPr="003C5719">
        <w:t xml:space="preserve">Details of the </w:t>
      </w:r>
      <w:r>
        <w:t>Amendment Determination</w:t>
      </w:r>
      <w:r w:rsidRPr="003C5719">
        <w:t xml:space="preserve"> are set out in </w:t>
      </w:r>
      <w:r w:rsidRPr="003C5719">
        <w:rPr>
          <w:u w:val="single"/>
        </w:rPr>
        <w:t xml:space="preserve">Attachment </w:t>
      </w:r>
      <w:r>
        <w:rPr>
          <w:u w:val="single"/>
        </w:rPr>
        <w:t>A</w:t>
      </w:r>
      <w:r w:rsidRPr="003C5719">
        <w:t xml:space="preserve">. </w:t>
      </w:r>
    </w:p>
    <w:p w14:paraId="0DEEC6BE" w14:textId="77777777" w:rsidR="00EB2AEF" w:rsidRPr="003C5719" w:rsidRDefault="00EB2AEF" w:rsidP="004A27A8">
      <w:pPr>
        <w:spacing w:before="240"/>
      </w:pPr>
    </w:p>
    <w:p w14:paraId="1C4B1748" w14:textId="57D55163" w:rsidR="00EA4DD8" w:rsidRPr="003C5719" w:rsidRDefault="00EA4DD8" w:rsidP="004A27A8">
      <w:pPr>
        <w:pageBreakBefore/>
        <w:spacing w:before="240"/>
        <w:jc w:val="right"/>
        <w:rPr>
          <w:b/>
          <w:u w:val="single"/>
        </w:rPr>
      </w:pPr>
      <w:r w:rsidRPr="003C5719">
        <w:rPr>
          <w:b/>
          <w:u w:val="single"/>
        </w:rPr>
        <w:lastRenderedPageBreak/>
        <w:t>ATTACHMENT</w:t>
      </w:r>
      <w:r w:rsidR="001D20E6">
        <w:rPr>
          <w:b/>
          <w:u w:val="single"/>
        </w:rPr>
        <w:t xml:space="preserve"> </w:t>
      </w:r>
      <w:r w:rsidR="005608D0">
        <w:rPr>
          <w:b/>
          <w:u w:val="single"/>
        </w:rPr>
        <w:t>A</w:t>
      </w:r>
    </w:p>
    <w:p w14:paraId="07C8D7BD" w14:textId="41CC202A" w:rsidR="00EA4DD8" w:rsidRPr="003C5719" w:rsidRDefault="00EA4DD8" w:rsidP="004A27A8">
      <w:pPr>
        <w:spacing w:before="240"/>
        <w:rPr>
          <w:b/>
          <w:bCs/>
          <w:szCs w:val="24"/>
          <w:u w:val="single"/>
        </w:rPr>
      </w:pPr>
      <w:r w:rsidRPr="003C5719">
        <w:rPr>
          <w:b/>
          <w:bCs/>
          <w:u w:val="single"/>
        </w:rPr>
        <w:t>Details of the</w:t>
      </w:r>
      <w:r w:rsidR="001F12F5">
        <w:rPr>
          <w:b/>
          <w:bCs/>
          <w:u w:val="single"/>
        </w:rPr>
        <w:t xml:space="preserve"> </w:t>
      </w:r>
      <w:r w:rsidR="00D2555D" w:rsidRPr="005608D0">
        <w:rPr>
          <w:b/>
          <w:bCs/>
          <w:u w:val="single"/>
        </w:rPr>
        <w:t>Competition and Consumer (Notification of Acquisitions) Amendment (2025 Measures No. 1) Determination 2025</w:t>
      </w:r>
      <w:r w:rsidRPr="003C5719">
        <w:rPr>
          <w:b/>
          <w:bCs/>
          <w:u w:val="single"/>
        </w:rPr>
        <w:t xml:space="preserve"> </w:t>
      </w:r>
    </w:p>
    <w:p w14:paraId="3F091213"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5A074761" w14:textId="6A4B94B4" w:rsidR="00EA4DD8" w:rsidRPr="003C5719" w:rsidRDefault="00EA4DD8" w:rsidP="004A27A8">
      <w:pPr>
        <w:spacing w:before="240"/>
      </w:pPr>
      <w:r w:rsidRPr="003C5719">
        <w:t xml:space="preserve">This section provides that the name </w:t>
      </w:r>
      <w:r w:rsidRPr="005608D0">
        <w:t xml:space="preserve">of the </w:t>
      </w:r>
      <w:r w:rsidR="0089409D" w:rsidRPr="005608D0">
        <w:t>instrument</w:t>
      </w:r>
      <w:r w:rsidRPr="005608D0">
        <w:t xml:space="preserve"> is</w:t>
      </w:r>
      <w:r w:rsidRPr="003C5719">
        <w:t xml:space="preserve"> the </w:t>
      </w:r>
      <w:r w:rsidR="005608D0" w:rsidRPr="00BE7734">
        <w:rPr>
          <w:i/>
        </w:rPr>
        <w:t>Competition and Consumer (Notification of Acquisitions) Amendment (2025 Measures No.</w:t>
      </w:r>
      <w:r w:rsidR="005608D0">
        <w:rPr>
          <w:i/>
        </w:rPr>
        <w:t> </w:t>
      </w:r>
      <w:r w:rsidR="005608D0" w:rsidRPr="00BE7734">
        <w:rPr>
          <w:i/>
        </w:rPr>
        <w:t>1) Determination 2025</w:t>
      </w:r>
      <w:r w:rsidR="001F12F5" w:rsidRPr="00901303">
        <w:rPr>
          <w:color w:val="000000" w:themeColor="text1"/>
        </w:rPr>
        <w:t xml:space="preserve"> </w:t>
      </w:r>
      <w:r w:rsidRPr="00901303">
        <w:rPr>
          <w:color w:val="000000" w:themeColor="text1"/>
        </w:rPr>
        <w:t>(</w:t>
      </w:r>
      <w:r w:rsidR="005608D0">
        <w:t>Amendment Determination</w:t>
      </w:r>
      <w:r w:rsidRPr="003C5719">
        <w:t>).</w:t>
      </w:r>
    </w:p>
    <w:p w14:paraId="644A4454" w14:textId="77777777" w:rsidR="00EA4DD8" w:rsidRPr="003C5719" w:rsidRDefault="00EA4DD8" w:rsidP="004A27A8">
      <w:pPr>
        <w:spacing w:before="240"/>
        <w:rPr>
          <w:u w:val="single"/>
        </w:rPr>
      </w:pPr>
      <w:r w:rsidRPr="003C5719">
        <w:rPr>
          <w:u w:val="single"/>
        </w:rPr>
        <w:t>Section 2 – Commencement</w:t>
      </w:r>
    </w:p>
    <w:p w14:paraId="4DC35764" w14:textId="614AB4A3" w:rsidR="00E67484" w:rsidRDefault="00EA4DD8" w:rsidP="004A27A8">
      <w:pPr>
        <w:spacing w:before="240"/>
      </w:pPr>
      <w:r w:rsidRPr="003C5719">
        <w:t>Schedule</w:t>
      </w:r>
      <w:r w:rsidR="009342B6">
        <w:t>s</w:t>
      </w:r>
      <w:r w:rsidRPr="003C5719">
        <w:t xml:space="preserve"> 1 </w:t>
      </w:r>
      <w:r w:rsidR="009342B6">
        <w:t xml:space="preserve">and 2 </w:t>
      </w:r>
      <w:r w:rsidRPr="003C5719">
        <w:t xml:space="preserve">to the </w:t>
      </w:r>
      <w:r w:rsidR="001C7513">
        <w:t>Amendment Determination</w:t>
      </w:r>
      <w:r w:rsidR="001C7513" w:rsidRPr="003C5719">
        <w:t xml:space="preserve"> </w:t>
      </w:r>
      <w:r w:rsidRPr="003C5719">
        <w:t xml:space="preserve">commence on </w:t>
      </w:r>
      <w:r w:rsidR="00E67484">
        <w:t xml:space="preserve">the day after the Amendment Determination is </w:t>
      </w:r>
      <w:r w:rsidR="00E67484" w:rsidRPr="00BD7806">
        <w:t>registered on the Federal Register of Legislation</w:t>
      </w:r>
      <w:r w:rsidR="00E67484">
        <w:t xml:space="preserve"> or 1</w:t>
      </w:r>
      <w:r w:rsidR="00890C5D">
        <w:t> </w:t>
      </w:r>
      <w:r w:rsidR="00E67484">
        <w:t>January 2026,</w:t>
      </w:r>
      <w:r w:rsidR="00E67484" w:rsidRPr="00BD7806">
        <w:t xml:space="preserve"> whichever is later.</w:t>
      </w:r>
      <w:r w:rsidR="005221C2">
        <w:t xml:space="preserve"> </w:t>
      </w:r>
    </w:p>
    <w:p w14:paraId="0CB4581B" w14:textId="77777777" w:rsidR="00EA4DD8" w:rsidRPr="003C5719" w:rsidRDefault="00EA4DD8" w:rsidP="004A27A8">
      <w:pPr>
        <w:spacing w:before="240"/>
        <w:rPr>
          <w:u w:val="single"/>
        </w:rPr>
      </w:pPr>
      <w:r w:rsidRPr="003C5719">
        <w:rPr>
          <w:u w:val="single"/>
        </w:rPr>
        <w:t>Section 3 – Authority</w:t>
      </w:r>
    </w:p>
    <w:p w14:paraId="7DA4CE35" w14:textId="40E60417" w:rsidR="00EA4DD8" w:rsidRPr="003C5719" w:rsidRDefault="00EA4DD8" w:rsidP="004A27A8">
      <w:pPr>
        <w:spacing w:before="240"/>
      </w:pPr>
      <w:r w:rsidRPr="003C5719">
        <w:t xml:space="preserve">The </w:t>
      </w:r>
      <w:r w:rsidR="009351F8">
        <w:t>Amendment Determination</w:t>
      </w:r>
      <w:r w:rsidR="009351F8" w:rsidRPr="003C5719">
        <w:t xml:space="preserve"> </w:t>
      </w:r>
      <w:r w:rsidR="001D20E6" w:rsidRPr="00430819">
        <w:t>is</w:t>
      </w:r>
      <w:r w:rsidRPr="00430819">
        <w:t xml:space="preserve"> </w:t>
      </w:r>
      <w:r w:rsidRPr="003C5719">
        <w:t>made under the</w:t>
      </w:r>
      <w:r w:rsidR="001F12F5">
        <w:t xml:space="preserve"> </w:t>
      </w:r>
      <w:r w:rsidR="005608D0" w:rsidRPr="005608D0">
        <w:rPr>
          <w:i/>
          <w:iCs/>
        </w:rPr>
        <w:t>Competition and Consumer Act 2010</w:t>
      </w:r>
      <w:r w:rsidRPr="003C5719">
        <w:t xml:space="preserve"> (</w:t>
      </w:r>
      <w:r w:rsidR="001C3F98">
        <w:t>CCA</w:t>
      </w:r>
      <w:r w:rsidRPr="003C5719">
        <w:t>).</w:t>
      </w:r>
    </w:p>
    <w:p w14:paraId="3687D59E" w14:textId="7898B03E" w:rsidR="00EA4DD8" w:rsidRPr="003C5719" w:rsidRDefault="00EA4DD8" w:rsidP="004A27A8">
      <w:pPr>
        <w:spacing w:before="240"/>
        <w:rPr>
          <w:u w:val="single"/>
        </w:rPr>
      </w:pPr>
      <w:r w:rsidRPr="003C5719">
        <w:rPr>
          <w:u w:val="single"/>
        </w:rPr>
        <w:t>Section 4 – Schedul</w:t>
      </w:r>
      <w:r w:rsidR="005608D0">
        <w:rPr>
          <w:u w:val="single"/>
        </w:rPr>
        <w:t>es</w:t>
      </w:r>
    </w:p>
    <w:p w14:paraId="141AECBC" w14:textId="77777777"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22EB2B82" w14:textId="1C26984D" w:rsidR="00EA2FB7" w:rsidRDefault="00EA2FB7" w:rsidP="00466DD5">
      <w:pPr>
        <w:spacing w:before="240" w:after="200"/>
      </w:pPr>
      <w:r>
        <w:t xml:space="preserve">All references are to the </w:t>
      </w:r>
      <w:r w:rsidRPr="004968E5">
        <w:rPr>
          <w:i/>
          <w:iCs/>
        </w:rPr>
        <w:t>Competition and Consumer (Notification of Acquisitions) Determination 2025</w:t>
      </w:r>
      <w:r>
        <w:t xml:space="preserve"> (Principal Determination) unless otherwise stated.</w:t>
      </w:r>
    </w:p>
    <w:p w14:paraId="50A550FA" w14:textId="7454E732" w:rsidR="005608D0" w:rsidRPr="004461F6" w:rsidRDefault="005608D0" w:rsidP="000602B2">
      <w:pPr>
        <w:shd w:val="clear" w:color="auto" w:fill="D9D9D9" w:themeFill="background1" w:themeFillShade="D9"/>
        <w:spacing w:before="240" w:after="200" w:line="276" w:lineRule="auto"/>
        <w:rPr>
          <w:b/>
          <w:bCs/>
        </w:rPr>
      </w:pPr>
      <w:r w:rsidRPr="004461F6">
        <w:rPr>
          <w:b/>
          <w:bCs/>
        </w:rPr>
        <w:t>Schedule 1</w:t>
      </w:r>
    </w:p>
    <w:p w14:paraId="1E65FABA" w14:textId="78A5D0F7" w:rsidR="005447F6" w:rsidRPr="00A172ED" w:rsidRDefault="005447F6" w:rsidP="00C107C8">
      <w:pPr>
        <w:keepNext/>
        <w:keepLines/>
        <w:spacing w:before="240" w:after="200"/>
        <w:rPr>
          <w:u w:val="single"/>
        </w:rPr>
      </w:pPr>
      <w:r w:rsidRPr="7EE6BED4">
        <w:rPr>
          <w:u w:val="single"/>
        </w:rPr>
        <w:t xml:space="preserve">Item </w:t>
      </w:r>
      <w:r w:rsidR="00774D9B">
        <w:rPr>
          <w:u w:val="single"/>
        </w:rPr>
        <w:t>1</w:t>
      </w:r>
    </w:p>
    <w:p w14:paraId="10A6C220" w14:textId="6666F001" w:rsidR="00A81D77" w:rsidRPr="00A81D77" w:rsidRDefault="00A81D77" w:rsidP="00A81D77">
      <w:pPr>
        <w:spacing w:before="240" w:after="200"/>
      </w:pPr>
      <w:r w:rsidRPr="00A81D77">
        <w:t>This item inserts Division 2</w:t>
      </w:r>
      <w:r w:rsidR="00763005">
        <w:t xml:space="preserve"> at the end of Part 3</w:t>
      </w:r>
      <w:r w:rsidRPr="00A81D77">
        <w:t>, which sets out notification requirements for certain classes of acquisitions that do not result in control</w:t>
      </w:r>
      <w:r w:rsidR="00CF0304">
        <w:t xml:space="preserve"> under </w:t>
      </w:r>
      <w:r w:rsidR="000B3332">
        <w:t>section</w:t>
      </w:r>
      <w:r w:rsidR="00CF0304">
        <w:t xml:space="preserve"> 51ABS of the CCA</w:t>
      </w:r>
      <w:r w:rsidRPr="00A81D77">
        <w:t>.</w:t>
      </w:r>
    </w:p>
    <w:p w14:paraId="6871F62D" w14:textId="7D59FF25" w:rsidR="00A81D77" w:rsidRPr="0036669E" w:rsidRDefault="00A81D77" w:rsidP="00C107C8">
      <w:pPr>
        <w:keepNext/>
        <w:keepLines/>
        <w:spacing w:before="240" w:after="200"/>
        <w:rPr>
          <w:i/>
          <w:color w:val="7F7F7F" w:themeColor="text1" w:themeTint="80"/>
        </w:rPr>
      </w:pPr>
      <w:r w:rsidRPr="0036669E">
        <w:rPr>
          <w:i/>
          <w:color w:val="7F7F7F" w:themeColor="text1" w:themeTint="80"/>
        </w:rPr>
        <w:t xml:space="preserve">Context and legislative pathway </w:t>
      </w:r>
    </w:p>
    <w:p w14:paraId="76FE1128" w14:textId="479FFEB5" w:rsidR="00A81D77" w:rsidRPr="00A81D77" w:rsidRDefault="00A81D77" w:rsidP="00A81D77">
      <w:pPr>
        <w:spacing w:before="240" w:after="200"/>
      </w:pPr>
      <w:r w:rsidRPr="00A81D77">
        <w:t xml:space="preserve">Under section 51ABO of the </w:t>
      </w:r>
      <w:r w:rsidR="00921AD8">
        <w:t>CCA</w:t>
      </w:r>
      <w:r w:rsidRPr="00A81D77">
        <w:t>, an acquisition is required to be notified to the Commission if it:</w:t>
      </w:r>
    </w:p>
    <w:p w14:paraId="0BE5328E" w14:textId="77777777" w:rsidR="00A81D77" w:rsidRPr="00A81D77" w:rsidRDefault="00A81D77" w:rsidP="00A81D77">
      <w:pPr>
        <w:numPr>
          <w:ilvl w:val="0"/>
          <w:numId w:val="39"/>
        </w:numPr>
        <w:spacing w:before="240" w:after="200"/>
      </w:pPr>
      <w:r w:rsidRPr="00A81D77">
        <w:t>occurs in circumstances determined under section 51ABP (notification thresholds); or</w:t>
      </w:r>
    </w:p>
    <w:p w14:paraId="72D13159" w14:textId="39B06641" w:rsidR="00A81D77" w:rsidRPr="00A81D77" w:rsidRDefault="00A81D77" w:rsidP="00A81D77">
      <w:pPr>
        <w:numPr>
          <w:ilvl w:val="0"/>
          <w:numId w:val="39"/>
        </w:numPr>
        <w:spacing w:before="240" w:after="200"/>
      </w:pPr>
      <w:r w:rsidRPr="00A81D77">
        <w:t>is in a class of acquisitions determined under section 51ABQ (class</w:t>
      </w:r>
      <w:r w:rsidRPr="00B76159">
        <w:t> </w:t>
      </w:r>
      <w:r w:rsidRPr="00A81D77">
        <w:t>determinations).</w:t>
      </w:r>
    </w:p>
    <w:p w14:paraId="5E5F1346" w14:textId="3C64FF2B" w:rsidR="00A81D77" w:rsidRPr="00A81D77" w:rsidRDefault="00A81D77" w:rsidP="00A81D77">
      <w:pPr>
        <w:spacing w:before="240" w:after="200"/>
      </w:pPr>
      <w:r w:rsidRPr="00A81D77">
        <w:t>Section 51ABP enables the Minister, by legislative instrument, to determine the circumstances in which acquisitions must be notified. The</w:t>
      </w:r>
      <w:r w:rsidR="00294148">
        <w:t xml:space="preserve"> Principal Determination</w:t>
      </w:r>
      <w:r w:rsidR="00294148">
        <w:rPr>
          <w:i/>
          <w:iCs/>
        </w:rPr>
        <w:t xml:space="preserve"> </w:t>
      </w:r>
      <w:r w:rsidRPr="00A81D77">
        <w:t xml:space="preserve">gives </w:t>
      </w:r>
      <w:r w:rsidRPr="00A81D77">
        <w:lastRenderedPageBreak/>
        <w:t>effect to that power and sets out both the monetary thresholds and sector-specific classes of acquisitions that trigger mandatory notification.</w:t>
      </w:r>
    </w:p>
    <w:p w14:paraId="00734CA9" w14:textId="3964F8E5" w:rsidR="00A81D77" w:rsidRPr="00A81D77" w:rsidRDefault="00A81D77" w:rsidP="00A81D77">
      <w:pPr>
        <w:spacing w:before="240" w:after="200"/>
      </w:pPr>
      <w:r w:rsidRPr="00A81D77">
        <w:t xml:space="preserve">The notification obligation in section 51ABO is, however, subject to several statutory exemptions contained in Subdivision B of Division 2 of Part IVA of the </w:t>
      </w:r>
      <w:r w:rsidR="00921AD8">
        <w:t>CCA</w:t>
      </w:r>
      <w:r w:rsidRPr="00A81D77">
        <w:t>, including:</w:t>
      </w:r>
    </w:p>
    <w:p w14:paraId="625095E8" w14:textId="77777777" w:rsidR="00A81D77" w:rsidRPr="00A81D77" w:rsidRDefault="00A81D77" w:rsidP="00A81D77">
      <w:pPr>
        <w:numPr>
          <w:ilvl w:val="0"/>
          <w:numId w:val="40"/>
        </w:numPr>
        <w:spacing w:before="240" w:after="200"/>
      </w:pPr>
      <w:r w:rsidRPr="00A81D77">
        <w:t>the Chapter 6 entity exemption in section 51ABT; and</w:t>
      </w:r>
    </w:p>
    <w:p w14:paraId="4893CD0F" w14:textId="77777777" w:rsidR="00A81D77" w:rsidRPr="00A81D77" w:rsidRDefault="00A81D77" w:rsidP="00A81D77">
      <w:pPr>
        <w:numPr>
          <w:ilvl w:val="0"/>
          <w:numId w:val="40"/>
        </w:numPr>
        <w:spacing w:before="240" w:after="200"/>
      </w:pPr>
      <w:r w:rsidRPr="00A81D77">
        <w:t>the control exemption in section 51ABS.</w:t>
      </w:r>
    </w:p>
    <w:p w14:paraId="5399BC3E" w14:textId="0CD875C4" w:rsidR="00001591" w:rsidRPr="0036669E" w:rsidRDefault="00001591" w:rsidP="00CD62EC">
      <w:pPr>
        <w:keepNext/>
        <w:keepLines/>
        <w:spacing w:before="240" w:after="200"/>
        <w:rPr>
          <w:color w:val="7F7F7F" w:themeColor="text1" w:themeTint="80"/>
        </w:rPr>
      </w:pPr>
      <w:r w:rsidRPr="0036669E">
        <w:rPr>
          <w:i/>
          <w:color w:val="7F7F7F" w:themeColor="text1" w:themeTint="80"/>
        </w:rPr>
        <w:t>Section 51ABT – Chapter 6 entity exemption</w:t>
      </w:r>
    </w:p>
    <w:p w14:paraId="0785276D" w14:textId="03CE331E" w:rsidR="00831412" w:rsidRDefault="00A81D77" w:rsidP="00831412">
      <w:pPr>
        <w:spacing w:before="240" w:after="200"/>
      </w:pPr>
      <w:r w:rsidRPr="00A81D77">
        <w:t xml:space="preserve">The Chapter 6 entity exemption excludes acquisitions of shares in Chapter 6 entities where the </w:t>
      </w:r>
      <w:r w:rsidR="008D34D1">
        <w:t>person’s</w:t>
      </w:r>
      <w:r w:rsidR="008D34D1" w:rsidRPr="00A81D77">
        <w:t xml:space="preserve"> </w:t>
      </w:r>
      <w:r w:rsidRPr="00A81D77">
        <w:t xml:space="preserve">voting power remains below 20 per cent. Under section 51ABJ, a </w:t>
      </w:r>
      <w:r w:rsidRPr="00A81D77">
        <w:rPr>
          <w:i/>
          <w:iCs/>
        </w:rPr>
        <w:t>Chapter 6 entity</w:t>
      </w:r>
      <w:r w:rsidRPr="00A81D77">
        <w:t xml:space="preserve"> means a listed company, a listed registered scheme, or an unlisted company with more than 50 members.</w:t>
      </w:r>
    </w:p>
    <w:p w14:paraId="39F13B17" w14:textId="67140EB5" w:rsidR="00A81D77" w:rsidRPr="00A81D77" w:rsidRDefault="00A81D77" w:rsidP="00831412">
      <w:pPr>
        <w:spacing w:before="240" w:after="200"/>
      </w:pPr>
      <w:r w:rsidRPr="00A81D77">
        <w:t xml:space="preserve">The 20 per cent threshold in section 51ABT corresponds to the point at which takeovers of widely-held entities are regulated under Chapter 6 of the </w:t>
      </w:r>
      <w:r w:rsidRPr="00831412">
        <w:rPr>
          <w:i/>
          <w:iCs/>
        </w:rPr>
        <w:t>Corporations Act</w:t>
      </w:r>
      <w:r w:rsidR="009A15B6" w:rsidRPr="00831412">
        <w:rPr>
          <w:i/>
          <w:iCs/>
        </w:rPr>
        <w:t xml:space="preserve"> 2001 </w:t>
      </w:r>
      <w:r w:rsidR="009A15B6">
        <w:t>(the Corporations Act)</w:t>
      </w:r>
      <w:r w:rsidRPr="00A81D77">
        <w:t xml:space="preserve">, ensuring consistency between the merger notification </w:t>
      </w:r>
      <w:r w:rsidR="00E438EA">
        <w:t>system</w:t>
      </w:r>
      <w:r w:rsidRPr="00A81D77">
        <w:t xml:space="preserve"> and takeover law.</w:t>
      </w:r>
    </w:p>
    <w:p w14:paraId="731E571D" w14:textId="121A3E41" w:rsidR="00001591" w:rsidRPr="0036669E" w:rsidRDefault="00001591" w:rsidP="00CD62EC">
      <w:pPr>
        <w:keepNext/>
        <w:keepLines/>
        <w:spacing w:before="240" w:after="200"/>
        <w:rPr>
          <w:i/>
          <w:color w:val="7F7F7F" w:themeColor="text1" w:themeTint="80"/>
        </w:rPr>
      </w:pPr>
      <w:r w:rsidRPr="0036669E">
        <w:rPr>
          <w:i/>
          <w:color w:val="7F7F7F" w:themeColor="text1" w:themeTint="80"/>
        </w:rPr>
        <w:t xml:space="preserve">Section 51ABS – Control exemption </w:t>
      </w:r>
    </w:p>
    <w:p w14:paraId="1827E9A2" w14:textId="7F016622" w:rsidR="00E24E77" w:rsidRDefault="00A81D77" w:rsidP="00A81D77">
      <w:pPr>
        <w:spacing w:before="240" w:after="200"/>
      </w:pPr>
      <w:r w:rsidRPr="00A81D77">
        <w:t>Section 51ABS sets out the control exemption, adopting the definition of control in section</w:t>
      </w:r>
      <w:r w:rsidR="00BE7A83">
        <w:t> </w:t>
      </w:r>
      <w:r w:rsidRPr="00A81D77">
        <w:t>50AA of the</w:t>
      </w:r>
      <w:r w:rsidR="009A15B6">
        <w:t xml:space="preserve"> Corporations Act </w:t>
      </w:r>
      <w:r w:rsidR="00BE7A83" w:rsidRPr="008201E5">
        <w:t>as modified by</w:t>
      </w:r>
      <w:r w:rsidRPr="00A81D77">
        <w:t xml:space="preserve"> subsection 51ABS(2)</w:t>
      </w:r>
      <w:r w:rsidR="00624839">
        <w:t xml:space="preserve"> of the CCA</w:t>
      </w:r>
      <w:r w:rsidR="0072622B">
        <w:t>. These modifications are</w:t>
      </w:r>
      <w:r w:rsidRPr="00A81D77">
        <w:t xml:space="preserve"> designed to ensure that</w:t>
      </w:r>
      <w:r w:rsidR="00411711">
        <w:t xml:space="preserve"> </w:t>
      </w:r>
      <w:r w:rsidR="00340081">
        <w:t>control may still be established where</w:t>
      </w:r>
      <w:r w:rsidR="00E24E77">
        <w:t>:</w:t>
      </w:r>
    </w:p>
    <w:p w14:paraId="4DC65452" w14:textId="7C3FA53F" w:rsidR="00E24E77" w:rsidRDefault="00340081" w:rsidP="00EB2525">
      <w:pPr>
        <w:pStyle w:val="Bullet"/>
      </w:pPr>
      <w:r>
        <w:t>there is joint control,</w:t>
      </w:r>
      <w:r w:rsidR="00A81D77" w:rsidRPr="00A81D77">
        <w:t xml:space="preserve"> </w:t>
      </w:r>
    </w:p>
    <w:p w14:paraId="3C1AE746" w14:textId="63365287" w:rsidR="00E24E77" w:rsidRDefault="0072622B" w:rsidP="00EB2525">
      <w:pPr>
        <w:pStyle w:val="Bullet"/>
      </w:pPr>
      <w:r>
        <w:t xml:space="preserve">a </w:t>
      </w:r>
      <w:r w:rsidR="00A81D77" w:rsidRPr="00A81D77">
        <w:t>special purpose vehicle</w:t>
      </w:r>
      <w:r w:rsidR="00A81D77" w:rsidRPr="00A81D77" w:rsidDel="00AD66D1">
        <w:t xml:space="preserve"> </w:t>
      </w:r>
      <w:r w:rsidR="00BF1B6B">
        <w:t>is the acquirer</w:t>
      </w:r>
      <w:r>
        <w:t>,</w:t>
      </w:r>
      <w:r w:rsidR="00BF1B6B">
        <w:t xml:space="preserve"> </w:t>
      </w:r>
      <w:r w:rsidR="00AD66D1">
        <w:t>or</w:t>
      </w:r>
      <w:r w:rsidR="00AD66D1" w:rsidRPr="00A81D77">
        <w:t xml:space="preserve"> </w:t>
      </w:r>
    </w:p>
    <w:p w14:paraId="7674BE30" w14:textId="63167CE0" w:rsidR="00A81D77" w:rsidRPr="00A81D77" w:rsidRDefault="003742DF" w:rsidP="00EB2525">
      <w:pPr>
        <w:pStyle w:val="Bullet"/>
      </w:pPr>
      <w:r>
        <w:t xml:space="preserve">certain </w:t>
      </w:r>
      <w:r w:rsidR="00BF1B6B">
        <w:t xml:space="preserve">legal obligations </w:t>
      </w:r>
      <w:r w:rsidR="00AD09E1">
        <w:t xml:space="preserve">apply because </w:t>
      </w:r>
      <w:r w:rsidR="00BF1B6B">
        <w:t>the acquirer is a</w:t>
      </w:r>
      <w:r>
        <w:t xml:space="preserve"> </w:t>
      </w:r>
      <w:r w:rsidR="00A81D77" w:rsidRPr="00A81D77">
        <w:t xml:space="preserve">subsidiary </w:t>
      </w:r>
      <w:r w:rsidR="00BF1B6B">
        <w:t>of a body corporate</w:t>
      </w:r>
      <w:r w:rsidR="00A81D77" w:rsidRPr="00A81D77">
        <w:t>.</w:t>
      </w:r>
    </w:p>
    <w:p w14:paraId="1A07BA9A" w14:textId="27E5321E" w:rsidR="00C910C2" w:rsidRDefault="00A81D77" w:rsidP="00A81D77">
      <w:pPr>
        <w:spacing w:before="240" w:after="200"/>
      </w:pPr>
      <w:r w:rsidRPr="00A81D77">
        <w:t xml:space="preserve">Subsection 51ABS(5) provides that, despite the operation of these exemptions, an acquisition must still be notified if it falls within a class of acquisition </w:t>
      </w:r>
      <w:r w:rsidR="00BD1F8A">
        <w:t xml:space="preserve">determined </w:t>
      </w:r>
      <w:r w:rsidRPr="00A81D77">
        <w:t xml:space="preserve">under subsection 51ABS(6). That </w:t>
      </w:r>
      <w:r w:rsidR="00037BC7">
        <w:t>latter</w:t>
      </w:r>
      <w:r w:rsidRPr="00A81D77">
        <w:t xml:space="preserve"> subsection </w:t>
      </w:r>
      <w:r w:rsidR="00F52260">
        <w:t>provides</w:t>
      </w:r>
      <w:r w:rsidRPr="00A81D77">
        <w:t xml:space="preserve"> a Ministerial power to</w:t>
      </w:r>
      <w:r w:rsidR="00F52260">
        <w:t xml:space="preserve"> determine </w:t>
      </w:r>
      <w:r w:rsidRPr="00A81D77">
        <w:t xml:space="preserve">classes of share acquisitions that must be notified even though </w:t>
      </w:r>
      <w:r w:rsidR="00E0727D">
        <w:t>the control exemption applies</w:t>
      </w:r>
      <w:r w:rsidR="0035547E">
        <w:t>,</w:t>
      </w:r>
      <w:r w:rsidR="00DE32F7">
        <w:t xml:space="preserve"> if required to be notified under either limb of section 51ABO</w:t>
      </w:r>
      <w:r w:rsidR="00C44729" w:rsidRPr="00A81D77">
        <w:t>. Subsection</w:t>
      </w:r>
      <w:r w:rsidRPr="00A81D77">
        <w:t xml:space="preserve"> 51ABS(7) clarifies that such classes may be defined by reference to either the size of an interest</w:t>
      </w:r>
      <w:r w:rsidR="00DF588F">
        <w:t xml:space="preserve"> </w:t>
      </w:r>
      <w:r w:rsidRPr="00A81D77">
        <w:t>or the nature of a person’s control.</w:t>
      </w:r>
      <w:r w:rsidR="00717A39" w:rsidRPr="00717A39">
        <w:t xml:space="preserve"> </w:t>
      </w:r>
    </w:p>
    <w:p w14:paraId="20512161" w14:textId="6FF4009D" w:rsidR="00717A39" w:rsidRPr="00F61902" w:rsidRDefault="00717A39" w:rsidP="00717A39">
      <w:pPr>
        <w:spacing w:before="240" w:after="200"/>
        <w:rPr>
          <w:i/>
          <w:color w:val="7F7F7F" w:themeColor="text1" w:themeTint="80"/>
        </w:rPr>
      </w:pPr>
      <w:r w:rsidRPr="00F61902">
        <w:rPr>
          <w:i/>
          <w:color w:val="7F7F7F" w:themeColor="text1" w:themeTint="80"/>
        </w:rPr>
        <w:t xml:space="preserve">Division 2 —Certain classes of acquisition that do not result in control still required to be notified </w:t>
      </w:r>
    </w:p>
    <w:p w14:paraId="647BD25A" w14:textId="5CEB2D34" w:rsidR="009F3DC6" w:rsidRPr="00E152C6" w:rsidRDefault="009F3DC6" w:rsidP="009F3DC6">
      <w:pPr>
        <w:spacing w:before="240" w:after="200"/>
      </w:pPr>
      <w:r>
        <w:t xml:space="preserve">Under subsection 51ABS(1) of the </w:t>
      </w:r>
      <w:r w:rsidR="00921AD8">
        <w:t>CCA</w:t>
      </w:r>
      <w:r>
        <w:t xml:space="preserve">, certain acquisitions </w:t>
      </w:r>
      <w:r w:rsidR="00341137">
        <w:t xml:space="preserve">by a person </w:t>
      </w:r>
      <w:r w:rsidR="00D6742F">
        <w:t>are not required to be notified</w:t>
      </w:r>
      <w:r>
        <w:t xml:space="preserve"> for the purposes of that section because:</w:t>
      </w:r>
    </w:p>
    <w:p w14:paraId="7D41B908" w14:textId="45321B1A" w:rsidR="009F3DC6" w:rsidRPr="00E152C6" w:rsidRDefault="009F3DC6" w:rsidP="009F3DC6">
      <w:pPr>
        <w:numPr>
          <w:ilvl w:val="0"/>
          <w:numId w:val="44"/>
        </w:numPr>
        <w:spacing w:before="240" w:after="200"/>
      </w:pPr>
      <w:r w:rsidRPr="00E152C6">
        <w:t xml:space="preserve">the </w:t>
      </w:r>
      <w:r w:rsidR="008D34D1">
        <w:t>person</w:t>
      </w:r>
      <w:r w:rsidRPr="00E152C6">
        <w:t xml:space="preserve"> already controlled the body corporate before the acquisition; or</w:t>
      </w:r>
    </w:p>
    <w:p w14:paraId="5D646F26" w14:textId="305D17BD" w:rsidR="009F3DC6" w:rsidRPr="00E152C6" w:rsidRDefault="00357E47" w:rsidP="009F3DC6">
      <w:pPr>
        <w:numPr>
          <w:ilvl w:val="0"/>
          <w:numId w:val="44"/>
        </w:numPr>
        <w:spacing w:before="240" w:after="200"/>
      </w:pPr>
      <w:r>
        <w:lastRenderedPageBreak/>
        <w:t xml:space="preserve">the </w:t>
      </w:r>
      <w:r w:rsidR="008D34D1">
        <w:t>person</w:t>
      </w:r>
      <w:r>
        <w:t xml:space="preserve"> does not control</w:t>
      </w:r>
      <w:r w:rsidR="003077C4">
        <w:t xml:space="preserve"> </w:t>
      </w:r>
      <w:r w:rsidR="00F73FAE">
        <w:t xml:space="preserve">the body corporate </w:t>
      </w:r>
      <w:r w:rsidR="003077C4">
        <w:t>immediately</w:t>
      </w:r>
      <w:r w:rsidR="009F3DC6" w:rsidRPr="00E152C6">
        <w:t xml:space="preserve"> after the acquisition is put into effect.</w:t>
      </w:r>
    </w:p>
    <w:p w14:paraId="73CAC0BB" w14:textId="5E64C8FE" w:rsidR="00C26628" w:rsidRPr="00F468C0" w:rsidRDefault="009F3DC6" w:rsidP="00C26628">
      <w:pPr>
        <w:spacing w:before="240" w:after="200"/>
      </w:pPr>
      <w:r w:rsidRPr="00E152C6">
        <w:t>Division 2 sets out the classes of acquisitions that must nonetheless be notified to the Commission in those circumstances</w:t>
      </w:r>
      <w:r w:rsidR="00386964">
        <w:t xml:space="preserve">, </w:t>
      </w:r>
      <w:r w:rsidR="00386964" w:rsidRPr="00FC1FE4">
        <w:t xml:space="preserve">but </w:t>
      </w:r>
      <w:r w:rsidR="00C26628" w:rsidRPr="00FC1FE4">
        <w:t>only where the acquisition also meets the thresholds determined under section 51ABP</w:t>
      </w:r>
      <w:r w:rsidR="00386964" w:rsidRPr="00FC1FE4">
        <w:t xml:space="preserve"> or if the </w:t>
      </w:r>
      <w:r w:rsidR="00234066" w:rsidRPr="00FC1FE4">
        <w:t xml:space="preserve">acquisition is in a </w:t>
      </w:r>
      <w:r w:rsidR="00461440" w:rsidRPr="00FC1FE4">
        <w:t>class determined</w:t>
      </w:r>
      <w:r w:rsidR="00234066" w:rsidRPr="00FC1FE4">
        <w:t xml:space="preserve"> under section 51AB</w:t>
      </w:r>
      <w:r w:rsidR="005961E8" w:rsidRPr="00FC1FE4">
        <w:t>Q</w:t>
      </w:r>
      <w:r w:rsidR="00C26628" w:rsidRPr="00F468C0">
        <w:t xml:space="preserve">. This ensures that the </w:t>
      </w:r>
      <w:r w:rsidR="00C26628">
        <w:t>mergers system</w:t>
      </w:r>
      <w:r w:rsidR="00C26628" w:rsidRPr="00F468C0">
        <w:t xml:space="preserve"> remains risk-based and proportionate, targeting acquisitions that are both material in scale and capable of influencing competition. The </w:t>
      </w:r>
      <w:r w:rsidR="00C26628">
        <w:t xml:space="preserve">notification </w:t>
      </w:r>
      <w:r w:rsidR="00C26628" w:rsidRPr="00F468C0">
        <w:t>thresholds operate as a</w:t>
      </w:r>
      <w:r w:rsidR="00C26628">
        <w:t xml:space="preserve"> revenue</w:t>
      </w:r>
      <w:r w:rsidR="00C26628" w:rsidRPr="00F468C0">
        <w:t xml:space="preserve"> </w:t>
      </w:r>
      <w:r w:rsidR="004B0F5D">
        <w:t>and transaction value</w:t>
      </w:r>
      <w:r w:rsidR="00C26628" w:rsidRPr="00F468C0">
        <w:t xml:space="preserve"> filter, while Division 2 defines the types of shareholdings that, because of their effect on voting power or corporate influence, </w:t>
      </w:r>
      <w:r w:rsidR="00C26628">
        <w:t>require</w:t>
      </w:r>
      <w:r w:rsidR="00C26628" w:rsidRPr="00F468C0">
        <w:t xml:space="preserve"> </w:t>
      </w:r>
      <w:r w:rsidR="00C26628">
        <w:t>notification</w:t>
      </w:r>
      <w:r w:rsidR="00C26628" w:rsidRPr="00F468C0">
        <w:t xml:space="preserve"> even where</w:t>
      </w:r>
      <w:r w:rsidR="00C26628">
        <w:t xml:space="preserve"> control </w:t>
      </w:r>
      <w:r w:rsidR="005846ED">
        <w:t>(</w:t>
      </w:r>
      <w:r w:rsidR="00B046A7">
        <w:t xml:space="preserve">within the meaning of section </w:t>
      </w:r>
      <w:r w:rsidR="0010700C">
        <w:t xml:space="preserve">50AA of the Corporations Act </w:t>
      </w:r>
      <w:r w:rsidR="008201E5" w:rsidRPr="008201E5">
        <w:t>as modified by subsection 51ABS(2) of the CCA</w:t>
      </w:r>
      <w:r w:rsidR="005846ED">
        <w:t>)</w:t>
      </w:r>
      <w:r w:rsidR="00B046A7">
        <w:t xml:space="preserve"> </w:t>
      </w:r>
      <w:r w:rsidR="002E357E">
        <w:t>may</w:t>
      </w:r>
      <w:r w:rsidR="00C26628">
        <w:t xml:space="preserve"> not </w:t>
      </w:r>
      <w:r w:rsidR="002E357E">
        <w:t>be</w:t>
      </w:r>
      <w:r w:rsidR="00C26628">
        <w:t xml:space="preserve"> </w:t>
      </w:r>
      <w:r w:rsidR="00B046A7" w:rsidRPr="000B3332">
        <w:t>established</w:t>
      </w:r>
      <w:r w:rsidR="00C26628" w:rsidRPr="00F468C0">
        <w:t>.</w:t>
      </w:r>
    </w:p>
    <w:p w14:paraId="2586ABF5" w14:textId="75A21D3E" w:rsidR="009C1CC1" w:rsidRDefault="006B6B0E" w:rsidP="00A81D77">
      <w:pPr>
        <w:spacing w:before="240" w:after="200"/>
      </w:pPr>
      <w:r>
        <w:t xml:space="preserve">The first note </w:t>
      </w:r>
      <w:r w:rsidR="002E229C">
        <w:t xml:space="preserve">to Division </w:t>
      </w:r>
      <w:r>
        <w:t xml:space="preserve">2 </w:t>
      </w:r>
      <w:r w:rsidR="002E229C" w:rsidRPr="002E229C">
        <w:t xml:space="preserve">explains how this </w:t>
      </w:r>
      <w:r w:rsidR="002E229C">
        <w:t>instrument</w:t>
      </w:r>
      <w:r w:rsidR="002E229C" w:rsidRPr="002E229C">
        <w:t xml:space="preserve"> interacts with </w:t>
      </w:r>
      <w:r w:rsidR="002E229C">
        <w:t>s</w:t>
      </w:r>
      <w:r w:rsidR="00C26628">
        <w:t>ubs</w:t>
      </w:r>
      <w:r w:rsidR="002E229C">
        <w:t>ection 51ABS(1).</w:t>
      </w:r>
      <w:r w:rsidR="0053179E">
        <w:t xml:space="preserve"> </w:t>
      </w:r>
      <w:r w:rsidR="00C26628">
        <w:t>Generally</w:t>
      </w:r>
      <w:r w:rsidR="002E229C" w:rsidRPr="006B6B0E">
        <w:t>, under subsection 51ABS(1) of th</w:t>
      </w:r>
      <w:r w:rsidR="00C26628">
        <w:t>e CCA</w:t>
      </w:r>
      <w:r w:rsidR="002E229C" w:rsidRPr="006B6B0E">
        <w:t>, an acquisition of shares is not required to be notified if, immediately after the acquisition, the person does not control the body corporate, or if the person already controlled it before the acquisition.</w:t>
      </w:r>
      <w:r>
        <w:t xml:space="preserve"> </w:t>
      </w:r>
      <w:r w:rsidR="002E229C" w:rsidRPr="002E229C">
        <w:t>However,</w:t>
      </w:r>
      <w:r>
        <w:t xml:space="preserve"> as th</w:t>
      </w:r>
      <w:r w:rsidR="00C26628">
        <w:t>is</w:t>
      </w:r>
      <w:r>
        <w:t xml:space="preserve"> note </w:t>
      </w:r>
      <w:r w:rsidR="002E229C" w:rsidRPr="002E229C">
        <w:t>clarifie</w:t>
      </w:r>
      <w:r>
        <w:t xml:space="preserve">s, </w:t>
      </w:r>
      <w:r w:rsidR="002E229C" w:rsidRPr="002E229C">
        <w:t xml:space="preserve">this general control exemption </w:t>
      </w:r>
      <w:r w:rsidR="002E229C" w:rsidRPr="006B6B0E">
        <w:t>does not apply to acquisitions that fall within a class determined under subsection 51ABS(6).</w:t>
      </w:r>
    </w:p>
    <w:p w14:paraId="1E5E49F3" w14:textId="0D710E54" w:rsidR="007A03AB" w:rsidRDefault="007A03AB" w:rsidP="00A81D77">
      <w:pPr>
        <w:spacing w:before="240" w:after="200"/>
      </w:pPr>
      <w:r>
        <w:t xml:space="preserve">The second note includes a reference to </w:t>
      </w:r>
      <w:r w:rsidRPr="007A03AB">
        <w:t>the separate exemption in section 51ABT, which applies to acquisitions in Chapter 6 entities (</w:t>
      </w:r>
      <w:r>
        <w:t>for example, l</w:t>
      </w:r>
      <w:r w:rsidRPr="007A03AB">
        <w:t>isted or widely-held companies)</w:t>
      </w:r>
      <w:r>
        <w:t xml:space="preserve">. Where </w:t>
      </w:r>
      <w:r w:rsidRPr="007A03AB">
        <w:t>the Chapter 6 entity exemption applies, notification is not required.</w:t>
      </w:r>
    </w:p>
    <w:p w14:paraId="559B8B2E" w14:textId="4E6791EE" w:rsidR="00E20868" w:rsidRDefault="005E4A4E" w:rsidP="00E20868">
      <w:pPr>
        <w:spacing w:before="240" w:after="200"/>
      </w:pPr>
      <w:r>
        <w:t>S</w:t>
      </w:r>
      <w:r w:rsidR="00E20868" w:rsidRPr="00F93E93">
        <w:t xml:space="preserve">ections 3-10, 3-12, 3-11 and 3-13, </w:t>
      </w:r>
      <w:r w:rsidR="00E20868">
        <w:t>use the concept of voting power to</w:t>
      </w:r>
      <w:r w:rsidR="00E20868" w:rsidRPr="00F93E93">
        <w:t xml:space="preserve"> define four classes of acquisitions that must be notified to the Commission even where they do not result in the </w:t>
      </w:r>
      <w:r w:rsidR="008D34D1">
        <w:t>person</w:t>
      </w:r>
      <w:r w:rsidR="008D34D1" w:rsidRPr="00F93E93">
        <w:t xml:space="preserve"> </w:t>
      </w:r>
      <w:r w:rsidR="00E20868" w:rsidRPr="00F93E93">
        <w:t xml:space="preserve">obtaining control of the target or where the </w:t>
      </w:r>
      <w:r w:rsidR="008D34D1">
        <w:t>person</w:t>
      </w:r>
      <w:r w:rsidR="008D34D1" w:rsidRPr="00F93E93">
        <w:t xml:space="preserve"> </w:t>
      </w:r>
      <w:r w:rsidR="00E20868" w:rsidRPr="00F93E93">
        <w:t>already has control.</w:t>
      </w:r>
    </w:p>
    <w:p w14:paraId="241CE506" w14:textId="1FE1261E" w:rsidR="00E853FA" w:rsidRDefault="00F47895" w:rsidP="00E853FA">
      <w:pPr>
        <w:pStyle w:val="ListParagraph"/>
        <w:numPr>
          <w:ilvl w:val="0"/>
          <w:numId w:val="44"/>
        </w:numPr>
        <w:spacing w:before="240" w:after="200"/>
      </w:pPr>
      <w:r w:rsidRPr="00F47895">
        <w:t xml:space="preserve">Sections 3-10 and 3-11 do not require parties to determine whether an acquisition results in control for the purposes of section 50AA of the Corporations Act (as modified by section 51ABS of the </w:t>
      </w:r>
      <w:r w:rsidR="006F6B7A">
        <w:t>CCA</w:t>
      </w:r>
      <w:r w:rsidRPr="00F47895">
        <w:t>). Instead, whether an acquisition is required to be notified under these provisions depends solely on the movement of a person’s voting power across the</w:t>
      </w:r>
      <w:r w:rsidR="008C30E2">
        <w:t xml:space="preserve"> voting power</w:t>
      </w:r>
      <w:r w:rsidRPr="00F47895">
        <w:t xml:space="preserve"> thresholds.</w:t>
      </w:r>
    </w:p>
    <w:p w14:paraId="28847D07" w14:textId="76562B87" w:rsidR="00F47895" w:rsidRDefault="006E7A34" w:rsidP="00F61902">
      <w:pPr>
        <w:pStyle w:val="NormalWeb"/>
        <w:numPr>
          <w:ilvl w:val="0"/>
          <w:numId w:val="44"/>
        </w:numPr>
      </w:pPr>
      <w:r>
        <w:t>Sections 3-12 and 3-13 also operate by reference to voting</w:t>
      </w:r>
      <w:r w:rsidR="006B7A0A">
        <w:t xml:space="preserve"> </w:t>
      </w:r>
      <w:r>
        <w:t xml:space="preserve">power movements, but apply </w:t>
      </w:r>
      <w:r w:rsidR="008C30E2">
        <w:t xml:space="preserve">specifically </w:t>
      </w:r>
      <w:r>
        <w:t>where a</w:t>
      </w:r>
      <w:r w:rsidR="00BA4477">
        <w:t xml:space="preserve"> principal party </w:t>
      </w:r>
      <w:r>
        <w:t>already controls the target body corporate</w:t>
      </w:r>
      <w:r w:rsidR="00BA4477">
        <w:t xml:space="preserve"> before the acquisition (section 3-12)</w:t>
      </w:r>
      <w:r>
        <w:t>, or</w:t>
      </w:r>
      <w:r w:rsidR="00BA4477">
        <w:t xml:space="preserve"> where a principal party</w:t>
      </w:r>
      <w:r>
        <w:t xml:space="preserve"> does not control </w:t>
      </w:r>
      <w:r w:rsidR="00BA4477">
        <w:t>the target body corporate</w:t>
      </w:r>
      <w:r w:rsidR="00E95018">
        <w:t xml:space="preserve"> </w:t>
      </w:r>
      <w:r w:rsidR="00BA4477">
        <w:t xml:space="preserve">either </w:t>
      </w:r>
      <w:r>
        <w:t>before or after the acquisition</w:t>
      </w:r>
      <w:r w:rsidR="00E95018">
        <w:t xml:space="preserve"> </w:t>
      </w:r>
      <w:r w:rsidR="00BA4477">
        <w:t>(section 3-13)</w:t>
      </w:r>
      <w:r>
        <w:t>.</w:t>
      </w:r>
    </w:p>
    <w:p w14:paraId="27577F3D" w14:textId="78A7EDDF" w:rsidR="00F468C0" w:rsidRDefault="00F468C0" w:rsidP="00E20868">
      <w:pPr>
        <w:spacing w:before="240" w:after="200"/>
      </w:pPr>
      <w:r w:rsidRPr="00F468C0">
        <w:t xml:space="preserve">Accordingly, Division 2 applies to acquisitions that meet the thresholds </w:t>
      </w:r>
      <w:r w:rsidR="00986835">
        <w:t xml:space="preserve">(or fall into a determined class) </w:t>
      </w:r>
      <w:r w:rsidRPr="00F468C0">
        <w:t xml:space="preserve">and that </w:t>
      </w:r>
      <w:r w:rsidR="00D417AA">
        <w:t>have the potential to</w:t>
      </w:r>
      <w:r w:rsidR="00E20868">
        <w:t xml:space="preserve"> </w:t>
      </w:r>
      <w:r w:rsidRPr="00F468C0">
        <w:t xml:space="preserve">confer strong influence over a target’s financial or operating policies </w:t>
      </w:r>
      <w:r w:rsidR="008E1DCB">
        <w:t>(</w:t>
      </w:r>
      <w:r w:rsidRPr="00F468C0">
        <w:t>despite not meeting the definition of control in section 50AA of the Corporations Act</w:t>
      </w:r>
      <w:r w:rsidR="00EF2283">
        <w:t xml:space="preserve"> as modified by section 51ABS of the CCA</w:t>
      </w:r>
      <w:r w:rsidR="008E1DCB">
        <w:t>)</w:t>
      </w:r>
      <w:r w:rsidRPr="00F468C0">
        <w:t xml:space="preserve"> </w:t>
      </w:r>
      <w:r w:rsidR="00E20868">
        <w:t xml:space="preserve">or </w:t>
      </w:r>
      <w:r w:rsidRPr="00F468C0">
        <w:t>involve competitively significant changes in the nature or degree of existing control.</w:t>
      </w:r>
    </w:p>
    <w:p w14:paraId="177C5919" w14:textId="2B9CADDA" w:rsidR="001C3264" w:rsidRDefault="00631732" w:rsidP="00944663">
      <w:pPr>
        <w:spacing w:before="240" w:after="200"/>
      </w:pPr>
      <w:r>
        <w:t>Shareholders can i</w:t>
      </w:r>
      <w:r w:rsidR="00F5038E">
        <w:t xml:space="preserve">nfluence the operations of </w:t>
      </w:r>
      <w:r w:rsidR="00FE2181">
        <w:t xml:space="preserve">an entity by voting on key </w:t>
      </w:r>
      <w:r w:rsidR="00D94920">
        <w:t xml:space="preserve">business </w:t>
      </w:r>
      <w:r w:rsidR="00FE2181">
        <w:t>decisions</w:t>
      </w:r>
      <w:r w:rsidR="00EF691F">
        <w:t xml:space="preserve">. </w:t>
      </w:r>
      <w:r w:rsidR="00C65425">
        <w:t>The number of</w:t>
      </w:r>
      <w:r w:rsidR="00144449">
        <w:t xml:space="preserve"> votes </w:t>
      </w:r>
      <w:r w:rsidR="002177E2">
        <w:t xml:space="preserve">that can be cast by a shareholder </w:t>
      </w:r>
      <w:r w:rsidR="00144449">
        <w:t xml:space="preserve">generally </w:t>
      </w:r>
      <w:r w:rsidR="001E71BE">
        <w:t xml:space="preserve">will </w:t>
      </w:r>
      <w:r w:rsidR="00144449">
        <w:t xml:space="preserve">correspond </w:t>
      </w:r>
      <w:r w:rsidR="002177E2">
        <w:t>with</w:t>
      </w:r>
      <w:r w:rsidR="001575EF">
        <w:t xml:space="preserve"> the</w:t>
      </w:r>
      <w:r w:rsidR="00933E08">
        <w:t>ir</w:t>
      </w:r>
      <w:r w:rsidR="00EF691F">
        <w:t xml:space="preserve"> level of influence over the direction of business activities</w:t>
      </w:r>
      <w:r w:rsidR="00FE2181">
        <w:t>.</w:t>
      </w:r>
      <w:r w:rsidR="001348C5">
        <w:t xml:space="preserve"> Voting power is therefore used as a proxy for determining when </w:t>
      </w:r>
      <w:r w:rsidR="006342FD">
        <w:t xml:space="preserve">a shareholder may be in a position to exercise control over the </w:t>
      </w:r>
      <w:r w:rsidR="00F34C7E">
        <w:t xml:space="preserve">competitive </w:t>
      </w:r>
      <w:r w:rsidR="00A14CCF">
        <w:t>behaviour</w:t>
      </w:r>
      <w:r w:rsidR="00D94920">
        <w:t xml:space="preserve"> and </w:t>
      </w:r>
      <w:r w:rsidR="004129AC">
        <w:t xml:space="preserve">strategic </w:t>
      </w:r>
      <w:r w:rsidR="006342FD">
        <w:t>activities of an entity.</w:t>
      </w:r>
      <w:r w:rsidR="002F3A57">
        <w:t xml:space="preserve"> It is also a concept that </w:t>
      </w:r>
      <w:r w:rsidR="002F3A57">
        <w:lastRenderedPageBreak/>
        <w:t>is familiar</w:t>
      </w:r>
      <w:r w:rsidR="00BF1445">
        <w:t xml:space="preserve"> to businesses in Australia</w:t>
      </w:r>
      <w:r w:rsidR="00126589">
        <w:t xml:space="preserve"> and can be ascertained by having regard</w:t>
      </w:r>
      <w:r w:rsidR="00DF2924">
        <w:t xml:space="preserve"> to voting shares</w:t>
      </w:r>
      <w:r w:rsidR="00BF1445">
        <w:t>.</w:t>
      </w:r>
    </w:p>
    <w:p w14:paraId="2F66226D" w14:textId="1675CDD1" w:rsidR="0076575F" w:rsidRPr="0076575F" w:rsidRDefault="0076575F" w:rsidP="006846F5">
      <w:pPr>
        <w:spacing w:before="240" w:after="200"/>
      </w:pPr>
      <w:r w:rsidRPr="0076575F">
        <w:t xml:space="preserve">Voting power has the meaning given in the Corporations Act. It is the total number of votes attached to voting shares in a body corporate that a person or their associates have a </w:t>
      </w:r>
      <w:r w:rsidRPr="006846F5">
        <w:rPr>
          <w:i/>
          <w:iCs/>
        </w:rPr>
        <w:t>relevant interest</w:t>
      </w:r>
      <w:r w:rsidRPr="0076575F">
        <w:t xml:space="preserve"> in, expressed as a percentage of the total votes attached to all voting shares in that</w:t>
      </w:r>
      <w:r w:rsidR="00B91B60">
        <w:t xml:space="preserve"> body corporate</w:t>
      </w:r>
      <w:r w:rsidRPr="0076575F">
        <w:t xml:space="preserve">. Voting power is therefore determined by aggregating all relevant interests of a person and their associates. </w:t>
      </w:r>
    </w:p>
    <w:p w14:paraId="0CF75026" w14:textId="031C55D7" w:rsidR="004377C5" w:rsidRPr="00FF4076" w:rsidRDefault="004377C5" w:rsidP="006846F5">
      <w:pPr>
        <w:spacing w:before="240" w:after="200"/>
      </w:pPr>
      <w:r w:rsidRPr="00FF4076">
        <w:t>Division 2 applies differently across entity types to balance transparency, regulatory burden, and competition risk:</w:t>
      </w:r>
    </w:p>
    <w:p w14:paraId="06CA8AF0" w14:textId="453F5C9F" w:rsidR="004377C5" w:rsidRDefault="004377C5" w:rsidP="00BF6774">
      <w:pPr>
        <w:numPr>
          <w:ilvl w:val="0"/>
          <w:numId w:val="42"/>
        </w:numPr>
        <w:spacing w:before="240" w:after="200"/>
      </w:pPr>
      <w:r w:rsidRPr="00FF4076">
        <w:t>Chapter 6 entities are</w:t>
      </w:r>
      <w:r>
        <w:t xml:space="preserve"> generally</w:t>
      </w:r>
      <w:r w:rsidRPr="00FF4076">
        <w:t xml:space="preserve"> already subject to continuous disclosure and takeover protections. For these entities, notification focuses on acquisitions that alter existing control relationships or crossing</w:t>
      </w:r>
      <w:r w:rsidR="00693A62">
        <w:t>s of</w:t>
      </w:r>
      <w:r w:rsidRPr="00FF4076">
        <w:t xml:space="preserve"> majority (</w:t>
      </w:r>
      <w:r w:rsidR="00CD0529">
        <w:t xml:space="preserve">over </w:t>
      </w:r>
      <w:r w:rsidRPr="00FF4076">
        <w:t>50 per cent) thresholds.</w:t>
      </w:r>
    </w:p>
    <w:p w14:paraId="499553A5" w14:textId="710939FA" w:rsidR="0076575F" w:rsidRPr="00FF4076" w:rsidRDefault="0076575F" w:rsidP="00BF6774">
      <w:pPr>
        <w:numPr>
          <w:ilvl w:val="0"/>
          <w:numId w:val="42"/>
        </w:numPr>
        <w:spacing w:before="240" w:after="200"/>
      </w:pPr>
      <w:r w:rsidRPr="00FF4076">
        <w:t xml:space="preserve">Foreign listed entities are </w:t>
      </w:r>
      <w:r w:rsidR="00BC7A5B">
        <w:t xml:space="preserve">already </w:t>
      </w:r>
      <w:r w:rsidR="00740323">
        <w:t>s</w:t>
      </w:r>
      <w:r w:rsidR="001A0BF6">
        <w:t>ubject to</w:t>
      </w:r>
      <w:r w:rsidRPr="00FF4076">
        <w:t xml:space="preserve"> regulatory oversight </w:t>
      </w:r>
      <w:r w:rsidR="000366EC">
        <w:t xml:space="preserve">under listing rules </w:t>
      </w:r>
      <w:r w:rsidR="00FC7F2D">
        <w:t xml:space="preserve">and applicable laws </w:t>
      </w:r>
      <w:r w:rsidRPr="00FF4076">
        <w:t>in their home jurisdictions. They are captured where acquisitions cross majority (50 per cent) thresholds.</w:t>
      </w:r>
    </w:p>
    <w:p w14:paraId="2340D774" w14:textId="02C2AA6B" w:rsidR="004377C5" w:rsidRPr="00FF4076" w:rsidRDefault="004377C5" w:rsidP="00BF6774">
      <w:pPr>
        <w:numPr>
          <w:ilvl w:val="0"/>
          <w:numId w:val="42"/>
        </w:numPr>
        <w:spacing w:before="240" w:after="200"/>
      </w:pPr>
      <w:r w:rsidRPr="00FF4076">
        <w:t xml:space="preserve">Non-Chapter 6 entities, which include private and </w:t>
      </w:r>
      <w:r w:rsidR="00377ED3">
        <w:t xml:space="preserve">non-widely </w:t>
      </w:r>
      <w:r w:rsidRPr="00FF4076">
        <w:t xml:space="preserve">held </w:t>
      </w:r>
      <w:r w:rsidR="00377ED3">
        <w:t>entities</w:t>
      </w:r>
      <w:r w:rsidRPr="00FF4076">
        <w:t>, are</w:t>
      </w:r>
      <w:r w:rsidR="00377ED3">
        <w:t xml:space="preserve"> generally</w:t>
      </w:r>
      <w:r w:rsidRPr="00FF4076">
        <w:t xml:space="preserve"> not subject to comparable public disclosure obligations. </w:t>
      </w:r>
      <w:r w:rsidR="000F6A48">
        <w:t>Their</w:t>
      </w:r>
      <w:r w:rsidRPr="00FF4076">
        <w:t xml:space="preserve"> ownership structures are often less transparent and more amenable to contractual control arrangements</w:t>
      </w:r>
      <w:r w:rsidR="000F6A48">
        <w:t xml:space="preserve">. To </w:t>
      </w:r>
      <w:r w:rsidR="000F6A48" w:rsidRPr="00FF4076">
        <w:t xml:space="preserve">ensure appropriate visibility of </w:t>
      </w:r>
      <w:r w:rsidR="000F6A48">
        <w:t>competitively s</w:t>
      </w:r>
      <w:r w:rsidR="000F6A48" w:rsidRPr="00FF4076">
        <w:t>ignificant private transactions</w:t>
      </w:r>
      <w:r w:rsidR="000F6A48">
        <w:t xml:space="preserve">, Division 2 </w:t>
      </w:r>
      <w:r w:rsidR="00D106FB">
        <w:t xml:space="preserve">requires notification of </w:t>
      </w:r>
      <w:r w:rsidR="00B15CB8">
        <w:t>such</w:t>
      </w:r>
      <w:r w:rsidR="00D106FB">
        <w:t xml:space="preserve"> transactions where</w:t>
      </w:r>
      <w:r w:rsidR="001C3264">
        <w:t xml:space="preserve"> </w:t>
      </w:r>
      <w:r w:rsidR="00D106FB">
        <w:t xml:space="preserve">someone’s </w:t>
      </w:r>
      <w:r w:rsidR="001C3264">
        <w:t xml:space="preserve">voting power </w:t>
      </w:r>
      <w:r w:rsidRPr="00FF4076">
        <w:t>cross</w:t>
      </w:r>
      <w:r w:rsidR="00D106FB">
        <w:t>es</w:t>
      </w:r>
      <w:r w:rsidR="00B15CB8">
        <w:t xml:space="preserve"> the 20 per cent threshold</w:t>
      </w:r>
      <w:r w:rsidR="00D81418">
        <w:t>,</w:t>
      </w:r>
      <w:r w:rsidR="00185214">
        <w:t xml:space="preserve"> </w:t>
      </w:r>
      <w:r w:rsidR="00D81418">
        <w:t>or the</w:t>
      </w:r>
      <w:r w:rsidR="00185214">
        <w:t xml:space="preserve"> 50 per cent</w:t>
      </w:r>
      <w:r w:rsidR="002269AD">
        <w:t xml:space="preserve"> or more</w:t>
      </w:r>
      <w:r w:rsidR="00185214">
        <w:t xml:space="preserve"> threshold</w:t>
      </w:r>
      <w:r w:rsidR="00B15CB8">
        <w:t xml:space="preserve">. </w:t>
      </w:r>
    </w:p>
    <w:p w14:paraId="2CF5D63C" w14:textId="7FBC8C5D" w:rsidR="2257F76F" w:rsidRPr="00F61902" w:rsidRDefault="00CF0D08" w:rsidP="00D52550">
      <w:pPr>
        <w:keepNext/>
        <w:keepLines/>
        <w:spacing w:before="240" w:after="200"/>
        <w:rPr>
          <w:i/>
          <w:color w:val="7F7F7F" w:themeColor="text1" w:themeTint="80"/>
        </w:rPr>
      </w:pPr>
      <w:r w:rsidRPr="00F61902">
        <w:rPr>
          <w:i/>
          <w:color w:val="7F7F7F" w:themeColor="text1" w:themeTint="80"/>
        </w:rPr>
        <w:t xml:space="preserve">Crossing the 20% voting power threshold </w:t>
      </w:r>
      <w:r w:rsidR="2257F76F" w:rsidRPr="00F61902">
        <w:rPr>
          <w:i/>
          <w:color w:val="7F7F7F" w:themeColor="text1" w:themeTint="80"/>
        </w:rPr>
        <w:t>—</w:t>
      </w:r>
      <w:r w:rsidR="00831F24" w:rsidRPr="00F61902">
        <w:rPr>
          <w:i/>
          <w:color w:val="7F7F7F" w:themeColor="text1" w:themeTint="80"/>
        </w:rPr>
        <w:t xml:space="preserve"> unlisted bodies corporate</w:t>
      </w:r>
      <w:r w:rsidR="00A61973">
        <w:rPr>
          <w:i/>
          <w:color w:val="7F7F7F" w:themeColor="text1" w:themeTint="80"/>
        </w:rPr>
        <w:t>,</w:t>
      </w:r>
      <w:r w:rsidR="00831F24" w:rsidRPr="00F61902">
        <w:rPr>
          <w:i/>
          <w:color w:val="7F7F7F" w:themeColor="text1" w:themeTint="80"/>
        </w:rPr>
        <w:t xml:space="preserve"> not widely-held</w:t>
      </w:r>
    </w:p>
    <w:p w14:paraId="5DE6AAB2" w14:textId="70B4F0E4" w:rsidR="006E5331" w:rsidRDefault="006E5331" w:rsidP="006E5331">
      <w:pPr>
        <w:spacing w:before="240" w:after="200"/>
      </w:pPr>
      <w:r w:rsidRPr="006E5331">
        <w:t>Section 3-10 determines acquisitions of shares in non-Chapter 6 entities and entities not listed on a foreign approved stock exchange where the acquisition results in a person’s voting power increasing from 20 per cent or below to more than 20 per cent.</w:t>
      </w:r>
    </w:p>
    <w:p w14:paraId="478FA948" w14:textId="412E34CA" w:rsidR="006E5331" w:rsidRPr="006E5331" w:rsidRDefault="006E5331" w:rsidP="00822747">
      <w:pPr>
        <w:spacing w:before="240" w:after="200"/>
      </w:pPr>
      <w:r>
        <w:t>A</w:t>
      </w:r>
      <w:r w:rsidRPr="006E5331">
        <w:t xml:space="preserve">n acquisition from any point at or below 20 per cent (including 0 per cent) to more than 20 per cent crosses the threshold and is </w:t>
      </w:r>
      <w:r w:rsidR="00110333">
        <w:t>required to be notified</w:t>
      </w:r>
      <w:r w:rsidR="00110333" w:rsidRPr="006E5331">
        <w:t xml:space="preserve"> </w:t>
      </w:r>
      <w:r w:rsidRPr="006E5331">
        <w:t xml:space="preserve">if the </w:t>
      </w:r>
      <w:r>
        <w:t>notification</w:t>
      </w:r>
      <w:r w:rsidRPr="006E5331">
        <w:t xml:space="preserve"> thresholds are also met.</w:t>
      </w:r>
    </w:p>
    <w:p w14:paraId="752F4C52" w14:textId="2C2410F8" w:rsidR="006E5331" w:rsidRPr="006E5331" w:rsidRDefault="006E5331" w:rsidP="006E5331">
      <w:pPr>
        <w:spacing w:before="240" w:after="200"/>
      </w:pPr>
      <w:r w:rsidRPr="006E5331">
        <w:t xml:space="preserve">This provision </w:t>
      </w:r>
      <w:r w:rsidR="001710E6">
        <w:t xml:space="preserve">is intended to </w:t>
      </w:r>
      <w:r w:rsidR="00FA052F">
        <w:t>ensure</w:t>
      </w:r>
      <w:r w:rsidRPr="006E5331">
        <w:t xml:space="preserve"> visibility of acquisitions in private and unlisted entities that may confer substantial influence without formal control. Private entities often have concentrated ownership and bespoke contractual arrangements, making them more susceptible to governance or veto structures that deliver significant competitive influence.</w:t>
      </w:r>
    </w:p>
    <w:p w14:paraId="328FE7F1" w14:textId="57D59C42" w:rsidR="006E5331" w:rsidRPr="006E5331" w:rsidRDefault="006E5331" w:rsidP="006E5331">
      <w:pPr>
        <w:spacing w:before="240" w:after="200"/>
      </w:pPr>
      <w:r w:rsidRPr="006E5331">
        <w:t xml:space="preserve">The 20 per cent threshold is adopted as a bright-line proxy for material influence, consistent with the </w:t>
      </w:r>
      <w:r w:rsidRPr="006E5331">
        <w:rPr>
          <w:i/>
          <w:iCs/>
        </w:rPr>
        <w:t>Foreign Acquisitions and Takeovers Act 1975</w:t>
      </w:r>
      <w:r w:rsidRPr="006E5331">
        <w:t xml:space="preserve"> (where 20 per cent constitutes a substantial interest). It provides a clear and administrable standard that avoids subjective inquiries into control while ensuring the </w:t>
      </w:r>
      <w:r w:rsidR="001605A0">
        <w:t>Commission</w:t>
      </w:r>
      <w:r w:rsidR="001605A0" w:rsidRPr="006E5331">
        <w:t xml:space="preserve"> </w:t>
      </w:r>
      <w:r w:rsidRPr="006E5331">
        <w:t>is notified of transactions that could alter market dynamics.</w:t>
      </w:r>
    </w:p>
    <w:p w14:paraId="446D94CD" w14:textId="2A4528FB" w:rsidR="00F474B2" w:rsidRPr="00F61902" w:rsidRDefault="00F474B2" w:rsidP="00CD62EC">
      <w:pPr>
        <w:keepNext/>
        <w:keepLines/>
        <w:spacing w:before="240" w:after="200"/>
        <w:rPr>
          <w:i/>
          <w:color w:val="7F7F7F" w:themeColor="text1" w:themeTint="80"/>
        </w:rPr>
      </w:pPr>
      <w:r w:rsidRPr="00F61902">
        <w:rPr>
          <w:i/>
          <w:color w:val="7F7F7F" w:themeColor="text1" w:themeTint="80"/>
        </w:rPr>
        <w:lastRenderedPageBreak/>
        <w:t>Crossing the 20% voting power threshold—</w:t>
      </w:r>
      <w:r w:rsidRPr="00F61902">
        <w:rPr>
          <w:color w:val="7F7F7F" w:themeColor="text1" w:themeTint="80"/>
        </w:rPr>
        <w:t xml:space="preserve"> </w:t>
      </w:r>
      <w:r w:rsidRPr="00F61902">
        <w:rPr>
          <w:i/>
          <w:color w:val="7F7F7F" w:themeColor="text1" w:themeTint="80"/>
        </w:rPr>
        <w:t>already controlled widely</w:t>
      </w:r>
      <w:r w:rsidR="00443181">
        <w:rPr>
          <w:i/>
          <w:color w:val="7F7F7F" w:themeColor="text1" w:themeTint="80"/>
        </w:rPr>
        <w:t>-</w:t>
      </w:r>
      <w:r w:rsidRPr="00F61902">
        <w:rPr>
          <w:i/>
          <w:color w:val="7F7F7F" w:themeColor="text1" w:themeTint="80"/>
        </w:rPr>
        <w:t>held body corporate</w:t>
      </w:r>
    </w:p>
    <w:p w14:paraId="6C0C036F" w14:textId="0F86335D" w:rsidR="005E2341" w:rsidRPr="005E2341" w:rsidRDefault="005E2341" w:rsidP="005E2341">
      <w:pPr>
        <w:spacing w:before="240" w:after="200"/>
      </w:pPr>
      <w:r w:rsidRPr="005E2341">
        <w:t>Section 3-12 determines acquisitions of shares in a Chapter 6 entity where:</w:t>
      </w:r>
    </w:p>
    <w:p w14:paraId="23EC9CAE" w14:textId="7842A90C" w:rsidR="005E2341" w:rsidRPr="005E2341" w:rsidRDefault="005E2341" w:rsidP="005E2341">
      <w:pPr>
        <w:numPr>
          <w:ilvl w:val="0"/>
          <w:numId w:val="42"/>
        </w:numPr>
        <w:spacing w:before="240" w:after="200"/>
      </w:pPr>
      <w:r w:rsidRPr="005E2341">
        <w:t xml:space="preserve">the </w:t>
      </w:r>
      <w:r w:rsidR="00BC1C8A">
        <w:t xml:space="preserve">principal party </w:t>
      </w:r>
      <w:r w:rsidRPr="005E2341">
        <w:t xml:space="preserve">already controls the body corporate immediately before the acquisition (within the meaning of section </w:t>
      </w:r>
      <w:r w:rsidR="0010700C">
        <w:t xml:space="preserve">50AA of the Corporations Act </w:t>
      </w:r>
      <w:r w:rsidR="00031A3E">
        <w:t>as modified by subsection 51ABS(2) of the CCA, outlined above</w:t>
      </w:r>
      <w:r w:rsidRPr="005E2341">
        <w:t>); and</w:t>
      </w:r>
    </w:p>
    <w:p w14:paraId="07E37FBB" w14:textId="1727C410" w:rsidR="00FB02A8" w:rsidRDefault="005E2341" w:rsidP="005E2341">
      <w:pPr>
        <w:numPr>
          <w:ilvl w:val="0"/>
          <w:numId w:val="42"/>
        </w:numPr>
        <w:spacing w:before="240" w:after="200"/>
      </w:pPr>
      <w:r w:rsidRPr="005E2341">
        <w:t xml:space="preserve">the acquisition results in </w:t>
      </w:r>
      <w:r w:rsidR="002C4885">
        <w:t>a person</w:t>
      </w:r>
      <w:r w:rsidR="002C4885" w:rsidRPr="005E2341">
        <w:t xml:space="preserve">’s </w:t>
      </w:r>
      <w:r w:rsidRPr="005E2341">
        <w:t>voting power increasing from 20 per cent or below to more than 20 per cent.</w:t>
      </w:r>
    </w:p>
    <w:p w14:paraId="3DA7E361" w14:textId="398A3BD5" w:rsidR="00FB02A8" w:rsidRPr="005E2341" w:rsidRDefault="00FB02A8" w:rsidP="00FB02A8">
      <w:pPr>
        <w:spacing w:before="240" w:after="200"/>
      </w:pPr>
      <w:r>
        <w:t>P</w:t>
      </w:r>
      <w:r w:rsidRPr="005E2341">
        <w:t xml:space="preserve">ractical control below 20 per cent can arise through contractual rights, board representation or association arrangements. </w:t>
      </w:r>
      <w:r>
        <w:t xml:space="preserve">This section makes sure </w:t>
      </w:r>
      <w:r w:rsidRPr="005E2341">
        <w:t xml:space="preserve">that when </w:t>
      </w:r>
      <w:r w:rsidR="00F1033B">
        <w:t>the principal party</w:t>
      </w:r>
      <w:r w:rsidRPr="005E2341">
        <w:t xml:space="preserve"> increases its shareholding beyond 20 per cent, the transaction </w:t>
      </w:r>
      <w:r w:rsidR="00A65851">
        <w:t>is required to be notified</w:t>
      </w:r>
      <w:r w:rsidR="00110333">
        <w:t xml:space="preserve"> if it meets the monetary thresholds and no other exemptions apply</w:t>
      </w:r>
      <w:r w:rsidRPr="005E2341">
        <w:t>.</w:t>
      </w:r>
    </w:p>
    <w:p w14:paraId="068462B6" w14:textId="2AD10AC4" w:rsidR="005E2341" w:rsidRPr="005E2341" w:rsidRDefault="005E2341" w:rsidP="005E2341">
      <w:pPr>
        <w:spacing w:before="240" w:after="200"/>
      </w:pPr>
      <w:r w:rsidRPr="005E2341">
        <w:t xml:space="preserve">This operates as an integrity safeguard, addressing </w:t>
      </w:r>
      <w:r w:rsidR="001A0BE7">
        <w:t>a potential</w:t>
      </w:r>
      <w:r w:rsidR="001A0BE7" w:rsidRPr="005E2341">
        <w:t xml:space="preserve"> </w:t>
      </w:r>
      <w:r w:rsidRPr="005E2341">
        <w:t xml:space="preserve">gap that could otherwise arise where a person already controls a listed or widely-held entity below the 20 per cent threshold. </w:t>
      </w:r>
    </w:p>
    <w:p w14:paraId="6C1098CF" w14:textId="0EC6A0A5" w:rsidR="00F474B2" w:rsidRDefault="00B96268" w:rsidP="00F474B2">
      <w:pPr>
        <w:spacing w:before="240" w:after="200"/>
      </w:pPr>
      <w:r>
        <w:t>For example, w</w:t>
      </w:r>
      <w:r w:rsidR="00F474B2">
        <w:t xml:space="preserve">ithout this </w:t>
      </w:r>
      <w:r>
        <w:t>rule</w:t>
      </w:r>
      <w:r w:rsidR="00F474B2">
        <w:t xml:space="preserve">, </w:t>
      </w:r>
      <w:r w:rsidR="00533EF6">
        <w:t>a principal party</w:t>
      </w:r>
      <w:r w:rsidR="00F474B2">
        <w:t xml:space="preserve"> who establishes control of a listed company while holding less than 20</w:t>
      </w:r>
      <w:r>
        <w:t xml:space="preserve"> per cent </w:t>
      </w:r>
      <w:r w:rsidR="00F474B2">
        <w:t>voting power could subsequently increase their voting power above 20</w:t>
      </w:r>
      <w:r>
        <w:t xml:space="preserve"> per cent</w:t>
      </w:r>
      <w:r w:rsidR="00F474B2">
        <w:t xml:space="preserve"> without notification, as:</w:t>
      </w:r>
    </w:p>
    <w:p w14:paraId="53C32FC4" w14:textId="7A9734C2" w:rsidR="00F474B2" w:rsidRDefault="00F474B2" w:rsidP="00F474B2">
      <w:pPr>
        <w:numPr>
          <w:ilvl w:val="0"/>
          <w:numId w:val="27"/>
        </w:numPr>
        <w:spacing w:before="240" w:after="200"/>
      </w:pPr>
      <w:r>
        <w:t>the initial acquisition would be exempt under section 51ABT (below 20</w:t>
      </w:r>
      <w:r w:rsidR="00B96268">
        <w:t xml:space="preserve"> per cent</w:t>
      </w:r>
      <w:r>
        <w:t xml:space="preserve"> voting power in a Chapter 6 entity); and</w:t>
      </w:r>
    </w:p>
    <w:p w14:paraId="020C41B5" w14:textId="62D0D29A" w:rsidR="00F474B2" w:rsidRDefault="00F474B2" w:rsidP="00F474B2">
      <w:pPr>
        <w:numPr>
          <w:ilvl w:val="0"/>
          <w:numId w:val="27"/>
        </w:numPr>
        <w:spacing w:before="240" w:after="200"/>
      </w:pPr>
      <w:r>
        <w:t>subsequent acquisitions would be exempt under paragraph 51ABS(1)(b) (</w:t>
      </w:r>
      <w:r w:rsidR="008D34D1">
        <w:t xml:space="preserve">the person </w:t>
      </w:r>
      <w:r>
        <w:t>already has control).</w:t>
      </w:r>
    </w:p>
    <w:p w14:paraId="0318C98C" w14:textId="6AABF80F" w:rsidR="2257F76F" w:rsidRPr="00F61902" w:rsidRDefault="00403651" w:rsidP="00265762">
      <w:pPr>
        <w:keepNext/>
        <w:keepLines/>
        <w:spacing w:before="240" w:after="200"/>
        <w:rPr>
          <w:i/>
          <w:color w:val="7F7F7F" w:themeColor="text1" w:themeTint="80"/>
        </w:rPr>
      </w:pPr>
      <w:r w:rsidRPr="00F61902">
        <w:rPr>
          <w:i/>
          <w:color w:val="7F7F7F" w:themeColor="text1" w:themeTint="80"/>
        </w:rPr>
        <w:t xml:space="preserve">Crossing the </w:t>
      </w:r>
      <w:r w:rsidR="000C20BC" w:rsidRPr="00F61902">
        <w:rPr>
          <w:i/>
          <w:color w:val="7F7F7F" w:themeColor="text1" w:themeTint="80"/>
        </w:rPr>
        <w:t xml:space="preserve">50% voting power threshold </w:t>
      </w:r>
      <w:r w:rsidR="004B31EF" w:rsidRPr="00F61902">
        <w:rPr>
          <w:i/>
          <w:color w:val="7F7F7F" w:themeColor="text1" w:themeTint="80"/>
        </w:rPr>
        <w:t>(</w:t>
      </w:r>
      <w:r w:rsidR="00663E9D" w:rsidRPr="00F61902">
        <w:rPr>
          <w:i/>
          <w:color w:val="7F7F7F" w:themeColor="text1" w:themeTint="80"/>
        </w:rPr>
        <w:t>from</w:t>
      </w:r>
      <w:r w:rsidR="000C20BC" w:rsidRPr="00F61902">
        <w:rPr>
          <w:i/>
          <w:color w:val="7F7F7F" w:themeColor="text1" w:themeTint="80"/>
        </w:rPr>
        <w:t xml:space="preserve"> a starting point at or above 20%</w:t>
      </w:r>
      <w:r w:rsidR="004B31EF" w:rsidRPr="00F61902">
        <w:rPr>
          <w:i/>
          <w:color w:val="7F7F7F" w:themeColor="text1" w:themeTint="80"/>
        </w:rPr>
        <w:t>)</w:t>
      </w:r>
      <w:r w:rsidR="2257F76F" w:rsidRPr="00F61902">
        <w:rPr>
          <w:i/>
          <w:color w:val="7F7F7F" w:themeColor="text1" w:themeTint="80"/>
        </w:rPr>
        <w:t>—all</w:t>
      </w:r>
      <w:r w:rsidR="004B31EF" w:rsidRPr="00F61902">
        <w:rPr>
          <w:i/>
          <w:color w:val="7F7F7F" w:themeColor="text1" w:themeTint="80"/>
        </w:rPr>
        <w:t> </w:t>
      </w:r>
      <w:r w:rsidR="2257F76F" w:rsidRPr="00F61902">
        <w:rPr>
          <w:i/>
          <w:color w:val="7F7F7F" w:themeColor="text1" w:themeTint="80"/>
        </w:rPr>
        <w:t>body corporates</w:t>
      </w:r>
    </w:p>
    <w:p w14:paraId="2015AF42" w14:textId="1C8E467F" w:rsidR="005651C4" w:rsidRPr="005651C4" w:rsidRDefault="005651C4" w:rsidP="005651C4">
      <w:pPr>
        <w:spacing w:before="240" w:after="200"/>
      </w:pPr>
      <w:r w:rsidRPr="005651C4">
        <w:t>Section 3-11 determines acquisitions of shares in any body corporate (including Chapter 6 entities, non-Chapter 6 entities and foreign listed entities) where the acquisition results in a person’s voting power increasing from 20 per cent or more to 50 per cent or more.</w:t>
      </w:r>
    </w:p>
    <w:p w14:paraId="7AF1492B" w14:textId="1C63DD14" w:rsidR="005651C4" w:rsidRPr="005651C4" w:rsidRDefault="2257F76F" w:rsidP="005651C4">
      <w:pPr>
        <w:spacing w:before="240" w:after="200"/>
      </w:pPr>
      <w:r>
        <w:t xml:space="preserve">This provision captures transitions to majority control that represent qualitative changes from shared or constrained decision-making to substantial autonomy in corporate governance matters. </w:t>
      </w:r>
      <w:r w:rsidR="00D30790">
        <w:t xml:space="preserve">For instance, the </w:t>
      </w:r>
      <w:r w:rsidR="005651C4" w:rsidRPr="005651C4">
        <w:t xml:space="preserve">point at which </w:t>
      </w:r>
      <w:r w:rsidR="005651C4">
        <w:t>a</w:t>
      </w:r>
      <w:r w:rsidR="1996D1F3">
        <w:t xml:space="preserve"> principal party </w:t>
      </w:r>
      <w:r w:rsidR="005651C4" w:rsidRPr="005651C4">
        <w:t xml:space="preserve">gains the capacity to unilaterally </w:t>
      </w:r>
      <w:r w:rsidR="005651C4">
        <w:t>pass</w:t>
      </w:r>
      <w:r w:rsidR="005651C4" w:rsidRPr="005651C4">
        <w:t xml:space="preserve"> ordinary resolutions, appoint</w:t>
      </w:r>
      <w:r w:rsidR="005651C4">
        <w:t xml:space="preserve"> or remove</w:t>
      </w:r>
      <w:r w:rsidR="005651C4" w:rsidRPr="005651C4">
        <w:t xml:space="preserve"> directors, and </w:t>
      </w:r>
      <w:r w:rsidR="005651C4">
        <w:t>shape</w:t>
      </w:r>
      <w:r w:rsidR="005651C4" w:rsidRPr="005651C4">
        <w:t xml:space="preserve"> corporate </w:t>
      </w:r>
      <w:r w:rsidR="00D30790" w:rsidRPr="005651C4">
        <w:t>strateg</w:t>
      </w:r>
      <w:r w:rsidR="00D30790">
        <w:t xml:space="preserve">y, are </w:t>
      </w:r>
      <w:r w:rsidR="005651C4" w:rsidRPr="005651C4">
        <w:t xml:space="preserve">shifts in governance power that </w:t>
      </w:r>
      <w:r w:rsidR="005651C4">
        <w:t xml:space="preserve">can significantly </w:t>
      </w:r>
      <w:r w:rsidR="005651C4" w:rsidRPr="005651C4">
        <w:t xml:space="preserve">alter market behaviour, even where the </w:t>
      </w:r>
      <w:r w:rsidR="008D34D1">
        <w:t>person</w:t>
      </w:r>
      <w:r w:rsidR="008D34D1" w:rsidRPr="005651C4">
        <w:t xml:space="preserve"> </w:t>
      </w:r>
      <w:r w:rsidR="005651C4" w:rsidRPr="005651C4">
        <w:t>may already have</w:t>
      </w:r>
      <w:r w:rsidR="00032C8E">
        <w:t xml:space="preserve"> had</w:t>
      </w:r>
      <w:r w:rsidR="005651C4" w:rsidRPr="005651C4">
        <w:t xml:space="preserve"> some level of influence.</w:t>
      </w:r>
    </w:p>
    <w:p w14:paraId="5685B23C" w14:textId="4300686B" w:rsidR="008C4F99" w:rsidRPr="008C4F99" w:rsidRDefault="008C4F99" w:rsidP="3666738B">
      <w:pPr>
        <w:spacing w:before="240" w:after="200"/>
      </w:pPr>
      <w:r w:rsidRPr="008C4F99">
        <w:t xml:space="preserve">The 50 per cent threshold is adopted as a bright-line marker for majority control and applies consistently across all entity types. The provision also captures acquisitions resulting in exactly 50 per cent voting power, recognising that such holdings can still confer </w:t>
      </w:r>
      <w:r w:rsidR="00032C8E">
        <w:t xml:space="preserve">significant </w:t>
      </w:r>
      <w:r w:rsidRPr="008C4F99">
        <w:t>influence (</w:t>
      </w:r>
      <w:r w:rsidR="00D82392">
        <w:t>including, but not limited to,</w:t>
      </w:r>
      <w:r w:rsidRPr="008C4F99">
        <w:t xml:space="preserve"> where the remainder of the shares are widely dispersed).</w:t>
      </w:r>
      <w:r w:rsidR="00D731F8">
        <w:t xml:space="preserve"> For example, this would give the acquirer voting power to block key corporate actions, with the potential to significantly affect competition.</w:t>
      </w:r>
    </w:p>
    <w:p w14:paraId="323E8726" w14:textId="033C6416" w:rsidR="2257F76F" w:rsidRDefault="2257F76F" w:rsidP="3666738B">
      <w:pPr>
        <w:spacing w:before="240" w:after="200"/>
      </w:pPr>
      <w:r>
        <w:lastRenderedPageBreak/>
        <w:t xml:space="preserve">The </w:t>
      </w:r>
      <w:r w:rsidR="0047206A">
        <w:t>rule</w:t>
      </w:r>
      <w:r>
        <w:t xml:space="preserve"> applies regardless of whether the </w:t>
      </w:r>
      <w:r w:rsidR="008D34D1">
        <w:t xml:space="preserve">person </w:t>
      </w:r>
      <w:r>
        <w:t>had pre-existing control under section 50AA of the Corporations Act</w:t>
      </w:r>
      <w:r w:rsidR="002B32E6">
        <w:t xml:space="preserve"> (as modified </w:t>
      </w:r>
      <w:r w:rsidR="00EF2283">
        <w:t>by section 51ABS of the CCA)</w:t>
      </w:r>
      <w:r>
        <w:t xml:space="preserve">, recognising that </w:t>
      </w:r>
      <w:r w:rsidR="0019594A">
        <w:t>although</w:t>
      </w:r>
      <w:r>
        <w:t xml:space="preserve"> control</w:t>
      </w:r>
      <w:r w:rsidR="007A05D4">
        <w:t xml:space="preserve"> (within the meaning of </w:t>
      </w:r>
      <w:r w:rsidR="00DB5BE4">
        <w:t>those sections)</w:t>
      </w:r>
      <w:r>
        <w:t xml:space="preserve"> is a binary concept</w:t>
      </w:r>
      <w:r w:rsidR="0019594A">
        <w:t>,</w:t>
      </w:r>
      <w:r>
        <w:t xml:space="preserve"> incremental changes in ownership concentration can significantly alter competitive dynamics.</w:t>
      </w:r>
    </w:p>
    <w:p w14:paraId="0F3D6153" w14:textId="7BFA6976" w:rsidR="3666738B" w:rsidRPr="00F61902" w:rsidRDefault="00F474B2" w:rsidP="00265762">
      <w:pPr>
        <w:keepNext/>
        <w:keepLines/>
        <w:spacing w:before="240" w:after="200"/>
        <w:rPr>
          <w:color w:val="7F7F7F" w:themeColor="text1" w:themeTint="80"/>
        </w:rPr>
      </w:pPr>
      <w:r w:rsidRPr="00F61902">
        <w:rPr>
          <w:i/>
          <w:color w:val="7F7F7F" w:themeColor="text1" w:themeTint="80"/>
        </w:rPr>
        <w:t>Crossing the 50% voting power threshold (</w:t>
      </w:r>
      <w:r w:rsidR="00663E9D" w:rsidRPr="00F61902">
        <w:rPr>
          <w:i/>
          <w:color w:val="7F7F7F" w:themeColor="text1" w:themeTint="80"/>
        </w:rPr>
        <w:t>from</w:t>
      </w:r>
      <w:r w:rsidRPr="00F61902">
        <w:rPr>
          <w:i/>
          <w:color w:val="7F7F7F" w:themeColor="text1" w:themeTint="80"/>
        </w:rPr>
        <w:t xml:space="preserve"> a starting point </w:t>
      </w:r>
      <w:r w:rsidR="002108B8" w:rsidRPr="00F61902">
        <w:rPr>
          <w:i/>
          <w:color w:val="7F7F7F" w:themeColor="text1" w:themeTint="80"/>
        </w:rPr>
        <w:t>below</w:t>
      </w:r>
      <w:r w:rsidRPr="00F61902">
        <w:rPr>
          <w:i/>
          <w:color w:val="7F7F7F" w:themeColor="text1" w:themeTint="80"/>
        </w:rPr>
        <w:t xml:space="preserve"> 20%</w:t>
      </w:r>
      <w:r w:rsidR="0064412D" w:rsidRPr="00F61902">
        <w:rPr>
          <w:i/>
          <w:color w:val="7F7F7F" w:themeColor="text1" w:themeTint="80"/>
        </w:rPr>
        <w:t>)</w:t>
      </w:r>
      <w:r w:rsidRPr="00F61902">
        <w:rPr>
          <w:i/>
          <w:color w:val="7F7F7F" w:themeColor="text1" w:themeTint="80"/>
        </w:rPr>
        <w:t>—</w:t>
      </w:r>
      <w:r w:rsidR="0064412D" w:rsidRPr="00F61902">
        <w:rPr>
          <w:color w:val="7F7F7F" w:themeColor="text1" w:themeTint="80"/>
        </w:rPr>
        <w:t xml:space="preserve"> </w:t>
      </w:r>
      <w:r w:rsidR="0064412D" w:rsidRPr="00F61902">
        <w:rPr>
          <w:i/>
          <w:color w:val="7F7F7F" w:themeColor="text1" w:themeTint="80"/>
        </w:rPr>
        <w:t xml:space="preserve">do not control widely held body corporate before or after acquisition </w:t>
      </w:r>
    </w:p>
    <w:p w14:paraId="50812D85" w14:textId="56EBA95D" w:rsidR="00370B64" w:rsidRPr="00370B64" w:rsidRDefault="00370B64" w:rsidP="00370B64">
      <w:pPr>
        <w:spacing w:before="240" w:after="200"/>
      </w:pPr>
      <w:r w:rsidRPr="00370B64">
        <w:t>Section 3-13 determines acquisitions of shares in a Chapter 6 entity where:</w:t>
      </w:r>
    </w:p>
    <w:p w14:paraId="06BC2DBF" w14:textId="0B11157E" w:rsidR="00370B64" w:rsidRPr="00370B64" w:rsidRDefault="00370B64" w:rsidP="00370B64">
      <w:pPr>
        <w:numPr>
          <w:ilvl w:val="0"/>
          <w:numId w:val="43"/>
        </w:numPr>
        <w:spacing w:before="240" w:after="200"/>
      </w:pPr>
      <w:r>
        <w:t>the</w:t>
      </w:r>
      <w:r w:rsidRPr="00370B64" w:rsidDel="00552184">
        <w:t xml:space="preserve"> </w:t>
      </w:r>
      <w:r w:rsidR="00552184">
        <w:t>principal party</w:t>
      </w:r>
      <w:r w:rsidR="00552184" w:rsidRPr="00370B64">
        <w:t xml:space="preserve"> </w:t>
      </w:r>
      <w:r w:rsidRPr="00370B64">
        <w:t>does not control the body corporate immediately before or after the acquisition (within the meaning of section 50AA of the Corporations Act as modified by subsection 51ABS(2)</w:t>
      </w:r>
      <w:r w:rsidR="007C6844">
        <w:t xml:space="preserve"> of the CCA</w:t>
      </w:r>
      <w:r w:rsidRPr="00370B64">
        <w:t>); and</w:t>
      </w:r>
    </w:p>
    <w:p w14:paraId="7C33B779" w14:textId="71D6F180" w:rsidR="00370B64" w:rsidRPr="00370B64" w:rsidRDefault="00370B64" w:rsidP="00370B64">
      <w:pPr>
        <w:numPr>
          <w:ilvl w:val="0"/>
          <w:numId w:val="43"/>
        </w:numPr>
        <w:spacing w:before="240" w:after="200"/>
      </w:pPr>
      <w:r w:rsidRPr="00370B64">
        <w:t xml:space="preserve">the acquisition results in </w:t>
      </w:r>
      <w:r w:rsidR="00552184">
        <w:t>someone’s</w:t>
      </w:r>
      <w:r w:rsidRPr="00370B64">
        <w:t xml:space="preserve"> voting power increasing from below 20 per cent to 50 per cent or more.</w:t>
      </w:r>
    </w:p>
    <w:p w14:paraId="67129AE9" w14:textId="3A2D5E49" w:rsidR="00370B64" w:rsidRPr="00370B64" w:rsidRDefault="00370B64" w:rsidP="00370B64">
      <w:pPr>
        <w:spacing w:before="240" w:after="200"/>
      </w:pPr>
      <w:r w:rsidRPr="00370B64">
        <w:t xml:space="preserve">This provision fills </w:t>
      </w:r>
      <w:r w:rsidR="00D32C2D">
        <w:t xml:space="preserve">a potential </w:t>
      </w:r>
      <w:r w:rsidRPr="00370B64">
        <w:t xml:space="preserve">residual gap for Chapter 6 entities </w:t>
      </w:r>
      <w:r w:rsidR="00D32C2D">
        <w:t xml:space="preserve">if </w:t>
      </w:r>
      <w:r w:rsidR="00552184">
        <w:t>a principal party</w:t>
      </w:r>
      <w:r w:rsidRPr="00370B64">
        <w:t xml:space="preserve"> gains 50 per cent or more of voting power without obtaining </w:t>
      </w:r>
      <w:r w:rsidR="00055B68">
        <w:t xml:space="preserve">statutory </w:t>
      </w:r>
      <w:r w:rsidRPr="00370B64">
        <w:t>control. It ensures that acquisitions moving directly from minimal shareholdings (including 0 per cent) to 50 per cent or more are subject to notification where they could confer substantial influence over strategic decisions.</w:t>
      </w:r>
    </w:p>
    <w:p w14:paraId="23D2AE38" w14:textId="79C905F8" w:rsidR="00370B64" w:rsidRPr="00370B64" w:rsidRDefault="00370B64" w:rsidP="00370B64">
      <w:pPr>
        <w:spacing w:before="240" w:after="200"/>
      </w:pPr>
      <w:r w:rsidRPr="00370B64">
        <w:t xml:space="preserve">It also captures exactly 50 per cent holdings </w:t>
      </w:r>
      <w:r w:rsidR="008B3C26">
        <w:t xml:space="preserve">as </w:t>
      </w:r>
      <w:r w:rsidR="00E910B1">
        <w:t xml:space="preserve">an </w:t>
      </w:r>
      <w:r w:rsidRPr="00370B64">
        <w:t xml:space="preserve">integrity measure. Section 3-13 ensures such transactions are notified, giving the </w:t>
      </w:r>
      <w:r w:rsidR="001605A0">
        <w:t>Commission</w:t>
      </w:r>
      <w:r w:rsidR="001605A0" w:rsidRPr="00370B64">
        <w:t xml:space="preserve"> </w:t>
      </w:r>
      <w:r w:rsidRPr="00370B64">
        <w:t>visibility.</w:t>
      </w:r>
    </w:p>
    <w:p w14:paraId="061EF73F" w14:textId="3BD18FE6" w:rsidR="008D6504" w:rsidRDefault="008D6504" w:rsidP="00265762">
      <w:pPr>
        <w:keepNext/>
        <w:keepLines/>
        <w:spacing w:before="240" w:after="200"/>
        <w:rPr>
          <w:u w:val="single"/>
        </w:rPr>
      </w:pPr>
      <w:r w:rsidRPr="7EE6BED4">
        <w:rPr>
          <w:u w:val="single"/>
        </w:rPr>
        <w:t xml:space="preserve">Item </w:t>
      </w:r>
      <w:r w:rsidR="00217B53">
        <w:rPr>
          <w:u w:val="single"/>
        </w:rPr>
        <w:t>2</w:t>
      </w:r>
    </w:p>
    <w:p w14:paraId="7E500457" w14:textId="6F13D4B4" w:rsidR="001C032E" w:rsidRDefault="00500311" w:rsidP="0090360E">
      <w:pPr>
        <w:spacing w:before="240" w:after="200"/>
      </w:pPr>
      <w:r w:rsidRPr="0090360E">
        <w:t>Paragraph</w:t>
      </w:r>
      <w:r w:rsidR="008D6504" w:rsidRPr="0090360E">
        <w:t xml:space="preserve"> 5-2(1)(</w:t>
      </w:r>
      <w:r w:rsidR="00BE0C3F" w:rsidRPr="0090360E">
        <w:t>d</w:t>
      </w:r>
      <w:r w:rsidR="008D6504" w:rsidRPr="0090360E">
        <w:t xml:space="preserve">) of the Principal Determination provides that certain information must be included on the acquisitions register under paragraph 51ABZZI(6)(b) of the CCA if </w:t>
      </w:r>
      <w:r w:rsidR="00E835FE" w:rsidRPr="0090360E">
        <w:t>the Commission consults with persons under paragraph 51ABZZD(2)(</w:t>
      </w:r>
      <w:r w:rsidR="006E596A" w:rsidRPr="0090360E">
        <w:t>d)</w:t>
      </w:r>
      <w:r w:rsidR="00FF2398" w:rsidRPr="0090360E">
        <w:t>.</w:t>
      </w:r>
      <w:r w:rsidR="008D6504" w:rsidRPr="0090360E">
        <w:t xml:space="preserve"> </w:t>
      </w:r>
    </w:p>
    <w:p w14:paraId="2E21CE56" w14:textId="77777777" w:rsidR="00C87F26" w:rsidRDefault="006E596A" w:rsidP="0090360E">
      <w:pPr>
        <w:spacing w:before="240" w:after="200"/>
      </w:pPr>
      <w:r w:rsidRPr="0090360E">
        <w:t>Paragraph</w:t>
      </w:r>
      <w:r w:rsidR="00FA4318" w:rsidRPr="0090360E">
        <w:t> </w:t>
      </w:r>
      <w:r w:rsidRPr="0090360E">
        <w:t>51ABZZD(2)(d)</w:t>
      </w:r>
      <w:r w:rsidR="00FF2398" w:rsidRPr="0090360E">
        <w:t xml:space="preserve"> of the CCA provides</w:t>
      </w:r>
      <w:r w:rsidR="00310590" w:rsidRPr="0090360E">
        <w:t xml:space="preserve"> that,</w:t>
      </w:r>
      <w:r w:rsidR="00FF2398" w:rsidRPr="0090360E">
        <w:t xml:space="preserve"> before making </w:t>
      </w:r>
      <w:r w:rsidR="005E7D49" w:rsidRPr="0090360E">
        <w:t xml:space="preserve">an acquisition determination, the Commission may </w:t>
      </w:r>
      <w:r w:rsidR="004E208E" w:rsidRPr="0090360E">
        <w:t xml:space="preserve">consult with such persons as the Commission believes to be reasonable and appropriate for the purposes of making the determination. </w:t>
      </w:r>
    </w:p>
    <w:p w14:paraId="25AFDCB9" w14:textId="68BE4E98" w:rsidR="008D6504" w:rsidRPr="0090360E" w:rsidRDefault="00D31C0E" w:rsidP="0092589E">
      <w:pPr>
        <w:spacing w:before="240" w:after="200"/>
      </w:pPr>
      <w:r w:rsidRPr="0090360E">
        <w:t>Paragraph</w:t>
      </w:r>
      <w:r w:rsidR="0082105C" w:rsidRPr="0090360E">
        <w:t> </w:t>
      </w:r>
      <w:r w:rsidR="004E208E" w:rsidRPr="0090360E">
        <w:t>5</w:t>
      </w:r>
      <w:r w:rsidR="7854EC3F">
        <w:t>-</w:t>
      </w:r>
      <w:r w:rsidR="004E208E" w:rsidRPr="0090360E">
        <w:t>2(1)(d) of the Principal Determination</w:t>
      </w:r>
      <w:r w:rsidR="0082105C" w:rsidRPr="0090360E">
        <w:t xml:space="preserve"> provides that </w:t>
      </w:r>
      <w:r w:rsidR="00A91091" w:rsidRPr="0090360E">
        <w:t>if such consultation occurs, the Commission must publish a statement that consultation is occurring and the nature of the consultation.</w:t>
      </w:r>
    </w:p>
    <w:p w14:paraId="45E40712" w14:textId="67DB7345" w:rsidR="008D6504" w:rsidRPr="00370B64" w:rsidRDefault="005842A0" w:rsidP="00370B64">
      <w:pPr>
        <w:spacing w:before="240" w:after="200"/>
      </w:pPr>
      <w:r>
        <w:t>This item</w:t>
      </w:r>
      <w:r w:rsidR="00A91091" w:rsidRPr="0090360E">
        <w:t xml:space="preserve"> repeals paragraph 5</w:t>
      </w:r>
      <w:r w:rsidR="230CE577">
        <w:t>-</w:t>
      </w:r>
      <w:r w:rsidR="00A91091" w:rsidRPr="0090360E">
        <w:t>2(1)(d)</w:t>
      </w:r>
      <w:r w:rsidR="00923E2E" w:rsidRPr="0090360E">
        <w:t xml:space="preserve"> </w:t>
      </w:r>
      <w:r w:rsidR="00485A66" w:rsidRPr="0090360E">
        <w:t xml:space="preserve">and </w:t>
      </w:r>
      <w:r w:rsidR="00923E2E" w:rsidRPr="0090360E">
        <w:t>replaces it with a</w:t>
      </w:r>
      <w:r w:rsidR="00693262" w:rsidRPr="0090360E">
        <w:t>n equivalent</w:t>
      </w:r>
      <w:r w:rsidR="00B85FCD" w:rsidRPr="0090360E">
        <w:t xml:space="preserve"> requirement </w:t>
      </w:r>
      <w:r w:rsidR="002041E4" w:rsidRPr="0090360E">
        <w:t xml:space="preserve">if the Commission </w:t>
      </w:r>
      <w:r w:rsidR="00860405" w:rsidRPr="0090360E">
        <w:t>gives a person written notice inviting them to make a submission under paragraph 51ABZZD(2)(a) of the CCA</w:t>
      </w:r>
      <w:r w:rsidR="00B54EA0" w:rsidRPr="0090360E">
        <w:t>. In such circumstances</w:t>
      </w:r>
      <w:r w:rsidR="71474710">
        <w:t>,</w:t>
      </w:r>
      <w:r w:rsidR="00B54EA0" w:rsidRPr="0090360E">
        <w:t xml:space="preserve"> th</w:t>
      </w:r>
      <w:r w:rsidR="00CD73D2" w:rsidRPr="0090360E">
        <w:t xml:space="preserve">e acquisitions register must include a statement that </w:t>
      </w:r>
      <w:r w:rsidR="002F6DEC">
        <w:t xml:space="preserve">this form of </w:t>
      </w:r>
      <w:r w:rsidR="00CD73D2" w:rsidRPr="0090360E">
        <w:t>consultation is occurring and details about the consultation process</w:t>
      </w:r>
      <w:r w:rsidR="007731BF" w:rsidRPr="0090360E">
        <w:t>. The intent for this amendment is to effectively provide for market consultation by the Commission,</w:t>
      </w:r>
      <w:r w:rsidR="00F57F3E" w:rsidRPr="0090360E">
        <w:t xml:space="preserve"> which is consistent with </w:t>
      </w:r>
      <w:r w:rsidR="00C45F77">
        <w:t>one of</w:t>
      </w:r>
      <w:r w:rsidR="00F57F3E" w:rsidRPr="0090360E">
        <w:t xml:space="preserve"> the purpose</w:t>
      </w:r>
      <w:r w:rsidR="00C45F77">
        <w:t>s</w:t>
      </w:r>
      <w:r w:rsidR="00F57F3E" w:rsidRPr="0090360E">
        <w:t xml:space="preserve"> of the acquisition register</w:t>
      </w:r>
      <w:r w:rsidR="00782701">
        <w:t>, being</w:t>
      </w:r>
      <w:r w:rsidR="00F57F3E" w:rsidRPr="0090360E">
        <w:t xml:space="preserve"> to allow relevant stakeholders to be aware of intended acquisitions so they can engage with the Commission review. </w:t>
      </w:r>
      <w:r w:rsidR="006012E5" w:rsidRPr="009D77A4">
        <w:t xml:space="preserve">The transparency objectives of the acquisitions register are better achieved by requiring the publication of the Commission’s market consultation process so that a broad range of interested persons are </w:t>
      </w:r>
      <w:r w:rsidR="006012E5" w:rsidRPr="009D77A4">
        <w:lastRenderedPageBreak/>
        <w:t>able to make submissions. It is considered that the previous paragraph 5</w:t>
      </w:r>
      <w:r w:rsidR="5B1E1662">
        <w:t>-</w:t>
      </w:r>
      <w:r w:rsidR="006012E5" w:rsidRPr="009D77A4">
        <w:t>2(1)(d) did not achieve this and risked requiring the disclosure of sensitive discussions.</w:t>
      </w:r>
    </w:p>
    <w:p w14:paraId="31F307AC" w14:textId="45E8FBDF" w:rsidR="00647356" w:rsidRPr="005608D0" w:rsidRDefault="00647356" w:rsidP="000602B2">
      <w:pPr>
        <w:keepNext/>
        <w:keepLines/>
        <w:shd w:val="clear" w:color="auto" w:fill="D9D9D9" w:themeFill="background1" w:themeFillShade="D9"/>
        <w:spacing w:before="240" w:after="200" w:line="276" w:lineRule="auto"/>
        <w:rPr>
          <w:b/>
          <w:bCs/>
        </w:rPr>
      </w:pPr>
      <w:bookmarkStart w:id="0" w:name="_Hlk129269892"/>
      <w:r w:rsidRPr="005608D0">
        <w:rPr>
          <w:b/>
          <w:bCs/>
        </w:rPr>
        <w:t xml:space="preserve">Schedule </w:t>
      </w:r>
      <w:r>
        <w:rPr>
          <w:b/>
          <w:bCs/>
        </w:rPr>
        <w:t>2</w:t>
      </w:r>
    </w:p>
    <w:p w14:paraId="60778098" w14:textId="28D5ED9E" w:rsidR="007134FD" w:rsidRPr="003612CB" w:rsidRDefault="007134FD" w:rsidP="00034C8A">
      <w:pPr>
        <w:spacing w:before="240" w:after="200"/>
      </w:pPr>
      <w:r>
        <w:t xml:space="preserve">Schedule 2 to the Amendment Determination </w:t>
      </w:r>
      <w:r w:rsidR="009328AD">
        <w:t xml:space="preserve">contains </w:t>
      </w:r>
      <w:r w:rsidR="009C7E1A">
        <w:t xml:space="preserve">new provisions establishing the process for </w:t>
      </w:r>
      <w:r w:rsidR="004F5302">
        <w:t xml:space="preserve">notification waiver applications. </w:t>
      </w:r>
      <w:r w:rsidR="009932F8">
        <w:t xml:space="preserve">The </w:t>
      </w:r>
      <w:r w:rsidR="009932F8" w:rsidRPr="009932F8">
        <w:t>notification waiver process allows parties to an acquisition to request that the Commission relieve them of the obligation to notify an acquisition that would otherwise be required to be notified.</w:t>
      </w:r>
    </w:p>
    <w:p w14:paraId="14691535" w14:textId="61359A90" w:rsidR="00034C8A" w:rsidRDefault="00034C8A" w:rsidP="00265762">
      <w:pPr>
        <w:keepNext/>
        <w:keepLines/>
        <w:spacing w:before="240" w:after="200"/>
        <w:rPr>
          <w:u w:val="single"/>
        </w:rPr>
      </w:pPr>
      <w:r w:rsidRPr="005608D0">
        <w:rPr>
          <w:u w:val="single"/>
        </w:rPr>
        <w:t>Item 1</w:t>
      </w:r>
      <w:r>
        <w:rPr>
          <w:u w:val="single"/>
        </w:rPr>
        <w:t xml:space="preserve"> </w:t>
      </w:r>
    </w:p>
    <w:p w14:paraId="1E5F5491" w14:textId="69978584" w:rsidR="00034C8A" w:rsidRDefault="00034C8A" w:rsidP="00034C8A">
      <w:pPr>
        <w:spacing w:before="240" w:after="200"/>
      </w:pPr>
      <w:r>
        <w:t xml:space="preserve">Section 1-3 provides for the authority under which the </w:t>
      </w:r>
      <w:r w:rsidR="0098053F">
        <w:t xml:space="preserve">Principal </w:t>
      </w:r>
      <w:r>
        <w:t xml:space="preserve">Determination is made. </w:t>
      </w:r>
      <w:r w:rsidR="000A3EA6">
        <w:t xml:space="preserve">This item amends section 1-3 to insert Note 4A. </w:t>
      </w:r>
      <w:r>
        <w:t xml:space="preserve">The new Note 4A informs that the authority for the requirements for a notification waiver application is provided by subsection 51ABU(3) of the CCA, which allows the Minister to determine these requirements. Additionally, Note 4A informs that the authority for the requirements that the Commission must comply with when determining a notification waiver application is provided by subsection 51ABV(3), which allows the Minister to determine these requirements. </w:t>
      </w:r>
    </w:p>
    <w:p w14:paraId="1D0E1206" w14:textId="76DD2A98" w:rsidR="00873EC0" w:rsidRPr="005608D0" w:rsidRDefault="00873EC0" w:rsidP="00034C8A">
      <w:pPr>
        <w:spacing w:before="240" w:after="200"/>
      </w:pPr>
      <w:r>
        <w:t xml:space="preserve">The intent </w:t>
      </w:r>
      <w:r w:rsidR="00100630">
        <w:t xml:space="preserve">is </w:t>
      </w:r>
      <w:r>
        <w:t xml:space="preserve">for Note 4A to </w:t>
      </w:r>
      <w:r w:rsidR="0086534B">
        <w:t>provide guidance to readers.</w:t>
      </w:r>
    </w:p>
    <w:p w14:paraId="4A3C0F00" w14:textId="77777777" w:rsidR="00034C8A" w:rsidRPr="005608D0" w:rsidRDefault="00034C8A" w:rsidP="00265762">
      <w:pPr>
        <w:keepNext/>
        <w:keepLines/>
        <w:spacing w:before="240" w:after="200"/>
        <w:rPr>
          <w:u w:val="single"/>
        </w:rPr>
      </w:pPr>
      <w:r w:rsidRPr="005608D0">
        <w:rPr>
          <w:u w:val="single"/>
        </w:rPr>
        <w:t>Item</w:t>
      </w:r>
      <w:r>
        <w:rPr>
          <w:u w:val="single"/>
        </w:rPr>
        <w:t>s</w:t>
      </w:r>
      <w:r w:rsidRPr="005608D0">
        <w:rPr>
          <w:u w:val="single"/>
        </w:rPr>
        <w:t xml:space="preserve"> </w:t>
      </w:r>
      <w:r>
        <w:rPr>
          <w:u w:val="single"/>
        </w:rPr>
        <w:t>2, 3 and 4</w:t>
      </w:r>
    </w:p>
    <w:p w14:paraId="5139DFB7" w14:textId="48600501" w:rsidR="00844231" w:rsidRPr="001778F9" w:rsidRDefault="00E5523B" w:rsidP="007138C1">
      <w:pPr>
        <w:pStyle w:val="base-text-paragraph"/>
        <w:keepNext/>
        <w:ind w:left="0"/>
        <w:rPr>
          <w:szCs w:val="22"/>
        </w:rPr>
      </w:pPr>
      <w:r>
        <w:rPr>
          <w:szCs w:val="22"/>
        </w:rPr>
        <w:t>Paragraph</w:t>
      </w:r>
      <w:r w:rsidR="00844231" w:rsidRPr="001778F9">
        <w:rPr>
          <w:szCs w:val="22"/>
        </w:rPr>
        <w:t xml:space="preserve"> 5-2(1)(a) </w:t>
      </w:r>
      <w:r w:rsidR="00754564">
        <w:rPr>
          <w:szCs w:val="22"/>
        </w:rPr>
        <w:t>of the Principal Determination</w:t>
      </w:r>
      <w:r w:rsidR="00844231" w:rsidRPr="001778F9">
        <w:rPr>
          <w:szCs w:val="22"/>
        </w:rPr>
        <w:t xml:space="preserve"> provides </w:t>
      </w:r>
      <w:r w:rsidR="00844231" w:rsidRPr="001778F9" w:rsidDel="000F33A7">
        <w:rPr>
          <w:szCs w:val="22"/>
        </w:rPr>
        <w:t xml:space="preserve">that </w:t>
      </w:r>
      <w:r w:rsidR="000F33A7">
        <w:rPr>
          <w:szCs w:val="22"/>
        </w:rPr>
        <w:t>certain information</w:t>
      </w:r>
      <w:r w:rsidR="00844231" w:rsidRPr="001778F9">
        <w:rPr>
          <w:szCs w:val="22"/>
        </w:rPr>
        <w:t xml:space="preserve"> must be included on the acquisitions register under paragraph 51ABZZI(6)(b) of the </w:t>
      </w:r>
      <w:r w:rsidR="00844231">
        <w:rPr>
          <w:szCs w:val="22"/>
        </w:rPr>
        <w:t>CCA</w:t>
      </w:r>
      <w:r w:rsidR="007C215E">
        <w:rPr>
          <w:szCs w:val="22"/>
        </w:rPr>
        <w:t xml:space="preserve"> if a person has applied for a notification waiver.</w:t>
      </w:r>
      <w:r w:rsidR="00CA6F66">
        <w:rPr>
          <w:szCs w:val="22"/>
        </w:rPr>
        <w:t xml:space="preserve"> </w:t>
      </w:r>
    </w:p>
    <w:p w14:paraId="4E73601C" w14:textId="7960E467" w:rsidR="007709F4" w:rsidRDefault="00034C8A" w:rsidP="00216CD1">
      <w:pPr>
        <w:keepNext/>
        <w:spacing w:before="240" w:after="200"/>
      </w:pPr>
      <w:r>
        <w:t xml:space="preserve">Item 2 repeals </w:t>
      </w:r>
      <w:r w:rsidR="00844231">
        <w:t>paragraph 5-2(1)(a</w:t>
      </w:r>
      <w:r w:rsidR="0026585C">
        <w:t>)</w:t>
      </w:r>
      <w:r w:rsidR="001E699B">
        <w:t xml:space="preserve"> and </w:t>
      </w:r>
      <w:r>
        <w:t xml:space="preserve">replaces </w:t>
      </w:r>
      <w:r w:rsidR="009F3D9C">
        <w:t xml:space="preserve">the subsection </w:t>
      </w:r>
      <w:r>
        <w:t xml:space="preserve">with a reformatted version of the provision. </w:t>
      </w:r>
      <w:r w:rsidR="00554343">
        <w:t xml:space="preserve">The </w:t>
      </w:r>
      <w:r>
        <w:t xml:space="preserve">amendment does not alter the substance of the provision. In other words, the requirements of the provision are the same. </w:t>
      </w:r>
      <w:r w:rsidR="0015552C">
        <w:t>These are that</w:t>
      </w:r>
      <w:r w:rsidR="00D71186">
        <w:t>, if a person has applied for a notification waiver in relation to an acquisition,</w:t>
      </w:r>
      <w:r w:rsidR="0015552C">
        <w:t xml:space="preserve"> </w:t>
      </w:r>
      <w:r w:rsidR="00D71186">
        <w:t>the Commission is to publish on the acquisitions register a statement to that effect, and a summary of the details of the acquisition</w:t>
      </w:r>
      <w:r w:rsidR="00DF027A">
        <w:t xml:space="preserve"> as well as a summary of any decision of the Commission in relation to the application.</w:t>
      </w:r>
      <w:r w:rsidR="00A56021">
        <w:t xml:space="preserve"> </w:t>
      </w:r>
      <w:r w:rsidR="00A56021" w:rsidRPr="002F6852">
        <w:t xml:space="preserve">It is expected that the summary </w:t>
      </w:r>
      <w:r w:rsidR="008A7DEA">
        <w:t xml:space="preserve">of the details of the acquisition </w:t>
      </w:r>
      <w:r w:rsidR="00A56021" w:rsidRPr="002F6852">
        <w:t>will be a brief present</w:t>
      </w:r>
      <w:r w:rsidR="0065683E" w:rsidRPr="002F6852">
        <w:t xml:space="preserve">ation of the </w:t>
      </w:r>
      <w:r w:rsidR="00455B76" w:rsidRPr="002F6852">
        <w:t xml:space="preserve">most relevant </w:t>
      </w:r>
      <w:r w:rsidR="0065683E" w:rsidRPr="002F6852">
        <w:t>details of the acquisition</w:t>
      </w:r>
      <w:r w:rsidR="006E6A81">
        <w:t>.</w:t>
      </w:r>
      <w:r w:rsidR="478C0D0C">
        <w:t xml:space="preserve"> </w:t>
      </w:r>
      <w:r w:rsidR="00EF7370">
        <w:t xml:space="preserve">The summary of </w:t>
      </w:r>
      <w:r w:rsidR="0065683E" w:rsidRPr="002F6852">
        <w:t>the decision</w:t>
      </w:r>
      <w:r w:rsidR="00EF7370">
        <w:t xml:space="preserve"> may be a copy of the written notice and explanation of the determination that the ACCC must provide to the applicant pursuant to </w:t>
      </w:r>
      <w:r w:rsidR="00855C3B">
        <w:t>sub</w:t>
      </w:r>
      <w:r w:rsidR="00EF7370">
        <w:t>section 51ABV(5) of the CCA</w:t>
      </w:r>
      <w:r w:rsidR="478C0D0C">
        <w:t>.</w:t>
      </w:r>
      <w:r w:rsidR="5E4A4BBE">
        <w:t xml:space="preserve"> </w:t>
      </w:r>
    </w:p>
    <w:p w14:paraId="08A67802" w14:textId="18BB8371" w:rsidR="00216CD1" w:rsidRDefault="00216CD1" w:rsidP="00216CD1">
      <w:pPr>
        <w:keepNext/>
        <w:spacing w:before="240" w:after="200"/>
      </w:pPr>
      <w:r w:rsidRPr="001778F9">
        <w:rPr>
          <w:szCs w:val="22"/>
        </w:rPr>
        <w:t xml:space="preserve">Paragraph 51ABZZI(6)(c) provides that the Minister may determine a time </w:t>
      </w:r>
      <w:r>
        <w:rPr>
          <w:szCs w:val="22"/>
        </w:rPr>
        <w:t xml:space="preserve">period </w:t>
      </w:r>
      <w:r w:rsidRPr="001778F9">
        <w:rPr>
          <w:szCs w:val="22"/>
        </w:rPr>
        <w:t>for information or documents that are determined under paragraph 51ABZZI(6)(b)) to be included on the acquisitions register.</w:t>
      </w:r>
      <w:r w:rsidR="007709F4">
        <w:rPr>
          <w:szCs w:val="22"/>
        </w:rPr>
        <w:t xml:space="preserve"> </w:t>
      </w:r>
      <w:r>
        <w:t xml:space="preserve">Item 3 inserts new paragraph 5-2(2)(aa), which provides that information or a document mentioned in paragraph 5-2(1)(a) must be included on the acquisitions register within 1 business day of the relevant decision on the notification waiver application being made or, if that is not practicable, as soon as practicable after that day. This will ensure that the public is made aware of decisions on notification waiver applications in a timely manner. </w:t>
      </w:r>
    </w:p>
    <w:p w14:paraId="51FC5657" w14:textId="1A625AAD" w:rsidR="00034C8A" w:rsidRPr="0075518A" w:rsidRDefault="00034C8A" w:rsidP="00034C8A">
      <w:pPr>
        <w:spacing w:before="240" w:after="200"/>
      </w:pPr>
      <w:r>
        <w:t>Item 4 inserts a note at the end of subsection 5-2(2)</w:t>
      </w:r>
      <w:r w:rsidR="00895A52">
        <w:t>.</w:t>
      </w:r>
      <w:r>
        <w:t xml:space="preserve"> The note informs that in certain special circumstances, some information and documents may not be added to the </w:t>
      </w:r>
      <w:r>
        <w:lastRenderedPageBreak/>
        <w:t>acquisitions register</w:t>
      </w:r>
      <w:r w:rsidR="008058E5">
        <w:t>, or can only be included at</w:t>
      </w:r>
      <w:r>
        <w:t xml:space="preserve"> a later time</w:t>
      </w:r>
      <w:r w:rsidR="001A40CC">
        <w:t>,</w:t>
      </w:r>
      <w:r>
        <w:t xml:space="preserve"> and directs attention to new sections 6-5 and 6-6. These new provisions provide for the treatment of a notification waiver application made in relation to a surprise hostile takeover or voluntary transfers under the </w:t>
      </w:r>
      <w:r>
        <w:rPr>
          <w:i/>
          <w:iCs/>
        </w:rPr>
        <w:t xml:space="preserve">Financial Sector (Transfer and Restructure) Act 1999 </w:t>
      </w:r>
      <w:r>
        <w:t>(FSTR Act)</w:t>
      </w:r>
      <w:r w:rsidR="00B62ED7">
        <w:t xml:space="preserve">, which have different </w:t>
      </w:r>
      <w:r w:rsidR="00D3047C">
        <w:t>requirements</w:t>
      </w:r>
      <w:r>
        <w:t>.</w:t>
      </w:r>
    </w:p>
    <w:p w14:paraId="58893A05" w14:textId="77777777" w:rsidR="00034C8A" w:rsidRDefault="00034C8A" w:rsidP="00265762">
      <w:pPr>
        <w:keepNext/>
        <w:keepLines/>
        <w:spacing w:before="240" w:after="200"/>
      </w:pPr>
      <w:r>
        <w:rPr>
          <w:u w:val="single"/>
        </w:rPr>
        <w:t>Items 5 and 6</w:t>
      </w:r>
    </w:p>
    <w:p w14:paraId="2383B9AB" w14:textId="4C0577CE" w:rsidR="00034C8A" w:rsidRDefault="00034C8A" w:rsidP="00034C8A">
      <w:pPr>
        <w:spacing w:before="240" w:after="200"/>
      </w:pPr>
      <w:r>
        <w:t>Item 5 repeals the heading to Part 6, which was ‘Forms’ and substitutes ‘Part 6</w:t>
      </w:r>
      <w:r w:rsidRPr="00E8452B">
        <w:t>—</w:t>
      </w:r>
      <w:r>
        <w:t xml:space="preserve">Forms and manner of determining applications’. </w:t>
      </w:r>
    </w:p>
    <w:p w14:paraId="0F76A586" w14:textId="77777777" w:rsidR="00034C8A" w:rsidRDefault="00034C8A" w:rsidP="00034C8A">
      <w:pPr>
        <w:spacing w:before="240" w:after="200"/>
      </w:pPr>
      <w:r>
        <w:t>Item 6 repeals the heading to Division 1 of Part 6, which was ‘Division 1</w:t>
      </w:r>
      <w:r w:rsidRPr="00E8452B">
        <w:t>—</w:t>
      </w:r>
      <w:r>
        <w:t>Determination of forms, information and documents’ and substitutes ‘Division 1</w:t>
      </w:r>
      <w:r w:rsidRPr="00E8452B">
        <w:t>—</w:t>
      </w:r>
      <w:r>
        <w:t>Determination of forms, information and documents, and manner for determining applications’.</w:t>
      </w:r>
    </w:p>
    <w:p w14:paraId="55B8B555" w14:textId="2C41D55D" w:rsidR="00034C8A" w:rsidRDefault="00034C8A" w:rsidP="00034C8A">
      <w:pPr>
        <w:spacing w:before="240" w:after="200"/>
      </w:pPr>
      <w:r>
        <w:t>These amendments reflect the expanded content</w:t>
      </w:r>
      <w:r w:rsidR="00653BF3">
        <w:t>s</w:t>
      </w:r>
      <w:r>
        <w:t xml:space="preserve"> of Part 6. </w:t>
      </w:r>
    </w:p>
    <w:p w14:paraId="2A116BCD" w14:textId="77777777" w:rsidR="00034C8A" w:rsidRDefault="00034C8A" w:rsidP="00265762">
      <w:pPr>
        <w:keepNext/>
        <w:keepLines/>
        <w:spacing w:before="240" w:after="200"/>
      </w:pPr>
      <w:r w:rsidRPr="00936ED6">
        <w:rPr>
          <w:u w:val="single"/>
        </w:rPr>
        <w:t>Item 7</w:t>
      </w:r>
    </w:p>
    <w:p w14:paraId="79615CDA" w14:textId="77777777" w:rsidR="00034C8A" w:rsidRDefault="00034C8A" w:rsidP="00034C8A">
      <w:pPr>
        <w:spacing w:before="240" w:after="200"/>
      </w:pPr>
      <w:r>
        <w:t>This item inserts new sections 6-3, 6-4, 6-5 and 6-6 into Division 1 of Part 6.</w:t>
      </w:r>
    </w:p>
    <w:p w14:paraId="440DBD5D" w14:textId="41BDE532" w:rsidR="006F459C" w:rsidRPr="00F61902" w:rsidRDefault="006F459C" w:rsidP="00F61902">
      <w:pPr>
        <w:keepNext/>
        <w:keepLines/>
        <w:spacing w:before="240" w:after="200"/>
        <w:rPr>
          <w:i/>
          <w:color w:val="7F7F7F" w:themeColor="text1" w:themeTint="80"/>
        </w:rPr>
      </w:pPr>
      <w:r w:rsidRPr="00F61902">
        <w:rPr>
          <w:i/>
          <w:color w:val="7F7F7F" w:themeColor="text1" w:themeTint="80"/>
        </w:rPr>
        <w:t xml:space="preserve">Requirements for making a </w:t>
      </w:r>
      <w:r w:rsidR="00E2123C" w:rsidRPr="00F61902">
        <w:rPr>
          <w:i/>
          <w:color w:val="7F7F7F" w:themeColor="text1" w:themeTint="80"/>
        </w:rPr>
        <w:t>notification waiver application</w:t>
      </w:r>
    </w:p>
    <w:p w14:paraId="27341F0B" w14:textId="1C0855FC" w:rsidR="00034C8A" w:rsidRDefault="00034C8A" w:rsidP="00F61902">
      <w:pPr>
        <w:keepNext/>
        <w:spacing w:before="240" w:after="200"/>
      </w:pPr>
      <w:r>
        <w:t xml:space="preserve">Section 6-3, which is made for the purposes of subsection 51ABU(3) of the CCA, provides the requirements for making a notification waiver application. These are that the application </w:t>
      </w:r>
      <w:r w:rsidR="00F50165">
        <w:t xml:space="preserve">be </w:t>
      </w:r>
      <w:r>
        <w:t xml:space="preserve">made in the form set out in Division 5 of Part 6 and accompanied by the information and documents set out in </w:t>
      </w:r>
      <w:r w:rsidR="00604037">
        <w:t xml:space="preserve">that </w:t>
      </w:r>
      <w:r>
        <w:t>form</w:t>
      </w:r>
      <w:r w:rsidR="00604037">
        <w:t>. Further,</w:t>
      </w:r>
      <w:r>
        <w:t xml:space="preserve"> </w:t>
      </w:r>
      <w:r w:rsidR="002F7DCE">
        <w:t xml:space="preserve">that </w:t>
      </w:r>
      <w:r>
        <w:t>the determined fee (if any)</w:t>
      </w:r>
      <w:r w:rsidR="00375C09">
        <w:t>, must be paid</w:t>
      </w:r>
      <w:r>
        <w:t xml:space="preserve">. A note below section 6-3 informs that </w:t>
      </w:r>
      <w:r w:rsidR="00C67B43">
        <w:t xml:space="preserve">the </w:t>
      </w:r>
      <w:r>
        <w:t>fee must accompany a notification waiver application as per subsection 7-50(1).</w:t>
      </w:r>
    </w:p>
    <w:p w14:paraId="230F2D00" w14:textId="05552A01" w:rsidR="00E2123C" w:rsidRPr="00F61902" w:rsidRDefault="00E2123C" w:rsidP="00265762">
      <w:pPr>
        <w:keepNext/>
        <w:keepLines/>
        <w:spacing w:before="240" w:after="200"/>
        <w:rPr>
          <w:i/>
          <w:color w:val="7F7F7F" w:themeColor="text1" w:themeTint="80"/>
        </w:rPr>
      </w:pPr>
      <w:r w:rsidRPr="00F61902">
        <w:rPr>
          <w:i/>
          <w:color w:val="7F7F7F" w:themeColor="text1" w:themeTint="80"/>
        </w:rPr>
        <w:t>Commission determination of notification waiver application</w:t>
      </w:r>
      <w:r w:rsidR="00E447A1" w:rsidRPr="00F61902">
        <w:rPr>
          <w:i/>
          <w:color w:val="7F7F7F" w:themeColor="text1" w:themeTint="80"/>
        </w:rPr>
        <w:t>s</w:t>
      </w:r>
      <w:r w:rsidRPr="00F61902">
        <w:rPr>
          <w:i/>
          <w:color w:val="7F7F7F" w:themeColor="text1" w:themeTint="80"/>
        </w:rPr>
        <w:t>: general case</w:t>
      </w:r>
    </w:p>
    <w:p w14:paraId="1597A89D" w14:textId="7A8F29D9" w:rsidR="00034C8A" w:rsidRDefault="00034C8A" w:rsidP="00C67B43">
      <w:pPr>
        <w:keepNext/>
        <w:spacing w:before="240" w:after="200"/>
      </w:pPr>
      <w:r>
        <w:t>Section 6-4, which is made under subsection 51ABV(3) of the CCA, provides for determining a general case notification waiver application</w:t>
      </w:r>
      <w:r w:rsidR="005D46D7">
        <w:t xml:space="preserve"> (these are </w:t>
      </w:r>
      <w:r w:rsidR="00A116ED">
        <w:t>notification waiver applications other than those covered by sections 6-5 or 6-6, surprise hostile takeovers and voluntary transfers under the FSTR Act)</w:t>
      </w:r>
      <w:r>
        <w:t xml:space="preserve">. </w:t>
      </w:r>
      <w:r w:rsidR="00B46D58">
        <w:t xml:space="preserve">If </w:t>
      </w:r>
      <w:r>
        <w:t xml:space="preserve">the </w:t>
      </w:r>
      <w:r w:rsidDel="00B46D58">
        <w:t xml:space="preserve">Commission </w:t>
      </w:r>
      <w:r>
        <w:t>has</w:t>
      </w:r>
      <w:r w:rsidDel="00B46D58">
        <w:t xml:space="preserve"> not </w:t>
      </w:r>
      <w:r w:rsidR="00633C3E">
        <w:t xml:space="preserve">decided to grant or not grant the </w:t>
      </w:r>
      <w:r w:rsidR="0073556C" w:rsidDel="00B46D58">
        <w:t xml:space="preserve">notification waiver </w:t>
      </w:r>
      <w:r w:rsidR="005D591A">
        <w:t>by the end</w:t>
      </w:r>
      <w:r>
        <w:t xml:space="preserve"> of </w:t>
      </w:r>
      <w:r w:rsidR="005D591A">
        <w:t>the</w:t>
      </w:r>
      <w:r>
        <w:t xml:space="preserve"> 25</w:t>
      </w:r>
      <w:r w:rsidR="00713147">
        <w:t>th</w:t>
      </w:r>
      <w:r w:rsidDel="00B46D58">
        <w:t xml:space="preserve"> business </w:t>
      </w:r>
      <w:r>
        <w:t xml:space="preserve">day </w:t>
      </w:r>
      <w:r w:rsidR="00605C28">
        <w:t>from</w:t>
      </w:r>
      <w:r>
        <w:t xml:space="preserve"> the </w:t>
      </w:r>
      <w:r w:rsidR="00457C8C">
        <w:t xml:space="preserve">day after </w:t>
      </w:r>
      <w:r w:rsidR="00D40709">
        <w:t>the</w:t>
      </w:r>
      <w:r>
        <w:t xml:space="preserve"> </w:t>
      </w:r>
      <w:r w:rsidR="00633C3E">
        <w:t>notification waiver application was</w:t>
      </w:r>
      <w:r>
        <w:t xml:space="preserve"> </w:t>
      </w:r>
      <w:r w:rsidR="00B51939">
        <w:t>received by the Commission</w:t>
      </w:r>
      <w:r>
        <w:t xml:space="preserve"> then, on the first business day after this, the Commission must make a determination to not grant the notification waiver. </w:t>
      </w:r>
      <w:r w:rsidR="00454473">
        <w:t xml:space="preserve">This </w:t>
      </w:r>
      <w:r w:rsidR="003C28E5">
        <w:t>strict timeframe</w:t>
      </w:r>
      <w:r w:rsidR="00454473">
        <w:t xml:space="preserve"> is intended to support timely and efficient determinations of notification waiver applications</w:t>
      </w:r>
      <w:r w:rsidR="00CC1D00">
        <w:t xml:space="preserve"> and provide certainty to notification waiver applicants.</w:t>
      </w:r>
    </w:p>
    <w:p w14:paraId="5AF527DE" w14:textId="2F391DF0" w:rsidR="00E2123C" w:rsidRPr="00F61902" w:rsidRDefault="00E2123C" w:rsidP="00456C92">
      <w:pPr>
        <w:keepNext/>
        <w:keepLines/>
        <w:spacing w:before="240" w:after="200"/>
        <w:rPr>
          <w:color w:val="7F7F7F" w:themeColor="text1" w:themeTint="80"/>
        </w:rPr>
      </w:pPr>
      <w:r w:rsidRPr="00F61902">
        <w:rPr>
          <w:i/>
          <w:color w:val="7F7F7F" w:themeColor="text1" w:themeTint="80"/>
        </w:rPr>
        <w:t>Commission determination of notification waiver application</w:t>
      </w:r>
      <w:r w:rsidR="00E447A1" w:rsidRPr="00F61902">
        <w:rPr>
          <w:i/>
          <w:color w:val="7F7F7F" w:themeColor="text1" w:themeTint="80"/>
        </w:rPr>
        <w:t>s</w:t>
      </w:r>
      <w:r w:rsidRPr="00F61902">
        <w:rPr>
          <w:i/>
          <w:color w:val="7F7F7F" w:themeColor="text1" w:themeTint="80"/>
        </w:rPr>
        <w:t>: surprise hostile takeover</w:t>
      </w:r>
      <w:r w:rsidR="003E6B46" w:rsidRPr="00F61902">
        <w:rPr>
          <w:i/>
          <w:color w:val="7F7F7F" w:themeColor="text1" w:themeTint="80"/>
        </w:rPr>
        <w:t>s</w:t>
      </w:r>
    </w:p>
    <w:p w14:paraId="1D9A38B0" w14:textId="2E1045E0" w:rsidR="00AA00DE" w:rsidRDefault="00AA00DE" w:rsidP="00034C8A">
      <w:pPr>
        <w:spacing w:before="240" w:after="200"/>
      </w:pPr>
      <w:r w:rsidRPr="001778F9">
        <w:rPr>
          <w:szCs w:val="22"/>
        </w:rPr>
        <w:t xml:space="preserve">The </w:t>
      </w:r>
      <w:r>
        <w:rPr>
          <w:szCs w:val="22"/>
        </w:rPr>
        <w:t>publication</w:t>
      </w:r>
      <w:r w:rsidRPr="001778F9">
        <w:rPr>
          <w:szCs w:val="22"/>
        </w:rPr>
        <w:t xml:space="preserve"> of details of a notification waiver application on </w:t>
      </w:r>
      <w:r>
        <w:rPr>
          <w:szCs w:val="22"/>
        </w:rPr>
        <w:t xml:space="preserve">the acquisitions </w:t>
      </w:r>
      <w:r w:rsidRPr="001778F9">
        <w:rPr>
          <w:szCs w:val="22"/>
        </w:rPr>
        <w:t xml:space="preserve">register may unduly impact the ability to make a surprise hostile takeover bid where on-market acquisitions commence immediately after a bid is </w:t>
      </w:r>
      <w:r w:rsidR="0071754F">
        <w:rPr>
          <w:szCs w:val="22"/>
        </w:rPr>
        <w:t xml:space="preserve">made </w:t>
      </w:r>
      <w:r w:rsidRPr="001778F9">
        <w:rPr>
          <w:szCs w:val="22"/>
        </w:rPr>
        <w:t xml:space="preserve">public. To accommodate these kinds of takeover bids, a bidder proposing to acquire shares in a Chapter 6 entity through a bid that has not been </w:t>
      </w:r>
      <w:r w:rsidR="00A8616C">
        <w:rPr>
          <w:szCs w:val="22"/>
        </w:rPr>
        <w:t xml:space="preserve">made </w:t>
      </w:r>
      <w:r w:rsidRPr="001778F9">
        <w:rPr>
          <w:szCs w:val="22"/>
        </w:rPr>
        <w:t xml:space="preserve">public may request that the </w:t>
      </w:r>
      <w:r>
        <w:rPr>
          <w:szCs w:val="22"/>
        </w:rPr>
        <w:t xml:space="preserve">notification </w:t>
      </w:r>
      <w:r w:rsidRPr="001778F9">
        <w:rPr>
          <w:szCs w:val="22"/>
        </w:rPr>
        <w:t>waiver application be kept confidential for a period</w:t>
      </w:r>
      <w:r>
        <w:rPr>
          <w:szCs w:val="22"/>
        </w:rPr>
        <w:t>. Section 6-5 is intended to give effect to this.</w:t>
      </w:r>
    </w:p>
    <w:p w14:paraId="01FD868C" w14:textId="1F1C594A" w:rsidR="00FA0ACD" w:rsidRDefault="003E6B46" w:rsidP="00034C8A">
      <w:pPr>
        <w:spacing w:before="240" w:after="200"/>
      </w:pPr>
      <w:r>
        <w:lastRenderedPageBreak/>
        <w:t xml:space="preserve">Section 6-5 provides for determining a notification waiver application made in relation to a surprise hostile takeover acquisition. For this provision to apply, </w:t>
      </w:r>
      <w:r w:rsidR="00FA0ACD">
        <w:t xml:space="preserve">subsection 6-5(1) requires that </w:t>
      </w:r>
      <w:r w:rsidR="00EB2C8B">
        <w:t>the acquisition and body corporate must satisfy paragraph 51ABZZL(1)(a), (b) and (c) of the CCA</w:t>
      </w:r>
      <w:r w:rsidR="002A7B00">
        <w:t>;</w:t>
      </w:r>
      <w:r w:rsidR="00EB2C8B">
        <w:t xml:space="preserve"> the application </w:t>
      </w:r>
      <w:r w:rsidR="00307345">
        <w:t>request that section 6-5 apply</w:t>
      </w:r>
      <w:r w:rsidR="002A7B00">
        <w:t>;</w:t>
      </w:r>
      <w:r w:rsidR="00307345">
        <w:t xml:space="preserve"> and the request satisfies </w:t>
      </w:r>
      <w:r w:rsidR="00FA0ACD">
        <w:t xml:space="preserve">subsection 6-5(2). </w:t>
      </w:r>
    </w:p>
    <w:p w14:paraId="1D95E8AC" w14:textId="161C3492" w:rsidR="00F32C81" w:rsidRDefault="00FA0ACD" w:rsidP="00034C8A">
      <w:pPr>
        <w:spacing w:before="240" w:after="200"/>
      </w:pPr>
      <w:r>
        <w:t xml:space="preserve">For a request to satisfy subsection 6-5(2), </w:t>
      </w:r>
      <w:r w:rsidR="00175733">
        <w:t>the request needs to state the information set out in paragraphs 51ABZZL(2)(a) and (b) of the CCA</w:t>
      </w:r>
      <w:r w:rsidR="002A7B00">
        <w:t>.</w:t>
      </w:r>
      <w:r w:rsidR="00606AFF">
        <w:t xml:space="preserve"> </w:t>
      </w:r>
      <w:r w:rsidR="004D3E80">
        <w:t>These are</w:t>
      </w:r>
      <w:r w:rsidR="00606AFF">
        <w:t xml:space="preserve"> that the body corporate is a Chapter 6 entity and the acquisition is a takeover acquisition in relation to a proposed takeover bid</w:t>
      </w:r>
      <w:r w:rsidR="007D1BDC">
        <w:t>,</w:t>
      </w:r>
      <w:r w:rsidR="000A46EE">
        <w:t xml:space="preserve"> and that the bidder (within the meaning of the </w:t>
      </w:r>
      <w:r w:rsidR="000A46EE" w:rsidDel="003F76B1">
        <w:t>Corporations Act</w:t>
      </w:r>
      <w:r w:rsidR="000A46EE">
        <w:t>) will, if the Commission makes a determination to grant the notification waiver, give a bidder’s statement (within the meaning of the Corporations Act)</w:t>
      </w:r>
      <w:r w:rsidR="00606AFF">
        <w:t xml:space="preserve"> </w:t>
      </w:r>
      <w:r w:rsidR="00F32C81">
        <w:t>to the Commission and the acquisition target no later than 5 business days after the day on which the Commission gives the applicant the written notice and explanation required by subsection 51ABV(5) of the CCA.</w:t>
      </w:r>
      <w:r w:rsidR="000B4615">
        <w:t xml:space="preserve"> Additionally, the bidder </w:t>
      </w:r>
      <w:r w:rsidR="00C01CE2">
        <w:t xml:space="preserve">will, after the proposed bid has been made public, notify the Commission, in writing, that the bid has been made public within 1 business day of the bid having been publicly proposed, or if that is not practicable, as soon as practicable after that day. </w:t>
      </w:r>
    </w:p>
    <w:p w14:paraId="1D5EE3BA" w14:textId="411677FD" w:rsidR="009C749D" w:rsidRDefault="00AA794E" w:rsidP="00034C8A">
      <w:pPr>
        <w:spacing w:before="240" w:after="200"/>
      </w:pPr>
      <w:r>
        <w:t>Subsection 6-5(3) provides that</w:t>
      </w:r>
      <w:r w:rsidR="007A4465">
        <w:t>,</w:t>
      </w:r>
      <w:r>
        <w:t xml:space="preserve"> </w:t>
      </w:r>
      <w:r w:rsidR="007A4465">
        <w:t xml:space="preserve">despite the requirement in paragraph 5-2(1)(aa), </w:t>
      </w:r>
      <w:r>
        <w:t xml:space="preserve">the Commission must not include information or documents on the acquisitions register </w:t>
      </w:r>
      <w:r w:rsidR="008E06E2">
        <w:t>for a notification waiver application regarding a surprise hostile takeover before</w:t>
      </w:r>
      <w:r w:rsidR="008E06E2" w:rsidDel="00D47FCD">
        <w:t xml:space="preserve"> </w:t>
      </w:r>
      <w:r w:rsidR="008E06E2">
        <w:t>receiving the bidder’s statement</w:t>
      </w:r>
      <w:r w:rsidR="00C061B5">
        <w:t xml:space="preserve"> for the acquisition</w:t>
      </w:r>
      <w:r w:rsidR="009C749D">
        <w:t xml:space="preserve">. Once the bidder’s statement is received, the Commission must include, on the acquisitions register, the information required by paragraph 5-2(1)(a) within 2 business days or, if that is not practicable, as soon as practicable after that day. </w:t>
      </w:r>
    </w:p>
    <w:p w14:paraId="46570044" w14:textId="26E5DBF9" w:rsidR="00DA158C" w:rsidRDefault="00BE78BD" w:rsidP="00F61902">
      <w:pPr>
        <w:keepNext/>
        <w:spacing w:before="240" w:after="200"/>
      </w:pPr>
      <w:r>
        <w:t xml:space="preserve">Subsection 6-5(4) provides that if the Commission has not made a determination in relation to a notification waiver application for a surprise hostile takeover </w:t>
      </w:r>
      <w:r w:rsidR="00B36883">
        <w:t>by the end of the</w:t>
      </w:r>
      <w:r w:rsidR="008D5EC6">
        <w:t xml:space="preserve"> 25</w:t>
      </w:r>
      <w:r w:rsidR="00B36883">
        <w:t>th</w:t>
      </w:r>
      <w:r w:rsidR="00524320">
        <w:rPr>
          <w:vertAlign w:val="superscript"/>
        </w:rPr>
        <w:t xml:space="preserve"> </w:t>
      </w:r>
      <w:r w:rsidR="00D93501">
        <w:t>business</w:t>
      </w:r>
      <w:r w:rsidR="008D5EC6">
        <w:t xml:space="preserve"> day from </w:t>
      </w:r>
      <w:r w:rsidR="008074F4">
        <w:t xml:space="preserve">the day after the </w:t>
      </w:r>
      <w:r w:rsidR="008D5EC6">
        <w:t xml:space="preserve">application is received, the Commission must make a determination </w:t>
      </w:r>
      <w:r w:rsidR="00DA158C">
        <w:t>to refuse the notification waiver on the first business day after the period ends.</w:t>
      </w:r>
      <w:r w:rsidR="0032682A">
        <w:t xml:space="preserve"> As with the general case, set out in section </w:t>
      </w:r>
      <w:r w:rsidR="00AC562D">
        <w:t xml:space="preserve">6-4, this </w:t>
      </w:r>
      <w:r w:rsidR="004D22C7">
        <w:t>strict timeframe</w:t>
      </w:r>
      <w:r w:rsidR="00AC562D">
        <w:t xml:space="preserve"> is intended to support timely and efficient determinations of notification waiver applications and provide certainty to notification waiver applicants.</w:t>
      </w:r>
    </w:p>
    <w:p w14:paraId="7714E6F4" w14:textId="09D55B05" w:rsidR="00E447A1" w:rsidRDefault="00B10A37" w:rsidP="00034C8A">
      <w:pPr>
        <w:spacing w:before="240" w:after="200"/>
      </w:pPr>
      <w:r>
        <w:t>Subsection 6-5(5) provides that the Commission may, at any time within 15 business days f</w:t>
      </w:r>
      <w:r w:rsidR="00B50DAF">
        <w:t xml:space="preserve">rom </w:t>
      </w:r>
      <w:r w:rsidR="00E631EE">
        <w:t>the day after a</w:t>
      </w:r>
      <w:r w:rsidR="00B50DAF">
        <w:t xml:space="preserve"> notification waiver application for a surprise hostile takeover</w:t>
      </w:r>
      <w:r w:rsidR="0024226D">
        <w:t xml:space="preserve"> is received</w:t>
      </w:r>
      <w:r w:rsidR="00B50DAF">
        <w:t xml:space="preserve">, determine that </w:t>
      </w:r>
      <w:r w:rsidR="006B1CA9">
        <w:t xml:space="preserve">the provisions for </w:t>
      </w:r>
      <w:r w:rsidR="00052F2A">
        <w:t xml:space="preserve">dealing with a notification waiver application for a surprise hostile takeover do not apply. The Commission may only make this decision if satisfied that </w:t>
      </w:r>
      <w:r w:rsidR="00F67F38">
        <w:t xml:space="preserve">a </w:t>
      </w:r>
      <w:r w:rsidR="00052F2A">
        <w:t xml:space="preserve">matter set out in paragraph 51ABZZL(5)(c), (d) </w:t>
      </w:r>
      <w:r w:rsidR="004D7CB3">
        <w:t>or</w:t>
      </w:r>
      <w:r w:rsidR="00052F2A">
        <w:t xml:space="preserve"> (e) </w:t>
      </w:r>
      <w:r w:rsidR="004D7CB3">
        <w:t>applies</w:t>
      </w:r>
      <w:r w:rsidR="005B19E4">
        <w:t xml:space="preserve"> in relation to the acquisition</w:t>
      </w:r>
      <w:r w:rsidR="006E7273">
        <w:t xml:space="preserve">. Subsection 6-5(6) requires the Commission to give the applicant written notice of this </w:t>
      </w:r>
      <w:r w:rsidR="00CB2A8D">
        <w:t>decision and</w:t>
      </w:r>
      <w:r w:rsidR="00617B5F">
        <w:t xml:space="preserve"> provides that section 6-5 is taken to have never applied to the notification waiver application.</w:t>
      </w:r>
    </w:p>
    <w:p w14:paraId="74E75885" w14:textId="1043F002" w:rsidR="003E6B46" w:rsidRPr="00F61902" w:rsidRDefault="00E447A1" w:rsidP="00456C92">
      <w:pPr>
        <w:keepNext/>
        <w:keepLines/>
        <w:spacing w:before="240" w:after="200"/>
        <w:rPr>
          <w:color w:val="7F7F7F" w:themeColor="text1" w:themeTint="80"/>
        </w:rPr>
      </w:pPr>
      <w:r w:rsidRPr="00F61902">
        <w:rPr>
          <w:i/>
          <w:color w:val="7F7F7F" w:themeColor="text1" w:themeTint="80"/>
        </w:rPr>
        <w:t>Commission determination of notification waiver applications: voluntary transfers under the Financial Sector (Transfer and Restructure) Act 1999</w:t>
      </w:r>
    </w:p>
    <w:p w14:paraId="6C8F0E33" w14:textId="77777777" w:rsidR="00AB359A" w:rsidRDefault="00AB359A" w:rsidP="00AB359A">
      <w:pPr>
        <w:pStyle w:val="Bullet"/>
        <w:numPr>
          <w:ilvl w:val="0"/>
          <w:numId w:val="0"/>
        </w:numPr>
      </w:pPr>
      <w:r>
        <w:t xml:space="preserve">The intent for section 6-6 is to extend the availability of confidential reviews of certain voluntary transfers to notification waiver applications. </w:t>
      </w:r>
    </w:p>
    <w:p w14:paraId="37CCEDD7" w14:textId="3AAF9041" w:rsidR="00E447A1" w:rsidRPr="0060227D" w:rsidRDefault="00E447A1" w:rsidP="00034C8A">
      <w:pPr>
        <w:spacing w:before="240" w:after="200"/>
      </w:pPr>
      <w:r>
        <w:lastRenderedPageBreak/>
        <w:t>Section</w:t>
      </w:r>
      <w:r w:rsidR="0060227D">
        <w:t xml:space="preserve"> 6-6 provides for determining a notification waiver application made in relation to an acquisition that is the result of a voluntary transfer under the FSTR</w:t>
      </w:r>
      <w:r w:rsidR="00173704">
        <w:t xml:space="preserve"> Act. For this provision to apply, </w:t>
      </w:r>
      <w:r w:rsidR="00F14ECF">
        <w:t xml:space="preserve">subsection 6-6(1) provides that </w:t>
      </w:r>
      <w:r w:rsidR="00173704">
        <w:t xml:space="preserve">the </w:t>
      </w:r>
      <w:r w:rsidR="005A0D61">
        <w:t>notification waiver application must relate to an acquisition that satisfies paragraphs 51ABZZQ(1)(a) and (b) of the CCA.</w:t>
      </w:r>
    </w:p>
    <w:p w14:paraId="5719F53D" w14:textId="626082B3" w:rsidR="00647356" w:rsidRDefault="00F14ECF" w:rsidP="00466DD5">
      <w:pPr>
        <w:spacing w:before="240" w:after="200"/>
      </w:pPr>
      <w:r>
        <w:t xml:space="preserve">Subsection 6-6(2) provides that </w:t>
      </w:r>
      <w:r w:rsidR="007E51C4">
        <w:t xml:space="preserve">the Commission must not include information or documents on the acquisitions register </w:t>
      </w:r>
      <w:r w:rsidR="00121E02">
        <w:t xml:space="preserve">for a notification waiver application made regarding a voluntary transfer under the FSTR Act </w:t>
      </w:r>
      <w:r w:rsidR="00805936">
        <w:t xml:space="preserve">that satisfies paragraphs 51ABZZQ(1)(a) and (b) </w:t>
      </w:r>
      <w:r w:rsidR="00121E02">
        <w:t xml:space="preserve">before </w:t>
      </w:r>
      <w:r w:rsidR="002867C4">
        <w:t xml:space="preserve">whichever of </w:t>
      </w:r>
      <w:r w:rsidR="004738B2">
        <w:t>the following</w:t>
      </w:r>
      <w:r w:rsidR="002867C4">
        <w:t xml:space="preserve"> occurs</w:t>
      </w:r>
      <w:r w:rsidR="004738B2">
        <w:t>:</w:t>
      </w:r>
    </w:p>
    <w:p w14:paraId="2259A1DB" w14:textId="3B1691AD" w:rsidR="004738B2" w:rsidRDefault="002E67F7" w:rsidP="003222C3">
      <w:pPr>
        <w:pStyle w:val="Bullet"/>
      </w:pPr>
      <w:r>
        <w:t>t</w:t>
      </w:r>
      <w:r w:rsidR="004738B2">
        <w:t>he Commission makes a determination to grant the notification waiver</w:t>
      </w:r>
      <w:r w:rsidR="00D45FED">
        <w:t xml:space="preserve">. In this case, </w:t>
      </w:r>
      <w:r w:rsidR="00ED3140">
        <w:t>the information required by paragraph 5-2(1)(a) must be included on the acquisitions register within 1 business day after the determination is made or, if that is not practicable, as soon as practicable after that day</w:t>
      </w:r>
      <w:r w:rsidR="007E6336">
        <w:t>;</w:t>
      </w:r>
      <w:r w:rsidR="00ED3140">
        <w:t xml:space="preserve"> </w:t>
      </w:r>
    </w:p>
    <w:p w14:paraId="1FB8086D" w14:textId="40387438" w:rsidR="00ED3140" w:rsidRDefault="002E67F7" w:rsidP="003222C3">
      <w:pPr>
        <w:pStyle w:val="Bullet"/>
      </w:pPr>
      <w:r>
        <w:t>t</w:t>
      </w:r>
      <w:r w:rsidR="00ED3140">
        <w:t xml:space="preserve">he Commission </w:t>
      </w:r>
      <w:r w:rsidR="002867C4">
        <w:t>makes a determination not to grant the notification waiver</w:t>
      </w:r>
      <w:r w:rsidR="00C21236">
        <w:t xml:space="preserve"> and then</w:t>
      </w:r>
      <w:r w:rsidR="006A4E4F">
        <w:t>, subsequently,</w:t>
      </w:r>
      <w:r w:rsidR="00C21236">
        <w:t xml:space="preserve"> makes a </w:t>
      </w:r>
      <w:r w:rsidR="006A4E4F">
        <w:t xml:space="preserve">final </w:t>
      </w:r>
      <w:r w:rsidR="00C21236">
        <w:t xml:space="preserve">decision </w:t>
      </w:r>
      <w:r w:rsidR="006A4E4F">
        <w:t>whether to put the acquisition into effect (pursuant to subsection 51ABZE of the CCA)</w:t>
      </w:r>
      <w:r w:rsidR="00D45FED">
        <w:t xml:space="preserve">. In this case, the Commission </w:t>
      </w:r>
      <w:r w:rsidR="00B21213">
        <w:t>must include the information required by paragraph 5-2(1)(a) on the acquisitions register within 1 business day after the determination made under subsection 51ABZE(1)</w:t>
      </w:r>
      <w:r w:rsidR="003222C3">
        <w:t xml:space="preserve"> or, if that is not practicable, as soon as practicable after that day. </w:t>
      </w:r>
      <w:r w:rsidR="00D45FED">
        <w:t xml:space="preserve"> </w:t>
      </w:r>
    </w:p>
    <w:p w14:paraId="7544656E" w14:textId="627888DA" w:rsidR="005A234A" w:rsidRDefault="005A234A" w:rsidP="006468C2">
      <w:pPr>
        <w:pStyle w:val="Bullet"/>
        <w:numPr>
          <w:ilvl w:val="0"/>
          <w:numId w:val="0"/>
        </w:numPr>
      </w:pPr>
      <w:r>
        <w:t xml:space="preserve">A note below subsection 6-6(2) </w:t>
      </w:r>
      <w:r w:rsidR="009C7C69">
        <w:t>explains that if neither event mentioned in paragraphs (a) or (b) occurs, then no information or documents are to be published on the acquisitions register in relation to the application.</w:t>
      </w:r>
    </w:p>
    <w:p w14:paraId="59604DDB" w14:textId="6B5A8271" w:rsidR="003222C3" w:rsidRDefault="0054691A" w:rsidP="006468C2">
      <w:pPr>
        <w:pStyle w:val="Bullet"/>
        <w:numPr>
          <w:ilvl w:val="0"/>
          <w:numId w:val="0"/>
        </w:numPr>
      </w:pPr>
      <w:r>
        <w:t xml:space="preserve">Subsection 6-6(3) is made for the purposes of subsection 51ABV(3) of the CCA, which allows the Minister </w:t>
      </w:r>
      <w:r w:rsidR="007F2CA3">
        <w:t xml:space="preserve">to determine requirements that the Commission must have regard to when deciding whether to grant or </w:t>
      </w:r>
      <w:r w:rsidR="006468C2">
        <w:t xml:space="preserve">refuse a notification waiver application. This subsection provides that, if the Commission has not made a </w:t>
      </w:r>
      <w:r w:rsidR="008C45D6">
        <w:t xml:space="preserve">determination in relation to a notification waiver application for an acquisition </w:t>
      </w:r>
      <w:r w:rsidR="00B838D6">
        <w:t xml:space="preserve">pursuant to </w:t>
      </w:r>
      <w:r w:rsidR="008C45D6">
        <w:t xml:space="preserve">voluntary transfer under the FSTR </w:t>
      </w:r>
      <w:r w:rsidR="00B838D6">
        <w:t xml:space="preserve">Act </w:t>
      </w:r>
      <w:r w:rsidR="00777585">
        <w:t>by the end of the</w:t>
      </w:r>
      <w:r w:rsidR="00B838D6">
        <w:t xml:space="preserve"> 25</w:t>
      </w:r>
      <w:r w:rsidR="00777585">
        <w:t>th</w:t>
      </w:r>
      <w:r w:rsidR="00B838D6">
        <w:t xml:space="preserve"> business day from </w:t>
      </w:r>
      <w:r w:rsidR="00777585">
        <w:t>the day after</w:t>
      </w:r>
      <w:r w:rsidR="00B838D6">
        <w:t xml:space="preserve"> receipt of a valid and complete application</w:t>
      </w:r>
      <w:r w:rsidR="0031113A">
        <w:t>, the Commission must make a determination to refuse to grant the notification waiver</w:t>
      </w:r>
      <w:r w:rsidR="00892774">
        <w:t xml:space="preserve"> on the first business day after the period ends. </w:t>
      </w:r>
      <w:bookmarkEnd w:id="0"/>
    </w:p>
    <w:sectPr w:rsidR="003222C3" w:rsidSect="004A27A8">
      <w:footerReference w:type="default" r:id="rId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E857" w14:textId="77777777" w:rsidR="0045449E" w:rsidRDefault="0045449E" w:rsidP="00954679">
      <w:pPr>
        <w:spacing w:before="0" w:after="0"/>
      </w:pPr>
      <w:r>
        <w:separator/>
      </w:r>
    </w:p>
  </w:endnote>
  <w:endnote w:type="continuationSeparator" w:id="0">
    <w:p w14:paraId="258E3788" w14:textId="77777777" w:rsidR="0045449E" w:rsidRDefault="0045449E" w:rsidP="00954679">
      <w:pPr>
        <w:spacing w:before="0" w:after="0"/>
      </w:pPr>
      <w:r>
        <w:continuationSeparator/>
      </w:r>
    </w:p>
  </w:endnote>
  <w:endnote w:type="continuationNotice" w:id="1">
    <w:p w14:paraId="685D09FF" w14:textId="77777777" w:rsidR="0045449E" w:rsidRDefault="004544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53B3FB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4E43" w14:textId="77777777" w:rsidR="0045449E" w:rsidRDefault="0045449E" w:rsidP="00954679">
      <w:pPr>
        <w:spacing w:before="0" w:after="0"/>
      </w:pPr>
      <w:r>
        <w:separator/>
      </w:r>
    </w:p>
  </w:footnote>
  <w:footnote w:type="continuationSeparator" w:id="0">
    <w:p w14:paraId="2FF0EFA5" w14:textId="77777777" w:rsidR="0045449E" w:rsidRDefault="0045449E" w:rsidP="00954679">
      <w:pPr>
        <w:spacing w:before="0" w:after="0"/>
      </w:pPr>
      <w:r>
        <w:continuationSeparator/>
      </w:r>
    </w:p>
  </w:footnote>
  <w:footnote w:type="continuationNotice" w:id="1">
    <w:p w14:paraId="5C8A8EA5" w14:textId="77777777" w:rsidR="0045449E" w:rsidRDefault="0045449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9CF1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1745D"/>
    <w:multiLevelType w:val="multilevel"/>
    <w:tmpl w:val="B2D4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773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D6932"/>
    <w:multiLevelType w:val="multilevel"/>
    <w:tmpl w:val="FE8C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23B19"/>
    <w:multiLevelType w:val="multilevel"/>
    <w:tmpl w:val="B7C8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873FA"/>
    <w:multiLevelType w:val="multilevel"/>
    <w:tmpl w:val="0E24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461057"/>
    <w:multiLevelType w:val="hybridMultilevel"/>
    <w:tmpl w:val="18667FB0"/>
    <w:lvl w:ilvl="0" w:tplc="E19A7B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C95110"/>
    <w:multiLevelType w:val="hybridMultilevel"/>
    <w:tmpl w:val="5BD434EC"/>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1" w15:restartNumberingAfterBreak="0">
    <w:nsid w:val="320E10E6"/>
    <w:multiLevelType w:val="multilevel"/>
    <w:tmpl w:val="E09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D460F"/>
    <w:multiLevelType w:val="multilevel"/>
    <w:tmpl w:val="DD86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B50EC"/>
    <w:multiLevelType w:val="multilevel"/>
    <w:tmpl w:val="82BE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82E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1607FC"/>
    <w:multiLevelType w:val="multilevel"/>
    <w:tmpl w:val="027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F298B"/>
    <w:multiLevelType w:val="hybridMultilevel"/>
    <w:tmpl w:val="7C621E84"/>
    <w:lvl w:ilvl="0" w:tplc="0C090001">
      <w:start w:val="6"/>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B2723D"/>
    <w:multiLevelType w:val="multilevel"/>
    <w:tmpl w:val="9CB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662D6"/>
    <w:multiLevelType w:val="multilevel"/>
    <w:tmpl w:val="F65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5524C"/>
    <w:multiLevelType w:val="multilevel"/>
    <w:tmpl w:val="C738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B6A60"/>
    <w:multiLevelType w:val="multilevel"/>
    <w:tmpl w:val="87B4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43C0B"/>
    <w:multiLevelType w:val="multilevel"/>
    <w:tmpl w:val="7B0A8C0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4A5972"/>
    <w:multiLevelType w:val="multilevel"/>
    <w:tmpl w:val="8B52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766F7"/>
    <w:multiLevelType w:val="multilevel"/>
    <w:tmpl w:val="A5D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25B29"/>
    <w:multiLevelType w:val="multilevel"/>
    <w:tmpl w:val="1B8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919768">
    <w:abstractNumId w:val="10"/>
  </w:num>
  <w:num w:numId="2" w16cid:durableId="92435628">
    <w:abstractNumId w:val="21"/>
  </w:num>
  <w:num w:numId="3" w16cid:durableId="102648425">
    <w:abstractNumId w:val="7"/>
  </w:num>
  <w:num w:numId="4" w16cid:durableId="1451314351">
    <w:abstractNumId w:val="3"/>
  </w:num>
  <w:num w:numId="5" w16cid:durableId="1455824937">
    <w:abstractNumId w:val="21"/>
  </w:num>
  <w:num w:numId="6" w16cid:durableId="2012178582">
    <w:abstractNumId w:val="21"/>
  </w:num>
  <w:num w:numId="7" w16cid:durableId="1173374635">
    <w:abstractNumId w:val="21"/>
  </w:num>
  <w:num w:numId="8" w16cid:durableId="1074162301">
    <w:abstractNumId w:val="21"/>
  </w:num>
  <w:num w:numId="9" w16cid:durableId="1206795025">
    <w:abstractNumId w:val="21"/>
  </w:num>
  <w:num w:numId="10" w16cid:durableId="474571849">
    <w:abstractNumId w:val="21"/>
  </w:num>
  <w:num w:numId="11" w16cid:durableId="890385033">
    <w:abstractNumId w:val="21"/>
  </w:num>
  <w:num w:numId="12" w16cid:durableId="392780191">
    <w:abstractNumId w:val="21"/>
  </w:num>
  <w:num w:numId="13" w16cid:durableId="1793669345">
    <w:abstractNumId w:val="21"/>
  </w:num>
  <w:num w:numId="14" w16cid:durableId="2085832638">
    <w:abstractNumId w:val="21"/>
  </w:num>
  <w:num w:numId="15" w16cid:durableId="724838217">
    <w:abstractNumId w:val="21"/>
  </w:num>
  <w:num w:numId="16" w16cid:durableId="951398036">
    <w:abstractNumId w:val="21"/>
  </w:num>
  <w:num w:numId="17" w16cid:durableId="94519791">
    <w:abstractNumId w:val="16"/>
  </w:num>
  <w:num w:numId="18" w16cid:durableId="371538802">
    <w:abstractNumId w:val="21"/>
  </w:num>
  <w:num w:numId="19" w16cid:durableId="50739595">
    <w:abstractNumId w:val="21"/>
  </w:num>
  <w:num w:numId="20" w16cid:durableId="1436444557">
    <w:abstractNumId w:val="21"/>
  </w:num>
  <w:num w:numId="21" w16cid:durableId="878738936">
    <w:abstractNumId w:val="21"/>
  </w:num>
  <w:num w:numId="22" w16cid:durableId="1578007633">
    <w:abstractNumId w:val="21"/>
  </w:num>
  <w:num w:numId="23" w16cid:durableId="1017317466">
    <w:abstractNumId w:val="21"/>
  </w:num>
  <w:num w:numId="24" w16cid:durableId="1620912684">
    <w:abstractNumId w:val="17"/>
  </w:num>
  <w:num w:numId="25" w16cid:durableId="1039941084">
    <w:abstractNumId w:val="4"/>
  </w:num>
  <w:num w:numId="26" w16cid:durableId="246037519">
    <w:abstractNumId w:val="22"/>
  </w:num>
  <w:num w:numId="27" w16cid:durableId="1747606967">
    <w:abstractNumId w:val="18"/>
  </w:num>
  <w:num w:numId="28" w16cid:durableId="1654795277">
    <w:abstractNumId w:val="23"/>
  </w:num>
  <w:num w:numId="29" w16cid:durableId="1948543972">
    <w:abstractNumId w:val="21"/>
  </w:num>
  <w:num w:numId="30" w16cid:durableId="1625774161">
    <w:abstractNumId w:val="8"/>
  </w:num>
  <w:num w:numId="31" w16cid:durableId="208763169">
    <w:abstractNumId w:val="19"/>
  </w:num>
  <w:num w:numId="32" w16cid:durableId="980042700">
    <w:abstractNumId w:val="13"/>
  </w:num>
  <w:num w:numId="33" w16cid:durableId="150096468">
    <w:abstractNumId w:val="6"/>
  </w:num>
  <w:num w:numId="34" w16cid:durableId="2000191298">
    <w:abstractNumId w:val="15"/>
  </w:num>
  <w:num w:numId="35" w16cid:durableId="1302223812">
    <w:abstractNumId w:val="9"/>
  </w:num>
  <w:num w:numId="36" w16cid:durableId="882445242">
    <w:abstractNumId w:val="2"/>
  </w:num>
  <w:num w:numId="37" w16cid:durableId="2120252556">
    <w:abstractNumId w:val="0"/>
  </w:num>
  <w:num w:numId="38" w16cid:durableId="1167860579">
    <w:abstractNumId w:val="14"/>
  </w:num>
  <w:num w:numId="39" w16cid:durableId="269049201">
    <w:abstractNumId w:val="20"/>
  </w:num>
  <w:num w:numId="40" w16cid:durableId="14697823">
    <w:abstractNumId w:val="1"/>
  </w:num>
  <w:num w:numId="41" w16cid:durableId="685712468">
    <w:abstractNumId w:val="5"/>
  </w:num>
  <w:num w:numId="42" w16cid:durableId="1442601966">
    <w:abstractNumId w:val="11"/>
  </w:num>
  <w:num w:numId="43" w16cid:durableId="1910075983">
    <w:abstractNumId w:val="24"/>
  </w:num>
  <w:num w:numId="44" w16cid:durableId="1994942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EC"/>
    <w:rsid w:val="00000DDE"/>
    <w:rsid w:val="00000FA4"/>
    <w:rsid w:val="00000FD2"/>
    <w:rsid w:val="00001591"/>
    <w:rsid w:val="00001EDE"/>
    <w:rsid w:val="000026BE"/>
    <w:rsid w:val="00002A39"/>
    <w:rsid w:val="00003189"/>
    <w:rsid w:val="00004102"/>
    <w:rsid w:val="00005B51"/>
    <w:rsid w:val="0000628C"/>
    <w:rsid w:val="000064DF"/>
    <w:rsid w:val="00007480"/>
    <w:rsid w:val="00012124"/>
    <w:rsid w:val="000121FC"/>
    <w:rsid w:val="000122DB"/>
    <w:rsid w:val="00013390"/>
    <w:rsid w:val="000133A5"/>
    <w:rsid w:val="0001353A"/>
    <w:rsid w:val="000137CB"/>
    <w:rsid w:val="00013BD8"/>
    <w:rsid w:val="00014AD7"/>
    <w:rsid w:val="0001504D"/>
    <w:rsid w:val="0001521D"/>
    <w:rsid w:val="00015D7A"/>
    <w:rsid w:val="00016CE2"/>
    <w:rsid w:val="00016EA2"/>
    <w:rsid w:val="00017D02"/>
    <w:rsid w:val="00022149"/>
    <w:rsid w:val="00022798"/>
    <w:rsid w:val="00022A31"/>
    <w:rsid w:val="0002317F"/>
    <w:rsid w:val="00023679"/>
    <w:rsid w:val="00023D1A"/>
    <w:rsid w:val="00023E16"/>
    <w:rsid w:val="0002546A"/>
    <w:rsid w:val="0002550A"/>
    <w:rsid w:val="000258DB"/>
    <w:rsid w:val="00025F4D"/>
    <w:rsid w:val="000263C5"/>
    <w:rsid w:val="000267D8"/>
    <w:rsid w:val="00026B0E"/>
    <w:rsid w:val="00027D3C"/>
    <w:rsid w:val="0003056E"/>
    <w:rsid w:val="00031A3E"/>
    <w:rsid w:val="00031AE1"/>
    <w:rsid w:val="000320AA"/>
    <w:rsid w:val="000326A4"/>
    <w:rsid w:val="00032C8E"/>
    <w:rsid w:val="00032FAE"/>
    <w:rsid w:val="00033589"/>
    <w:rsid w:val="00034C8A"/>
    <w:rsid w:val="00035354"/>
    <w:rsid w:val="000366EC"/>
    <w:rsid w:val="00037058"/>
    <w:rsid w:val="00037228"/>
    <w:rsid w:val="00037256"/>
    <w:rsid w:val="000375C8"/>
    <w:rsid w:val="00037BC7"/>
    <w:rsid w:val="000400BC"/>
    <w:rsid w:val="00040365"/>
    <w:rsid w:val="00040489"/>
    <w:rsid w:val="00041C87"/>
    <w:rsid w:val="000423F1"/>
    <w:rsid w:val="000429FD"/>
    <w:rsid w:val="0004374D"/>
    <w:rsid w:val="000437B5"/>
    <w:rsid w:val="000445F0"/>
    <w:rsid w:val="0004466D"/>
    <w:rsid w:val="00045393"/>
    <w:rsid w:val="000455BA"/>
    <w:rsid w:val="00046A54"/>
    <w:rsid w:val="00046B90"/>
    <w:rsid w:val="00047516"/>
    <w:rsid w:val="00050677"/>
    <w:rsid w:val="000508DF"/>
    <w:rsid w:val="000509A9"/>
    <w:rsid w:val="00050A45"/>
    <w:rsid w:val="00050DF2"/>
    <w:rsid w:val="0005143F"/>
    <w:rsid w:val="00051648"/>
    <w:rsid w:val="000517A6"/>
    <w:rsid w:val="00051A5A"/>
    <w:rsid w:val="000524A9"/>
    <w:rsid w:val="00052614"/>
    <w:rsid w:val="000527F6"/>
    <w:rsid w:val="00052F2A"/>
    <w:rsid w:val="0005316A"/>
    <w:rsid w:val="000532A8"/>
    <w:rsid w:val="000543B7"/>
    <w:rsid w:val="000547DB"/>
    <w:rsid w:val="00055225"/>
    <w:rsid w:val="00055533"/>
    <w:rsid w:val="000557D7"/>
    <w:rsid w:val="00055B68"/>
    <w:rsid w:val="000569B3"/>
    <w:rsid w:val="0005702D"/>
    <w:rsid w:val="00057380"/>
    <w:rsid w:val="00057461"/>
    <w:rsid w:val="00057DE2"/>
    <w:rsid w:val="00057DFB"/>
    <w:rsid w:val="000602B2"/>
    <w:rsid w:val="00060DD0"/>
    <w:rsid w:val="000619A5"/>
    <w:rsid w:val="00061A2D"/>
    <w:rsid w:val="000623D2"/>
    <w:rsid w:val="00063664"/>
    <w:rsid w:val="00063759"/>
    <w:rsid w:val="00063818"/>
    <w:rsid w:val="00063DC7"/>
    <w:rsid w:val="00064945"/>
    <w:rsid w:val="00065185"/>
    <w:rsid w:val="000657D2"/>
    <w:rsid w:val="000664D3"/>
    <w:rsid w:val="000672C8"/>
    <w:rsid w:val="000700CE"/>
    <w:rsid w:val="00072C81"/>
    <w:rsid w:val="00072ED6"/>
    <w:rsid w:val="00073266"/>
    <w:rsid w:val="00073F75"/>
    <w:rsid w:val="000747D6"/>
    <w:rsid w:val="00074D88"/>
    <w:rsid w:val="00075338"/>
    <w:rsid w:val="00075A77"/>
    <w:rsid w:val="00076178"/>
    <w:rsid w:val="0007657C"/>
    <w:rsid w:val="0007667D"/>
    <w:rsid w:val="00076A4B"/>
    <w:rsid w:val="00076E15"/>
    <w:rsid w:val="00076F6A"/>
    <w:rsid w:val="00076FF9"/>
    <w:rsid w:val="00077086"/>
    <w:rsid w:val="00077826"/>
    <w:rsid w:val="00077DB2"/>
    <w:rsid w:val="00077DFE"/>
    <w:rsid w:val="00080192"/>
    <w:rsid w:val="00080673"/>
    <w:rsid w:val="00080A1F"/>
    <w:rsid w:val="00081775"/>
    <w:rsid w:val="00081828"/>
    <w:rsid w:val="0008283B"/>
    <w:rsid w:val="000854E0"/>
    <w:rsid w:val="00086815"/>
    <w:rsid w:val="0008741E"/>
    <w:rsid w:val="00087A58"/>
    <w:rsid w:val="000903E8"/>
    <w:rsid w:val="000907C8"/>
    <w:rsid w:val="00090E6A"/>
    <w:rsid w:val="00091128"/>
    <w:rsid w:val="00091293"/>
    <w:rsid w:val="00091637"/>
    <w:rsid w:val="00091EAA"/>
    <w:rsid w:val="00093718"/>
    <w:rsid w:val="00093E04"/>
    <w:rsid w:val="00094C26"/>
    <w:rsid w:val="00094FA4"/>
    <w:rsid w:val="00095211"/>
    <w:rsid w:val="000954FE"/>
    <w:rsid w:val="00096066"/>
    <w:rsid w:val="00096BD5"/>
    <w:rsid w:val="000A05B4"/>
    <w:rsid w:val="000A0706"/>
    <w:rsid w:val="000A11E1"/>
    <w:rsid w:val="000A12CF"/>
    <w:rsid w:val="000A240A"/>
    <w:rsid w:val="000A25C9"/>
    <w:rsid w:val="000A345A"/>
    <w:rsid w:val="000A3916"/>
    <w:rsid w:val="000A3E7E"/>
    <w:rsid w:val="000A3EA6"/>
    <w:rsid w:val="000A46EE"/>
    <w:rsid w:val="000A47C0"/>
    <w:rsid w:val="000A5154"/>
    <w:rsid w:val="000A5DF6"/>
    <w:rsid w:val="000A69C5"/>
    <w:rsid w:val="000A70DD"/>
    <w:rsid w:val="000A7406"/>
    <w:rsid w:val="000A76A0"/>
    <w:rsid w:val="000B0445"/>
    <w:rsid w:val="000B0871"/>
    <w:rsid w:val="000B11CA"/>
    <w:rsid w:val="000B1311"/>
    <w:rsid w:val="000B1693"/>
    <w:rsid w:val="000B16A3"/>
    <w:rsid w:val="000B2499"/>
    <w:rsid w:val="000B3007"/>
    <w:rsid w:val="000B328F"/>
    <w:rsid w:val="000B3332"/>
    <w:rsid w:val="000B35F8"/>
    <w:rsid w:val="000B3948"/>
    <w:rsid w:val="000B39A1"/>
    <w:rsid w:val="000B4615"/>
    <w:rsid w:val="000B4AEA"/>
    <w:rsid w:val="000B58A9"/>
    <w:rsid w:val="000B59A8"/>
    <w:rsid w:val="000B5EF4"/>
    <w:rsid w:val="000B62B1"/>
    <w:rsid w:val="000B65E0"/>
    <w:rsid w:val="000B6C41"/>
    <w:rsid w:val="000B7351"/>
    <w:rsid w:val="000C0F91"/>
    <w:rsid w:val="000C10DF"/>
    <w:rsid w:val="000C20BC"/>
    <w:rsid w:val="000C211D"/>
    <w:rsid w:val="000C2E12"/>
    <w:rsid w:val="000C3080"/>
    <w:rsid w:val="000C3AA7"/>
    <w:rsid w:val="000C3D53"/>
    <w:rsid w:val="000C3ECC"/>
    <w:rsid w:val="000C4256"/>
    <w:rsid w:val="000C47F1"/>
    <w:rsid w:val="000C4B61"/>
    <w:rsid w:val="000C4E78"/>
    <w:rsid w:val="000C5068"/>
    <w:rsid w:val="000C5C40"/>
    <w:rsid w:val="000C5EC3"/>
    <w:rsid w:val="000C68D8"/>
    <w:rsid w:val="000C68F7"/>
    <w:rsid w:val="000C6935"/>
    <w:rsid w:val="000C7AC1"/>
    <w:rsid w:val="000D0A67"/>
    <w:rsid w:val="000D0BE0"/>
    <w:rsid w:val="000D11E5"/>
    <w:rsid w:val="000D18BA"/>
    <w:rsid w:val="000D2234"/>
    <w:rsid w:val="000D291A"/>
    <w:rsid w:val="000D37FA"/>
    <w:rsid w:val="000D45FA"/>
    <w:rsid w:val="000D5827"/>
    <w:rsid w:val="000D59B4"/>
    <w:rsid w:val="000D5F11"/>
    <w:rsid w:val="000D639B"/>
    <w:rsid w:val="000D6F56"/>
    <w:rsid w:val="000E0BA3"/>
    <w:rsid w:val="000E1802"/>
    <w:rsid w:val="000E1CDE"/>
    <w:rsid w:val="000E1E4F"/>
    <w:rsid w:val="000E2326"/>
    <w:rsid w:val="000E2B74"/>
    <w:rsid w:val="000E32E3"/>
    <w:rsid w:val="000E3740"/>
    <w:rsid w:val="000E413A"/>
    <w:rsid w:val="000E451E"/>
    <w:rsid w:val="000E4C6F"/>
    <w:rsid w:val="000E53EA"/>
    <w:rsid w:val="000E5931"/>
    <w:rsid w:val="000E5C5D"/>
    <w:rsid w:val="000E5CC4"/>
    <w:rsid w:val="000E5D54"/>
    <w:rsid w:val="000E6027"/>
    <w:rsid w:val="000E67D8"/>
    <w:rsid w:val="000E6C26"/>
    <w:rsid w:val="000E6F01"/>
    <w:rsid w:val="000E7120"/>
    <w:rsid w:val="000E73C7"/>
    <w:rsid w:val="000E7493"/>
    <w:rsid w:val="000E7A82"/>
    <w:rsid w:val="000E7C9D"/>
    <w:rsid w:val="000F0C7C"/>
    <w:rsid w:val="000F1D6B"/>
    <w:rsid w:val="000F1D86"/>
    <w:rsid w:val="000F1F12"/>
    <w:rsid w:val="000F2120"/>
    <w:rsid w:val="000F2717"/>
    <w:rsid w:val="000F310F"/>
    <w:rsid w:val="000F33A7"/>
    <w:rsid w:val="000F3A05"/>
    <w:rsid w:val="000F3CC8"/>
    <w:rsid w:val="000F475F"/>
    <w:rsid w:val="000F5222"/>
    <w:rsid w:val="000F53D9"/>
    <w:rsid w:val="000F5420"/>
    <w:rsid w:val="000F5887"/>
    <w:rsid w:val="000F6237"/>
    <w:rsid w:val="000F66E9"/>
    <w:rsid w:val="000F6A48"/>
    <w:rsid w:val="000F6D37"/>
    <w:rsid w:val="000F6D74"/>
    <w:rsid w:val="000F78A9"/>
    <w:rsid w:val="000F78C8"/>
    <w:rsid w:val="000F7D8D"/>
    <w:rsid w:val="000F7F89"/>
    <w:rsid w:val="00100630"/>
    <w:rsid w:val="001009D2"/>
    <w:rsid w:val="001012C2"/>
    <w:rsid w:val="00101341"/>
    <w:rsid w:val="001013E1"/>
    <w:rsid w:val="00101642"/>
    <w:rsid w:val="0010185E"/>
    <w:rsid w:val="00102408"/>
    <w:rsid w:val="00102890"/>
    <w:rsid w:val="00104F91"/>
    <w:rsid w:val="001051C4"/>
    <w:rsid w:val="001057DD"/>
    <w:rsid w:val="001058C9"/>
    <w:rsid w:val="00105B91"/>
    <w:rsid w:val="00105E1D"/>
    <w:rsid w:val="001066CB"/>
    <w:rsid w:val="0010700C"/>
    <w:rsid w:val="00107770"/>
    <w:rsid w:val="00107C7E"/>
    <w:rsid w:val="00110333"/>
    <w:rsid w:val="00111755"/>
    <w:rsid w:val="001128D0"/>
    <w:rsid w:val="00113427"/>
    <w:rsid w:val="001136D8"/>
    <w:rsid w:val="00113B45"/>
    <w:rsid w:val="00113DBB"/>
    <w:rsid w:val="00114003"/>
    <w:rsid w:val="00114B10"/>
    <w:rsid w:val="0011527C"/>
    <w:rsid w:val="00116511"/>
    <w:rsid w:val="00116ABF"/>
    <w:rsid w:val="00117B7F"/>
    <w:rsid w:val="00117BD4"/>
    <w:rsid w:val="00117C02"/>
    <w:rsid w:val="00120084"/>
    <w:rsid w:val="0012107E"/>
    <w:rsid w:val="00121790"/>
    <w:rsid w:val="00121D74"/>
    <w:rsid w:val="00121E02"/>
    <w:rsid w:val="00121EC8"/>
    <w:rsid w:val="00122011"/>
    <w:rsid w:val="0012204D"/>
    <w:rsid w:val="001230A4"/>
    <w:rsid w:val="001230B1"/>
    <w:rsid w:val="00123267"/>
    <w:rsid w:val="0012369F"/>
    <w:rsid w:val="00123EFB"/>
    <w:rsid w:val="00124D47"/>
    <w:rsid w:val="00124F54"/>
    <w:rsid w:val="00125853"/>
    <w:rsid w:val="00126570"/>
    <w:rsid w:val="00126589"/>
    <w:rsid w:val="00126D42"/>
    <w:rsid w:val="0012753F"/>
    <w:rsid w:val="001276B4"/>
    <w:rsid w:val="00127724"/>
    <w:rsid w:val="0013088E"/>
    <w:rsid w:val="00131127"/>
    <w:rsid w:val="001313E0"/>
    <w:rsid w:val="001319C8"/>
    <w:rsid w:val="0013208B"/>
    <w:rsid w:val="001331B7"/>
    <w:rsid w:val="001331DD"/>
    <w:rsid w:val="001332D5"/>
    <w:rsid w:val="001338FF"/>
    <w:rsid w:val="00133D7A"/>
    <w:rsid w:val="00133EDD"/>
    <w:rsid w:val="001342E2"/>
    <w:rsid w:val="001348C5"/>
    <w:rsid w:val="00134964"/>
    <w:rsid w:val="00134D2B"/>
    <w:rsid w:val="00135133"/>
    <w:rsid w:val="001352A3"/>
    <w:rsid w:val="001355DF"/>
    <w:rsid w:val="00135AF3"/>
    <w:rsid w:val="00135F9F"/>
    <w:rsid w:val="00136BF9"/>
    <w:rsid w:val="00136E44"/>
    <w:rsid w:val="0013704D"/>
    <w:rsid w:val="0013707B"/>
    <w:rsid w:val="00137E61"/>
    <w:rsid w:val="00137F48"/>
    <w:rsid w:val="0014063C"/>
    <w:rsid w:val="00140943"/>
    <w:rsid w:val="00140ACA"/>
    <w:rsid w:val="001414C2"/>
    <w:rsid w:val="0014178D"/>
    <w:rsid w:val="00141E12"/>
    <w:rsid w:val="001424A5"/>
    <w:rsid w:val="001427DB"/>
    <w:rsid w:val="001427FD"/>
    <w:rsid w:val="00142BCF"/>
    <w:rsid w:val="0014366C"/>
    <w:rsid w:val="00144449"/>
    <w:rsid w:val="00144831"/>
    <w:rsid w:val="00144ADB"/>
    <w:rsid w:val="00144C2A"/>
    <w:rsid w:val="00144D27"/>
    <w:rsid w:val="0014608E"/>
    <w:rsid w:val="00147425"/>
    <w:rsid w:val="001507F3"/>
    <w:rsid w:val="00150DFC"/>
    <w:rsid w:val="00151418"/>
    <w:rsid w:val="0015236D"/>
    <w:rsid w:val="00152E4E"/>
    <w:rsid w:val="00152E71"/>
    <w:rsid w:val="00153147"/>
    <w:rsid w:val="00153F65"/>
    <w:rsid w:val="0015477F"/>
    <w:rsid w:val="00154AB6"/>
    <w:rsid w:val="00154BA4"/>
    <w:rsid w:val="00154DC2"/>
    <w:rsid w:val="0015528E"/>
    <w:rsid w:val="0015552C"/>
    <w:rsid w:val="001568B9"/>
    <w:rsid w:val="00156F24"/>
    <w:rsid w:val="001571A6"/>
    <w:rsid w:val="00157200"/>
    <w:rsid w:val="001575EF"/>
    <w:rsid w:val="00157B50"/>
    <w:rsid w:val="001605A0"/>
    <w:rsid w:val="00161860"/>
    <w:rsid w:val="00162E0F"/>
    <w:rsid w:val="001630CE"/>
    <w:rsid w:val="00163B11"/>
    <w:rsid w:val="00163E7C"/>
    <w:rsid w:val="001650E3"/>
    <w:rsid w:val="001653D6"/>
    <w:rsid w:val="001668FD"/>
    <w:rsid w:val="00167A34"/>
    <w:rsid w:val="00167C4A"/>
    <w:rsid w:val="00167C99"/>
    <w:rsid w:val="00170183"/>
    <w:rsid w:val="00170877"/>
    <w:rsid w:val="001710E6"/>
    <w:rsid w:val="00171455"/>
    <w:rsid w:val="00172B5A"/>
    <w:rsid w:val="00173552"/>
    <w:rsid w:val="00173704"/>
    <w:rsid w:val="0017499C"/>
    <w:rsid w:val="00175733"/>
    <w:rsid w:val="001759FA"/>
    <w:rsid w:val="00175A25"/>
    <w:rsid w:val="00175AD0"/>
    <w:rsid w:val="0017613C"/>
    <w:rsid w:val="0017667B"/>
    <w:rsid w:val="00176C39"/>
    <w:rsid w:val="00176F30"/>
    <w:rsid w:val="001771E9"/>
    <w:rsid w:val="001809E6"/>
    <w:rsid w:val="0018119C"/>
    <w:rsid w:val="00181266"/>
    <w:rsid w:val="00181283"/>
    <w:rsid w:val="001818A4"/>
    <w:rsid w:val="00181C3A"/>
    <w:rsid w:val="00182B3E"/>
    <w:rsid w:val="00182DE0"/>
    <w:rsid w:val="00182F15"/>
    <w:rsid w:val="00183388"/>
    <w:rsid w:val="00183672"/>
    <w:rsid w:val="00183919"/>
    <w:rsid w:val="00185157"/>
    <w:rsid w:val="00185214"/>
    <w:rsid w:val="00186AD9"/>
    <w:rsid w:val="00187132"/>
    <w:rsid w:val="001871B5"/>
    <w:rsid w:val="00187419"/>
    <w:rsid w:val="00187857"/>
    <w:rsid w:val="001906ED"/>
    <w:rsid w:val="001909D7"/>
    <w:rsid w:val="001921B3"/>
    <w:rsid w:val="0019251D"/>
    <w:rsid w:val="00192603"/>
    <w:rsid w:val="00192C61"/>
    <w:rsid w:val="00193288"/>
    <w:rsid w:val="00193A3C"/>
    <w:rsid w:val="00193A47"/>
    <w:rsid w:val="0019404C"/>
    <w:rsid w:val="00194E49"/>
    <w:rsid w:val="0019594A"/>
    <w:rsid w:val="00195A29"/>
    <w:rsid w:val="00195A7B"/>
    <w:rsid w:val="00195DEF"/>
    <w:rsid w:val="00196958"/>
    <w:rsid w:val="0019709D"/>
    <w:rsid w:val="0019798A"/>
    <w:rsid w:val="00197C97"/>
    <w:rsid w:val="00197E8E"/>
    <w:rsid w:val="001A0B91"/>
    <w:rsid w:val="001A0BE7"/>
    <w:rsid w:val="001A0BF6"/>
    <w:rsid w:val="001A1935"/>
    <w:rsid w:val="001A1F60"/>
    <w:rsid w:val="001A2807"/>
    <w:rsid w:val="001A3A24"/>
    <w:rsid w:val="001A3E64"/>
    <w:rsid w:val="001A40CC"/>
    <w:rsid w:val="001A41D1"/>
    <w:rsid w:val="001A4D7A"/>
    <w:rsid w:val="001A50BA"/>
    <w:rsid w:val="001A60E5"/>
    <w:rsid w:val="001A6343"/>
    <w:rsid w:val="001A63DC"/>
    <w:rsid w:val="001A65A3"/>
    <w:rsid w:val="001A65F1"/>
    <w:rsid w:val="001B0572"/>
    <w:rsid w:val="001B11EE"/>
    <w:rsid w:val="001B1214"/>
    <w:rsid w:val="001B129A"/>
    <w:rsid w:val="001B15A0"/>
    <w:rsid w:val="001B2FB7"/>
    <w:rsid w:val="001B3464"/>
    <w:rsid w:val="001B34B0"/>
    <w:rsid w:val="001B41E8"/>
    <w:rsid w:val="001B4919"/>
    <w:rsid w:val="001B4C27"/>
    <w:rsid w:val="001B4F93"/>
    <w:rsid w:val="001B506D"/>
    <w:rsid w:val="001B52D6"/>
    <w:rsid w:val="001B54F4"/>
    <w:rsid w:val="001B5D98"/>
    <w:rsid w:val="001B6180"/>
    <w:rsid w:val="001B6B40"/>
    <w:rsid w:val="001B6F96"/>
    <w:rsid w:val="001B7535"/>
    <w:rsid w:val="001B7EC2"/>
    <w:rsid w:val="001C032E"/>
    <w:rsid w:val="001C03B8"/>
    <w:rsid w:val="001C0477"/>
    <w:rsid w:val="001C065E"/>
    <w:rsid w:val="001C147A"/>
    <w:rsid w:val="001C233B"/>
    <w:rsid w:val="001C2820"/>
    <w:rsid w:val="001C3264"/>
    <w:rsid w:val="001C3309"/>
    <w:rsid w:val="001C3DAC"/>
    <w:rsid w:val="001C3DFA"/>
    <w:rsid w:val="001C3F98"/>
    <w:rsid w:val="001C4D5E"/>
    <w:rsid w:val="001C52B3"/>
    <w:rsid w:val="001C57F8"/>
    <w:rsid w:val="001C5D15"/>
    <w:rsid w:val="001C626F"/>
    <w:rsid w:val="001C6535"/>
    <w:rsid w:val="001C6773"/>
    <w:rsid w:val="001C6C64"/>
    <w:rsid w:val="001C7513"/>
    <w:rsid w:val="001C77D9"/>
    <w:rsid w:val="001C7DBA"/>
    <w:rsid w:val="001D0F36"/>
    <w:rsid w:val="001D1492"/>
    <w:rsid w:val="001D1FF4"/>
    <w:rsid w:val="001D20E6"/>
    <w:rsid w:val="001D237A"/>
    <w:rsid w:val="001D262F"/>
    <w:rsid w:val="001D31A5"/>
    <w:rsid w:val="001D38E0"/>
    <w:rsid w:val="001D3ABC"/>
    <w:rsid w:val="001D41D0"/>
    <w:rsid w:val="001D4637"/>
    <w:rsid w:val="001D498B"/>
    <w:rsid w:val="001D4C58"/>
    <w:rsid w:val="001D5520"/>
    <w:rsid w:val="001D7139"/>
    <w:rsid w:val="001D7900"/>
    <w:rsid w:val="001E0614"/>
    <w:rsid w:val="001E0A7F"/>
    <w:rsid w:val="001E1017"/>
    <w:rsid w:val="001E165A"/>
    <w:rsid w:val="001E1995"/>
    <w:rsid w:val="001E20C8"/>
    <w:rsid w:val="001E2F66"/>
    <w:rsid w:val="001E3CB4"/>
    <w:rsid w:val="001E40DF"/>
    <w:rsid w:val="001E493F"/>
    <w:rsid w:val="001E561E"/>
    <w:rsid w:val="001E61B4"/>
    <w:rsid w:val="001E699B"/>
    <w:rsid w:val="001E6A74"/>
    <w:rsid w:val="001E6FF9"/>
    <w:rsid w:val="001E71BE"/>
    <w:rsid w:val="001E751A"/>
    <w:rsid w:val="001F00CA"/>
    <w:rsid w:val="001F0631"/>
    <w:rsid w:val="001F066A"/>
    <w:rsid w:val="001F0D4D"/>
    <w:rsid w:val="001F0FF3"/>
    <w:rsid w:val="001F12F5"/>
    <w:rsid w:val="001F2581"/>
    <w:rsid w:val="001F2E6B"/>
    <w:rsid w:val="001F321F"/>
    <w:rsid w:val="001F3443"/>
    <w:rsid w:val="001F3D49"/>
    <w:rsid w:val="001F41D0"/>
    <w:rsid w:val="001F450C"/>
    <w:rsid w:val="001F462C"/>
    <w:rsid w:val="001F46CB"/>
    <w:rsid w:val="001F4A0A"/>
    <w:rsid w:val="001F4BC4"/>
    <w:rsid w:val="001F5B0B"/>
    <w:rsid w:val="001F6AD0"/>
    <w:rsid w:val="001F6CBD"/>
    <w:rsid w:val="001F72E5"/>
    <w:rsid w:val="001F774B"/>
    <w:rsid w:val="001F78A8"/>
    <w:rsid w:val="0020046F"/>
    <w:rsid w:val="0020062D"/>
    <w:rsid w:val="00201331"/>
    <w:rsid w:val="00201610"/>
    <w:rsid w:val="00201AF1"/>
    <w:rsid w:val="00201C8F"/>
    <w:rsid w:val="00201F09"/>
    <w:rsid w:val="0020231A"/>
    <w:rsid w:val="002032A5"/>
    <w:rsid w:val="00203394"/>
    <w:rsid w:val="002041E4"/>
    <w:rsid w:val="00204C3C"/>
    <w:rsid w:val="002051FC"/>
    <w:rsid w:val="0020583B"/>
    <w:rsid w:val="00206401"/>
    <w:rsid w:val="0020677B"/>
    <w:rsid w:val="00206C1F"/>
    <w:rsid w:val="00207DCE"/>
    <w:rsid w:val="00207FBF"/>
    <w:rsid w:val="002108B8"/>
    <w:rsid w:val="0021279F"/>
    <w:rsid w:val="00212833"/>
    <w:rsid w:val="0021334D"/>
    <w:rsid w:val="00213581"/>
    <w:rsid w:val="0021413A"/>
    <w:rsid w:val="002145E6"/>
    <w:rsid w:val="00215A1A"/>
    <w:rsid w:val="00216A97"/>
    <w:rsid w:val="00216CD1"/>
    <w:rsid w:val="00216E51"/>
    <w:rsid w:val="002177E2"/>
    <w:rsid w:val="00217B53"/>
    <w:rsid w:val="00220735"/>
    <w:rsid w:val="00220F16"/>
    <w:rsid w:val="00221082"/>
    <w:rsid w:val="00223796"/>
    <w:rsid w:val="002237A7"/>
    <w:rsid w:val="00224779"/>
    <w:rsid w:val="002250D3"/>
    <w:rsid w:val="0022550C"/>
    <w:rsid w:val="00225B81"/>
    <w:rsid w:val="00225BE6"/>
    <w:rsid w:val="00226347"/>
    <w:rsid w:val="00226851"/>
    <w:rsid w:val="002269AD"/>
    <w:rsid w:val="00226BBC"/>
    <w:rsid w:val="00226FCD"/>
    <w:rsid w:val="00226FF0"/>
    <w:rsid w:val="00227286"/>
    <w:rsid w:val="002277BA"/>
    <w:rsid w:val="00230323"/>
    <w:rsid w:val="00230397"/>
    <w:rsid w:val="002309A9"/>
    <w:rsid w:val="00231837"/>
    <w:rsid w:val="00231932"/>
    <w:rsid w:val="00231AF0"/>
    <w:rsid w:val="00231D0A"/>
    <w:rsid w:val="00232C3E"/>
    <w:rsid w:val="00232FF0"/>
    <w:rsid w:val="00233275"/>
    <w:rsid w:val="002332C4"/>
    <w:rsid w:val="00233BC9"/>
    <w:rsid w:val="00234066"/>
    <w:rsid w:val="00234629"/>
    <w:rsid w:val="002349A0"/>
    <w:rsid w:val="002356D3"/>
    <w:rsid w:val="002368CC"/>
    <w:rsid w:val="00236C11"/>
    <w:rsid w:val="002370E7"/>
    <w:rsid w:val="002378F6"/>
    <w:rsid w:val="0024011E"/>
    <w:rsid w:val="0024021D"/>
    <w:rsid w:val="0024050D"/>
    <w:rsid w:val="00240854"/>
    <w:rsid w:val="00240D31"/>
    <w:rsid w:val="00241636"/>
    <w:rsid w:val="0024167F"/>
    <w:rsid w:val="00241984"/>
    <w:rsid w:val="002419BD"/>
    <w:rsid w:val="00242258"/>
    <w:rsid w:val="0024226D"/>
    <w:rsid w:val="002422F5"/>
    <w:rsid w:val="0024245F"/>
    <w:rsid w:val="00242FE3"/>
    <w:rsid w:val="002438E0"/>
    <w:rsid w:val="002439CC"/>
    <w:rsid w:val="00243ED7"/>
    <w:rsid w:val="00244017"/>
    <w:rsid w:val="0024441B"/>
    <w:rsid w:val="002448F5"/>
    <w:rsid w:val="00244EB6"/>
    <w:rsid w:val="00245EDF"/>
    <w:rsid w:val="0024697B"/>
    <w:rsid w:val="0024716D"/>
    <w:rsid w:val="002474A1"/>
    <w:rsid w:val="00247761"/>
    <w:rsid w:val="002479F3"/>
    <w:rsid w:val="00250AEF"/>
    <w:rsid w:val="00250FB6"/>
    <w:rsid w:val="00251320"/>
    <w:rsid w:val="00251FB9"/>
    <w:rsid w:val="0025206E"/>
    <w:rsid w:val="00252306"/>
    <w:rsid w:val="00252DA0"/>
    <w:rsid w:val="002538D2"/>
    <w:rsid w:val="0025394C"/>
    <w:rsid w:val="00253CA5"/>
    <w:rsid w:val="00254B95"/>
    <w:rsid w:val="00254C5B"/>
    <w:rsid w:val="00254EE1"/>
    <w:rsid w:val="00255A89"/>
    <w:rsid w:val="002568A6"/>
    <w:rsid w:val="002574C8"/>
    <w:rsid w:val="00257619"/>
    <w:rsid w:val="002577EA"/>
    <w:rsid w:val="00257A97"/>
    <w:rsid w:val="00257BC0"/>
    <w:rsid w:val="00260534"/>
    <w:rsid w:val="00260639"/>
    <w:rsid w:val="00260B89"/>
    <w:rsid w:val="00260E7C"/>
    <w:rsid w:val="0026152A"/>
    <w:rsid w:val="002615E9"/>
    <w:rsid w:val="00263014"/>
    <w:rsid w:val="00263BE3"/>
    <w:rsid w:val="00263C69"/>
    <w:rsid w:val="00264F05"/>
    <w:rsid w:val="00265168"/>
    <w:rsid w:val="0026565B"/>
    <w:rsid w:val="00265762"/>
    <w:rsid w:val="0026585C"/>
    <w:rsid w:val="0026633C"/>
    <w:rsid w:val="00266407"/>
    <w:rsid w:val="00266FA7"/>
    <w:rsid w:val="002672AC"/>
    <w:rsid w:val="002672D4"/>
    <w:rsid w:val="00267384"/>
    <w:rsid w:val="00267D14"/>
    <w:rsid w:val="00270A88"/>
    <w:rsid w:val="00270AAA"/>
    <w:rsid w:val="00270B95"/>
    <w:rsid w:val="00270F73"/>
    <w:rsid w:val="0027118E"/>
    <w:rsid w:val="0027152E"/>
    <w:rsid w:val="002725E4"/>
    <w:rsid w:val="002725F4"/>
    <w:rsid w:val="002726C6"/>
    <w:rsid w:val="00272A80"/>
    <w:rsid w:val="00272AC5"/>
    <w:rsid w:val="00273307"/>
    <w:rsid w:val="002733BB"/>
    <w:rsid w:val="00273699"/>
    <w:rsid w:val="00273C59"/>
    <w:rsid w:val="0027436B"/>
    <w:rsid w:val="00274E11"/>
    <w:rsid w:val="002753AC"/>
    <w:rsid w:val="002771E5"/>
    <w:rsid w:val="00277840"/>
    <w:rsid w:val="00281754"/>
    <w:rsid w:val="00282258"/>
    <w:rsid w:val="0028241B"/>
    <w:rsid w:val="00282EEC"/>
    <w:rsid w:val="00282FE8"/>
    <w:rsid w:val="00283757"/>
    <w:rsid w:val="0028417E"/>
    <w:rsid w:val="00284C69"/>
    <w:rsid w:val="00284F70"/>
    <w:rsid w:val="00285895"/>
    <w:rsid w:val="0028670B"/>
    <w:rsid w:val="002867C4"/>
    <w:rsid w:val="00287158"/>
    <w:rsid w:val="0028772F"/>
    <w:rsid w:val="0028794B"/>
    <w:rsid w:val="00287C5A"/>
    <w:rsid w:val="00290163"/>
    <w:rsid w:val="002909E4"/>
    <w:rsid w:val="00290E5E"/>
    <w:rsid w:val="00290F71"/>
    <w:rsid w:val="002917C2"/>
    <w:rsid w:val="002919B9"/>
    <w:rsid w:val="002923C8"/>
    <w:rsid w:val="002930FB"/>
    <w:rsid w:val="0029328B"/>
    <w:rsid w:val="002933D9"/>
    <w:rsid w:val="00293839"/>
    <w:rsid w:val="00294148"/>
    <w:rsid w:val="002953FE"/>
    <w:rsid w:val="002955BA"/>
    <w:rsid w:val="00295630"/>
    <w:rsid w:val="00296D56"/>
    <w:rsid w:val="002A1236"/>
    <w:rsid w:val="002A1631"/>
    <w:rsid w:val="002A1652"/>
    <w:rsid w:val="002A2AE8"/>
    <w:rsid w:val="002A2E24"/>
    <w:rsid w:val="002A320B"/>
    <w:rsid w:val="002A38E9"/>
    <w:rsid w:val="002A3C80"/>
    <w:rsid w:val="002A4851"/>
    <w:rsid w:val="002A4B83"/>
    <w:rsid w:val="002A4BFF"/>
    <w:rsid w:val="002A50D9"/>
    <w:rsid w:val="002A56FC"/>
    <w:rsid w:val="002A58A2"/>
    <w:rsid w:val="002A5D79"/>
    <w:rsid w:val="002A63EF"/>
    <w:rsid w:val="002A6904"/>
    <w:rsid w:val="002A6D72"/>
    <w:rsid w:val="002A6DA4"/>
    <w:rsid w:val="002A7B00"/>
    <w:rsid w:val="002A7B74"/>
    <w:rsid w:val="002A7E1F"/>
    <w:rsid w:val="002B034A"/>
    <w:rsid w:val="002B0EA7"/>
    <w:rsid w:val="002B1AA1"/>
    <w:rsid w:val="002B32E6"/>
    <w:rsid w:val="002B3466"/>
    <w:rsid w:val="002B393C"/>
    <w:rsid w:val="002B3D7D"/>
    <w:rsid w:val="002B41D1"/>
    <w:rsid w:val="002B4276"/>
    <w:rsid w:val="002B53A6"/>
    <w:rsid w:val="002B5BEF"/>
    <w:rsid w:val="002B6999"/>
    <w:rsid w:val="002B6A1F"/>
    <w:rsid w:val="002B7B91"/>
    <w:rsid w:val="002B7FCD"/>
    <w:rsid w:val="002B7FF2"/>
    <w:rsid w:val="002C0792"/>
    <w:rsid w:val="002C0A5A"/>
    <w:rsid w:val="002C13CA"/>
    <w:rsid w:val="002C17F7"/>
    <w:rsid w:val="002C1884"/>
    <w:rsid w:val="002C2148"/>
    <w:rsid w:val="002C226C"/>
    <w:rsid w:val="002C3187"/>
    <w:rsid w:val="002C3E8A"/>
    <w:rsid w:val="002C3EE2"/>
    <w:rsid w:val="002C4207"/>
    <w:rsid w:val="002C45DF"/>
    <w:rsid w:val="002C4885"/>
    <w:rsid w:val="002C4B08"/>
    <w:rsid w:val="002C5136"/>
    <w:rsid w:val="002C59A2"/>
    <w:rsid w:val="002C6614"/>
    <w:rsid w:val="002C6706"/>
    <w:rsid w:val="002C6A47"/>
    <w:rsid w:val="002C7837"/>
    <w:rsid w:val="002C78B5"/>
    <w:rsid w:val="002C7A8B"/>
    <w:rsid w:val="002C7C9E"/>
    <w:rsid w:val="002D0287"/>
    <w:rsid w:val="002D0354"/>
    <w:rsid w:val="002D0C10"/>
    <w:rsid w:val="002D1421"/>
    <w:rsid w:val="002D1523"/>
    <w:rsid w:val="002D1B10"/>
    <w:rsid w:val="002D1E70"/>
    <w:rsid w:val="002D27AC"/>
    <w:rsid w:val="002D317C"/>
    <w:rsid w:val="002D32BE"/>
    <w:rsid w:val="002D353F"/>
    <w:rsid w:val="002D4A4F"/>
    <w:rsid w:val="002D4B55"/>
    <w:rsid w:val="002D4EF5"/>
    <w:rsid w:val="002D4F9F"/>
    <w:rsid w:val="002D51EF"/>
    <w:rsid w:val="002D5470"/>
    <w:rsid w:val="002D609E"/>
    <w:rsid w:val="002D6367"/>
    <w:rsid w:val="002D693C"/>
    <w:rsid w:val="002D72FD"/>
    <w:rsid w:val="002E08C6"/>
    <w:rsid w:val="002E0C8C"/>
    <w:rsid w:val="002E1656"/>
    <w:rsid w:val="002E1996"/>
    <w:rsid w:val="002E1C97"/>
    <w:rsid w:val="002E229C"/>
    <w:rsid w:val="002E2899"/>
    <w:rsid w:val="002E2BE2"/>
    <w:rsid w:val="002E2EDD"/>
    <w:rsid w:val="002E31D0"/>
    <w:rsid w:val="002E357E"/>
    <w:rsid w:val="002E3CC7"/>
    <w:rsid w:val="002E4B7C"/>
    <w:rsid w:val="002E4C44"/>
    <w:rsid w:val="002E4EC7"/>
    <w:rsid w:val="002E56FE"/>
    <w:rsid w:val="002E5C10"/>
    <w:rsid w:val="002E67F7"/>
    <w:rsid w:val="002E68D2"/>
    <w:rsid w:val="002E6C90"/>
    <w:rsid w:val="002E6DF4"/>
    <w:rsid w:val="002E6F61"/>
    <w:rsid w:val="002E73BB"/>
    <w:rsid w:val="002E741D"/>
    <w:rsid w:val="002F022D"/>
    <w:rsid w:val="002F2167"/>
    <w:rsid w:val="002F298D"/>
    <w:rsid w:val="002F2CF1"/>
    <w:rsid w:val="002F3152"/>
    <w:rsid w:val="002F3A57"/>
    <w:rsid w:val="002F49F2"/>
    <w:rsid w:val="002F4E54"/>
    <w:rsid w:val="002F5556"/>
    <w:rsid w:val="002F5873"/>
    <w:rsid w:val="002F61EA"/>
    <w:rsid w:val="002F6852"/>
    <w:rsid w:val="002F6BB1"/>
    <w:rsid w:val="002F6CB5"/>
    <w:rsid w:val="002F6DEC"/>
    <w:rsid w:val="002F72BB"/>
    <w:rsid w:val="002F7583"/>
    <w:rsid w:val="002F7DCE"/>
    <w:rsid w:val="00300A0F"/>
    <w:rsid w:val="00300A50"/>
    <w:rsid w:val="00300D66"/>
    <w:rsid w:val="0030168D"/>
    <w:rsid w:val="003018AA"/>
    <w:rsid w:val="0030229B"/>
    <w:rsid w:val="00302C1A"/>
    <w:rsid w:val="003031C5"/>
    <w:rsid w:val="003037F8"/>
    <w:rsid w:val="003041FA"/>
    <w:rsid w:val="00304BF5"/>
    <w:rsid w:val="003055A2"/>
    <w:rsid w:val="00306C62"/>
    <w:rsid w:val="00307296"/>
    <w:rsid w:val="00307345"/>
    <w:rsid w:val="003077C4"/>
    <w:rsid w:val="00310590"/>
    <w:rsid w:val="00310749"/>
    <w:rsid w:val="00310E00"/>
    <w:rsid w:val="0031113A"/>
    <w:rsid w:val="00311596"/>
    <w:rsid w:val="00312A68"/>
    <w:rsid w:val="00313D26"/>
    <w:rsid w:val="003143A0"/>
    <w:rsid w:val="00314943"/>
    <w:rsid w:val="003152C6"/>
    <w:rsid w:val="003153F3"/>
    <w:rsid w:val="00315B3F"/>
    <w:rsid w:val="00315ED9"/>
    <w:rsid w:val="00316BA5"/>
    <w:rsid w:val="00320531"/>
    <w:rsid w:val="00320596"/>
    <w:rsid w:val="00320963"/>
    <w:rsid w:val="0032116A"/>
    <w:rsid w:val="00321594"/>
    <w:rsid w:val="003217F7"/>
    <w:rsid w:val="003218A9"/>
    <w:rsid w:val="00321CC8"/>
    <w:rsid w:val="00322152"/>
    <w:rsid w:val="003222C3"/>
    <w:rsid w:val="00322F94"/>
    <w:rsid w:val="00323235"/>
    <w:rsid w:val="003235B5"/>
    <w:rsid w:val="003237F9"/>
    <w:rsid w:val="00323C27"/>
    <w:rsid w:val="00323FF1"/>
    <w:rsid w:val="0032681C"/>
    <w:rsid w:val="0032682A"/>
    <w:rsid w:val="00327DE9"/>
    <w:rsid w:val="00327E7C"/>
    <w:rsid w:val="00330344"/>
    <w:rsid w:val="003309F2"/>
    <w:rsid w:val="00331252"/>
    <w:rsid w:val="003315F3"/>
    <w:rsid w:val="00331D05"/>
    <w:rsid w:val="00331ED1"/>
    <w:rsid w:val="0033273A"/>
    <w:rsid w:val="00332C16"/>
    <w:rsid w:val="00332FC8"/>
    <w:rsid w:val="00333612"/>
    <w:rsid w:val="00333704"/>
    <w:rsid w:val="00333DFC"/>
    <w:rsid w:val="003342CD"/>
    <w:rsid w:val="0033477F"/>
    <w:rsid w:val="00334A99"/>
    <w:rsid w:val="00334DC7"/>
    <w:rsid w:val="00334EFB"/>
    <w:rsid w:val="00335042"/>
    <w:rsid w:val="003350EF"/>
    <w:rsid w:val="00335459"/>
    <w:rsid w:val="003358E6"/>
    <w:rsid w:val="003359D4"/>
    <w:rsid w:val="00335C64"/>
    <w:rsid w:val="00335DBB"/>
    <w:rsid w:val="0033690E"/>
    <w:rsid w:val="00336969"/>
    <w:rsid w:val="00337222"/>
    <w:rsid w:val="00340081"/>
    <w:rsid w:val="00340497"/>
    <w:rsid w:val="00341137"/>
    <w:rsid w:val="00341607"/>
    <w:rsid w:val="00341642"/>
    <w:rsid w:val="00341C2D"/>
    <w:rsid w:val="00342159"/>
    <w:rsid w:val="0034240E"/>
    <w:rsid w:val="003429B7"/>
    <w:rsid w:val="0034473E"/>
    <w:rsid w:val="003447D1"/>
    <w:rsid w:val="00344A08"/>
    <w:rsid w:val="003450B6"/>
    <w:rsid w:val="003453F8"/>
    <w:rsid w:val="00345B7A"/>
    <w:rsid w:val="00345B9D"/>
    <w:rsid w:val="00345FDF"/>
    <w:rsid w:val="003460F3"/>
    <w:rsid w:val="00346354"/>
    <w:rsid w:val="00346B75"/>
    <w:rsid w:val="003478C3"/>
    <w:rsid w:val="0035028F"/>
    <w:rsid w:val="003513DE"/>
    <w:rsid w:val="003515E4"/>
    <w:rsid w:val="00351B10"/>
    <w:rsid w:val="00351C53"/>
    <w:rsid w:val="00351F71"/>
    <w:rsid w:val="003521D8"/>
    <w:rsid w:val="0035248D"/>
    <w:rsid w:val="003524BB"/>
    <w:rsid w:val="00353350"/>
    <w:rsid w:val="0035341F"/>
    <w:rsid w:val="003536BB"/>
    <w:rsid w:val="0035547E"/>
    <w:rsid w:val="0035556E"/>
    <w:rsid w:val="00355872"/>
    <w:rsid w:val="0035667F"/>
    <w:rsid w:val="003567F5"/>
    <w:rsid w:val="00357733"/>
    <w:rsid w:val="00357E47"/>
    <w:rsid w:val="00360206"/>
    <w:rsid w:val="00360257"/>
    <w:rsid w:val="003603C9"/>
    <w:rsid w:val="0036084B"/>
    <w:rsid w:val="00360C0A"/>
    <w:rsid w:val="00360D8D"/>
    <w:rsid w:val="00360E26"/>
    <w:rsid w:val="003612CB"/>
    <w:rsid w:val="00361454"/>
    <w:rsid w:val="0036191B"/>
    <w:rsid w:val="00361CA6"/>
    <w:rsid w:val="003621B6"/>
    <w:rsid w:val="0036279C"/>
    <w:rsid w:val="00362B70"/>
    <w:rsid w:val="00363A4F"/>
    <w:rsid w:val="00363CAA"/>
    <w:rsid w:val="00364612"/>
    <w:rsid w:val="00364CCE"/>
    <w:rsid w:val="00364DEE"/>
    <w:rsid w:val="003652DB"/>
    <w:rsid w:val="00366482"/>
    <w:rsid w:val="0036648B"/>
    <w:rsid w:val="003664D4"/>
    <w:rsid w:val="003664E8"/>
    <w:rsid w:val="0036669E"/>
    <w:rsid w:val="00366C34"/>
    <w:rsid w:val="00366EC4"/>
    <w:rsid w:val="00367B25"/>
    <w:rsid w:val="00367F79"/>
    <w:rsid w:val="00370395"/>
    <w:rsid w:val="00370B64"/>
    <w:rsid w:val="0037114E"/>
    <w:rsid w:val="0037146D"/>
    <w:rsid w:val="0037180D"/>
    <w:rsid w:val="00371941"/>
    <w:rsid w:val="00371BF7"/>
    <w:rsid w:val="003721E3"/>
    <w:rsid w:val="003722ED"/>
    <w:rsid w:val="0037233A"/>
    <w:rsid w:val="003725B9"/>
    <w:rsid w:val="003730BB"/>
    <w:rsid w:val="00373137"/>
    <w:rsid w:val="003737DF"/>
    <w:rsid w:val="00373853"/>
    <w:rsid w:val="00373AFD"/>
    <w:rsid w:val="00373D13"/>
    <w:rsid w:val="003742DF"/>
    <w:rsid w:val="00375243"/>
    <w:rsid w:val="00375C09"/>
    <w:rsid w:val="00376663"/>
    <w:rsid w:val="0037718D"/>
    <w:rsid w:val="003774FE"/>
    <w:rsid w:val="00377ED3"/>
    <w:rsid w:val="00380064"/>
    <w:rsid w:val="0038045B"/>
    <w:rsid w:val="00381D76"/>
    <w:rsid w:val="003822FC"/>
    <w:rsid w:val="00383B53"/>
    <w:rsid w:val="0038425B"/>
    <w:rsid w:val="0038446E"/>
    <w:rsid w:val="003844C9"/>
    <w:rsid w:val="003845EF"/>
    <w:rsid w:val="00384C08"/>
    <w:rsid w:val="00385595"/>
    <w:rsid w:val="00385703"/>
    <w:rsid w:val="00385DAE"/>
    <w:rsid w:val="00385F31"/>
    <w:rsid w:val="00386964"/>
    <w:rsid w:val="003870E6"/>
    <w:rsid w:val="003871C8"/>
    <w:rsid w:val="00387250"/>
    <w:rsid w:val="00391820"/>
    <w:rsid w:val="00391CF7"/>
    <w:rsid w:val="0039245A"/>
    <w:rsid w:val="00392860"/>
    <w:rsid w:val="00392AE5"/>
    <w:rsid w:val="00392BBA"/>
    <w:rsid w:val="00392C0C"/>
    <w:rsid w:val="00393295"/>
    <w:rsid w:val="003945E8"/>
    <w:rsid w:val="00395095"/>
    <w:rsid w:val="003953E0"/>
    <w:rsid w:val="003954FD"/>
    <w:rsid w:val="003956D2"/>
    <w:rsid w:val="00395A24"/>
    <w:rsid w:val="0039612F"/>
    <w:rsid w:val="0039718D"/>
    <w:rsid w:val="003971DF"/>
    <w:rsid w:val="0039775F"/>
    <w:rsid w:val="0039778F"/>
    <w:rsid w:val="00397C0F"/>
    <w:rsid w:val="00397D60"/>
    <w:rsid w:val="003A002D"/>
    <w:rsid w:val="003A07E2"/>
    <w:rsid w:val="003A101C"/>
    <w:rsid w:val="003A1CCF"/>
    <w:rsid w:val="003A2981"/>
    <w:rsid w:val="003A3005"/>
    <w:rsid w:val="003A3643"/>
    <w:rsid w:val="003A3785"/>
    <w:rsid w:val="003A45BA"/>
    <w:rsid w:val="003A5D4F"/>
    <w:rsid w:val="003A635F"/>
    <w:rsid w:val="003A6F64"/>
    <w:rsid w:val="003A73CC"/>
    <w:rsid w:val="003B0098"/>
    <w:rsid w:val="003B011D"/>
    <w:rsid w:val="003B0B04"/>
    <w:rsid w:val="003B19DD"/>
    <w:rsid w:val="003B1B7F"/>
    <w:rsid w:val="003B31F4"/>
    <w:rsid w:val="003B34A2"/>
    <w:rsid w:val="003B3F0A"/>
    <w:rsid w:val="003B3F5C"/>
    <w:rsid w:val="003B4356"/>
    <w:rsid w:val="003B4C87"/>
    <w:rsid w:val="003B58D3"/>
    <w:rsid w:val="003B59B0"/>
    <w:rsid w:val="003B5F48"/>
    <w:rsid w:val="003B6B9A"/>
    <w:rsid w:val="003B6EF7"/>
    <w:rsid w:val="003B74EF"/>
    <w:rsid w:val="003B7999"/>
    <w:rsid w:val="003C0605"/>
    <w:rsid w:val="003C0D4D"/>
    <w:rsid w:val="003C0EF3"/>
    <w:rsid w:val="003C1242"/>
    <w:rsid w:val="003C12AB"/>
    <w:rsid w:val="003C130F"/>
    <w:rsid w:val="003C188E"/>
    <w:rsid w:val="003C2541"/>
    <w:rsid w:val="003C27E1"/>
    <w:rsid w:val="003C28E5"/>
    <w:rsid w:val="003C2E7B"/>
    <w:rsid w:val="003C445C"/>
    <w:rsid w:val="003C449C"/>
    <w:rsid w:val="003C4A7E"/>
    <w:rsid w:val="003C4ACA"/>
    <w:rsid w:val="003C4CD8"/>
    <w:rsid w:val="003C5719"/>
    <w:rsid w:val="003C58A5"/>
    <w:rsid w:val="003C6754"/>
    <w:rsid w:val="003C6938"/>
    <w:rsid w:val="003C771A"/>
    <w:rsid w:val="003C77A4"/>
    <w:rsid w:val="003C7907"/>
    <w:rsid w:val="003C7B82"/>
    <w:rsid w:val="003C7CBC"/>
    <w:rsid w:val="003D0486"/>
    <w:rsid w:val="003D06C3"/>
    <w:rsid w:val="003D09DC"/>
    <w:rsid w:val="003D0B99"/>
    <w:rsid w:val="003D0BFC"/>
    <w:rsid w:val="003D10AE"/>
    <w:rsid w:val="003D1EE9"/>
    <w:rsid w:val="003D23EE"/>
    <w:rsid w:val="003D289C"/>
    <w:rsid w:val="003D2968"/>
    <w:rsid w:val="003D323D"/>
    <w:rsid w:val="003D392B"/>
    <w:rsid w:val="003D3FF7"/>
    <w:rsid w:val="003D4410"/>
    <w:rsid w:val="003D468C"/>
    <w:rsid w:val="003D4AFD"/>
    <w:rsid w:val="003D607C"/>
    <w:rsid w:val="003D60D7"/>
    <w:rsid w:val="003D66DC"/>
    <w:rsid w:val="003E0411"/>
    <w:rsid w:val="003E0B0F"/>
    <w:rsid w:val="003E0B58"/>
    <w:rsid w:val="003E142C"/>
    <w:rsid w:val="003E157B"/>
    <w:rsid w:val="003E1A01"/>
    <w:rsid w:val="003E1C8F"/>
    <w:rsid w:val="003E1CE3"/>
    <w:rsid w:val="003E1D58"/>
    <w:rsid w:val="003E26FF"/>
    <w:rsid w:val="003E41B9"/>
    <w:rsid w:val="003E57B4"/>
    <w:rsid w:val="003E584E"/>
    <w:rsid w:val="003E5B8D"/>
    <w:rsid w:val="003E60F2"/>
    <w:rsid w:val="003E6B46"/>
    <w:rsid w:val="003E6D07"/>
    <w:rsid w:val="003E6D24"/>
    <w:rsid w:val="003E77BC"/>
    <w:rsid w:val="003E7A48"/>
    <w:rsid w:val="003F0C04"/>
    <w:rsid w:val="003F1149"/>
    <w:rsid w:val="003F17A4"/>
    <w:rsid w:val="003F1849"/>
    <w:rsid w:val="003F1BCA"/>
    <w:rsid w:val="003F1E17"/>
    <w:rsid w:val="003F23DB"/>
    <w:rsid w:val="003F2531"/>
    <w:rsid w:val="003F331B"/>
    <w:rsid w:val="003F36D6"/>
    <w:rsid w:val="003F3B86"/>
    <w:rsid w:val="003F3CDB"/>
    <w:rsid w:val="003F3E4D"/>
    <w:rsid w:val="003F3F11"/>
    <w:rsid w:val="003F5C0A"/>
    <w:rsid w:val="003F5C62"/>
    <w:rsid w:val="003F6355"/>
    <w:rsid w:val="003F63EF"/>
    <w:rsid w:val="003F703C"/>
    <w:rsid w:val="003F742F"/>
    <w:rsid w:val="003F76B1"/>
    <w:rsid w:val="004000AE"/>
    <w:rsid w:val="00400823"/>
    <w:rsid w:val="00400B0B"/>
    <w:rsid w:val="00401329"/>
    <w:rsid w:val="0040144A"/>
    <w:rsid w:val="004018EB"/>
    <w:rsid w:val="00401A7C"/>
    <w:rsid w:val="0040226F"/>
    <w:rsid w:val="00403651"/>
    <w:rsid w:val="00403686"/>
    <w:rsid w:val="00403EBE"/>
    <w:rsid w:val="0040482D"/>
    <w:rsid w:val="00404955"/>
    <w:rsid w:val="004049A9"/>
    <w:rsid w:val="00404EF7"/>
    <w:rsid w:val="0040559A"/>
    <w:rsid w:val="004058B8"/>
    <w:rsid w:val="00405EDE"/>
    <w:rsid w:val="00406433"/>
    <w:rsid w:val="00406BEE"/>
    <w:rsid w:val="00406E23"/>
    <w:rsid w:val="00407C2A"/>
    <w:rsid w:val="00407CE6"/>
    <w:rsid w:val="0041074B"/>
    <w:rsid w:val="00411354"/>
    <w:rsid w:val="00411711"/>
    <w:rsid w:val="00411A06"/>
    <w:rsid w:val="00412428"/>
    <w:rsid w:val="004129AC"/>
    <w:rsid w:val="00412BB6"/>
    <w:rsid w:val="00412BDB"/>
    <w:rsid w:val="00413D23"/>
    <w:rsid w:val="004172EB"/>
    <w:rsid w:val="004173D1"/>
    <w:rsid w:val="00417529"/>
    <w:rsid w:val="00417681"/>
    <w:rsid w:val="00417EC2"/>
    <w:rsid w:val="004201DB"/>
    <w:rsid w:val="004206A9"/>
    <w:rsid w:val="00422C74"/>
    <w:rsid w:val="004236D3"/>
    <w:rsid w:val="00423A2F"/>
    <w:rsid w:val="00424126"/>
    <w:rsid w:val="004244E6"/>
    <w:rsid w:val="004252FA"/>
    <w:rsid w:val="004255FE"/>
    <w:rsid w:val="0042561B"/>
    <w:rsid w:val="00425B6E"/>
    <w:rsid w:val="0042651B"/>
    <w:rsid w:val="00426840"/>
    <w:rsid w:val="004269E0"/>
    <w:rsid w:val="00426F98"/>
    <w:rsid w:val="004277A3"/>
    <w:rsid w:val="00427CAA"/>
    <w:rsid w:val="00430257"/>
    <w:rsid w:val="00430606"/>
    <w:rsid w:val="00430819"/>
    <w:rsid w:val="00431A11"/>
    <w:rsid w:val="00431E04"/>
    <w:rsid w:val="004327EA"/>
    <w:rsid w:val="00432DF3"/>
    <w:rsid w:val="004333F3"/>
    <w:rsid w:val="0043359B"/>
    <w:rsid w:val="004339AD"/>
    <w:rsid w:val="004362A6"/>
    <w:rsid w:val="004368D0"/>
    <w:rsid w:val="00436952"/>
    <w:rsid w:val="00436C67"/>
    <w:rsid w:val="00436D0A"/>
    <w:rsid w:val="00437116"/>
    <w:rsid w:val="004377C5"/>
    <w:rsid w:val="00437835"/>
    <w:rsid w:val="00437C24"/>
    <w:rsid w:val="00437FD9"/>
    <w:rsid w:val="0044090C"/>
    <w:rsid w:val="00440AC5"/>
    <w:rsid w:val="00441653"/>
    <w:rsid w:val="004416A6"/>
    <w:rsid w:val="00441B4B"/>
    <w:rsid w:val="004426C0"/>
    <w:rsid w:val="00442C1C"/>
    <w:rsid w:val="00443181"/>
    <w:rsid w:val="00444A41"/>
    <w:rsid w:val="00445255"/>
    <w:rsid w:val="004456F7"/>
    <w:rsid w:val="00445B29"/>
    <w:rsid w:val="004461F6"/>
    <w:rsid w:val="0044622D"/>
    <w:rsid w:val="004467C9"/>
    <w:rsid w:val="00446DA0"/>
    <w:rsid w:val="004472B2"/>
    <w:rsid w:val="0044790E"/>
    <w:rsid w:val="00447A94"/>
    <w:rsid w:val="00447D3E"/>
    <w:rsid w:val="004502F7"/>
    <w:rsid w:val="0045093D"/>
    <w:rsid w:val="00450AD5"/>
    <w:rsid w:val="00451201"/>
    <w:rsid w:val="00451467"/>
    <w:rsid w:val="0045203F"/>
    <w:rsid w:val="00452608"/>
    <w:rsid w:val="00453837"/>
    <w:rsid w:val="00454473"/>
    <w:rsid w:val="0045449E"/>
    <w:rsid w:val="004546B8"/>
    <w:rsid w:val="00454AEA"/>
    <w:rsid w:val="00454E2D"/>
    <w:rsid w:val="0045514F"/>
    <w:rsid w:val="00455B76"/>
    <w:rsid w:val="0045644A"/>
    <w:rsid w:val="00456560"/>
    <w:rsid w:val="00456910"/>
    <w:rsid w:val="00456C92"/>
    <w:rsid w:val="004577E7"/>
    <w:rsid w:val="0045785F"/>
    <w:rsid w:val="00457901"/>
    <w:rsid w:val="00457973"/>
    <w:rsid w:val="00457B2C"/>
    <w:rsid w:val="00457C8C"/>
    <w:rsid w:val="0046083C"/>
    <w:rsid w:val="00460B42"/>
    <w:rsid w:val="00460ED0"/>
    <w:rsid w:val="00461440"/>
    <w:rsid w:val="00461806"/>
    <w:rsid w:val="00462095"/>
    <w:rsid w:val="00463327"/>
    <w:rsid w:val="00463640"/>
    <w:rsid w:val="00464356"/>
    <w:rsid w:val="00464374"/>
    <w:rsid w:val="004643D5"/>
    <w:rsid w:val="004643E6"/>
    <w:rsid w:val="00465C91"/>
    <w:rsid w:val="004661C4"/>
    <w:rsid w:val="00466370"/>
    <w:rsid w:val="0046646B"/>
    <w:rsid w:val="00466731"/>
    <w:rsid w:val="00466DD5"/>
    <w:rsid w:val="00467324"/>
    <w:rsid w:val="00467C6F"/>
    <w:rsid w:val="00467E83"/>
    <w:rsid w:val="004706EC"/>
    <w:rsid w:val="0047073C"/>
    <w:rsid w:val="0047091E"/>
    <w:rsid w:val="00471F38"/>
    <w:rsid w:val="0047206A"/>
    <w:rsid w:val="004721A2"/>
    <w:rsid w:val="0047265F"/>
    <w:rsid w:val="0047266E"/>
    <w:rsid w:val="0047318E"/>
    <w:rsid w:val="004733AA"/>
    <w:rsid w:val="004738B2"/>
    <w:rsid w:val="00473B71"/>
    <w:rsid w:val="004745E6"/>
    <w:rsid w:val="00474706"/>
    <w:rsid w:val="0047488F"/>
    <w:rsid w:val="00474D9D"/>
    <w:rsid w:val="00474FFC"/>
    <w:rsid w:val="004755FE"/>
    <w:rsid w:val="00475EA5"/>
    <w:rsid w:val="004760C4"/>
    <w:rsid w:val="00477062"/>
    <w:rsid w:val="004808E2"/>
    <w:rsid w:val="00480F29"/>
    <w:rsid w:val="00481215"/>
    <w:rsid w:val="00481808"/>
    <w:rsid w:val="00481EFA"/>
    <w:rsid w:val="00482B81"/>
    <w:rsid w:val="00482D4C"/>
    <w:rsid w:val="004833FC"/>
    <w:rsid w:val="00483475"/>
    <w:rsid w:val="004838E4"/>
    <w:rsid w:val="0048463A"/>
    <w:rsid w:val="0048503D"/>
    <w:rsid w:val="00485339"/>
    <w:rsid w:val="00485A66"/>
    <w:rsid w:val="00486836"/>
    <w:rsid w:val="00486E4D"/>
    <w:rsid w:val="00486EAF"/>
    <w:rsid w:val="004875AC"/>
    <w:rsid w:val="00490DC5"/>
    <w:rsid w:val="00491CDC"/>
    <w:rsid w:val="00492039"/>
    <w:rsid w:val="0049284B"/>
    <w:rsid w:val="00492BBB"/>
    <w:rsid w:val="00492BF6"/>
    <w:rsid w:val="0049340F"/>
    <w:rsid w:val="00493688"/>
    <w:rsid w:val="004940FD"/>
    <w:rsid w:val="00494440"/>
    <w:rsid w:val="00494654"/>
    <w:rsid w:val="00494707"/>
    <w:rsid w:val="00495574"/>
    <w:rsid w:val="004961C7"/>
    <w:rsid w:val="004965E2"/>
    <w:rsid w:val="004968E5"/>
    <w:rsid w:val="004A04D0"/>
    <w:rsid w:val="004A0E7D"/>
    <w:rsid w:val="004A10CE"/>
    <w:rsid w:val="004A12C5"/>
    <w:rsid w:val="004A1588"/>
    <w:rsid w:val="004A1638"/>
    <w:rsid w:val="004A27A8"/>
    <w:rsid w:val="004A3018"/>
    <w:rsid w:val="004A3D60"/>
    <w:rsid w:val="004A3E79"/>
    <w:rsid w:val="004A4422"/>
    <w:rsid w:val="004A4499"/>
    <w:rsid w:val="004A4645"/>
    <w:rsid w:val="004A54E1"/>
    <w:rsid w:val="004A7BD9"/>
    <w:rsid w:val="004B0F1F"/>
    <w:rsid w:val="004B0F5D"/>
    <w:rsid w:val="004B1AC5"/>
    <w:rsid w:val="004B2B63"/>
    <w:rsid w:val="004B2D39"/>
    <w:rsid w:val="004B31EF"/>
    <w:rsid w:val="004B38A6"/>
    <w:rsid w:val="004B3C0F"/>
    <w:rsid w:val="004B4040"/>
    <w:rsid w:val="004B4373"/>
    <w:rsid w:val="004B4A3C"/>
    <w:rsid w:val="004B4D51"/>
    <w:rsid w:val="004B4E7B"/>
    <w:rsid w:val="004B51D1"/>
    <w:rsid w:val="004B58D0"/>
    <w:rsid w:val="004B5C2A"/>
    <w:rsid w:val="004B621A"/>
    <w:rsid w:val="004B6285"/>
    <w:rsid w:val="004B7164"/>
    <w:rsid w:val="004B72FD"/>
    <w:rsid w:val="004C0218"/>
    <w:rsid w:val="004C05E4"/>
    <w:rsid w:val="004C0D95"/>
    <w:rsid w:val="004C10DF"/>
    <w:rsid w:val="004C1648"/>
    <w:rsid w:val="004C1BAC"/>
    <w:rsid w:val="004C1FB5"/>
    <w:rsid w:val="004C28DF"/>
    <w:rsid w:val="004C2C50"/>
    <w:rsid w:val="004C386A"/>
    <w:rsid w:val="004C3A8E"/>
    <w:rsid w:val="004C413B"/>
    <w:rsid w:val="004C4178"/>
    <w:rsid w:val="004C6CF4"/>
    <w:rsid w:val="004C6EC5"/>
    <w:rsid w:val="004C6FC4"/>
    <w:rsid w:val="004C70CE"/>
    <w:rsid w:val="004C7137"/>
    <w:rsid w:val="004C7599"/>
    <w:rsid w:val="004C7E62"/>
    <w:rsid w:val="004C7FEC"/>
    <w:rsid w:val="004D011A"/>
    <w:rsid w:val="004D0F29"/>
    <w:rsid w:val="004D17A5"/>
    <w:rsid w:val="004D1A19"/>
    <w:rsid w:val="004D1FE6"/>
    <w:rsid w:val="004D22C7"/>
    <w:rsid w:val="004D2A5B"/>
    <w:rsid w:val="004D3092"/>
    <w:rsid w:val="004D3E80"/>
    <w:rsid w:val="004D3EBE"/>
    <w:rsid w:val="004D4070"/>
    <w:rsid w:val="004D4AE5"/>
    <w:rsid w:val="004D4D04"/>
    <w:rsid w:val="004D4F44"/>
    <w:rsid w:val="004D57B9"/>
    <w:rsid w:val="004D71FA"/>
    <w:rsid w:val="004D756A"/>
    <w:rsid w:val="004D7877"/>
    <w:rsid w:val="004D7CB3"/>
    <w:rsid w:val="004E025D"/>
    <w:rsid w:val="004E0EC6"/>
    <w:rsid w:val="004E1293"/>
    <w:rsid w:val="004E1BE4"/>
    <w:rsid w:val="004E1D1B"/>
    <w:rsid w:val="004E1DC1"/>
    <w:rsid w:val="004E208E"/>
    <w:rsid w:val="004E2A46"/>
    <w:rsid w:val="004E2B5E"/>
    <w:rsid w:val="004E2EE7"/>
    <w:rsid w:val="004E3590"/>
    <w:rsid w:val="004E39E1"/>
    <w:rsid w:val="004E3A07"/>
    <w:rsid w:val="004E58ED"/>
    <w:rsid w:val="004E644B"/>
    <w:rsid w:val="004E655A"/>
    <w:rsid w:val="004E6F50"/>
    <w:rsid w:val="004E72CE"/>
    <w:rsid w:val="004F0063"/>
    <w:rsid w:val="004F00BA"/>
    <w:rsid w:val="004F011F"/>
    <w:rsid w:val="004F03F4"/>
    <w:rsid w:val="004F0D47"/>
    <w:rsid w:val="004F1430"/>
    <w:rsid w:val="004F2128"/>
    <w:rsid w:val="004F281C"/>
    <w:rsid w:val="004F3981"/>
    <w:rsid w:val="004F4B4F"/>
    <w:rsid w:val="004F4C00"/>
    <w:rsid w:val="004F5302"/>
    <w:rsid w:val="004F56D0"/>
    <w:rsid w:val="004F651F"/>
    <w:rsid w:val="004F69B7"/>
    <w:rsid w:val="004F7267"/>
    <w:rsid w:val="004F77B0"/>
    <w:rsid w:val="004F781D"/>
    <w:rsid w:val="004F7867"/>
    <w:rsid w:val="004F794D"/>
    <w:rsid w:val="004F7E72"/>
    <w:rsid w:val="00500311"/>
    <w:rsid w:val="005008FF"/>
    <w:rsid w:val="005010E9"/>
    <w:rsid w:val="00501EB3"/>
    <w:rsid w:val="00501EC6"/>
    <w:rsid w:val="00501F98"/>
    <w:rsid w:val="0050235E"/>
    <w:rsid w:val="00502423"/>
    <w:rsid w:val="00502B1D"/>
    <w:rsid w:val="00502BEC"/>
    <w:rsid w:val="00503137"/>
    <w:rsid w:val="005032E6"/>
    <w:rsid w:val="00503A99"/>
    <w:rsid w:val="00503CD0"/>
    <w:rsid w:val="00503E44"/>
    <w:rsid w:val="00504426"/>
    <w:rsid w:val="005046B6"/>
    <w:rsid w:val="00504709"/>
    <w:rsid w:val="00505A10"/>
    <w:rsid w:val="00505B0B"/>
    <w:rsid w:val="00505FA0"/>
    <w:rsid w:val="0050608F"/>
    <w:rsid w:val="00506DD0"/>
    <w:rsid w:val="00506FF0"/>
    <w:rsid w:val="0050777E"/>
    <w:rsid w:val="005078CE"/>
    <w:rsid w:val="00507999"/>
    <w:rsid w:val="00513F98"/>
    <w:rsid w:val="00513FE8"/>
    <w:rsid w:val="005141F2"/>
    <w:rsid w:val="0051429B"/>
    <w:rsid w:val="00514ADF"/>
    <w:rsid w:val="00514D5D"/>
    <w:rsid w:val="00515283"/>
    <w:rsid w:val="00515A5D"/>
    <w:rsid w:val="00515AAC"/>
    <w:rsid w:val="00515C60"/>
    <w:rsid w:val="00515C8C"/>
    <w:rsid w:val="005174A4"/>
    <w:rsid w:val="00517B02"/>
    <w:rsid w:val="0052046F"/>
    <w:rsid w:val="00521976"/>
    <w:rsid w:val="00521A92"/>
    <w:rsid w:val="00521B5B"/>
    <w:rsid w:val="00521F0C"/>
    <w:rsid w:val="005221C2"/>
    <w:rsid w:val="0052244A"/>
    <w:rsid w:val="005227CE"/>
    <w:rsid w:val="00523091"/>
    <w:rsid w:val="005231C5"/>
    <w:rsid w:val="00524320"/>
    <w:rsid w:val="00524480"/>
    <w:rsid w:val="00525838"/>
    <w:rsid w:val="00525E27"/>
    <w:rsid w:val="005260F1"/>
    <w:rsid w:val="00526511"/>
    <w:rsid w:val="00526661"/>
    <w:rsid w:val="005270EF"/>
    <w:rsid w:val="0052714E"/>
    <w:rsid w:val="00527314"/>
    <w:rsid w:val="0052764B"/>
    <w:rsid w:val="00527963"/>
    <w:rsid w:val="00530700"/>
    <w:rsid w:val="00531398"/>
    <w:rsid w:val="0053179E"/>
    <w:rsid w:val="00531F37"/>
    <w:rsid w:val="00532E00"/>
    <w:rsid w:val="00533464"/>
    <w:rsid w:val="00533926"/>
    <w:rsid w:val="00533A5B"/>
    <w:rsid w:val="00533C46"/>
    <w:rsid w:val="00533EF6"/>
    <w:rsid w:val="0053532D"/>
    <w:rsid w:val="005357F9"/>
    <w:rsid w:val="005361FE"/>
    <w:rsid w:val="00536845"/>
    <w:rsid w:val="005368AB"/>
    <w:rsid w:val="00537A4E"/>
    <w:rsid w:val="00537C66"/>
    <w:rsid w:val="00537FB7"/>
    <w:rsid w:val="005401DF"/>
    <w:rsid w:val="005411D1"/>
    <w:rsid w:val="00541E90"/>
    <w:rsid w:val="00542317"/>
    <w:rsid w:val="00542360"/>
    <w:rsid w:val="005423F9"/>
    <w:rsid w:val="00542873"/>
    <w:rsid w:val="00542AD1"/>
    <w:rsid w:val="0054339D"/>
    <w:rsid w:val="00543613"/>
    <w:rsid w:val="00543E05"/>
    <w:rsid w:val="00544235"/>
    <w:rsid w:val="005447F6"/>
    <w:rsid w:val="00544C70"/>
    <w:rsid w:val="00545207"/>
    <w:rsid w:val="00545235"/>
    <w:rsid w:val="00545C06"/>
    <w:rsid w:val="0054691A"/>
    <w:rsid w:val="00546EC4"/>
    <w:rsid w:val="00547645"/>
    <w:rsid w:val="005505BB"/>
    <w:rsid w:val="00550BE8"/>
    <w:rsid w:val="005514C4"/>
    <w:rsid w:val="005514D8"/>
    <w:rsid w:val="00551C14"/>
    <w:rsid w:val="00551E57"/>
    <w:rsid w:val="00552029"/>
    <w:rsid w:val="00552184"/>
    <w:rsid w:val="00554343"/>
    <w:rsid w:val="005559FC"/>
    <w:rsid w:val="0055675D"/>
    <w:rsid w:val="00556B76"/>
    <w:rsid w:val="005573C4"/>
    <w:rsid w:val="0055787E"/>
    <w:rsid w:val="005608D0"/>
    <w:rsid w:val="00560C46"/>
    <w:rsid w:val="00562202"/>
    <w:rsid w:val="00562421"/>
    <w:rsid w:val="00562521"/>
    <w:rsid w:val="00562CE0"/>
    <w:rsid w:val="00562FAB"/>
    <w:rsid w:val="0056491F"/>
    <w:rsid w:val="005651C4"/>
    <w:rsid w:val="0056604A"/>
    <w:rsid w:val="00566605"/>
    <w:rsid w:val="00566E8F"/>
    <w:rsid w:val="00570332"/>
    <w:rsid w:val="005709DE"/>
    <w:rsid w:val="00571CAD"/>
    <w:rsid w:val="00571EC3"/>
    <w:rsid w:val="00572049"/>
    <w:rsid w:val="005726BA"/>
    <w:rsid w:val="00573BF9"/>
    <w:rsid w:val="00573CFF"/>
    <w:rsid w:val="00573F75"/>
    <w:rsid w:val="00573FFC"/>
    <w:rsid w:val="0057422E"/>
    <w:rsid w:val="0057569A"/>
    <w:rsid w:val="0057596D"/>
    <w:rsid w:val="0057647A"/>
    <w:rsid w:val="00577360"/>
    <w:rsid w:val="005778D2"/>
    <w:rsid w:val="005779A7"/>
    <w:rsid w:val="00577BD1"/>
    <w:rsid w:val="005800F2"/>
    <w:rsid w:val="00580D55"/>
    <w:rsid w:val="00581A1D"/>
    <w:rsid w:val="00581A89"/>
    <w:rsid w:val="00581D51"/>
    <w:rsid w:val="005833BE"/>
    <w:rsid w:val="005836AE"/>
    <w:rsid w:val="00583C0F"/>
    <w:rsid w:val="005840D0"/>
    <w:rsid w:val="00584102"/>
    <w:rsid w:val="005842A0"/>
    <w:rsid w:val="00584469"/>
    <w:rsid w:val="005846ED"/>
    <w:rsid w:val="00584A41"/>
    <w:rsid w:val="00584CE9"/>
    <w:rsid w:val="005858FB"/>
    <w:rsid w:val="00586216"/>
    <w:rsid w:val="00586791"/>
    <w:rsid w:val="005868EA"/>
    <w:rsid w:val="00586A19"/>
    <w:rsid w:val="00586A52"/>
    <w:rsid w:val="00586B22"/>
    <w:rsid w:val="005871CB"/>
    <w:rsid w:val="005905A7"/>
    <w:rsid w:val="00592488"/>
    <w:rsid w:val="0059302A"/>
    <w:rsid w:val="00593450"/>
    <w:rsid w:val="00593B4A"/>
    <w:rsid w:val="00593FD1"/>
    <w:rsid w:val="00594777"/>
    <w:rsid w:val="00594FA1"/>
    <w:rsid w:val="005957F8"/>
    <w:rsid w:val="00595A35"/>
    <w:rsid w:val="00596169"/>
    <w:rsid w:val="005961E8"/>
    <w:rsid w:val="005969DA"/>
    <w:rsid w:val="00596D93"/>
    <w:rsid w:val="00597C55"/>
    <w:rsid w:val="005A01D8"/>
    <w:rsid w:val="005A068A"/>
    <w:rsid w:val="005A079D"/>
    <w:rsid w:val="005A0D61"/>
    <w:rsid w:val="005A0F62"/>
    <w:rsid w:val="005A100C"/>
    <w:rsid w:val="005A234A"/>
    <w:rsid w:val="005A2572"/>
    <w:rsid w:val="005A2814"/>
    <w:rsid w:val="005A2C7D"/>
    <w:rsid w:val="005A390C"/>
    <w:rsid w:val="005A3ADE"/>
    <w:rsid w:val="005A3F67"/>
    <w:rsid w:val="005A40F6"/>
    <w:rsid w:val="005A57D7"/>
    <w:rsid w:val="005A5D91"/>
    <w:rsid w:val="005A6810"/>
    <w:rsid w:val="005A78E3"/>
    <w:rsid w:val="005B025F"/>
    <w:rsid w:val="005B16D0"/>
    <w:rsid w:val="005B19E4"/>
    <w:rsid w:val="005B22D1"/>
    <w:rsid w:val="005B2633"/>
    <w:rsid w:val="005B2A16"/>
    <w:rsid w:val="005B3AF1"/>
    <w:rsid w:val="005B4311"/>
    <w:rsid w:val="005B467D"/>
    <w:rsid w:val="005B4860"/>
    <w:rsid w:val="005B5125"/>
    <w:rsid w:val="005B521C"/>
    <w:rsid w:val="005B524F"/>
    <w:rsid w:val="005B5263"/>
    <w:rsid w:val="005B5FE1"/>
    <w:rsid w:val="005B6108"/>
    <w:rsid w:val="005B610F"/>
    <w:rsid w:val="005B66FF"/>
    <w:rsid w:val="005B7AF2"/>
    <w:rsid w:val="005B7BA1"/>
    <w:rsid w:val="005C0316"/>
    <w:rsid w:val="005C032C"/>
    <w:rsid w:val="005C0572"/>
    <w:rsid w:val="005C06C9"/>
    <w:rsid w:val="005C0D81"/>
    <w:rsid w:val="005C1014"/>
    <w:rsid w:val="005C1387"/>
    <w:rsid w:val="005C1E5B"/>
    <w:rsid w:val="005C2882"/>
    <w:rsid w:val="005C2EDF"/>
    <w:rsid w:val="005C38E2"/>
    <w:rsid w:val="005C3B23"/>
    <w:rsid w:val="005C3B30"/>
    <w:rsid w:val="005C4289"/>
    <w:rsid w:val="005C53BB"/>
    <w:rsid w:val="005C56A8"/>
    <w:rsid w:val="005C5E36"/>
    <w:rsid w:val="005C5FB1"/>
    <w:rsid w:val="005C6D35"/>
    <w:rsid w:val="005C700B"/>
    <w:rsid w:val="005C73D6"/>
    <w:rsid w:val="005C7DBB"/>
    <w:rsid w:val="005D072A"/>
    <w:rsid w:val="005D0A70"/>
    <w:rsid w:val="005D0CD7"/>
    <w:rsid w:val="005D2168"/>
    <w:rsid w:val="005D2E60"/>
    <w:rsid w:val="005D2F40"/>
    <w:rsid w:val="005D3CF5"/>
    <w:rsid w:val="005D46D7"/>
    <w:rsid w:val="005D48BB"/>
    <w:rsid w:val="005D591A"/>
    <w:rsid w:val="005D5C10"/>
    <w:rsid w:val="005D7D5A"/>
    <w:rsid w:val="005D7E35"/>
    <w:rsid w:val="005E0188"/>
    <w:rsid w:val="005E090F"/>
    <w:rsid w:val="005E0937"/>
    <w:rsid w:val="005E09B9"/>
    <w:rsid w:val="005E0E85"/>
    <w:rsid w:val="005E17E6"/>
    <w:rsid w:val="005E1DDD"/>
    <w:rsid w:val="005E2256"/>
    <w:rsid w:val="005E2341"/>
    <w:rsid w:val="005E3D17"/>
    <w:rsid w:val="005E4792"/>
    <w:rsid w:val="005E4846"/>
    <w:rsid w:val="005E4A4E"/>
    <w:rsid w:val="005E4BAC"/>
    <w:rsid w:val="005E4BCB"/>
    <w:rsid w:val="005E4FEB"/>
    <w:rsid w:val="005E5651"/>
    <w:rsid w:val="005E580A"/>
    <w:rsid w:val="005E6C7D"/>
    <w:rsid w:val="005E6CA9"/>
    <w:rsid w:val="005E7D49"/>
    <w:rsid w:val="005F0ABE"/>
    <w:rsid w:val="005F13A2"/>
    <w:rsid w:val="005F144E"/>
    <w:rsid w:val="005F1B34"/>
    <w:rsid w:val="005F1BC2"/>
    <w:rsid w:val="005F3B28"/>
    <w:rsid w:val="005F53A6"/>
    <w:rsid w:val="005F5700"/>
    <w:rsid w:val="005F6D2C"/>
    <w:rsid w:val="005F73FC"/>
    <w:rsid w:val="0060055E"/>
    <w:rsid w:val="00600A8E"/>
    <w:rsid w:val="0060111C"/>
    <w:rsid w:val="006012E5"/>
    <w:rsid w:val="0060130D"/>
    <w:rsid w:val="00601E13"/>
    <w:rsid w:val="00602103"/>
    <w:rsid w:val="0060227D"/>
    <w:rsid w:val="00602CA0"/>
    <w:rsid w:val="006032DE"/>
    <w:rsid w:val="006034A0"/>
    <w:rsid w:val="00604037"/>
    <w:rsid w:val="006047C8"/>
    <w:rsid w:val="00604C82"/>
    <w:rsid w:val="00605ADC"/>
    <w:rsid w:val="00605C28"/>
    <w:rsid w:val="00605CB3"/>
    <w:rsid w:val="00605ED2"/>
    <w:rsid w:val="00606246"/>
    <w:rsid w:val="00606671"/>
    <w:rsid w:val="00606AFF"/>
    <w:rsid w:val="006100E5"/>
    <w:rsid w:val="006100E8"/>
    <w:rsid w:val="006103A5"/>
    <w:rsid w:val="00610486"/>
    <w:rsid w:val="006113BE"/>
    <w:rsid w:val="00611587"/>
    <w:rsid w:val="006118B3"/>
    <w:rsid w:val="00611B71"/>
    <w:rsid w:val="00611CC9"/>
    <w:rsid w:val="0061223F"/>
    <w:rsid w:val="00612329"/>
    <w:rsid w:val="0061299D"/>
    <w:rsid w:val="006137A6"/>
    <w:rsid w:val="00613B16"/>
    <w:rsid w:val="0061439A"/>
    <w:rsid w:val="006144FE"/>
    <w:rsid w:val="00615574"/>
    <w:rsid w:val="00615673"/>
    <w:rsid w:val="00615D60"/>
    <w:rsid w:val="00616161"/>
    <w:rsid w:val="006167AF"/>
    <w:rsid w:val="00616C9E"/>
    <w:rsid w:val="00617113"/>
    <w:rsid w:val="00617B5F"/>
    <w:rsid w:val="00617DFC"/>
    <w:rsid w:val="006207F7"/>
    <w:rsid w:val="00620951"/>
    <w:rsid w:val="00622035"/>
    <w:rsid w:val="00623F9C"/>
    <w:rsid w:val="006242E9"/>
    <w:rsid w:val="006243C6"/>
    <w:rsid w:val="00624633"/>
    <w:rsid w:val="00624839"/>
    <w:rsid w:val="0062539F"/>
    <w:rsid w:val="00625A7C"/>
    <w:rsid w:val="006269B2"/>
    <w:rsid w:val="00626A21"/>
    <w:rsid w:val="00627554"/>
    <w:rsid w:val="00627C0D"/>
    <w:rsid w:val="006307CA"/>
    <w:rsid w:val="00630893"/>
    <w:rsid w:val="00630B7F"/>
    <w:rsid w:val="00630C0C"/>
    <w:rsid w:val="0063163B"/>
    <w:rsid w:val="00631732"/>
    <w:rsid w:val="00631B69"/>
    <w:rsid w:val="00631BB0"/>
    <w:rsid w:val="00631DB7"/>
    <w:rsid w:val="006324CF"/>
    <w:rsid w:val="00633A6F"/>
    <w:rsid w:val="00633A8B"/>
    <w:rsid w:val="00633C3E"/>
    <w:rsid w:val="006340C6"/>
    <w:rsid w:val="006342FD"/>
    <w:rsid w:val="006343F5"/>
    <w:rsid w:val="00635305"/>
    <w:rsid w:val="00635E42"/>
    <w:rsid w:val="006367A6"/>
    <w:rsid w:val="00636FD0"/>
    <w:rsid w:val="006371DA"/>
    <w:rsid w:val="00637668"/>
    <w:rsid w:val="006376DD"/>
    <w:rsid w:val="006378C3"/>
    <w:rsid w:val="00637B1C"/>
    <w:rsid w:val="00637DA1"/>
    <w:rsid w:val="006406F8"/>
    <w:rsid w:val="00640CFE"/>
    <w:rsid w:val="006410BE"/>
    <w:rsid w:val="0064129F"/>
    <w:rsid w:val="00642198"/>
    <w:rsid w:val="0064309D"/>
    <w:rsid w:val="00643845"/>
    <w:rsid w:val="00643AF4"/>
    <w:rsid w:val="00643F52"/>
    <w:rsid w:val="00643F98"/>
    <w:rsid w:val="0064412D"/>
    <w:rsid w:val="0064474A"/>
    <w:rsid w:val="006449B4"/>
    <w:rsid w:val="00644BB4"/>
    <w:rsid w:val="00644C12"/>
    <w:rsid w:val="00644D52"/>
    <w:rsid w:val="00644F56"/>
    <w:rsid w:val="006454E2"/>
    <w:rsid w:val="00645B3A"/>
    <w:rsid w:val="00645E71"/>
    <w:rsid w:val="006466C7"/>
    <w:rsid w:val="006468C2"/>
    <w:rsid w:val="00646DFF"/>
    <w:rsid w:val="00646F16"/>
    <w:rsid w:val="00647212"/>
    <w:rsid w:val="00647356"/>
    <w:rsid w:val="006477B1"/>
    <w:rsid w:val="006477D3"/>
    <w:rsid w:val="00647843"/>
    <w:rsid w:val="0064796E"/>
    <w:rsid w:val="00647BB7"/>
    <w:rsid w:val="0065029D"/>
    <w:rsid w:val="0065063B"/>
    <w:rsid w:val="00650BCC"/>
    <w:rsid w:val="00650E29"/>
    <w:rsid w:val="00651048"/>
    <w:rsid w:val="006521B3"/>
    <w:rsid w:val="00652FF5"/>
    <w:rsid w:val="00653BD0"/>
    <w:rsid w:val="00653BF3"/>
    <w:rsid w:val="00653DAB"/>
    <w:rsid w:val="00654BC3"/>
    <w:rsid w:val="00654C09"/>
    <w:rsid w:val="006553B3"/>
    <w:rsid w:val="00655C36"/>
    <w:rsid w:val="0065683E"/>
    <w:rsid w:val="00656AFD"/>
    <w:rsid w:val="00656ECF"/>
    <w:rsid w:val="0065762A"/>
    <w:rsid w:val="006576FE"/>
    <w:rsid w:val="00657E51"/>
    <w:rsid w:val="00660B85"/>
    <w:rsid w:val="00660F56"/>
    <w:rsid w:val="006619E1"/>
    <w:rsid w:val="00662366"/>
    <w:rsid w:val="006630AC"/>
    <w:rsid w:val="006632DB"/>
    <w:rsid w:val="0066342B"/>
    <w:rsid w:val="00663CF9"/>
    <w:rsid w:val="00663E9D"/>
    <w:rsid w:val="00664098"/>
    <w:rsid w:val="00664579"/>
    <w:rsid w:val="0066464B"/>
    <w:rsid w:val="00664985"/>
    <w:rsid w:val="006651B2"/>
    <w:rsid w:val="00665323"/>
    <w:rsid w:val="00665B47"/>
    <w:rsid w:val="00665C67"/>
    <w:rsid w:val="00666C03"/>
    <w:rsid w:val="006706F0"/>
    <w:rsid w:val="0067092C"/>
    <w:rsid w:val="00670B9C"/>
    <w:rsid w:val="00670C98"/>
    <w:rsid w:val="00670EC7"/>
    <w:rsid w:val="006711DF"/>
    <w:rsid w:val="0067145F"/>
    <w:rsid w:val="006714A6"/>
    <w:rsid w:val="006717B0"/>
    <w:rsid w:val="00671C6E"/>
    <w:rsid w:val="00672AFE"/>
    <w:rsid w:val="0067305D"/>
    <w:rsid w:val="0067366D"/>
    <w:rsid w:val="006757E0"/>
    <w:rsid w:val="00675C0D"/>
    <w:rsid w:val="00675CF4"/>
    <w:rsid w:val="00675E9A"/>
    <w:rsid w:val="00676ACB"/>
    <w:rsid w:val="00676CD6"/>
    <w:rsid w:val="00677246"/>
    <w:rsid w:val="00677383"/>
    <w:rsid w:val="006777E7"/>
    <w:rsid w:val="006778BC"/>
    <w:rsid w:val="00680297"/>
    <w:rsid w:val="0068046D"/>
    <w:rsid w:val="00680871"/>
    <w:rsid w:val="00680CFF"/>
    <w:rsid w:val="00682B0B"/>
    <w:rsid w:val="00682F5B"/>
    <w:rsid w:val="00683956"/>
    <w:rsid w:val="00683981"/>
    <w:rsid w:val="00684439"/>
    <w:rsid w:val="006846F5"/>
    <w:rsid w:val="0068526F"/>
    <w:rsid w:val="00685D0B"/>
    <w:rsid w:val="006868B0"/>
    <w:rsid w:val="0068693A"/>
    <w:rsid w:val="006873CE"/>
    <w:rsid w:val="00687861"/>
    <w:rsid w:val="00690758"/>
    <w:rsid w:val="00690B35"/>
    <w:rsid w:val="00690B55"/>
    <w:rsid w:val="006910AC"/>
    <w:rsid w:val="00691629"/>
    <w:rsid w:val="0069205F"/>
    <w:rsid w:val="00692078"/>
    <w:rsid w:val="00692122"/>
    <w:rsid w:val="00692127"/>
    <w:rsid w:val="00692331"/>
    <w:rsid w:val="00692B8C"/>
    <w:rsid w:val="00692D98"/>
    <w:rsid w:val="00693262"/>
    <w:rsid w:val="00693502"/>
    <w:rsid w:val="00693A62"/>
    <w:rsid w:val="0069415B"/>
    <w:rsid w:val="0069424F"/>
    <w:rsid w:val="006945A7"/>
    <w:rsid w:val="00694F0D"/>
    <w:rsid w:val="00695603"/>
    <w:rsid w:val="006956C5"/>
    <w:rsid w:val="00695CD1"/>
    <w:rsid w:val="00696485"/>
    <w:rsid w:val="0069673C"/>
    <w:rsid w:val="0069722F"/>
    <w:rsid w:val="006973F6"/>
    <w:rsid w:val="006976B1"/>
    <w:rsid w:val="00697F0E"/>
    <w:rsid w:val="006A0341"/>
    <w:rsid w:val="006A0466"/>
    <w:rsid w:val="006A0786"/>
    <w:rsid w:val="006A0850"/>
    <w:rsid w:val="006A08E1"/>
    <w:rsid w:val="006A0F2C"/>
    <w:rsid w:val="006A1027"/>
    <w:rsid w:val="006A11D6"/>
    <w:rsid w:val="006A2985"/>
    <w:rsid w:val="006A34CD"/>
    <w:rsid w:val="006A375D"/>
    <w:rsid w:val="006A4E4F"/>
    <w:rsid w:val="006A52D5"/>
    <w:rsid w:val="006A5EDD"/>
    <w:rsid w:val="006A6DDA"/>
    <w:rsid w:val="006B0151"/>
    <w:rsid w:val="006B0315"/>
    <w:rsid w:val="006B0868"/>
    <w:rsid w:val="006B0980"/>
    <w:rsid w:val="006B0F61"/>
    <w:rsid w:val="006B15DB"/>
    <w:rsid w:val="006B1640"/>
    <w:rsid w:val="006B1CA9"/>
    <w:rsid w:val="006B1CB6"/>
    <w:rsid w:val="006B1F24"/>
    <w:rsid w:val="006B2308"/>
    <w:rsid w:val="006B2A22"/>
    <w:rsid w:val="006B32E4"/>
    <w:rsid w:val="006B42CC"/>
    <w:rsid w:val="006B46A9"/>
    <w:rsid w:val="006B4959"/>
    <w:rsid w:val="006B520A"/>
    <w:rsid w:val="006B523A"/>
    <w:rsid w:val="006B620A"/>
    <w:rsid w:val="006B698E"/>
    <w:rsid w:val="006B6AE6"/>
    <w:rsid w:val="006B6B0E"/>
    <w:rsid w:val="006B7A0A"/>
    <w:rsid w:val="006C07EC"/>
    <w:rsid w:val="006C12CE"/>
    <w:rsid w:val="006C14D5"/>
    <w:rsid w:val="006C170A"/>
    <w:rsid w:val="006C29B9"/>
    <w:rsid w:val="006C3365"/>
    <w:rsid w:val="006C4D1D"/>
    <w:rsid w:val="006C5604"/>
    <w:rsid w:val="006C569C"/>
    <w:rsid w:val="006C5804"/>
    <w:rsid w:val="006C6814"/>
    <w:rsid w:val="006C68DB"/>
    <w:rsid w:val="006C6C7D"/>
    <w:rsid w:val="006C6CC5"/>
    <w:rsid w:val="006C761D"/>
    <w:rsid w:val="006C7AE6"/>
    <w:rsid w:val="006D0A40"/>
    <w:rsid w:val="006D0BAA"/>
    <w:rsid w:val="006D10EC"/>
    <w:rsid w:val="006D17CF"/>
    <w:rsid w:val="006D2354"/>
    <w:rsid w:val="006D240D"/>
    <w:rsid w:val="006D271B"/>
    <w:rsid w:val="006D2786"/>
    <w:rsid w:val="006D2A5F"/>
    <w:rsid w:val="006D3268"/>
    <w:rsid w:val="006D38D1"/>
    <w:rsid w:val="006D3A78"/>
    <w:rsid w:val="006D3CE3"/>
    <w:rsid w:val="006D4139"/>
    <w:rsid w:val="006D478B"/>
    <w:rsid w:val="006D4A5B"/>
    <w:rsid w:val="006D4DAA"/>
    <w:rsid w:val="006D4E5E"/>
    <w:rsid w:val="006D5133"/>
    <w:rsid w:val="006D560E"/>
    <w:rsid w:val="006D60D0"/>
    <w:rsid w:val="006D672B"/>
    <w:rsid w:val="006D6C5C"/>
    <w:rsid w:val="006D6C91"/>
    <w:rsid w:val="006D6D2A"/>
    <w:rsid w:val="006D6E7E"/>
    <w:rsid w:val="006D6E9A"/>
    <w:rsid w:val="006D788C"/>
    <w:rsid w:val="006D78CB"/>
    <w:rsid w:val="006D7F12"/>
    <w:rsid w:val="006E04DB"/>
    <w:rsid w:val="006E0852"/>
    <w:rsid w:val="006E0CBA"/>
    <w:rsid w:val="006E1C42"/>
    <w:rsid w:val="006E1F8A"/>
    <w:rsid w:val="006E231C"/>
    <w:rsid w:val="006E26A0"/>
    <w:rsid w:val="006E2C0F"/>
    <w:rsid w:val="006E39A1"/>
    <w:rsid w:val="006E3AB4"/>
    <w:rsid w:val="006E41A5"/>
    <w:rsid w:val="006E5331"/>
    <w:rsid w:val="006E596A"/>
    <w:rsid w:val="006E6321"/>
    <w:rsid w:val="006E646B"/>
    <w:rsid w:val="006E6A81"/>
    <w:rsid w:val="006E7273"/>
    <w:rsid w:val="006E790F"/>
    <w:rsid w:val="006E7A34"/>
    <w:rsid w:val="006E7D8D"/>
    <w:rsid w:val="006F021B"/>
    <w:rsid w:val="006F06C1"/>
    <w:rsid w:val="006F13F2"/>
    <w:rsid w:val="006F246A"/>
    <w:rsid w:val="006F282A"/>
    <w:rsid w:val="006F32B1"/>
    <w:rsid w:val="006F413F"/>
    <w:rsid w:val="006F459C"/>
    <w:rsid w:val="006F466E"/>
    <w:rsid w:val="006F529B"/>
    <w:rsid w:val="006F5442"/>
    <w:rsid w:val="006F610E"/>
    <w:rsid w:val="006F683C"/>
    <w:rsid w:val="006F6B7A"/>
    <w:rsid w:val="006F6BFB"/>
    <w:rsid w:val="006F6C2A"/>
    <w:rsid w:val="006F6E1C"/>
    <w:rsid w:val="006F716F"/>
    <w:rsid w:val="006F736E"/>
    <w:rsid w:val="006F74AB"/>
    <w:rsid w:val="006F7A8D"/>
    <w:rsid w:val="007007D0"/>
    <w:rsid w:val="00700CF2"/>
    <w:rsid w:val="00701144"/>
    <w:rsid w:val="00701524"/>
    <w:rsid w:val="0070169C"/>
    <w:rsid w:val="00701F57"/>
    <w:rsid w:val="0070218F"/>
    <w:rsid w:val="00702A51"/>
    <w:rsid w:val="00702B2B"/>
    <w:rsid w:val="00702C40"/>
    <w:rsid w:val="00702CF8"/>
    <w:rsid w:val="00703940"/>
    <w:rsid w:val="00703DB9"/>
    <w:rsid w:val="00704095"/>
    <w:rsid w:val="00704349"/>
    <w:rsid w:val="00704B86"/>
    <w:rsid w:val="00704C63"/>
    <w:rsid w:val="00704CCA"/>
    <w:rsid w:val="00705171"/>
    <w:rsid w:val="007053B0"/>
    <w:rsid w:val="0070543D"/>
    <w:rsid w:val="00706BE1"/>
    <w:rsid w:val="00706CF5"/>
    <w:rsid w:val="00706D66"/>
    <w:rsid w:val="007072C9"/>
    <w:rsid w:val="0070735B"/>
    <w:rsid w:val="00707850"/>
    <w:rsid w:val="00707C52"/>
    <w:rsid w:val="00710191"/>
    <w:rsid w:val="00710544"/>
    <w:rsid w:val="00710E94"/>
    <w:rsid w:val="0071237E"/>
    <w:rsid w:val="00713147"/>
    <w:rsid w:val="007134BE"/>
    <w:rsid w:val="007134FD"/>
    <w:rsid w:val="0071359E"/>
    <w:rsid w:val="007138C1"/>
    <w:rsid w:val="0071464E"/>
    <w:rsid w:val="00717270"/>
    <w:rsid w:val="0071749A"/>
    <w:rsid w:val="0071754F"/>
    <w:rsid w:val="0071772A"/>
    <w:rsid w:val="00717A39"/>
    <w:rsid w:val="00720BA0"/>
    <w:rsid w:val="00721376"/>
    <w:rsid w:val="00721E94"/>
    <w:rsid w:val="0072242A"/>
    <w:rsid w:val="00722AC0"/>
    <w:rsid w:val="007232E6"/>
    <w:rsid w:val="007233B9"/>
    <w:rsid w:val="00723A77"/>
    <w:rsid w:val="00723CB5"/>
    <w:rsid w:val="007242F9"/>
    <w:rsid w:val="00725C3E"/>
    <w:rsid w:val="0072622B"/>
    <w:rsid w:val="00727D8A"/>
    <w:rsid w:val="00727FDE"/>
    <w:rsid w:val="00730713"/>
    <w:rsid w:val="00730DA8"/>
    <w:rsid w:val="00730ED9"/>
    <w:rsid w:val="007317C5"/>
    <w:rsid w:val="00731F25"/>
    <w:rsid w:val="00731FEA"/>
    <w:rsid w:val="00732273"/>
    <w:rsid w:val="007323F4"/>
    <w:rsid w:val="00732956"/>
    <w:rsid w:val="00732BB6"/>
    <w:rsid w:val="00733884"/>
    <w:rsid w:val="00733C09"/>
    <w:rsid w:val="00733C6C"/>
    <w:rsid w:val="00735419"/>
    <w:rsid w:val="0073549E"/>
    <w:rsid w:val="007354D1"/>
    <w:rsid w:val="0073556C"/>
    <w:rsid w:val="00735921"/>
    <w:rsid w:val="0073599B"/>
    <w:rsid w:val="00736353"/>
    <w:rsid w:val="00736948"/>
    <w:rsid w:val="00736F61"/>
    <w:rsid w:val="007373DE"/>
    <w:rsid w:val="00737DD0"/>
    <w:rsid w:val="00737F4D"/>
    <w:rsid w:val="00740323"/>
    <w:rsid w:val="0074127B"/>
    <w:rsid w:val="0074185E"/>
    <w:rsid w:val="007420A5"/>
    <w:rsid w:val="00742253"/>
    <w:rsid w:val="00742435"/>
    <w:rsid w:val="00742530"/>
    <w:rsid w:val="007425E3"/>
    <w:rsid w:val="007429F7"/>
    <w:rsid w:val="00743275"/>
    <w:rsid w:val="007436F0"/>
    <w:rsid w:val="0074422A"/>
    <w:rsid w:val="00744558"/>
    <w:rsid w:val="00744B93"/>
    <w:rsid w:val="00744BEF"/>
    <w:rsid w:val="00744D7A"/>
    <w:rsid w:val="007451F3"/>
    <w:rsid w:val="007455A5"/>
    <w:rsid w:val="00745CB3"/>
    <w:rsid w:val="00745E8D"/>
    <w:rsid w:val="007460A0"/>
    <w:rsid w:val="007461F1"/>
    <w:rsid w:val="007462A1"/>
    <w:rsid w:val="0074728E"/>
    <w:rsid w:val="00747637"/>
    <w:rsid w:val="00747923"/>
    <w:rsid w:val="007511E1"/>
    <w:rsid w:val="007529D7"/>
    <w:rsid w:val="00754564"/>
    <w:rsid w:val="00754589"/>
    <w:rsid w:val="00754F2D"/>
    <w:rsid w:val="0075518A"/>
    <w:rsid w:val="00756465"/>
    <w:rsid w:val="007570E7"/>
    <w:rsid w:val="00757B95"/>
    <w:rsid w:val="00757EFA"/>
    <w:rsid w:val="007600EC"/>
    <w:rsid w:val="0076023B"/>
    <w:rsid w:val="00761007"/>
    <w:rsid w:val="007612FA"/>
    <w:rsid w:val="00761FAB"/>
    <w:rsid w:val="00762550"/>
    <w:rsid w:val="007625C7"/>
    <w:rsid w:val="00763005"/>
    <w:rsid w:val="00764716"/>
    <w:rsid w:val="00764DBE"/>
    <w:rsid w:val="0076575F"/>
    <w:rsid w:val="00766258"/>
    <w:rsid w:val="007662C7"/>
    <w:rsid w:val="00766D8D"/>
    <w:rsid w:val="00766EDC"/>
    <w:rsid w:val="00767EB8"/>
    <w:rsid w:val="007709F4"/>
    <w:rsid w:val="00770A72"/>
    <w:rsid w:val="007710BF"/>
    <w:rsid w:val="00771BEF"/>
    <w:rsid w:val="007721C7"/>
    <w:rsid w:val="00772FAF"/>
    <w:rsid w:val="007730EC"/>
    <w:rsid w:val="007731BF"/>
    <w:rsid w:val="00774AA3"/>
    <w:rsid w:val="00774D9B"/>
    <w:rsid w:val="0077543F"/>
    <w:rsid w:val="00775568"/>
    <w:rsid w:val="0077556E"/>
    <w:rsid w:val="0077582B"/>
    <w:rsid w:val="00776015"/>
    <w:rsid w:val="00776306"/>
    <w:rsid w:val="00777434"/>
    <w:rsid w:val="007774C0"/>
    <w:rsid w:val="00777585"/>
    <w:rsid w:val="0078084E"/>
    <w:rsid w:val="007808B9"/>
    <w:rsid w:val="007816E2"/>
    <w:rsid w:val="0078198F"/>
    <w:rsid w:val="00782701"/>
    <w:rsid w:val="00783EB9"/>
    <w:rsid w:val="00784675"/>
    <w:rsid w:val="007847C0"/>
    <w:rsid w:val="00784897"/>
    <w:rsid w:val="00784BB0"/>
    <w:rsid w:val="00785628"/>
    <w:rsid w:val="00785E83"/>
    <w:rsid w:val="00787BF3"/>
    <w:rsid w:val="00791C02"/>
    <w:rsid w:val="00791D60"/>
    <w:rsid w:val="007928CA"/>
    <w:rsid w:val="00792B87"/>
    <w:rsid w:val="00792BAA"/>
    <w:rsid w:val="00792FC8"/>
    <w:rsid w:val="007936B8"/>
    <w:rsid w:val="00793780"/>
    <w:rsid w:val="00793952"/>
    <w:rsid w:val="007947A3"/>
    <w:rsid w:val="00794B87"/>
    <w:rsid w:val="00794D1A"/>
    <w:rsid w:val="00795EF7"/>
    <w:rsid w:val="00796DEB"/>
    <w:rsid w:val="00796EB8"/>
    <w:rsid w:val="007975E9"/>
    <w:rsid w:val="00797CCD"/>
    <w:rsid w:val="007A03AB"/>
    <w:rsid w:val="007A05D4"/>
    <w:rsid w:val="007A0EB4"/>
    <w:rsid w:val="007A1791"/>
    <w:rsid w:val="007A1887"/>
    <w:rsid w:val="007A1D79"/>
    <w:rsid w:val="007A270E"/>
    <w:rsid w:val="007A29D3"/>
    <w:rsid w:val="007A2CD1"/>
    <w:rsid w:val="007A3020"/>
    <w:rsid w:val="007A33F8"/>
    <w:rsid w:val="007A399F"/>
    <w:rsid w:val="007A4465"/>
    <w:rsid w:val="007A4753"/>
    <w:rsid w:val="007A4876"/>
    <w:rsid w:val="007A52E1"/>
    <w:rsid w:val="007A55A7"/>
    <w:rsid w:val="007A57BC"/>
    <w:rsid w:val="007A59CA"/>
    <w:rsid w:val="007A5C16"/>
    <w:rsid w:val="007A61D8"/>
    <w:rsid w:val="007A6EF5"/>
    <w:rsid w:val="007A74B4"/>
    <w:rsid w:val="007A7813"/>
    <w:rsid w:val="007A7D5A"/>
    <w:rsid w:val="007A7FCC"/>
    <w:rsid w:val="007B03EE"/>
    <w:rsid w:val="007B09EE"/>
    <w:rsid w:val="007B0F76"/>
    <w:rsid w:val="007B1F10"/>
    <w:rsid w:val="007B2143"/>
    <w:rsid w:val="007B2372"/>
    <w:rsid w:val="007B24FB"/>
    <w:rsid w:val="007B327E"/>
    <w:rsid w:val="007B335E"/>
    <w:rsid w:val="007B38CE"/>
    <w:rsid w:val="007B445E"/>
    <w:rsid w:val="007B4916"/>
    <w:rsid w:val="007B4A9D"/>
    <w:rsid w:val="007B56C1"/>
    <w:rsid w:val="007B604C"/>
    <w:rsid w:val="007B68CC"/>
    <w:rsid w:val="007B690D"/>
    <w:rsid w:val="007B6958"/>
    <w:rsid w:val="007B6D45"/>
    <w:rsid w:val="007B70DE"/>
    <w:rsid w:val="007B7DAF"/>
    <w:rsid w:val="007C10AA"/>
    <w:rsid w:val="007C137D"/>
    <w:rsid w:val="007C193D"/>
    <w:rsid w:val="007C215E"/>
    <w:rsid w:val="007C28F8"/>
    <w:rsid w:val="007C3340"/>
    <w:rsid w:val="007C3371"/>
    <w:rsid w:val="007C394F"/>
    <w:rsid w:val="007C3BDA"/>
    <w:rsid w:val="007C4390"/>
    <w:rsid w:val="007C54C9"/>
    <w:rsid w:val="007C55F3"/>
    <w:rsid w:val="007C63BC"/>
    <w:rsid w:val="007C650D"/>
    <w:rsid w:val="007C6844"/>
    <w:rsid w:val="007C7D64"/>
    <w:rsid w:val="007C7D88"/>
    <w:rsid w:val="007C7FFB"/>
    <w:rsid w:val="007D03C1"/>
    <w:rsid w:val="007D0CE6"/>
    <w:rsid w:val="007D0D64"/>
    <w:rsid w:val="007D1390"/>
    <w:rsid w:val="007D1BDC"/>
    <w:rsid w:val="007D273A"/>
    <w:rsid w:val="007D32EF"/>
    <w:rsid w:val="007D3B85"/>
    <w:rsid w:val="007D4B42"/>
    <w:rsid w:val="007D4E36"/>
    <w:rsid w:val="007D53C0"/>
    <w:rsid w:val="007D5424"/>
    <w:rsid w:val="007D6108"/>
    <w:rsid w:val="007D6127"/>
    <w:rsid w:val="007D64A3"/>
    <w:rsid w:val="007D6771"/>
    <w:rsid w:val="007D6BE1"/>
    <w:rsid w:val="007D7105"/>
    <w:rsid w:val="007D787C"/>
    <w:rsid w:val="007D7A09"/>
    <w:rsid w:val="007D7BDD"/>
    <w:rsid w:val="007E018D"/>
    <w:rsid w:val="007E0489"/>
    <w:rsid w:val="007E0630"/>
    <w:rsid w:val="007E085A"/>
    <w:rsid w:val="007E1352"/>
    <w:rsid w:val="007E18F2"/>
    <w:rsid w:val="007E18FE"/>
    <w:rsid w:val="007E361D"/>
    <w:rsid w:val="007E38F5"/>
    <w:rsid w:val="007E4885"/>
    <w:rsid w:val="007E4A39"/>
    <w:rsid w:val="007E51C4"/>
    <w:rsid w:val="007E6336"/>
    <w:rsid w:val="007E65B5"/>
    <w:rsid w:val="007E6623"/>
    <w:rsid w:val="007E6A45"/>
    <w:rsid w:val="007E6DAE"/>
    <w:rsid w:val="007E6F5A"/>
    <w:rsid w:val="007E7D00"/>
    <w:rsid w:val="007F0F7D"/>
    <w:rsid w:val="007F0F93"/>
    <w:rsid w:val="007F12F9"/>
    <w:rsid w:val="007F1B71"/>
    <w:rsid w:val="007F1F80"/>
    <w:rsid w:val="007F2CA3"/>
    <w:rsid w:val="007F2F75"/>
    <w:rsid w:val="007F382E"/>
    <w:rsid w:val="007F3BAC"/>
    <w:rsid w:val="007F5A38"/>
    <w:rsid w:val="007F5AE6"/>
    <w:rsid w:val="007F5EE2"/>
    <w:rsid w:val="007F77A7"/>
    <w:rsid w:val="007F7D52"/>
    <w:rsid w:val="008008D8"/>
    <w:rsid w:val="00800D8C"/>
    <w:rsid w:val="00801328"/>
    <w:rsid w:val="00801A48"/>
    <w:rsid w:val="00801EB1"/>
    <w:rsid w:val="00802D98"/>
    <w:rsid w:val="0080320B"/>
    <w:rsid w:val="008038B2"/>
    <w:rsid w:val="0080444F"/>
    <w:rsid w:val="00804DB8"/>
    <w:rsid w:val="0080546B"/>
    <w:rsid w:val="008056D4"/>
    <w:rsid w:val="0080572C"/>
    <w:rsid w:val="008058E5"/>
    <w:rsid w:val="00805936"/>
    <w:rsid w:val="00806C4E"/>
    <w:rsid w:val="00806DCA"/>
    <w:rsid w:val="008074F4"/>
    <w:rsid w:val="00807E7D"/>
    <w:rsid w:val="0081197F"/>
    <w:rsid w:val="00811FDE"/>
    <w:rsid w:val="0081293D"/>
    <w:rsid w:val="00814010"/>
    <w:rsid w:val="00814194"/>
    <w:rsid w:val="00814390"/>
    <w:rsid w:val="00814412"/>
    <w:rsid w:val="008145BA"/>
    <w:rsid w:val="00814D07"/>
    <w:rsid w:val="00815318"/>
    <w:rsid w:val="00816B3D"/>
    <w:rsid w:val="0081779B"/>
    <w:rsid w:val="008201E5"/>
    <w:rsid w:val="008203E3"/>
    <w:rsid w:val="00820B2C"/>
    <w:rsid w:val="0082105C"/>
    <w:rsid w:val="0082242C"/>
    <w:rsid w:val="008225F1"/>
    <w:rsid w:val="00822747"/>
    <w:rsid w:val="008229EC"/>
    <w:rsid w:val="0082424E"/>
    <w:rsid w:val="0082467C"/>
    <w:rsid w:val="00824732"/>
    <w:rsid w:val="008249BE"/>
    <w:rsid w:val="00824D40"/>
    <w:rsid w:val="00825FE9"/>
    <w:rsid w:val="00827B0D"/>
    <w:rsid w:val="0083013C"/>
    <w:rsid w:val="00830392"/>
    <w:rsid w:val="00830ADD"/>
    <w:rsid w:val="00830DBD"/>
    <w:rsid w:val="00831412"/>
    <w:rsid w:val="00831675"/>
    <w:rsid w:val="00831BC6"/>
    <w:rsid w:val="00831CE7"/>
    <w:rsid w:val="00831E70"/>
    <w:rsid w:val="00831F24"/>
    <w:rsid w:val="008324F8"/>
    <w:rsid w:val="00832516"/>
    <w:rsid w:val="008326D0"/>
    <w:rsid w:val="00832AD8"/>
    <w:rsid w:val="00833654"/>
    <w:rsid w:val="00833FA7"/>
    <w:rsid w:val="00834324"/>
    <w:rsid w:val="008348F1"/>
    <w:rsid w:val="00834DCB"/>
    <w:rsid w:val="00834DDC"/>
    <w:rsid w:val="008360E2"/>
    <w:rsid w:val="00837122"/>
    <w:rsid w:val="0083752D"/>
    <w:rsid w:val="00837757"/>
    <w:rsid w:val="008404AD"/>
    <w:rsid w:val="00840A12"/>
    <w:rsid w:val="00841657"/>
    <w:rsid w:val="00841E09"/>
    <w:rsid w:val="00842129"/>
    <w:rsid w:val="0084381E"/>
    <w:rsid w:val="00843B13"/>
    <w:rsid w:val="00844231"/>
    <w:rsid w:val="00844849"/>
    <w:rsid w:val="008452CB"/>
    <w:rsid w:val="00845A80"/>
    <w:rsid w:val="00845D80"/>
    <w:rsid w:val="00846740"/>
    <w:rsid w:val="0084683C"/>
    <w:rsid w:val="0084692A"/>
    <w:rsid w:val="0085027D"/>
    <w:rsid w:val="008507F5"/>
    <w:rsid w:val="00850C9D"/>
    <w:rsid w:val="00851D9E"/>
    <w:rsid w:val="008521BC"/>
    <w:rsid w:val="008526F5"/>
    <w:rsid w:val="008531C5"/>
    <w:rsid w:val="0085391C"/>
    <w:rsid w:val="008539A5"/>
    <w:rsid w:val="0085427E"/>
    <w:rsid w:val="00854D95"/>
    <w:rsid w:val="00854DE5"/>
    <w:rsid w:val="008552D6"/>
    <w:rsid w:val="00855A37"/>
    <w:rsid w:val="00855C3B"/>
    <w:rsid w:val="00855DA3"/>
    <w:rsid w:val="0085651C"/>
    <w:rsid w:val="00856CE7"/>
    <w:rsid w:val="00857AC2"/>
    <w:rsid w:val="00857C7D"/>
    <w:rsid w:val="00860405"/>
    <w:rsid w:val="00860BB5"/>
    <w:rsid w:val="00861354"/>
    <w:rsid w:val="00861971"/>
    <w:rsid w:val="00861E25"/>
    <w:rsid w:val="0086202F"/>
    <w:rsid w:val="00862275"/>
    <w:rsid w:val="00862443"/>
    <w:rsid w:val="00863840"/>
    <w:rsid w:val="008639C7"/>
    <w:rsid w:val="0086417B"/>
    <w:rsid w:val="0086476D"/>
    <w:rsid w:val="00865342"/>
    <w:rsid w:val="0086534B"/>
    <w:rsid w:val="00866007"/>
    <w:rsid w:val="00866A26"/>
    <w:rsid w:val="008671DB"/>
    <w:rsid w:val="00867420"/>
    <w:rsid w:val="00867ECF"/>
    <w:rsid w:val="008700ED"/>
    <w:rsid w:val="00870FDD"/>
    <w:rsid w:val="0087180E"/>
    <w:rsid w:val="00871A74"/>
    <w:rsid w:val="00871D36"/>
    <w:rsid w:val="00872E93"/>
    <w:rsid w:val="008732B4"/>
    <w:rsid w:val="0087365D"/>
    <w:rsid w:val="0087369B"/>
    <w:rsid w:val="008738EF"/>
    <w:rsid w:val="00873D7F"/>
    <w:rsid w:val="00873E9B"/>
    <w:rsid w:val="00873EC0"/>
    <w:rsid w:val="008741AE"/>
    <w:rsid w:val="0087445A"/>
    <w:rsid w:val="008750D6"/>
    <w:rsid w:val="0087589F"/>
    <w:rsid w:val="008760FB"/>
    <w:rsid w:val="0087625B"/>
    <w:rsid w:val="008764FA"/>
    <w:rsid w:val="0087687D"/>
    <w:rsid w:val="00876C9B"/>
    <w:rsid w:val="00877071"/>
    <w:rsid w:val="0087753D"/>
    <w:rsid w:val="008775DC"/>
    <w:rsid w:val="00877858"/>
    <w:rsid w:val="008779B4"/>
    <w:rsid w:val="00877A2F"/>
    <w:rsid w:val="00880343"/>
    <w:rsid w:val="0088100C"/>
    <w:rsid w:val="008812D9"/>
    <w:rsid w:val="0088138D"/>
    <w:rsid w:val="00881ECE"/>
    <w:rsid w:val="00881F1F"/>
    <w:rsid w:val="00882B10"/>
    <w:rsid w:val="0088342B"/>
    <w:rsid w:val="00883863"/>
    <w:rsid w:val="0088467C"/>
    <w:rsid w:val="00884ECC"/>
    <w:rsid w:val="00885191"/>
    <w:rsid w:val="008853B9"/>
    <w:rsid w:val="00885AA3"/>
    <w:rsid w:val="00885C46"/>
    <w:rsid w:val="008869C9"/>
    <w:rsid w:val="00890A02"/>
    <w:rsid w:val="00890C5D"/>
    <w:rsid w:val="00890DDA"/>
    <w:rsid w:val="00890EB5"/>
    <w:rsid w:val="00890FB8"/>
    <w:rsid w:val="00891B79"/>
    <w:rsid w:val="00891F21"/>
    <w:rsid w:val="0089243A"/>
    <w:rsid w:val="00892474"/>
    <w:rsid w:val="00892774"/>
    <w:rsid w:val="00892D3B"/>
    <w:rsid w:val="00893261"/>
    <w:rsid w:val="00893BA5"/>
    <w:rsid w:val="0089409D"/>
    <w:rsid w:val="008944A2"/>
    <w:rsid w:val="00894579"/>
    <w:rsid w:val="0089473E"/>
    <w:rsid w:val="00894AFA"/>
    <w:rsid w:val="00895901"/>
    <w:rsid w:val="00895A52"/>
    <w:rsid w:val="008967A7"/>
    <w:rsid w:val="00896E56"/>
    <w:rsid w:val="008972F3"/>
    <w:rsid w:val="00897E28"/>
    <w:rsid w:val="008A0206"/>
    <w:rsid w:val="008A10EA"/>
    <w:rsid w:val="008A1E02"/>
    <w:rsid w:val="008A2BDB"/>
    <w:rsid w:val="008A314A"/>
    <w:rsid w:val="008A3A91"/>
    <w:rsid w:val="008A4044"/>
    <w:rsid w:val="008A407A"/>
    <w:rsid w:val="008A44B8"/>
    <w:rsid w:val="008A49F9"/>
    <w:rsid w:val="008A4F96"/>
    <w:rsid w:val="008A573A"/>
    <w:rsid w:val="008A5941"/>
    <w:rsid w:val="008A5B67"/>
    <w:rsid w:val="008A5CCD"/>
    <w:rsid w:val="008A6112"/>
    <w:rsid w:val="008A6175"/>
    <w:rsid w:val="008A63A2"/>
    <w:rsid w:val="008A64C7"/>
    <w:rsid w:val="008A6686"/>
    <w:rsid w:val="008A6A6D"/>
    <w:rsid w:val="008A6BDA"/>
    <w:rsid w:val="008A7DEA"/>
    <w:rsid w:val="008B05FC"/>
    <w:rsid w:val="008B080C"/>
    <w:rsid w:val="008B0857"/>
    <w:rsid w:val="008B1017"/>
    <w:rsid w:val="008B13DE"/>
    <w:rsid w:val="008B1486"/>
    <w:rsid w:val="008B1C10"/>
    <w:rsid w:val="008B2047"/>
    <w:rsid w:val="008B280F"/>
    <w:rsid w:val="008B29E7"/>
    <w:rsid w:val="008B2C4E"/>
    <w:rsid w:val="008B33DF"/>
    <w:rsid w:val="008B34CA"/>
    <w:rsid w:val="008B3953"/>
    <w:rsid w:val="008B3C26"/>
    <w:rsid w:val="008B4251"/>
    <w:rsid w:val="008B484B"/>
    <w:rsid w:val="008B4A38"/>
    <w:rsid w:val="008B52CE"/>
    <w:rsid w:val="008B598F"/>
    <w:rsid w:val="008B5A9B"/>
    <w:rsid w:val="008B5C0B"/>
    <w:rsid w:val="008B67A1"/>
    <w:rsid w:val="008B67F6"/>
    <w:rsid w:val="008B699F"/>
    <w:rsid w:val="008B7E24"/>
    <w:rsid w:val="008C1184"/>
    <w:rsid w:val="008C121E"/>
    <w:rsid w:val="008C1358"/>
    <w:rsid w:val="008C1632"/>
    <w:rsid w:val="008C1A4F"/>
    <w:rsid w:val="008C1FA5"/>
    <w:rsid w:val="008C201F"/>
    <w:rsid w:val="008C2216"/>
    <w:rsid w:val="008C22C0"/>
    <w:rsid w:val="008C27E3"/>
    <w:rsid w:val="008C2B77"/>
    <w:rsid w:val="008C30E2"/>
    <w:rsid w:val="008C363E"/>
    <w:rsid w:val="008C3FD5"/>
    <w:rsid w:val="008C4287"/>
    <w:rsid w:val="008C45D6"/>
    <w:rsid w:val="008C4B15"/>
    <w:rsid w:val="008C4F99"/>
    <w:rsid w:val="008C5400"/>
    <w:rsid w:val="008C5C66"/>
    <w:rsid w:val="008C71A0"/>
    <w:rsid w:val="008C7F6C"/>
    <w:rsid w:val="008D0285"/>
    <w:rsid w:val="008D04C3"/>
    <w:rsid w:val="008D0564"/>
    <w:rsid w:val="008D07E2"/>
    <w:rsid w:val="008D08C5"/>
    <w:rsid w:val="008D16F7"/>
    <w:rsid w:val="008D19B9"/>
    <w:rsid w:val="008D3378"/>
    <w:rsid w:val="008D34D1"/>
    <w:rsid w:val="008D3D89"/>
    <w:rsid w:val="008D40FA"/>
    <w:rsid w:val="008D411E"/>
    <w:rsid w:val="008D4172"/>
    <w:rsid w:val="008D4835"/>
    <w:rsid w:val="008D5EC6"/>
    <w:rsid w:val="008D6504"/>
    <w:rsid w:val="008D6BC7"/>
    <w:rsid w:val="008D7050"/>
    <w:rsid w:val="008D7118"/>
    <w:rsid w:val="008D74F7"/>
    <w:rsid w:val="008E06E2"/>
    <w:rsid w:val="008E0778"/>
    <w:rsid w:val="008E1264"/>
    <w:rsid w:val="008E1427"/>
    <w:rsid w:val="008E1528"/>
    <w:rsid w:val="008E1DCB"/>
    <w:rsid w:val="008E1EEC"/>
    <w:rsid w:val="008E24BA"/>
    <w:rsid w:val="008E2C57"/>
    <w:rsid w:val="008E2E85"/>
    <w:rsid w:val="008E2FFC"/>
    <w:rsid w:val="008E3F66"/>
    <w:rsid w:val="008E420A"/>
    <w:rsid w:val="008E52C7"/>
    <w:rsid w:val="008E5A1D"/>
    <w:rsid w:val="008E6747"/>
    <w:rsid w:val="008E7E76"/>
    <w:rsid w:val="008F07D6"/>
    <w:rsid w:val="008F0C50"/>
    <w:rsid w:val="008F1171"/>
    <w:rsid w:val="008F2367"/>
    <w:rsid w:val="008F2529"/>
    <w:rsid w:val="008F2880"/>
    <w:rsid w:val="008F28E4"/>
    <w:rsid w:val="008F2D4E"/>
    <w:rsid w:val="008F342D"/>
    <w:rsid w:val="008F35A1"/>
    <w:rsid w:val="008F52AE"/>
    <w:rsid w:val="008F62E1"/>
    <w:rsid w:val="008F62E3"/>
    <w:rsid w:val="008F7356"/>
    <w:rsid w:val="008F75B4"/>
    <w:rsid w:val="008F778A"/>
    <w:rsid w:val="00900813"/>
    <w:rsid w:val="0090086B"/>
    <w:rsid w:val="00900E24"/>
    <w:rsid w:val="00900FD7"/>
    <w:rsid w:val="00901286"/>
    <w:rsid w:val="00901303"/>
    <w:rsid w:val="00902ED6"/>
    <w:rsid w:val="0090320B"/>
    <w:rsid w:val="0090360E"/>
    <w:rsid w:val="00903857"/>
    <w:rsid w:val="00904004"/>
    <w:rsid w:val="00904032"/>
    <w:rsid w:val="0090432C"/>
    <w:rsid w:val="0090468F"/>
    <w:rsid w:val="0090485B"/>
    <w:rsid w:val="00904863"/>
    <w:rsid w:val="0090498C"/>
    <w:rsid w:val="00904EB8"/>
    <w:rsid w:val="0090508F"/>
    <w:rsid w:val="0090509E"/>
    <w:rsid w:val="00905439"/>
    <w:rsid w:val="00906037"/>
    <w:rsid w:val="0090637D"/>
    <w:rsid w:val="009065EE"/>
    <w:rsid w:val="0090754F"/>
    <w:rsid w:val="00907552"/>
    <w:rsid w:val="00907CE0"/>
    <w:rsid w:val="00907D5E"/>
    <w:rsid w:val="00910242"/>
    <w:rsid w:val="00910803"/>
    <w:rsid w:val="009117F0"/>
    <w:rsid w:val="0091280A"/>
    <w:rsid w:val="00912BF3"/>
    <w:rsid w:val="0091348B"/>
    <w:rsid w:val="00913609"/>
    <w:rsid w:val="009143A0"/>
    <w:rsid w:val="00914BB4"/>
    <w:rsid w:val="0091536A"/>
    <w:rsid w:val="00915CBF"/>
    <w:rsid w:val="009167A3"/>
    <w:rsid w:val="0091780D"/>
    <w:rsid w:val="00917AA9"/>
    <w:rsid w:val="0092054F"/>
    <w:rsid w:val="00921A24"/>
    <w:rsid w:val="00921AD8"/>
    <w:rsid w:val="00921B5A"/>
    <w:rsid w:val="00922766"/>
    <w:rsid w:val="00922CDB"/>
    <w:rsid w:val="0092365E"/>
    <w:rsid w:val="00923700"/>
    <w:rsid w:val="00923722"/>
    <w:rsid w:val="00923E2E"/>
    <w:rsid w:val="00924997"/>
    <w:rsid w:val="00924AC6"/>
    <w:rsid w:val="00924F17"/>
    <w:rsid w:val="00925124"/>
    <w:rsid w:val="00925152"/>
    <w:rsid w:val="00925243"/>
    <w:rsid w:val="0092561C"/>
    <w:rsid w:val="00925635"/>
    <w:rsid w:val="0092589E"/>
    <w:rsid w:val="0092667D"/>
    <w:rsid w:val="00926E60"/>
    <w:rsid w:val="009276F8"/>
    <w:rsid w:val="00927B58"/>
    <w:rsid w:val="00927C59"/>
    <w:rsid w:val="00931881"/>
    <w:rsid w:val="009328AD"/>
    <w:rsid w:val="00933330"/>
    <w:rsid w:val="00933E08"/>
    <w:rsid w:val="00934140"/>
    <w:rsid w:val="0093421F"/>
    <w:rsid w:val="009342B6"/>
    <w:rsid w:val="00934D8C"/>
    <w:rsid w:val="009351F8"/>
    <w:rsid w:val="0093593D"/>
    <w:rsid w:val="00936902"/>
    <w:rsid w:val="00936B80"/>
    <w:rsid w:val="00936ED6"/>
    <w:rsid w:val="009374DC"/>
    <w:rsid w:val="009376C8"/>
    <w:rsid w:val="00937943"/>
    <w:rsid w:val="00940428"/>
    <w:rsid w:val="009408D3"/>
    <w:rsid w:val="00941998"/>
    <w:rsid w:val="00941A4F"/>
    <w:rsid w:val="00941FB5"/>
    <w:rsid w:val="00942170"/>
    <w:rsid w:val="009421B2"/>
    <w:rsid w:val="009429B9"/>
    <w:rsid w:val="00942AE3"/>
    <w:rsid w:val="00942B7C"/>
    <w:rsid w:val="00942C5E"/>
    <w:rsid w:val="00942C98"/>
    <w:rsid w:val="0094328E"/>
    <w:rsid w:val="00943319"/>
    <w:rsid w:val="009435D4"/>
    <w:rsid w:val="00944552"/>
    <w:rsid w:val="00944663"/>
    <w:rsid w:val="0094486D"/>
    <w:rsid w:val="00944D06"/>
    <w:rsid w:val="00945969"/>
    <w:rsid w:val="00945C44"/>
    <w:rsid w:val="00946070"/>
    <w:rsid w:val="0094637A"/>
    <w:rsid w:val="00946B46"/>
    <w:rsid w:val="00947374"/>
    <w:rsid w:val="00947F83"/>
    <w:rsid w:val="0095075F"/>
    <w:rsid w:val="00950853"/>
    <w:rsid w:val="00950901"/>
    <w:rsid w:val="00950E58"/>
    <w:rsid w:val="00951853"/>
    <w:rsid w:val="00951B74"/>
    <w:rsid w:val="009520E6"/>
    <w:rsid w:val="00952DF0"/>
    <w:rsid w:val="00954679"/>
    <w:rsid w:val="009548CF"/>
    <w:rsid w:val="009552FE"/>
    <w:rsid w:val="00955673"/>
    <w:rsid w:val="00955717"/>
    <w:rsid w:val="00955A98"/>
    <w:rsid w:val="009562A6"/>
    <w:rsid w:val="009562E9"/>
    <w:rsid w:val="009572F3"/>
    <w:rsid w:val="00957CD6"/>
    <w:rsid w:val="00957EF4"/>
    <w:rsid w:val="009606BE"/>
    <w:rsid w:val="00962026"/>
    <w:rsid w:val="00962166"/>
    <w:rsid w:val="00962650"/>
    <w:rsid w:val="0096266C"/>
    <w:rsid w:val="0096279B"/>
    <w:rsid w:val="00963515"/>
    <w:rsid w:val="00963AAC"/>
    <w:rsid w:val="0096451A"/>
    <w:rsid w:val="0096454D"/>
    <w:rsid w:val="0096465E"/>
    <w:rsid w:val="00964AC2"/>
    <w:rsid w:val="009655DA"/>
    <w:rsid w:val="00965AB0"/>
    <w:rsid w:val="00965BBC"/>
    <w:rsid w:val="00965D13"/>
    <w:rsid w:val="00966C22"/>
    <w:rsid w:val="00967179"/>
    <w:rsid w:val="00967219"/>
    <w:rsid w:val="009673D0"/>
    <w:rsid w:val="00967DF6"/>
    <w:rsid w:val="0097137F"/>
    <w:rsid w:val="00971AAD"/>
    <w:rsid w:val="00971B2D"/>
    <w:rsid w:val="00972115"/>
    <w:rsid w:val="00972823"/>
    <w:rsid w:val="00972915"/>
    <w:rsid w:val="00973CC1"/>
    <w:rsid w:val="00973D28"/>
    <w:rsid w:val="00973E3E"/>
    <w:rsid w:val="00974035"/>
    <w:rsid w:val="009743B7"/>
    <w:rsid w:val="0097454E"/>
    <w:rsid w:val="00974996"/>
    <w:rsid w:val="00974E0D"/>
    <w:rsid w:val="0097507B"/>
    <w:rsid w:val="00975713"/>
    <w:rsid w:val="00976523"/>
    <w:rsid w:val="009768D0"/>
    <w:rsid w:val="00976E99"/>
    <w:rsid w:val="00977594"/>
    <w:rsid w:val="009804E5"/>
    <w:rsid w:val="0098053F"/>
    <w:rsid w:val="00980744"/>
    <w:rsid w:val="00981509"/>
    <w:rsid w:val="00981E60"/>
    <w:rsid w:val="0098288A"/>
    <w:rsid w:val="00982B8D"/>
    <w:rsid w:val="00982FEC"/>
    <w:rsid w:val="0098399D"/>
    <w:rsid w:val="00983E70"/>
    <w:rsid w:val="00984214"/>
    <w:rsid w:val="009845B4"/>
    <w:rsid w:val="0098498D"/>
    <w:rsid w:val="00984BD0"/>
    <w:rsid w:val="00984C92"/>
    <w:rsid w:val="009853EA"/>
    <w:rsid w:val="00985721"/>
    <w:rsid w:val="00985FB1"/>
    <w:rsid w:val="00986835"/>
    <w:rsid w:val="0098737D"/>
    <w:rsid w:val="009874A6"/>
    <w:rsid w:val="009879EF"/>
    <w:rsid w:val="00987E13"/>
    <w:rsid w:val="00990BE6"/>
    <w:rsid w:val="00990C50"/>
    <w:rsid w:val="009915E0"/>
    <w:rsid w:val="00991A7C"/>
    <w:rsid w:val="0099230D"/>
    <w:rsid w:val="00992E87"/>
    <w:rsid w:val="009932F8"/>
    <w:rsid w:val="00994192"/>
    <w:rsid w:val="00995628"/>
    <w:rsid w:val="009965E4"/>
    <w:rsid w:val="00996F00"/>
    <w:rsid w:val="009A157A"/>
    <w:rsid w:val="009A15B6"/>
    <w:rsid w:val="009A1B83"/>
    <w:rsid w:val="009A210E"/>
    <w:rsid w:val="009A2167"/>
    <w:rsid w:val="009A2265"/>
    <w:rsid w:val="009A2F75"/>
    <w:rsid w:val="009A2F9A"/>
    <w:rsid w:val="009A3541"/>
    <w:rsid w:val="009A3837"/>
    <w:rsid w:val="009A49F0"/>
    <w:rsid w:val="009A5307"/>
    <w:rsid w:val="009A710F"/>
    <w:rsid w:val="009A74A8"/>
    <w:rsid w:val="009B0B57"/>
    <w:rsid w:val="009B0F54"/>
    <w:rsid w:val="009B17F0"/>
    <w:rsid w:val="009B3A50"/>
    <w:rsid w:val="009B5C14"/>
    <w:rsid w:val="009B5D41"/>
    <w:rsid w:val="009B6314"/>
    <w:rsid w:val="009B660C"/>
    <w:rsid w:val="009B6611"/>
    <w:rsid w:val="009B6AB1"/>
    <w:rsid w:val="009B7A38"/>
    <w:rsid w:val="009B7E55"/>
    <w:rsid w:val="009C0051"/>
    <w:rsid w:val="009C0A40"/>
    <w:rsid w:val="009C0B4C"/>
    <w:rsid w:val="009C0C67"/>
    <w:rsid w:val="009C1CC1"/>
    <w:rsid w:val="009C1E4F"/>
    <w:rsid w:val="009C1F2C"/>
    <w:rsid w:val="009C24CB"/>
    <w:rsid w:val="009C2D02"/>
    <w:rsid w:val="009C35EF"/>
    <w:rsid w:val="009C3B01"/>
    <w:rsid w:val="009C4DC3"/>
    <w:rsid w:val="009C5CCF"/>
    <w:rsid w:val="009C6A1E"/>
    <w:rsid w:val="009C6E12"/>
    <w:rsid w:val="009C733D"/>
    <w:rsid w:val="009C749D"/>
    <w:rsid w:val="009C77CB"/>
    <w:rsid w:val="009C7A69"/>
    <w:rsid w:val="009C7C69"/>
    <w:rsid w:val="009C7DF8"/>
    <w:rsid w:val="009C7E1A"/>
    <w:rsid w:val="009D0736"/>
    <w:rsid w:val="009D1060"/>
    <w:rsid w:val="009D13B4"/>
    <w:rsid w:val="009D1986"/>
    <w:rsid w:val="009D1E78"/>
    <w:rsid w:val="009D2F0C"/>
    <w:rsid w:val="009D32BF"/>
    <w:rsid w:val="009D3700"/>
    <w:rsid w:val="009D3CF9"/>
    <w:rsid w:val="009D477C"/>
    <w:rsid w:val="009D5170"/>
    <w:rsid w:val="009D5422"/>
    <w:rsid w:val="009D58A1"/>
    <w:rsid w:val="009D5BBD"/>
    <w:rsid w:val="009D5D6A"/>
    <w:rsid w:val="009D62B4"/>
    <w:rsid w:val="009D692D"/>
    <w:rsid w:val="009D77A4"/>
    <w:rsid w:val="009D7868"/>
    <w:rsid w:val="009E0252"/>
    <w:rsid w:val="009E1A2C"/>
    <w:rsid w:val="009E2046"/>
    <w:rsid w:val="009E27A5"/>
    <w:rsid w:val="009E2F86"/>
    <w:rsid w:val="009E3FA2"/>
    <w:rsid w:val="009E5739"/>
    <w:rsid w:val="009E64E8"/>
    <w:rsid w:val="009E69D0"/>
    <w:rsid w:val="009E6E8E"/>
    <w:rsid w:val="009E7577"/>
    <w:rsid w:val="009E76F5"/>
    <w:rsid w:val="009F0DB1"/>
    <w:rsid w:val="009F1166"/>
    <w:rsid w:val="009F210C"/>
    <w:rsid w:val="009F3D9C"/>
    <w:rsid w:val="009F3DC6"/>
    <w:rsid w:val="009F5195"/>
    <w:rsid w:val="009F533D"/>
    <w:rsid w:val="009F5D2F"/>
    <w:rsid w:val="009F5EAF"/>
    <w:rsid w:val="009F6765"/>
    <w:rsid w:val="009F7787"/>
    <w:rsid w:val="00A00091"/>
    <w:rsid w:val="00A0017F"/>
    <w:rsid w:val="00A0029F"/>
    <w:rsid w:val="00A00E52"/>
    <w:rsid w:val="00A012E3"/>
    <w:rsid w:val="00A01B68"/>
    <w:rsid w:val="00A0264D"/>
    <w:rsid w:val="00A02A73"/>
    <w:rsid w:val="00A02A7B"/>
    <w:rsid w:val="00A0323C"/>
    <w:rsid w:val="00A0337D"/>
    <w:rsid w:val="00A051FC"/>
    <w:rsid w:val="00A05636"/>
    <w:rsid w:val="00A05903"/>
    <w:rsid w:val="00A05D5B"/>
    <w:rsid w:val="00A062FF"/>
    <w:rsid w:val="00A0671F"/>
    <w:rsid w:val="00A06C1B"/>
    <w:rsid w:val="00A06DD5"/>
    <w:rsid w:val="00A07515"/>
    <w:rsid w:val="00A078CA"/>
    <w:rsid w:val="00A07FD6"/>
    <w:rsid w:val="00A1046A"/>
    <w:rsid w:val="00A11168"/>
    <w:rsid w:val="00A114E1"/>
    <w:rsid w:val="00A116ED"/>
    <w:rsid w:val="00A11D32"/>
    <w:rsid w:val="00A12209"/>
    <w:rsid w:val="00A13DFF"/>
    <w:rsid w:val="00A14CCF"/>
    <w:rsid w:val="00A156B3"/>
    <w:rsid w:val="00A15F2E"/>
    <w:rsid w:val="00A16129"/>
    <w:rsid w:val="00A166E7"/>
    <w:rsid w:val="00A167F7"/>
    <w:rsid w:val="00A168C9"/>
    <w:rsid w:val="00A16E6C"/>
    <w:rsid w:val="00A16FDD"/>
    <w:rsid w:val="00A172ED"/>
    <w:rsid w:val="00A17C79"/>
    <w:rsid w:val="00A20657"/>
    <w:rsid w:val="00A20697"/>
    <w:rsid w:val="00A20D19"/>
    <w:rsid w:val="00A21376"/>
    <w:rsid w:val="00A2138B"/>
    <w:rsid w:val="00A21F7C"/>
    <w:rsid w:val="00A23745"/>
    <w:rsid w:val="00A23C8A"/>
    <w:rsid w:val="00A25025"/>
    <w:rsid w:val="00A256E4"/>
    <w:rsid w:val="00A26331"/>
    <w:rsid w:val="00A26ACB"/>
    <w:rsid w:val="00A26BAD"/>
    <w:rsid w:val="00A270B6"/>
    <w:rsid w:val="00A27723"/>
    <w:rsid w:val="00A30060"/>
    <w:rsid w:val="00A31484"/>
    <w:rsid w:val="00A31681"/>
    <w:rsid w:val="00A317A7"/>
    <w:rsid w:val="00A31920"/>
    <w:rsid w:val="00A31B7B"/>
    <w:rsid w:val="00A31BC6"/>
    <w:rsid w:val="00A3293D"/>
    <w:rsid w:val="00A330A8"/>
    <w:rsid w:val="00A3461E"/>
    <w:rsid w:val="00A34CA4"/>
    <w:rsid w:val="00A35C72"/>
    <w:rsid w:val="00A36657"/>
    <w:rsid w:val="00A36D09"/>
    <w:rsid w:val="00A36DF3"/>
    <w:rsid w:val="00A37620"/>
    <w:rsid w:val="00A3797B"/>
    <w:rsid w:val="00A400C8"/>
    <w:rsid w:val="00A40A93"/>
    <w:rsid w:val="00A40F56"/>
    <w:rsid w:val="00A4148D"/>
    <w:rsid w:val="00A41AAA"/>
    <w:rsid w:val="00A42607"/>
    <w:rsid w:val="00A4273C"/>
    <w:rsid w:val="00A430BB"/>
    <w:rsid w:val="00A4395A"/>
    <w:rsid w:val="00A4441D"/>
    <w:rsid w:val="00A44C73"/>
    <w:rsid w:val="00A45821"/>
    <w:rsid w:val="00A476AA"/>
    <w:rsid w:val="00A4776C"/>
    <w:rsid w:val="00A47FDF"/>
    <w:rsid w:val="00A5028B"/>
    <w:rsid w:val="00A509D7"/>
    <w:rsid w:val="00A50F24"/>
    <w:rsid w:val="00A51141"/>
    <w:rsid w:val="00A5118F"/>
    <w:rsid w:val="00A51BB6"/>
    <w:rsid w:val="00A527B1"/>
    <w:rsid w:val="00A52EB3"/>
    <w:rsid w:val="00A52F03"/>
    <w:rsid w:val="00A532DD"/>
    <w:rsid w:val="00A546AE"/>
    <w:rsid w:val="00A5497A"/>
    <w:rsid w:val="00A55166"/>
    <w:rsid w:val="00A5522E"/>
    <w:rsid w:val="00A55662"/>
    <w:rsid w:val="00A56021"/>
    <w:rsid w:val="00A56F27"/>
    <w:rsid w:val="00A578BF"/>
    <w:rsid w:val="00A57908"/>
    <w:rsid w:val="00A579C5"/>
    <w:rsid w:val="00A6052A"/>
    <w:rsid w:val="00A61973"/>
    <w:rsid w:val="00A61F07"/>
    <w:rsid w:val="00A622C3"/>
    <w:rsid w:val="00A62B18"/>
    <w:rsid w:val="00A62D67"/>
    <w:rsid w:val="00A6413C"/>
    <w:rsid w:val="00A649B6"/>
    <w:rsid w:val="00A64F6D"/>
    <w:rsid w:val="00A654AA"/>
    <w:rsid w:val="00A65851"/>
    <w:rsid w:val="00A66B1D"/>
    <w:rsid w:val="00A67145"/>
    <w:rsid w:val="00A67844"/>
    <w:rsid w:val="00A67B02"/>
    <w:rsid w:val="00A70405"/>
    <w:rsid w:val="00A70C3F"/>
    <w:rsid w:val="00A713E0"/>
    <w:rsid w:val="00A7240A"/>
    <w:rsid w:val="00A7273A"/>
    <w:rsid w:val="00A730E8"/>
    <w:rsid w:val="00A73992"/>
    <w:rsid w:val="00A73CE6"/>
    <w:rsid w:val="00A74440"/>
    <w:rsid w:val="00A74736"/>
    <w:rsid w:val="00A74820"/>
    <w:rsid w:val="00A74B90"/>
    <w:rsid w:val="00A7553A"/>
    <w:rsid w:val="00A755B2"/>
    <w:rsid w:val="00A75B20"/>
    <w:rsid w:val="00A760F0"/>
    <w:rsid w:val="00A760F3"/>
    <w:rsid w:val="00A76697"/>
    <w:rsid w:val="00A76820"/>
    <w:rsid w:val="00A77026"/>
    <w:rsid w:val="00A80BCF"/>
    <w:rsid w:val="00A81073"/>
    <w:rsid w:val="00A814BF"/>
    <w:rsid w:val="00A81B1C"/>
    <w:rsid w:val="00A81D77"/>
    <w:rsid w:val="00A825D1"/>
    <w:rsid w:val="00A82EB6"/>
    <w:rsid w:val="00A8335E"/>
    <w:rsid w:val="00A8335F"/>
    <w:rsid w:val="00A833F5"/>
    <w:rsid w:val="00A834F8"/>
    <w:rsid w:val="00A8369C"/>
    <w:rsid w:val="00A8386B"/>
    <w:rsid w:val="00A83F9E"/>
    <w:rsid w:val="00A8407B"/>
    <w:rsid w:val="00A850FB"/>
    <w:rsid w:val="00A857B2"/>
    <w:rsid w:val="00A8616C"/>
    <w:rsid w:val="00A86579"/>
    <w:rsid w:val="00A867CD"/>
    <w:rsid w:val="00A90212"/>
    <w:rsid w:val="00A90A72"/>
    <w:rsid w:val="00A90AB0"/>
    <w:rsid w:val="00A90CC4"/>
    <w:rsid w:val="00A91091"/>
    <w:rsid w:val="00A917B0"/>
    <w:rsid w:val="00A91A77"/>
    <w:rsid w:val="00A91FA6"/>
    <w:rsid w:val="00A92D2F"/>
    <w:rsid w:val="00A934CA"/>
    <w:rsid w:val="00A9401D"/>
    <w:rsid w:val="00A94316"/>
    <w:rsid w:val="00A94944"/>
    <w:rsid w:val="00A94D75"/>
    <w:rsid w:val="00A95355"/>
    <w:rsid w:val="00A969F6"/>
    <w:rsid w:val="00A973E6"/>
    <w:rsid w:val="00A97551"/>
    <w:rsid w:val="00AA00DE"/>
    <w:rsid w:val="00AA030E"/>
    <w:rsid w:val="00AA1689"/>
    <w:rsid w:val="00AA2275"/>
    <w:rsid w:val="00AA3677"/>
    <w:rsid w:val="00AA496F"/>
    <w:rsid w:val="00AA4FD6"/>
    <w:rsid w:val="00AA5770"/>
    <w:rsid w:val="00AA5D7D"/>
    <w:rsid w:val="00AA70AD"/>
    <w:rsid w:val="00AA70DB"/>
    <w:rsid w:val="00AA74F5"/>
    <w:rsid w:val="00AA7652"/>
    <w:rsid w:val="00AA794E"/>
    <w:rsid w:val="00AB0DE2"/>
    <w:rsid w:val="00AB0E49"/>
    <w:rsid w:val="00AB0F6C"/>
    <w:rsid w:val="00AB1F4E"/>
    <w:rsid w:val="00AB2054"/>
    <w:rsid w:val="00AB20F2"/>
    <w:rsid w:val="00AB21DF"/>
    <w:rsid w:val="00AB2E70"/>
    <w:rsid w:val="00AB2FF4"/>
    <w:rsid w:val="00AB33C1"/>
    <w:rsid w:val="00AB359A"/>
    <w:rsid w:val="00AB377B"/>
    <w:rsid w:val="00AB3A04"/>
    <w:rsid w:val="00AB3E03"/>
    <w:rsid w:val="00AB4973"/>
    <w:rsid w:val="00AB5439"/>
    <w:rsid w:val="00AB5888"/>
    <w:rsid w:val="00AB64A9"/>
    <w:rsid w:val="00AB6D3B"/>
    <w:rsid w:val="00AC00E9"/>
    <w:rsid w:val="00AC088F"/>
    <w:rsid w:val="00AC09F4"/>
    <w:rsid w:val="00AC0E1A"/>
    <w:rsid w:val="00AC15ED"/>
    <w:rsid w:val="00AC1D15"/>
    <w:rsid w:val="00AC2137"/>
    <w:rsid w:val="00AC36CA"/>
    <w:rsid w:val="00AC4700"/>
    <w:rsid w:val="00AC478E"/>
    <w:rsid w:val="00AC4BC4"/>
    <w:rsid w:val="00AC4BDB"/>
    <w:rsid w:val="00AC546D"/>
    <w:rsid w:val="00AC562D"/>
    <w:rsid w:val="00AC5718"/>
    <w:rsid w:val="00AC5D4A"/>
    <w:rsid w:val="00AC6129"/>
    <w:rsid w:val="00AC6237"/>
    <w:rsid w:val="00AC6F00"/>
    <w:rsid w:val="00AC6F3F"/>
    <w:rsid w:val="00AC7C82"/>
    <w:rsid w:val="00AC7D08"/>
    <w:rsid w:val="00AD09E1"/>
    <w:rsid w:val="00AD0A0C"/>
    <w:rsid w:val="00AD0D9F"/>
    <w:rsid w:val="00AD3696"/>
    <w:rsid w:val="00AD449D"/>
    <w:rsid w:val="00AD44C6"/>
    <w:rsid w:val="00AD4E58"/>
    <w:rsid w:val="00AD54FA"/>
    <w:rsid w:val="00AD60B9"/>
    <w:rsid w:val="00AD66D1"/>
    <w:rsid w:val="00AD6755"/>
    <w:rsid w:val="00AD69CF"/>
    <w:rsid w:val="00AD6E44"/>
    <w:rsid w:val="00AD6FC4"/>
    <w:rsid w:val="00AD7C44"/>
    <w:rsid w:val="00AE0008"/>
    <w:rsid w:val="00AE0570"/>
    <w:rsid w:val="00AE2330"/>
    <w:rsid w:val="00AE256D"/>
    <w:rsid w:val="00AE298C"/>
    <w:rsid w:val="00AE2C2C"/>
    <w:rsid w:val="00AE2CAB"/>
    <w:rsid w:val="00AE3CEF"/>
    <w:rsid w:val="00AE3D3F"/>
    <w:rsid w:val="00AE45A3"/>
    <w:rsid w:val="00AE460D"/>
    <w:rsid w:val="00AE483E"/>
    <w:rsid w:val="00AE4D15"/>
    <w:rsid w:val="00AE5011"/>
    <w:rsid w:val="00AE5531"/>
    <w:rsid w:val="00AE5991"/>
    <w:rsid w:val="00AE5ABA"/>
    <w:rsid w:val="00AE5E8F"/>
    <w:rsid w:val="00AE6696"/>
    <w:rsid w:val="00AE6D6B"/>
    <w:rsid w:val="00AE72AC"/>
    <w:rsid w:val="00AE7F82"/>
    <w:rsid w:val="00AF0404"/>
    <w:rsid w:val="00AF0827"/>
    <w:rsid w:val="00AF0B10"/>
    <w:rsid w:val="00AF1263"/>
    <w:rsid w:val="00AF1C5A"/>
    <w:rsid w:val="00AF2322"/>
    <w:rsid w:val="00AF2526"/>
    <w:rsid w:val="00AF2B9B"/>
    <w:rsid w:val="00AF3DDD"/>
    <w:rsid w:val="00AF5F7F"/>
    <w:rsid w:val="00AF6D9B"/>
    <w:rsid w:val="00AF7AEF"/>
    <w:rsid w:val="00B005F8"/>
    <w:rsid w:val="00B012AF"/>
    <w:rsid w:val="00B013FF"/>
    <w:rsid w:val="00B0253C"/>
    <w:rsid w:val="00B03597"/>
    <w:rsid w:val="00B03BE7"/>
    <w:rsid w:val="00B046A7"/>
    <w:rsid w:val="00B04B36"/>
    <w:rsid w:val="00B04EAC"/>
    <w:rsid w:val="00B0659E"/>
    <w:rsid w:val="00B06906"/>
    <w:rsid w:val="00B072AA"/>
    <w:rsid w:val="00B073FD"/>
    <w:rsid w:val="00B074D0"/>
    <w:rsid w:val="00B07B0C"/>
    <w:rsid w:val="00B07F3C"/>
    <w:rsid w:val="00B1008B"/>
    <w:rsid w:val="00B10213"/>
    <w:rsid w:val="00B103B5"/>
    <w:rsid w:val="00B10A37"/>
    <w:rsid w:val="00B11FC4"/>
    <w:rsid w:val="00B120F9"/>
    <w:rsid w:val="00B12A40"/>
    <w:rsid w:val="00B12ACA"/>
    <w:rsid w:val="00B12CFE"/>
    <w:rsid w:val="00B1481A"/>
    <w:rsid w:val="00B1528D"/>
    <w:rsid w:val="00B15B52"/>
    <w:rsid w:val="00B15CB8"/>
    <w:rsid w:val="00B165A8"/>
    <w:rsid w:val="00B16F5C"/>
    <w:rsid w:val="00B16FB7"/>
    <w:rsid w:val="00B176AB"/>
    <w:rsid w:val="00B17E3E"/>
    <w:rsid w:val="00B2038E"/>
    <w:rsid w:val="00B20E13"/>
    <w:rsid w:val="00B21213"/>
    <w:rsid w:val="00B212C1"/>
    <w:rsid w:val="00B21952"/>
    <w:rsid w:val="00B21B31"/>
    <w:rsid w:val="00B2233B"/>
    <w:rsid w:val="00B2287F"/>
    <w:rsid w:val="00B22AB8"/>
    <w:rsid w:val="00B23043"/>
    <w:rsid w:val="00B23102"/>
    <w:rsid w:val="00B23A58"/>
    <w:rsid w:val="00B23C59"/>
    <w:rsid w:val="00B23CDB"/>
    <w:rsid w:val="00B23F8D"/>
    <w:rsid w:val="00B24AA0"/>
    <w:rsid w:val="00B25563"/>
    <w:rsid w:val="00B262A8"/>
    <w:rsid w:val="00B262B8"/>
    <w:rsid w:val="00B264F5"/>
    <w:rsid w:val="00B26D48"/>
    <w:rsid w:val="00B26FD7"/>
    <w:rsid w:val="00B276B8"/>
    <w:rsid w:val="00B2789F"/>
    <w:rsid w:val="00B279A2"/>
    <w:rsid w:val="00B279D3"/>
    <w:rsid w:val="00B27A00"/>
    <w:rsid w:val="00B321BF"/>
    <w:rsid w:val="00B333A3"/>
    <w:rsid w:val="00B3418D"/>
    <w:rsid w:val="00B346A4"/>
    <w:rsid w:val="00B35141"/>
    <w:rsid w:val="00B35263"/>
    <w:rsid w:val="00B35EEE"/>
    <w:rsid w:val="00B36344"/>
    <w:rsid w:val="00B36883"/>
    <w:rsid w:val="00B400E9"/>
    <w:rsid w:val="00B40949"/>
    <w:rsid w:val="00B40D80"/>
    <w:rsid w:val="00B41BA2"/>
    <w:rsid w:val="00B41F7B"/>
    <w:rsid w:val="00B425EC"/>
    <w:rsid w:val="00B426A7"/>
    <w:rsid w:val="00B42AB7"/>
    <w:rsid w:val="00B42EE1"/>
    <w:rsid w:val="00B43042"/>
    <w:rsid w:val="00B43373"/>
    <w:rsid w:val="00B43A78"/>
    <w:rsid w:val="00B43E4F"/>
    <w:rsid w:val="00B44A07"/>
    <w:rsid w:val="00B46D58"/>
    <w:rsid w:val="00B473D2"/>
    <w:rsid w:val="00B47A59"/>
    <w:rsid w:val="00B500EF"/>
    <w:rsid w:val="00B50B71"/>
    <w:rsid w:val="00B50DAF"/>
    <w:rsid w:val="00B517FA"/>
    <w:rsid w:val="00B518D7"/>
    <w:rsid w:val="00B51939"/>
    <w:rsid w:val="00B51FF7"/>
    <w:rsid w:val="00B5349B"/>
    <w:rsid w:val="00B537E8"/>
    <w:rsid w:val="00B537F9"/>
    <w:rsid w:val="00B53B33"/>
    <w:rsid w:val="00B53CB6"/>
    <w:rsid w:val="00B547D7"/>
    <w:rsid w:val="00B54EA0"/>
    <w:rsid w:val="00B55421"/>
    <w:rsid w:val="00B5575F"/>
    <w:rsid w:val="00B561EB"/>
    <w:rsid w:val="00B5649C"/>
    <w:rsid w:val="00B57384"/>
    <w:rsid w:val="00B57D09"/>
    <w:rsid w:val="00B57EC2"/>
    <w:rsid w:val="00B6032C"/>
    <w:rsid w:val="00B6102B"/>
    <w:rsid w:val="00B61625"/>
    <w:rsid w:val="00B62ED7"/>
    <w:rsid w:val="00B62F85"/>
    <w:rsid w:val="00B63E22"/>
    <w:rsid w:val="00B645CC"/>
    <w:rsid w:val="00B647A3"/>
    <w:rsid w:val="00B64D48"/>
    <w:rsid w:val="00B64FF9"/>
    <w:rsid w:val="00B65161"/>
    <w:rsid w:val="00B65F25"/>
    <w:rsid w:val="00B664A1"/>
    <w:rsid w:val="00B66620"/>
    <w:rsid w:val="00B66BFA"/>
    <w:rsid w:val="00B66E63"/>
    <w:rsid w:val="00B67AA0"/>
    <w:rsid w:val="00B67B78"/>
    <w:rsid w:val="00B67F47"/>
    <w:rsid w:val="00B7057A"/>
    <w:rsid w:val="00B705D7"/>
    <w:rsid w:val="00B709DA"/>
    <w:rsid w:val="00B70E1B"/>
    <w:rsid w:val="00B711B7"/>
    <w:rsid w:val="00B7138A"/>
    <w:rsid w:val="00B72157"/>
    <w:rsid w:val="00B725E0"/>
    <w:rsid w:val="00B72670"/>
    <w:rsid w:val="00B727E0"/>
    <w:rsid w:val="00B7281B"/>
    <w:rsid w:val="00B731F1"/>
    <w:rsid w:val="00B73C25"/>
    <w:rsid w:val="00B73C7D"/>
    <w:rsid w:val="00B74102"/>
    <w:rsid w:val="00B74150"/>
    <w:rsid w:val="00B74324"/>
    <w:rsid w:val="00B7474F"/>
    <w:rsid w:val="00B74841"/>
    <w:rsid w:val="00B748E1"/>
    <w:rsid w:val="00B750B5"/>
    <w:rsid w:val="00B7532D"/>
    <w:rsid w:val="00B7574F"/>
    <w:rsid w:val="00B75F34"/>
    <w:rsid w:val="00B76159"/>
    <w:rsid w:val="00B76339"/>
    <w:rsid w:val="00B777F7"/>
    <w:rsid w:val="00B8048F"/>
    <w:rsid w:val="00B80C34"/>
    <w:rsid w:val="00B80CC1"/>
    <w:rsid w:val="00B8194D"/>
    <w:rsid w:val="00B81B4B"/>
    <w:rsid w:val="00B8293D"/>
    <w:rsid w:val="00B83396"/>
    <w:rsid w:val="00B838D6"/>
    <w:rsid w:val="00B83D9A"/>
    <w:rsid w:val="00B83F07"/>
    <w:rsid w:val="00B83FBD"/>
    <w:rsid w:val="00B84061"/>
    <w:rsid w:val="00B84157"/>
    <w:rsid w:val="00B85483"/>
    <w:rsid w:val="00B8552B"/>
    <w:rsid w:val="00B85746"/>
    <w:rsid w:val="00B85FCD"/>
    <w:rsid w:val="00B865DB"/>
    <w:rsid w:val="00B878E9"/>
    <w:rsid w:val="00B87A49"/>
    <w:rsid w:val="00B905E3"/>
    <w:rsid w:val="00B90C65"/>
    <w:rsid w:val="00B91B60"/>
    <w:rsid w:val="00B91ECE"/>
    <w:rsid w:val="00B9246F"/>
    <w:rsid w:val="00B92478"/>
    <w:rsid w:val="00B92A42"/>
    <w:rsid w:val="00B92BEA"/>
    <w:rsid w:val="00B93142"/>
    <w:rsid w:val="00B939ED"/>
    <w:rsid w:val="00B943FB"/>
    <w:rsid w:val="00B94AD7"/>
    <w:rsid w:val="00B96268"/>
    <w:rsid w:val="00B96B90"/>
    <w:rsid w:val="00B96E5F"/>
    <w:rsid w:val="00B97018"/>
    <w:rsid w:val="00B97463"/>
    <w:rsid w:val="00B97997"/>
    <w:rsid w:val="00BA0AED"/>
    <w:rsid w:val="00BA1145"/>
    <w:rsid w:val="00BA13A1"/>
    <w:rsid w:val="00BA1710"/>
    <w:rsid w:val="00BA1763"/>
    <w:rsid w:val="00BA25B4"/>
    <w:rsid w:val="00BA28D0"/>
    <w:rsid w:val="00BA33BA"/>
    <w:rsid w:val="00BA3487"/>
    <w:rsid w:val="00BA3691"/>
    <w:rsid w:val="00BA3E2A"/>
    <w:rsid w:val="00BA4477"/>
    <w:rsid w:val="00BA4845"/>
    <w:rsid w:val="00BA4B48"/>
    <w:rsid w:val="00BA5BB9"/>
    <w:rsid w:val="00BA6188"/>
    <w:rsid w:val="00BA659A"/>
    <w:rsid w:val="00BA6992"/>
    <w:rsid w:val="00BA69EB"/>
    <w:rsid w:val="00BA7872"/>
    <w:rsid w:val="00BA7D0A"/>
    <w:rsid w:val="00BA7EA7"/>
    <w:rsid w:val="00BB0273"/>
    <w:rsid w:val="00BB0D33"/>
    <w:rsid w:val="00BB1AF9"/>
    <w:rsid w:val="00BB1E1C"/>
    <w:rsid w:val="00BB2904"/>
    <w:rsid w:val="00BB2EA1"/>
    <w:rsid w:val="00BB3AB4"/>
    <w:rsid w:val="00BB3B8E"/>
    <w:rsid w:val="00BB4384"/>
    <w:rsid w:val="00BB4652"/>
    <w:rsid w:val="00BB4813"/>
    <w:rsid w:val="00BB4927"/>
    <w:rsid w:val="00BB4AD6"/>
    <w:rsid w:val="00BB4F2A"/>
    <w:rsid w:val="00BB4FE3"/>
    <w:rsid w:val="00BB53D2"/>
    <w:rsid w:val="00BB57E6"/>
    <w:rsid w:val="00BB5BD6"/>
    <w:rsid w:val="00BB608E"/>
    <w:rsid w:val="00BB6BA7"/>
    <w:rsid w:val="00BB7567"/>
    <w:rsid w:val="00BC0622"/>
    <w:rsid w:val="00BC1065"/>
    <w:rsid w:val="00BC10F7"/>
    <w:rsid w:val="00BC166A"/>
    <w:rsid w:val="00BC1C8A"/>
    <w:rsid w:val="00BC2DF0"/>
    <w:rsid w:val="00BC3015"/>
    <w:rsid w:val="00BC3319"/>
    <w:rsid w:val="00BC361A"/>
    <w:rsid w:val="00BC3A43"/>
    <w:rsid w:val="00BC3CD6"/>
    <w:rsid w:val="00BC446F"/>
    <w:rsid w:val="00BC44F4"/>
    <w:rsid w:val="00BC4678"/>
    <w:rsid w:val="00BC50FC"/>
    <w:rsid w:val="00BC559D"/>
    <w:rsid w:val="00BC5B97"/>
    <w:rsid w:val="00BC68C2"/>
    <w:rsid w:val="00BC6B38"/>
    <w:rsid w:val="00BC740C"/>
    <w:rsid w:val="00BC77BB"/>
    <w:rsid w:val="00BC7951"/>
    <w:rsid w:val="00BC7A5B"/>
    <w:rsid w:val="00BD1F8A"/>
    <w:rsid w:val="00BD2045"/>
    <w:rsid w:val="00BD206F"/>
    <w:rsid w:val="00BD2970"/>
    <w:rsid w:val="00BD2987"/>
    <w:rsid w:val="00BD2BEA"/>
    <w:rsid w:val="00BD2CB7"/>
    <w:rsid w:val="00BD3450"/>
    <w:rsid w:val="00BD3637"/>
    <w:rsid w:val="00BD376E"/>
    <w:rsid w:val="00BD3D7D"/>
    <w:rsid w:val="00BD40EF"/>
    <w:rsid w:val="00BD49F7"/>
    <w:rsid w:val="00BD4B56"/>
    <w:rsid w:val="00BD4BAE"/>
    <w:rsid w:val="00BD4D28"/>
    <w:rsid w:val="00BD4DF8"/>
    <w:rsid w:val="00BD4E76"/>
    <w:rsid w:val="00BD5D27"/>
    <w:rsid w:val="00BD5DAA"/>
    <w:rsid w:val="00BD61A2"/>
    <w:rsid w:val="00BD641A"/>
    <w:rsid w:val="00BD6554"/>
    <w:rsid w:val="00BD6AC3"/>
    <w:rsid w:val="00BD6DE1"/>
    <w:rsid w:val="00BD6FDD"/>
    <w:rsid w:val="00BD7806"/>
    <w:rsid w:val="00BD7DB5"/>
    <w:rsid w:val="00BE0C3F"/>
    <w:rsid w:val="00BE0D5E"/>
    <w:rsid w:val="00BE294E"/>
    <w:rsid w:val="00BE2C32"/>
    <w:rsid w:val="00BE323D"/>
    <w:rsid w:val="00BE3596"/>
    <w:rsid w:val="00BE484D"/>
    <w:rsid w:val="00BE48EE"/>
    <w:rsid w:val="00BE4AA6"/>
    <w:rsid w:val="00BE5A2A"/>
    <w:rsid w:val="00BE5C94"/>
    <w:rsid w:val="00BE5E61"/>
    <w:rsid w:val="00BE74B0"/>
    <w:rsid w:val="00BE7734"/>
    <w:rsid w:val="00BE78BD"/>
    <w:rsid w:val="00BE7A83"/>
    <w:rsid w:val="00BF04A1"/>
    <w:rsid w:val="00BF09B8"/>
    <w:rsid w:val="00BF0C32"/>
    <w:rsid w:val="00BF1445"/>
    <w:rsid w:val="00BF1B6B"/>
    <w:rsid w:val="00BF2596"/>
    <w:rsid w:val="00BF2700"/>
    <w:rsid w:val="00BF66A7"/>
    <w:rsid w:val="00BF6774"/>
    <w:rsid w:val="00BF7771"/>
    <w:rsid w:val="00BF7AEC"/>
    <w:rsid w:val="00C005CE"/>
    <w:rsid w:val="00C00B11"/>
    <w:rsid w:val="00C00DAF"/>
    <w:rsid w:val="00C017F6"/>
    <w:rsid w:val="00C01CE2"/>
    <w:rsid w:val="00C02452"/>
    <w:rsid w:val="00C027F8"/>
    <w:rsid w:val="00C028BB"/>
    <w:rsid w:val="00C033BE"/>
    <w:rsid w:val="00C03EBD"/>
    <w:rsid w:val="00C04DEE"/>
    <w:rsid w:val="00C05124"/>
    <w:rsid w:val="00C06018"/>
    <w:rsid w:val="00C061B5"/>
    <w:rsid w:val="00C070DB"/>
    <w:rsid w:val="00C07C8F"/>
    <w:rsid w:val="00C104E7"/>
    <w:rsid w:val="00C107C8"/>
    <w:rsid w:val="00C10C74"/>
    <w:rsid w:val="00C10EE9"/>
    <w:rsid w:val="00C11146"/>
    <w:rsid w:val="00C11147"/>
    <w:rsid w:val="00C11A13"/>
    <w:rsid w:val="00C1246A"/>
    <w:rsid w:val="00C12E2A"/>
    <w:rsid w:val="00C1344B"/>
    <w:rsid w:val="00C1362D"/>
    <w:rsid w:val="00C13B7D"/>
    <w:rsid w:val="00C13BEA"/>
    <w:rsid w:val="00C13D30"/>
    <w:rsid w:val="00C13DC0"/>
    <w:rsid w:val="00C15805"/>
    <w:rsid w:val="00C15A7A"/>
    <w:rsid w:val="00C15D34"/>
    <w:rsid w:val="00C16A4E"/>
    <w:rsid w:val="00C16FDB"/>
    <w:rsid w:val="00C173D3"/>
    <w:rsid w:val="00C20F2B"/>
    <w:rsid w:val="00C21236"/>
    <w:rsid w:val="00C2124E"/>
    <w:rsid w:val="00C21F57"/>
    <w:rsid w:val="00C228CB"/>
    <w:rsid w:val="00C234B7"/>
    <w:rsid w:val="00C23D72"/>
    <w:rsid w:val="00C23DC2"/>
    <w:rsid w:val="00C24EDE"/>
    <w:rsid w:val="00C25B47"/>
    <w:rsid w:val="00C26533"/>
    <w:rsid w:val="00C26628"/>
    <w:rsid w:val="00C26FD9"/>
    <w:rsid w:val="00C27734"/>
    <w:rsid w:val="00C30FA7"/>
    <w:rsid w:val="00C310F1"/>
    <w:rsid w:val="00C31277"/>
    <w:rsid w:val="00C31753"/>
    <w:rsid w:val="00C320D5"/>
    <w:rsid w:val="00C32686"/>
    <w:rsid w:val="00C32EB9"/>
    <w:rsid w:val="00C33497"/>
    <w:rsid w:val="00C336BB"/>
    <w:rsid w:val="00C341B6"/>
    <w:rsid w:val="00C3425B"/>
    <w:rsid w:val="00C34422"/>
    <w:rsid w:val="00C35E20"/>
    <w:rsid w:val="00C361FB"/>
    <w:rsid w:val="00C36ABC"/>
    <w:rsid w:val="00C37813"/>
    <w:rsid w:val="00C37E05"/>
    <w:rsid w:val="00C4270A"/>
    <w:rsid w:val="00C428D2"/>
    <w:rsid w:val="00C43EF4"/>
    <w:rsid w:val="00C44729"/>
    <w:rsid w:val="00C447A1"/>
    <w:rsid w:val="00C44969"/>
    <w:rsid w:val="00C44EC1"/>
    <w:rsid w:val="00C4558B"/>
    <w:rsid w:val="00C456F2"/>
    <w:rsid w:val="00C45DF1"/>
    <w:rsid w:val="00C45F77"/>
    <w:rsid w:val="00C46EBE"/>
    <w:rsid w:val="00C47789"/>
    <w:rsid w:val="00C47970"/>
    <w:rsid w:val="00C507CD"/>
    <w:rsid w:val="00C509C0"/>
    <w:rsid w:val="00C50C05"/>
    <w:rsid w:val="00C5160A"/>
    <w:rsid w:val="00C51BD3"/>
    <w:rsid w:val="00C52172"/>
    <w:rsid w:val="00C52696"/>
    <w:rsid w:val="00C52D4A"/>
    <w:rsid w:val="00C52E24"/>
    <w:rsid w:val="00C53371"/>
    <w:rsid w:val="00C53BAF"/>
    <w:rsid w:val="00C54173"/>
    <w:rsid w:val="00C5464C"/>
    <w:rsid w:val="00C55B71"/>
    <w:rsid w:val="00C55CEF"/>
    <w:rsid w:val="00C55CFB"/>
    <w:rsid w:val="00C55D29"/>
    <w:rsid w:val="00C55D58"/>
    <w:rsid w:val="00C568C3"/>
    <w:rsid w:val="00C56EC9"/>
    <w:rsid w:val="00C56F2E"/>
    <w:rsid w:val="00C579E5"/>
    <w:rsid w:val="00C57C4A"/>
    <w:rsid w:val="00C57F2B"/>
    <w:rsid w:val="00C60110"/>
    <w:rsid w:val="00C601D7"/>
    <w:rsid w:val="00C60386"/>
    <w:rsid w:val="00C6248A"/>
    <w:rsid w:val="00C62714"/>
    <w:rsid w:val="00C62A6D"/>
    <w:rsid w:val="00C62B3A"/>
    <w:rsid w:val="00C62E8E"/>
    <w:rsid w:val="00C62EC2"/>
    <w:rsid w:val="00C632AC"/>
    <w:rsid w:val="00C64657"/>
    <w:rsid w:val="00C65255"/>
    <w:rsid w:val="00C653B5"/>
    <w:rsid w:val="00C653E5"/>
    <w:rsid w:val="00C65425"/>
    <w:rsid w:val="00C66631"/>
    <w:rsid w:val="00C66E3B"/>
    <w:rsid w:val="00C67004"/>
    <w:rsid w:val="00C67B43"/>
    <w:rsid w:val="00C708EC"/>
    <w:rsid w:val="00C71339"/>
    <w:rsid w:val="00C713F1"/>
    <w:rsid w:val="00C72176"/>
    <w:rsid w:val="00C722AE"/>
    <w:rsid w:val="00C72561"/>
    <w:rsid w:val="00C725A8"/>
    <w:rsid w:val="00C72C2A"/>
    <w:rsid w:val="00C731FD"/>
    <w:rsid w:val="00C734A3"/>
    <w:rsid w:val="00C741CC"/>
    <w:rsid w:val="00C741FE"/>
    <w:rsid w:val="00C750F3"/>
    <w:rsid w:val="00C77610"/>
    <w:rsid w:val="00C804CA"/>
    <w:rsid w:val="00C807D3"/>
    <w:rsid w:val="00C80860"/>
    <w:rsid w:val="00C80A18"/>
    <w:rsid w:val="00C80B3E"/>
    <w:rsid w:val="00C811FB"/>
    <w:rsid w:val="00C81B01"/>
    <w:rsid w:val="00C81CD7"/>
    <w:rsid w:val="00C81E07"/>
    <w:rsid w:val="00C82858"/>
    <w:rsid w:val="00C82AB0"/>
    <w:rsid w:val="00C82E93"/>
    <w:rsid w:val="00C830DA"/>
    <w:rsid w:val="00C83DB6"/>
    <w:rsid w:val="00C84FA0"/>
    <w:rsid w:val="00C854B0"/>
    <w:rsid w:val="00C86F6D"/>
    <w:rsid w:val="00C8700D"/>
    <w:rsid w:val="00C8728D"/>
    <w:rsid w:val="00C87744"/>
    <w:rsid w:val="00C8784B"/>
    <w:rsid w:val="00C87F26"/>
    <w:rsid w:val="00C90E12"/>
    <w:rsid w:val="00C910C2"/>
    <w:rsid w:val="00C91379"/>
    <w:rsid w:val="00C9258E"/>
    <w:rsid w:val="00C92983"/>
    <w:rsid w:val="00C948D8"/>
    <w:rsid w:val="00C94E57"/>
    <w:rsid w:val="00C951D1"/>
    <w:rsid w:val="00C95793"/>
    <w:rsid w:val="00C958BE"/>
    <w:rsid w:val="00C95C4C"/>
    <w:rsid w:val="00C9774F"/>
    <w:rsid w:val="00C9784A"/>
    <w:rsid w:val="00CA0BE9"/>
    <w:rsid w:val="00CA0F27"/>
    <w:rsid w:val="00CA138D"/>
    <w:rsid w:val="00CA1771"/>
    <w:rsid w:val="00CA1C0F"/>
    <w:rsid w:val="00CA1EA9"/>
    <w:rsid w:val="00CA253A"/>
    <w:rsid w:val="00CA28A5"/>
    <w:rsid w:val="00CA30B9"/>
    <w:rsid w:val="00CA3498"/>
    <w:rsid w:val="00CA387E"/>
    <w:rsid w:val="00CA3954"/>
    <w:rsid w:val="00CA3A57"/>
    <w:rsid w:val="00CA4038"/>
    <w:rsid w:val="00CA41A2"/>
    <w:rsid w:val="00CA4A11"/>
    <w:rsid w:val="00CA4A39"/>
    <w:rsid w:val="00CA4EC2"/>
    <w:rsid w:val="00CA57D9"/>
    <w:rsid w:val="00CA5B62"/>
    <w:rsid w:val="00CA5D67"/>
    <w:rsid w:val="00CA62BC"/>
    <w:rsid w:val="00CA684A"/>
    <w:rsid w:val="00CA6955"/>
    <w:rsid w:val="00CA697F"/>
    <w:rsid w:val="00CA6C9D"/>
    <w:rsid w:val="00CA6E6C"/>
    <w:rsid w:val="00CA6ECC"/>
    <w:rsid w:val="00CA6F66"/>
    <w:rsid w:val="00CA74A1"/>
    <w:rsid w:val="00CA7809"/>
    <w:rsid w:val="00CA79C7"/>
    <w:rsid w:val="00CB020A"/>
    <w:rsid w:val="00CB047D"/>
    <w:rsid w:val="00CB04D9"/>
    <w:rsid w:val="00CB06BE"/>
    <w:rsid w:val="00CB0AAC"/>
    <w:rsid w:val="00CB1B84"/>
    <w:rsid w:val="00CB1C30"/>
    <w:rsid w:val="00CB1E42"/>
    <w:rsid w:val="00CB2625"/>
    <w:rsid w:val="00CB292D"/>
    <w:rsid w:val="00CB2A8D"/>
    <w:rsid w:val="00CB2EB5"/>
    <w:rsid w:val="00CB321C"/>
    <w:rsid w:val="00CB3E7F"/>
    <w:rsid w:val="00CB4125"/>
    <w:rsid w:val="00CB4AD4"/>
    <w:rsid w:val="00CB4F7A"/>
    <w:rsid w:val="00CB52F9"/>
    <w:rsid w:val="00CB59C0"/>
    <w:rsid w:val="00CB5F21"/>
    <w:rsid w:val="00CB5F30"/>
    <w:rsid w:val="00CB674D"/>
    <w:rsid w:val="00CB684F"/>
    <w:rsid w:val="00CB6D92"/>
    <w:rsid w:val="00CB7CDA"/>
    <w:rsid w:val="00CB7D23"/>
    <w:rsid w:val="00CC005E"/>
    <w:rsid w:val="00CC1126"/>
    <w:rsid w:val="00CC1A95"/>
    <w:rsid w:val="00CC1CF5"/>
    <w:rsid w:val="00CC1D00"/>
    <w:rsid w:val="00CC1E5B"/>
    <w:rsid w:val="00CC2155"/>
    <w:rsid w:val="00CC220F"/>
    <w:rsid w:val="00CC2AFE"/>
    <w:rsid w:val="00CC2CF7"/>
    <w:rsid w:val="00CC30B4"/>
    <w:rsid w:val="00CC4379"/>
    <w:rsid w:val="00CC4AD1"/>
    <w:rsid w:val="00CC5ABC"/>
    <w:rsid w:val="00CC5DF5"/>
    <w:rsid w:val="00CC70D5"/>
    <w:rsid w:val="00CC7641"/>
    <w:rsid w:val="00CD0206"/>
    <w:rsid w:val="00CD0529"/>
    <w:rsid w:val="00CD069D"/>
    <w:rsid w:val="00CD080C"/>
    <w:rsid w:val="00CD0BF6"/>
    <w:rsid w:val="00CD1877"/>
    <w:rsid w:val="00CD1E64"/>
    <w:rsid w:val="00CD2CDC"/>
    <w:rsid w:val="00CD3178"/>
    <w:rsid w:val="00CD32D4"/>
    <w:rsid w:val="00CD384E"/>
    <w:rsid w:val="00CD430A"/>
    <w:rsid w:val="00CD4875"/>
    <w:rsid w:val="00CD5271"/>
    <w:rsid w:val="00CD53D0"/>
    <w:rsid w:val="00CD54DD"/>
    <w:rsid w:val="00CD5728"/>
    <w:rsid w:val="00CD62EC"/>
    <w:rsid w:val="00CD6728"/>
    <w:rsid w:val="00CD6F43"/>
    <w:rsid w:val="00CD73D2"/>
    <w:rsid w:val="00CD7555"/>
    <w:rsid w:val="00CE062B"/>
    <w:rsid w:val="00CE0B46"/>
    <w:rsid w:val="00CE1902"/>
    <w:rsid w:val="00CE1A88"/>
    <w:rsid w:val="00CE1D20"/>
    <w:rsid w:val="00CE2FC8"/>
    <w:rsid w:val="00CE4EFB"/>
    <w:rsid w:val="00CE4FF7"/>
    <w:rsid w:val="00CE52AD"/>
    <w:rsid w:val="00CE55EE"/>
    <w:rsid w:val="00CE5781"/>
    <w:rsid w:val="00CE690A"/>
    <w:rsid w:val="00CE7882"/>
    <w:rsid w:val="00CE7D19"/>
    <w:rsid w:val="00CF00ED"/>
    <w:rsid w:val="00CF0304"/>
    <w:rsid w:val="00CF0681"/>
    <w:rsid w:val="00CF093A"/>
    <w:rsid w:val="00CF0CA8"/>
    <w:rsid w:val="00CF0D08"/>
    <w:rsid w:val="00CF1AEE"/>
    <w:rsid w:val="00CF22A5"/>
    <w:rsid w:val="00CF2515"/>
    <w:rsid w:val="00CF276E"/>
    <w:rsid w:val="00CF2D7E"/>
    <w:rsid w:val="00CF3974"/>
    <w:rsid w:val="00CF3E79"/>
    <w:rsid w:val="00CF5262"/>
    <w:rsid w:val="00CF5A17"/>
    <w:rsid w:val="00CF5CE5"/>
    <w:rsid w:val="00CF5ED3"/>
    <w:rsid w:val="00CF5EE0"/>
    <w:rsid w:val="00CF6191"/>
    <w:rsid w:val="00CF7558"/>
    <w:rsid w:val="00CF7691"/>
    <w:rsid w:val="00D0085D"/>
    <w:rsid w:val="00D00A0B"/>
    <w:rsid w:val="00D0115E"/>
    <w:rsid w:val="00D01297"/>
    <w:rsid w:val="00D01C83"/>
    <w:rsid w:val="00D01FA8"/>
    <w:rsid w:val="00D0202B"/>
    <w:rsid w:val="00D020B6"/>
    <w:rsid w:val="00D02616"/>
    <w:rsid w:val="00D037A2"/>
    <w:rsid w:val="00D04C6B"/>
    <w:rsid w:val="00D052EB"/>
    <w:rsid w:val="00D058CE"/>
    <w:rsid w:val="00D05B85"/>
    <w:rsid w:val="00D06D86"/>
    <w:rsid w:val="00D074A2"/>
    <w:rsid w:val="00D0759A"/>
    <w:rsid w:val="00D07AEF"/>
    <w:rsid w:val="00D07B51"/>
    <w:rsid w:val="00D103DF"/>
    <w:rsid w:val="00D10431"/>
    <w:rsid w:val="00D106FB"/>
    <w:rsid w:val="00D1072B"/>
    <w:rsid w:val="00D11555"/>
    <w:rsid w:val="00D12152"/>
    <w:rsid w:val="00D12D54"/>
    <w:rsid w:val="00D13794"/>
    <w:rsid w:val="00D13DE9"/>
    <w:rsid w:val="00D14413"/>
    <w:rsid w:val="00D14E9E"/>
    <w:rsid w:val="00D156E3"/>
    <w:rsid w:val="00D1583C"/>
    <w:rsid w:val="00D165E3"/>
    <w:rsid w:val="00D17594"/>
    <w:rsid w:val="00D17BC0"/>
    <w:rsid w:val="00D17C00"/>
    <w:rsid w:val="00D17DAB"/>
    <w:rsid w:val="00D20063"/>
    <w:rsid w:val="00D216DD"/>
    <w:rsid w:val="00D218E7"/>
    <w:rsid w:val="00D21FF2"/>
    <w:rsid w:val="00D227A9"/>
    <w:rsid w:val="00D23236"/>
    <w:rsid w:val="00D236B1"/>
    <w:rsid w:val="00D23727"/>
    <w:rsid w:val="00D24052"/>
    <w:rsid w:val="00D24386"/>
    <w:rsid w:val="00D24F49"/>
    <w:rsid w:val="00D2555D"/>
    <w:rsid w:val="00D25B5C"/>
    <w:rsid w:val="00D25CC1"/>
    <w:rsid w:val="00D25F65"/>
    <w:rsid w:val="00D261AD"/>
    <w:rsid w:val="00D26400"/>
    <w:rsid w:val="00D26814"/>
    <w:rsid w:val="00D26921"/>
    <w:rsid w:val="00D27B63"/>
    <w:rsid w:val="00D27C03"/>
    <w:rsid w:val="00D3047C"/>
    <w:rsid w:val="00D30790"/>
    <w:rsid w:val="00D308B9"/>
    <w:rsid w:val="00D31575"/>
    <w:rsid w:val="00D31A89"/>
    <w:rsid w:val="00D31C0E"/>
    <w:rsid w:val="00D31F0E"/>
    <w:rsid w:val="00D321BD"/>
    <w:rsid w:val="00D322D6"/>
    <w:rsid w:val="00D32C2D"/>
    <w:rsid w:val="00D32EC3"/>
    <w:rsid w:val="00D33422"/>
    <w:rsid w:val="00D334F2"/>
    <w:rsid w:val="00D33DC6"/>
    <w:rsid w:val="00D342EB"/>
    <w:rsid w:val="00D34626"/>
    <w:rsid w:val="00D34ECF"/>
    <w:rsid w:val="00D34FB4"/>
    <w:rsid w:val="00D359BA"/>
    <w:rsid w:val="00D35A91"/>
    <w:rsid w:val="00D35EFF"/>
    <w:rsid w:val="00D36024"/>
    <w:rsid w:val="00D36E04"/>
    <w:rsid w:val="00D37105"/>
    <w:rsid w:val="00D372F0"/>
    <w:rsid w:val="00D376B0"/>
    <w:rsid w:val="00D37DCD"/>
    <w:rsid w:val="00D404B3"/>
    <w:rsid w:val="00D4056B"/>
    <w:rsid w:val="00D406B7"/>
    <w:rsid w:val="00D40709"/>
    <w:rsid w:val="00D4146E"/>
    <w:rsid w:val="00D414F6"/>
    <w:rsid w:val="00D417AA"/>
    <w:rsid w:val="00D41AB4"/>
    <w:rsid w:val="00D41B3C"/>
    <w:rsid w:val="00D41F84"/>
    <w:rsid w:val="00D42146"/>
    <w:rsid w:val="00D4224D"/>
    <w:rsid w:val="00D4257A"/>
    <w:rsid w:val="00D428B4"/>
    <w:rsid w:val="00D428D8"/>
    <w:rsid w:val="00D42A20"/>
    <w:rsid w:val="00D4357F"/>
    <w:rsid w:val="00D43B5D"/>
    <w:rsid w:val="00D453B5"/>
    <w:rsid w:val="00D45491"/>
    <w:rsid w:val="00D456A9"/>
    <w:rsid w:val="00D45FED"/>
    <w:rsid w:val="00D467B4"/>
    <w:rsid w:val="00D467EC"/>
    <w:rsid w:val="00D468D0"/>
    <w:rsid w:val="00D46F4A"/>
    <w:rsid w:val="00D47FCD"/>
    <w:rsid w:val="00D5082E"/>
    <w:rsid w:val="00D50E90"/>
    <w:rsid w:val="00D514C3"/>
    <w:rsid w:val="00D5170C"/>
    <w:rsid w:val="00D51DD4"/>
    <w:rsid w:val="00D520EF"/>
    <w:rsid w:val="00D522DB"/>
    <w:rsid w:val="00D52550"/>
    <w:rsid w:val="00D52798"/>
    <w:rsid w:val="00D5367B"/>
    <w:rsid w:val="00D53DAA"/>
    <w:rsid w:val="00D543DC"/>
    <w:rsid w:val="00D545E5"/>
    <w:rsid w:val="00D5463F"/>
    <w:rsid w:val="00D5468A"/>
    <w:rsid w:val="00D54DF8"/>
    <w:rsid w:val="00D550BA"/>
    <w:rsid w:val="00D554A9"/>
    <w:rsid w:val="00D5586C"/>
    <w:rsid w:val="00D56301"/>
    <w:rsid w:val="00D57084"/>
    <w:rsid w:val="00D5718B"/>
    <w:rsid w:val="00D573D6"/>
    <w:rsid w:val="00D57521"/>
    <w:rsid w:val="00D605B8"/>
    <w:rsid w:val="00D605F7"/>
    <w:rsid w:val="00D608E8"/>
    <w:rsid w:val="00D60BAC"/>
    <w:rsid w:val="00D6113D"/>
    <w:rsid w:val="00D613A0"/>
    <w:rsid w:val="00D6159D"/>
    <w:rsid w:val="00D61745"/>
    <w:rsid w:val="00D6215D"/>
    <w:rsid w:val="00D62665"/>
    <w:rsid w:val="00D628F5"/>
    <w:rsid w:val="00D62C33"/>
    <w:rsid w:val="00D630FE"/>
    <w:rsid w:val="00D635A4"/>
    <w:rsid w:val="00D645AC"/>
    <w:rsid w:val="00D64EEF"/>
    <w:rsid w:val="00D65310"/>
    <w:rsid w:val="00D653E4"/>
    <w:rsid w:val="00D65440"/>
    <w:rsid w:val="00D65641"/>
    <w:rsid w:val="00D66C71"/>
    <w:rsid w:val="00D66D7C"/>
    <w:rsid w:val="00D6742F"/>
    <w:rsid w:val="00D67B4D"/>
    <w:rsid w:val="00D70205"/>
    <w:rsid w:val="00D70723"/>
    <w:rsid w:val="00D71186"/>
    <w:rsid w:val="00D71B84"/>
    <w:rsid w:val="00D7270C"/>
    <w:rsid w:val="00D731F8"/>
    <w:rsid w:val="00D735EF"/>
    <w:rsid w:val="00D73F1E"/>
    <w:rsid w:val="00D747EA"/>
    <w:rsid w:val="00D74880"/>
    <w:rsid w:val="00D7497B"/>
    <w:rsid w:val="00D74E5B"/>
    <w:rsid w:val="00D75877"/>
    <w:rsid w:val="00D7609F"/>
    <w:rsid w:val="00D76240"/>
    <w:rsid w:val="00D7685A"/>
    <w:rsid w:val="00D76B1B"/>
    <w:rsid w:val="00D77396"/>
    <w:rsid w:val="00D80BBD"/>
    <w:rsid w:val="00D81039"/>
    <w:rsid w:val="00D81418"/>
    <w:rsid w:val="00D81AA7"/>
    <w:rsid w:val="00D82392"/>
    <w:rsid w:val="00D82614"/>
    <w:rsid w:val="00D82E47"/>
    <w:rsid w:val="00D82FB3"/>
    <w:rsid w:val="00D8345C"/>
    <w:rsid w:val="00D840B3"/>
    <w:rsid w:val="00D84591"/>
    <w:rsid w:val="00D84A01"/>
    <w:rsid w:val="00D853F4"/>
    <w:rsid w:val="00D85708"/>
    <w:rsid w:val="00D858EE"/>
    <w:rsid w:val="00D8646E"/>
    <w:rsid w:val="00D869A0"/>
    <w:rsid w:val="00D86A06"/>
    <w:rsid w:val="00D87563"/>
    <w:rsid w:val="00D90150"/>
    <w:rsid w:val="00D911C3"/>
    <w:rsid w:val="00D917CD"/>
    <w:rsid w:val="00D92317"/>
    <w:rsid w:val="00D92A72"/>
    <w:rsid w:val="00D92E7D"/>
    <w:rsid w:val="00D93012"/>
    <w:rsid w:val="00D93501"/>
    <w:rsid w:val="00D93DB4"/>
    <w:rsid w:val="00D94920"/>
    <w:rsid w:val="00D953B3"/>
    <w:rsid w:val="00D95F11"/>
    <w:rsid w:val="00D96093"/>
    <w:rsid w:val="00D961B8"/>
    <w:rsid w:val="00D9692A"/>
    <w:rsid w:val="00D96A4D"/>
    <w:rsid w:val="00D977EA"/>
    <w:rsid w:val="00DA0105"/>
    <w:rsid w:val="00DA0A6A"/>
    <w:rsid w:val="00DA1392"/>
    <w:rsid w:val="00DA158C"/>
    <w:rsid w:val="00DA34D9"/>
    <w:rsid w:val="00DA37E0"/>
    <w:rsid w:val="00DA4233"/>
    <w:rsid w:val="00DA47EC"/>
    <w:rsid w:val="00DA5D49"/>
    <w:rsid w:val="00DA62F7"/>
    <w:rsid w:val="00DA6EF9"/>
    <w:rsid w:val="00DA6FE7"/>
    <w:rsid w:val="00DA7013"/>
    <w:rsid w:val="00DA7200"/>
    <w:rsid w:val="00DA7CFF"/>
    <w:rsid w:val="00DA7EA9"/>
    <w:rsid w:val="00DB0C05"/>
    <w:rsid w:val="00DB148C"/>
    <w:rsid w:val="00DB1A31"/>
    <w:rsid w:val="00DB1C73"/>
    <w:rsid w:val="00DB202E"/>
    <w:rsid w:val="00DB26DD"/>
    <w:rsid w:val="00DB2CC0"/>
    <w:rsid w:val="00DB2F22"/>
    <w:rsid w:val="00DB31E4"/>
    <w:rsid w:val="00DB3DFE"/>
    <w:rsid w:val="00DB4A41"/>
    <w:rsid w:val="00DB4F78"/>
    <w:rsid w:val="00DB50AA"/>
    <w:rsid w:val="00DB5618"/>
    <w:rsid w:val="00DB5BE4"/>
    <w:rsid w:val="00DB6488"/>
    <w:rsid w:val="00DB705C"/>
    <w:rsid w:val="00DB73E7"/>
    <w:rsid w:val="00DB744E"/>
    <w:rsid w:val="00DB7944"/>
    <w:rsid w:val="00DC027B"/>
    <w:rsid w:val="00DC0CDE"/>
    <w:rsid w:val="00DC1A85"/>
    <w:rsid w:val="00DC24C0"/>
    <w:rsid w:val="00DC2B3D"/>
    <w:rsid w:val="00DC2BFD"/>
    <w:rsid w:val="00DC2D19"/>
    <w:rsid w:val="00DC2DB1"/>
    <w:rsid w:val="00DC2E49"/>
    <w:rsid w:val="00DC498E"/>
    <w:rsid w:val="00DC4D72"/>
    <w:rsid w:val="00DC6525"/>
    <w:rsid w:val="00DC6784"/>
    <w:rsid w:val="00DC6D86"/>
    <w:rsid w:val="00DC7018"/>
    <w:rsid w:val="00DC704B"/>
    <w:rsid w:val="00DC7442"/>
    <w:rsid w:val="00DD0B0D"/>
    <w:rsid w:val="00DD0D39"/>
    <w:rsid w:val="00DD12B0"/>
    <w:rsid w:val="00DD2B7A"/>
    <w:rsid w:val="00DD3490"/>
    <w:rsid w:val="00DD3948"/>
    <w:rsid w:val="00DD3970"/>
    <w:rsid w:val="00DD43E4"/>
    <w:rsid w:val="00DD511E"/>
    <w:rsid w:val="00DD5493"/>
    <w:rsid w:val="00DD55EF"/>
    <w:rsid w:val="00DD5610"/>
    <w:rsid w:val="00DD6C7B"/>
    <w:rsid w:val="00DE01C2"/>
    <w:rsid w:val="00DE104A"/>
    <w:rsid w:val="00DE1E87"/>
    <w:rsid w:val="00DE1E99"/>
    <w:rsid w:val="00DE1F23"/>
    <w:rsid w:val="00DE1F40"/>
    <w:rsid w:val="00DE2158"/>
    <w:rsid w:val="00DE258A"/>
    <w:rsid w:val="00DE32D8"/>
    <w:rsid w:val="00DE32F7"/>
    <w:rsid w:val="00DE34B1"/>
    <w:rsid w:val="00DE3C2B"/>
    <w:rsid w:val="00DE3D87"/>
    <w:rsid w:val="00DE3E7C"/>
    <w:rsid w:val="00DE4ED3"/>
    <w:rsid w:val="00DE54C0"/>
    <w:rsid w:val="00DE6333"/>
    <w:rsid w:val="00DE6A70"/>
    <w:rsid w:val="00DE7555"/>
    <w:rsid w:val="00DE7C87"/>
    <w:rsid w:val="00DF027A"/>
    <w:rsid w:val="00DF04FE"/>
    <w:rsid w:val="00DF07D5"/>
    <w:rsid w:val="00DF0CB3"/>
    <w:rsid w:val="00DF0E6C"/>
    <w:rsid w:val="00DF1560"/>
    <w:rsid w:val="00DF1EAC"/>
    <w:rsid w:val="00DF23E7"/>
    <w:rsid w:val="00DF2924"/>
    <w:rsid w:val="00DF2C89"/>
    <w:rsid w:val="00DF3217"/>
    <w:rsid w:val="00DF4304"/>
    <w:rsid w:val="00DF44A2"/>
    <w:rsid w:val="00DF4912"/>
    <w:rsid w:val="00DF494C"/>
    <w:rsid w:val="00DF4AAD"/>
    <w:rsid w:val="00DF4CE1"/>
    <w:rsid w:val="00DF588F"/>
    <w:rsid w:val="00DF5BB1"/>
    <w:rsid w:val="00DF66C3"/>
    <w:rsid w:val="00DF6D0B"/>
    <w:rsid w:val="00DF7E0D"/>
    <w:rsid w:val="00E00004"/>
    <w:rsid w:val="00E0157D"/>
    <w:rsid w:val="00E01E6D"/>
    <w:rsid w:val="00E02958"/>
    <w:rsid w:val="00E02E5A"/>
    <w:rsid w:val="00E04D18"/>
    <w:rsid w:val="00E0546A"/>
    <w:rsid w:val="00E057B9"/>
    <w:rsid w:val="00E05903"/>
    <w:rsid w:val="00E05F4A"/>
    <w:rsid w:val="00E0624D"/>
    <w:rsid w:val="00E0668B"/>
    <w:rsid w:val="00E066C1"/>
    <w:rsid w:val="00E067AB"/>
    <w:rsid w:val="00E070F1"/>
    <w:rsid w:val="00E0727D"/>
    <w:rsid w:val="00E07D3D"/>
    <w:rsid w:val="00E10277"/>
    <w:rsid w:val="00E10EA6"/>
    <w:rsid w:val="00E1108C"/>
    <w:rsid w:val="00E118A8"/>
    <w:rsid w:val="00E120C4"/>
    <w:rsid w:val="00E12E65"/>
    <w:rsid w:val="00E12F1A"/>
    <w:rsid w:val="00E13A40"/>
    <w:rsid w:val="00E13B4B"/>
    <w:rsid w:val="00E14FE1"/>
    <w:rsid w:val="00E152C6"/>
    <w:rsid w:val="00E15E6D"/>
    <w:rsid w:val="00E16131"/>
    <w:rsid w:val="00E1663E"/>
    <w:rsid w:val="00E168DE"/>
    <w:rsid w:val="00E16BDF"/>
    <w:rsid w:val="00E16EEB"/>
    <w:rsid w:val="00E171E4"/>
    <w:rsid w:val="00E1793E"/>
    <w:rsid w:val="00E179D4"/>
    <w:rsid w:val="00E17E64"/>
    <w:rsid w:val="00E20023"/>
    <w:rsid w:val="00E202C9"/>
    <w:rsid w:val="00E20329"/>
    <w:rsid w:val="00E20868"/>
    <w:rsid w:val="00E20DC4"/>
    <w:rsid w:val="00E2102C"/>
    <w:rsid w:val="00E2123C"/>
    <w:rsid w:val="00E21312"/>
    <w:rsid w:val="00E2167A"/>
    <w:rsid w:val="00E2256C"/>
    <w:rsid w:val="00E227D0"/>
    <w:rsid w:val="00E22A76"/>
    <w:rsid w:val="00E23805"/>
    <w:rsid w:val="00E23CB0"/>
    <w:rsid w:val="00E24D41"/>
    <w:rsid w:val="00E24E77"/>
    <w:rsid w:val="00E25170"/>
    <w:rsid w:val="00E25CC0"/>
    <w:rsid w:val="00E25E9A"/>
    <w:rsid w:val="00E2663B"/>
    <w:rsid w:val="00E26B85"/>
    <w:rsid w:val="00E26BDE"/>
    <w:rsid w:val="00E26D5A"/>
    <w:rsid w:val="00E272C4"/>
    <w:rsid w:val="00E27882"/>
    <w:rsid w:val="00E27A9B"/>
    <w:rsid w:val="00E30064"/>
    <w:rsid w:val="00E3194B"/>
    <w:rsid w:val="00E31D46"/>
    <w:rsid w:val="00E31EFC"/>
    <w:rsid w:val="00E32C11"/>
    <w:rsid w:val="00E330C3"/>
    <w:rsid w:val="00E33BEA"/>
    <w:rsid w:val="00E33CB7"/>
    <w:rsid w:val="00E343E2"/>
    <w:rsid w:val="00E345BF"/>
    <w:rsid w:val="00E34A37"/>
    <w:rsid w:val="00E353A3"/>
    <w:rsid w:val="00E35982"/>
    <w:rsid w:val="00E35C9D"/>
    <w:rsid w:val="00E35CCE"/>
    <w:rsid w:val="00E35E0E"/>
    <w:rsid w:val="00E369B7"/>
    <w:rsid w:val="00E37FF7"/>
    <w:rsid w:val="00E40AD7"/>
    <w:rsid w:val="00E438EA"/>
    <w:rsid w:val="00E43922"/>
    <w:rsid w:val="00E4438C"/>
    <w:rsid w:val="00E447A1"/>
    <w:rsid w:val="00E44A6C"/>
    <w:rsid w:val="00E4542E"/>
    <w:rsid w:val="00E457F3"/>
    <w:rsid w:val="00E4588D"/>
    <w:rsid w:val="00E46907"/>
    <w:rsid w:val="00E46C70"/>
    <w:rsid w:val="00E47E03"/>
    <w:rsid w:val="00E50032"/>
    <w:rsid w:val="00E50663"/>
    <w:rsid w:val="00E50704"/>
    <w:rsid w:val="00E51A8B"/>
    <w:rsid w:val="00E52613"/>
    <w:rsid w:val="00E52B26"/>
    <w:rsid w:val="00E53AFF"/>
    <w:rsid w:val="00E53BDD"/>
    <w:rsid w:val="00E53FCC"/>
    <w:rsid w:val="00E5450A"/>
    <w:rsid w:val="00E5523B"/>
    <w:rsid w:val="00E55F9B"/>
    <w:rsid w:val="00E5650B"/>
    <w:rsid w:val="00E56D9B"/>
    <w:rsid w:val="00E576F5"/>
    <w:rsid w:val="00E5792C"/>
    <w:rsid w:val="00E57A6A"/>
    <w:rsid w:val="00E60250"/>
    <w:rsid w:val="00E60D28"/>
    <w:rsid w:val="00E61C3F"/>
    <w:rsid w:val="00E61F14"/>
    <w:rsid w:val="00E62411"/>
    <w:rsid w:val="00E625DE"/>
    <w:rsid w:val="00E625F8"/>
    <w:rsid w:val="00E631EE"/>
    <w:rsid w:val="00E63D65"/>
    <w:rsid w:val="00E644F3"/>
    <w:rsid w:val="00E6516E"/>
    <w:rsid w:val="00E659AE"/>
    <w:rsid w:val="00E65B4A"/>
    <w:rsid w:val="00E66B71"/>
    <w:rsid w:val="00E67484"/>
    <w:rsid w:val="00E70572"/>
    <w:rsid w:val="00E70698"/>
    <w:rsid w:val="00E71850"/>
    <w:rsid w:val="00E71ABC"/>
    <w:rsid w:val="00E726B1"/>
    <w:rsid w:val="00E73CC1"/>
    <w:rsid w:val="00E74E6A"/>
    <w:rsid w:val="00E75023"/>
    <w:rsid w:val="00E76166"/>
    <w:rsid w:val="00E77ECE"/>
    <w:rsid w:val="00E80815"/>
    <w:rsid w:val="00E80C39"/>
    <w:rsid w:val="00E81C32"/>
    <w:rsid w:val="00E835FE"/>
    <w:rsid w:val="00E83B02"/>
    <w:rsid w:val="00E84133"/>
    <w:rsid w:val="00E84224"/>
    <w:rsid w:val="00E84838"/>
    <w:rsid w:val="00E84884"/>
    <w:rsid w:val="00E84911"/>
    <w:rsid w:val="00E853FA"/>
    <w:rsid w:val="00E85F6D"/>
    <w:rsid w:val="00E86357"/>
    <w:rsid w:val="00E8643A"/>
    <w:rsid w:val="00E86C3B"/>
    <w:rsid w:val="00E87284"/>
    <w:rsid w:val="00E873F3"/>
    <w:rsid w:val="00E87AFC"/>
    <w:rsid w:val="00E902B4"/>
    <w:rsid w:val="00E90365"/>
    <w:rsid w:val="00E90AE5"/>
    <w:rsid w:val="00E90B15"/>
    <w:rsid w:val="00E910B1"/>
    <w:rsid w:val="00E91CD5"/>
    <w:rsid w:val="00E91E52"/>
    <w:rsid w:val="00E92B1A"/>
    <w:rsid w:val="00E93420"/>
    <w:rsid w:val="00E936FE"/>
    <w:rsid w:val="00E93AED"/>
    <w:rsid w:val="00E941E0"/>
    <w:rsid w:val="00E95018"/>
    <w:rsid w:val="00E95576"/>
    <w:rsid w:val="00E963E2"/>
    <w:rsid w:val="00E9743A"/>
    <w:rsid w:val="00E9751E"/>
    <w:rsid w:val="00E97664"/>
    <w:rsid w:val="00EA0835"/>
    <w:rsid w:val="00EA0D06"/>
    <w:rsid w:val="00EA187B"/>
    <w:rsid w:val="00EA21E5"/>
    <w:rsid w:val="00EA2BF0"/>
    <w:rsid w:val="00EA2F0A"/>
    <w:rsid w:val="00EA2FB7"/>
    <w:rsid w:val="00EA4BF4"/>
    <w:rsid w:val="00EA4DD8"/>
    <w:rsid w:val="00EA51D4"/>
    <w:rsid w:val="00EA5360"/>
    <w:rsid w:val="00EA5442"/>
    <w:rsid w:val="00EA61EF"/>
    <w:rsid w:val="00EA67BE"/>
    <w:rsid w:val="00EA687C"/>
    <w:rsid w:val="00EA69BC"/>
    <w:rsid w:val="00EA6D6B"/>
    <w:rsid w:val="00EA7959"/>
    <w:rsid w:val="00EB00C1"/>
    <w:rsid w:val="00EB05C0"/>
    <w:rsid w:val="00EB2525"/>
    <w:rsid w:val="00EB26BA"/>
    <w:rsid w:val="00EB26DB"/>
    <w:rsid w:val="00EB2AEF"/>
    <w:rsid w:val="00EB2BD4"/>
    <w:rsid w:val="00EB2BED"/>
    <w:rsid w:val="00EB2C8B"/>
    <w:rsid w:val="00EB46FE"/>
    <w:rsid w:val="00EB6065"/>
    <w:rsid w:val="00EB641F"/>
    <w:rsid w:val="00EB65E2"/>
    <w:rsid w:val="00EB6FFA"/>
    <w:rsid w:val="00EB737F"/>
    <w:rsid w:val="00EB7522"/>
    <w:rsid w:val="00EB7A51"/>
    <w:rsid w:val="00EB7E71"/>
    <w:rsid w:val="00EC0A10"/>
    <w:rsid w:val="00EC0CEB"/>
    <w:rsid w:val="00EC1ECC"/>
    <w:rsid w:val="00EC25B2"/>
    <w:rsid w:val="00EC27E1"/>
    <w:rsid w:val="00EC2A0C"/>
    <w:rsid w:val="00EC305B"/>
    <w:rsid w:val="00EC3198"/>
    <w:rsid w:val="00EC3746"/>
    <w:rsid w:val="00EC398F"/>
    <w:rsid w:val="00EC4472"/>
    <w:rsid w:val="00EC4495"/>
    <w:rsid w:val="00EC4C46"/>
    <w:rsid w:val="00EC605A"/>
    <w:rsid w:val="00EC793C"/>
    <w:rsid w:val="00ED0F90"/>
    <w:rsid w:val="00ED123E"/>
    <w:rsid w:val="00ED1384"/>
    <w:rsid w:val="00ED18D1"/>
    <w:rsid w:val="00ED1F15"/>
    <w:rsid w:val="00ED216B"/>
    <w:rsid w:val="00ED3140"/>
    <w:rsid w:val="00ED457A"/>
    <w:rsid w:val="00ED4DAE"/>
    <w:rsid w:val="00ED5E2A"/>
    <w:rsid w:val="00ED624A"/>
    <w:rsid w:val="00ED65F1"/>
    <w:rsid w:val="00ED69CB"/>
    <w:rsid w:val="00ED6BBB"/>
    <w:rsid w:val="00ED7245"/>
    <w:rsid w:val="00ED7331"/>
    <w:rsid w:val="00ED7FB1"/>
    <w:rsid w:val="00EE0339"/>
    <w:rsid w:val="00EE085B"/>
    <w:rsid w:val="00EE0AD4"/>
    <w:rsid w:val="00EE0DBD"/>
    <w:rsid w:val="00EE17F0"/>
    <w:rsid w:val="00EE2D49"/>
    <w:rsid w:val="00EE2EC9"/>
    <w:rsid w:val="00EE342D"/>
    <w:rsid w:val="00EE3550"/>
    <w:rsid w:val="00EE361A"/>
    <w:rsid w:val="00EE403E"/>
    <w:rsid w:val="00EE4B03"/>
    <w:rsid w:val="00EE5C7A"/>
    <w:rsid w:val="00EE6494"/>
    <w:rsid w:val="00EE6742"/>
    <w:rsid w:val="00EE6FEA"/>
    <w:rsid w:val="00EE71A7"/>
    <w:rsid w:val="00EE7AAB"/>
    <w:rsid w:val="00EF01CB"/>
    <w:rsid w:val="00EF0327"/>
    <w:rsid w:val="00EF0D51"/>
    <w:rsid w:val="00EF2283"/>
    <w:rsid w:val="00EF2788"/>
    <w:rsid w:val="00EF2920"/>
    <w:rsid w:val="00EF305C"/>
    <w:rsid w:val="00EF3103"/>
    <w:rsid w:val="00EF43CC"/>
    <w:rsid w:val="00EF5EA5"/>
    <w:rsid w:val="00EF6795"/>
    <w:rsid w:val="00EF691F"/>
    <w:rsid w:val="00EF6E9B"/>
    <w:rsid w:val="00EF7038"/>
    <w:rsid w:val="00EF72F7"/>
    <w:rsid w:val="00EF7370"/>
    <w:rsid w:val="00EF74AB"/>
    <w:rsid w:val="00EF7714"/>
    <w:rsid w:val="00EF7EB9"/>
    <w:rsid w:val="00F0085E"/>
    <w:rsid w:val="00F00878"/>
    <w:rsid w:val="00F00A70"/>
    <w:rsid w:val="00F01F42"/>
    <w:rsid w:val="00F023DB"/>
    <w:rsid w:val="00F02719"/>
    <w:rsid w:val="00F02951"/>
    <w:rsid w:val="00F03187"/>
    <w:rsid w:val="00F031F0"/>
    <w:rsid w:val="00F0382F"/>
    <w:rsid w:val="00F03C49"/>
    <w:rsid w:val="00F03CB7"/>
    <w:rsid w:val="00F04867"/>
    <w:rsid w:val="00F05663"/>
    <w:rsid w:val="00F05F5C"/>
    <w:rsid w:val="00F07B0F"/>
    <w:rsid w:val="00F1033B"/>
    <w:rsid w:val="00F10391"/>
    <w:rsid w:val="00F109D4"/>
    <w:rsid w:val="00F10A6F"/>
    <w:rsid w:val="00F1111E"/>
    <w:rsid w:val="00F117C2"/>
    <w:rsid w:val="00F126E3"/>
    <w:rsid w:val="00F13925"/>
    <w:rsid w:val="00F13CA6"/>
    <w:rsid w:val="00F14061"/>
    <w:rsid w:val="00F1486D"/>
    <w:rsid w:val="00F14C2C"/>
    <w:rsid w:val="00F14ECF"/>
    <w:rsid w:val="00F15084"/>
    <w:rsid w:val="00F15593"/>
    <w:rsid w:val="00F156C6"/>
    <w:rsid w:val="00F15700"/>
    <w:rsid w:val="00F15EE9"/>
    <w:rsid w:val="00F175B5"/>
    <w:rsid w:val="00F17C37"/>
    <w:rsid w:val="00F17D38"/>
    <w:rsid w:val="00F20E59"/>
    <w:rsid w:val="00F2113F"/>
    <w:rsid w:val="00F22323"/>
    <w:rsid w:val="00F2266F"/>
    <w:rsid w:val="00F227A2"/>
    <w:rsid w:val="00F22CAE"/>
    <w:rsid w:val="00F23519"/>
    <w:rsid w:val="00F23A44"/>
    <w:rsid w:val="00F24081"/>
    <w:rsid w:val="00F24736"/>
    <w:rsid w:val="00F261FA"/>
    <w:rsid w:val="00F27238"/>
    <w:rsid w:val="00F27344"/>
    <w:rsid w:val="00F27ADE"/>
    <w:rsid w:val="00F27F8E"/>
    <w:rsid w:val="00F301B2"/>
    <w:rsid w:val="00F301D5"/>
    <w:rsid w:val="00F304FB"/>
    <w:rsid w:val="00F30638"/>
    <w:rsid w:val="00F3153E"/>
    <w:rsid w:val="00F31D4E"/>
    <w:rsid w:val="00F3202C"/>
    <w:rsid w:val="00F321D1"/>
    <w:rsid w:val="00F321E8"/>
    <w:rsid w:val="00F32C10"/>
    <w:rsid w:val="00F32C81"/>
    <w:rsid w:val="00F3410D"/>
    <w:rsid w:val="00F34397"/>
    <w:rsid w:val="00F343AA"/>
    <w:rsid w:val="00F34B70"/>
    <w:rsid w:val="00F34C7E"/>
    <w:rsid w:val="00F350F2"/>
    <w:rsid w:val="00F353F9"/>
    <w:rsid w:val="00F35A8F"/>
    <w:rsid w:val="00F35FE5"/>
    <w:rsid w:val="00F36C46"/>
    <w:rsid w:val="00F375F4"/>
    <w:rsid w:val="00F37725"/>
    <w:rsid w:val="00F40106"/>
    <w:rsid w:val="00F4026F"/>
    <w:rsid w:val="00F40517"/>
    <w:rsid w:val="00F40BAD"/>
    <w:rsid w:val="00F40EF2"/>
    <w:rsid w:val="00F4106F"/>
    <w:rsid w:val="00F4241B"/>
    <w:rsid w:val="00F42604"/>
    <w:rsid w:val="00F43B94"/>
    <w:rsid w:val="00F44233"/>
    <w:rsid w:val="00F447CD"/>
    <w:rsid w:val="00F44AEF"/>
    <w:rsid w:val="00F44D60"/>
    <w:rsid w:val="00F458AE"/>
    <w:rsid w:val="00F45960"/>
    <w:rsid w:val="00F45F38"/>
    <w:rsid w:val="00F46704"/>
    <w:rsid w:val="00F468C0"/>
    <w:rsid w:val="00F46C17"/>
    <w:rsid w:val="00F46FBB"/>
    <w:rsid w:val="00F474B2"/>
    <w:rsid w:val="00F47585"/>
    <w:rsid w:val="00F47895"/>
    <w:rsid w:val="00F50165"/>
    <w:rsid w:val="00F5038E"/>
    <w:rsid w:val="00F50D6C"/>
    <w:rsid w:val="00F52260"/>
    <w:rsid w:val="00F523EF"/>
    <w:rsid w:val="00F527D3"/>
    <w:rsid w:val="00F52AF7"/>
    <w:rsid w:val="00F52C08"/>
    <w:rsid w:val="00F52EBC"/>
    <w:rsid w:val="00F53CC9"/>
    <w:rsid w:val="00F555E0"/>
    <w:rsid w:val="00F56C6E"/>
    <w:rsid w:val="00F56D48"/>
    <w:rsid w:val="00F571A6"/>
    <w:rsid w:val="00F57F3E"/>
    <w:rsid w:val="00F603CB"/>
    <w:rsid w:val="00F604E8"/>
    <w:rsid w:val="00F608AA"/>
    <w:rsid w:val="00F6109C"/>
    <w:rsid w:val="00F61121"/>
    <w:rsid w:val="00F614EC"/>
    <w:rsid w:val="00F61644"/>
    <w:rsid w:val="00F61902"/>
    <w:rsid w:val="00F6249C"/>
    <w:rsid w:val="00F6283E"/>
    <w:rsid w:val="00F629C9"/>
    <w:rsid w:val="00F629F1"/>
    <w:rsid w:val="00F63392"/>
    <w:rsid w:val="00F637C3"/>
    <w:rsid w:val="00F64108"/>
    <w:rsid w:val="00F64E08"/>
    <w:rsid w:val="00F66064"/>
    <w:rsid w:val="00F668C6"/>
    <w:rsid w:val="00F66BA6"/>
    <w:rsid w:val="00F67726"/>
    <w:rsid w:val="00F678B8"/>
    <w:rsid w:val="00F67A6D"/>
    <w:rsid w:val="00F67E9A"/>
    <w:rsid w:val="00F67F38"/>
    <w:rsid w:val="00F67FE5"/>
    <w:rsid w:val="00F70431"/>
    <w:rsid w:val="00F7078E"/>
    <w:rsid w:val="00F70AAF"/>
    <w:rsid w:val="00F7119D"/>
    <w:rsid w:val="00F71345"/>
    <w:rsid w:val="00F7138E"/>
    <w:rsid w:val="00F719C9"/>
    <w:rsid w:val="00F71ABC"/>
    <w:rsid w:val="00F724B5"/>
    <w:rsid w:val="00F734C4"/>
    <w:rsid w:val="00F7391C"/>
    <w:rsid w:val="00F73ADE"/>
    <w:rsid w:val="00F73B69"/>
    <w:rsid w:val="00F73FAE"/>
    <w:rsid w:val="00F74DDC"/>
    <w:rsid w:val="00F75BDB"/>
    <w:rsid w:val="00F75F1D"/>
    <w:rsid w:val="00F766D5"/>
    <w:rsid w:val="00F76AD1"/>
    <w:rsid w:val="00F76B6A"/>
    <w:rsid w:val="00F7727A"/>
    <w:rsid w:val="00F77C21"/>
    <w:rsid w:val="00F8069F"/>
    <w:rsid w:val="00F80EDB"/>
    <w:rsid w:val="00F80FB8"/>
    <w:rsid w:val="00F81232"/>
    <w:rsid w:val="00F81828"/>
    <w:rsid w:val="00F824B0"/>
    <w:rsid w:val="00F8291C"/>
    <w:rsid w:val="00F83CCB"/>
    <w:rsid w:val="00F8401D"/>
    <w:rsid w:val="00F841B7"/>
    <w:rsid w:val="00F8498A"/>
    <w:rsid w:val="00F84A4C"/>
    <w:rsid w:val="00F84DEE"/>
    <w:rsid w:val="00F84F3A"/>
    <w:rsid w:val="00F85051"/>
    <w:rsid w:val="00F85A38"/>
    <w:rsid w:val="00F85E6F"/>
    <w:rsid w:val="00F85EC9"/>
    <w:rsid w:val="00F861EE"/>
    <w:rsid w:val="00F86B22"/>
    <w:rsid w:val="00F872F4"/>
    <w:rsid w:val="00F87A4A"/>
    <w:rsid w:val="00F87F94"/>
    <w:rsid w:val="00F9029D"/>
    <w:rsid w:val="00F9058F"/>
    <w:rsid w:val="00F90EC3"/>
    <w:rsid w:val="00F910A2"/>
    <w:rsid w:val="00F919E2"/>
    <w:rsid w:val="00F91BB0"/>
    <w:rsid w:val="00F92020"/>
    <w:rsid w:val="00F926F6"/>
    <w:rsid w:val="00F92FBA"/>
    <w:rsid w:val="00F93350"/>
    <w:rsid w:val="00F93E6A"/>
    <w:rsid w:val="00F93E93"/>
    <w:rsid w:val="00F94169"/>
    <w:rsid w:val="00F9467B"/>
    <w:rsid w:val="00F94A7E"/>
    <w:rsid w:val="00F94B83"/>
    <w:rsid w:val="00F95094"/>
    <w:rsid w:val="00F950C3"/>
    <w:rsid w:val="00F95449"/>
    <w:rsid w:val="00F954F1"/>
    <w:rsid w:val="00F967C4"/>
    <w:rsid w:val="00F96A6B"/>
    <w:rsid w:val="00F97C66"/>
    <w:rsid w:val="00FA052F"/>
    <w:rsid w:val="00FA0ACD"/>
    <w:rsid w:val="00FA0B5E"/>
    <w:rsid w:val="00FA1942"/>
    <w:rsid w:val="00FA1969"/>
    <w:rsid w:val="00FA1B01"/>
    <w:rsid w:val="00FA2ACB"/>
    <w:rsid w:val="00FA30CD"/>
    <w:rsid w:val="00FA32A9"/>
    <w:rsid w:val="00FA3713"/>
    <w:rsid w:val="00FA380A"/>
    <w:rsid w:val="00FA38C7"/>
    <w:rsid w:val="00FA4009"/>
    <w:rsid w:val="00FA4318"/>
    <w:rsid w:val="00FA5155"/>
    <w:rsid w:val="00FA5558"/>
    <w:rsid w:val="00FA59F5"/>
    <w:rsid w:val="00FA5F3B"/>
    <w:rsid w:val="00FA61A2"/>
    <w:rsid w:val="00FA6200"/>
    <w:rsid w:val="00FA68C4"/>
    <w:rsid w:val="00FA7164"/>
    <w:rsid w:val="00FB00A7"/>
    <w:rsid w:val="00FB00DE"/>
    <w:rsid w:val="00FB02A8"/>
    <w:rsid w:val="00FB0390"/>
    <w:rsid w:val="00FB0467"/>
    <w:rsid w:val="00FB049C"/>
    <w:rsid w:val="00FB05CD"/>
    <w:rsid w:val="00FB072A"/>
    <w:rsid w:val="00FB0B06"/>
    <w:rsid w:val="00FB23AE"/>
    <w:rsid w:val="00FB34BD"/>
    <w:rsid w:val="00FB37B7"/>
    <w:rsid w:val="00FB42E2"/>
    <w:rsid w:val="00FB45B7"/>
    <w:rsid w:val="00FB45F7"/>
    <w:rsid w:val="00FB50FB"/>
    <w:rsid w:val="00FB5B96"/>
    <w:rsid w:val="00FB6E33"/>
    <w:rsid w:val="00FB7A60"/>
    <w:rsid w:val="00FC035D"/>
    <w:rsid w:val="00FC136E"/>
    <w:rsid w:val="00FC1FE4"/>
    <w:rsid w:val="00FC2CB5"/>
    <w:rsid w:val="00FC2F55"/>
    <w:rsid w:val="00FC31D4"/>
    <w:rsid w:val="00FC3424"/>
    <w:rsid w:val="00FC37E5"/>
    <w:rsid w:val="00FC38D9"/>
    <w:rsid w:val="00FC3A8F"/>
    <w:rsid w:val="00FC3B8A"/>
    <w:rsid w:val="00FC3EA9"/>
    <w:rsid w:val="00FC58E1"/>
    <w:rsid w:val="00FC595E"/>
    <w:rsid w:val="00FC604E"/>
    <w:rsid w:val="00FC6C47"/>
    <w:rsid w:val="00FC7276"/>
    <w:rsid w:val="00FC7F2D"/>
    <w:rsid w:val="00FD0016"/>
    <w:rsid w:val="00FD0AB5"/>
    <w:rsid w:val="00FD19F7"/>
    <w:rsid w:val="00FD1E0F"/>
    <w:rsid w:val="00FD1E14"/>
    <w:rsid w:val="00FD1E37"/>
    <w:rsid w:val="00FD2E38"/>
    <w:rsid w:val="00FD2F6A"/>
    <w:rsid w:val="00FD38BC"/>
    <w:rsid w:val="00FD4860"/>
    <w:rsid w:val="00FD4CDA"/>
    <w:rsid w:val="00FD58DD"/>
    <w:rsid w:val="00FD5944"/>
    <w:rsid w:val="00FD61B3"/>
    <w:rsid w:val="00FD62BE"/>
    <w:rsid w:val="00FD7402"/>
    <w:rsid w:val="00FE04E4"/>
    <w:rsid w:val="00FE053E"/>
    <w:rsid w:val="00FE06A2"/>
    <w:rsid w:val="00FE09F5"/>
    <w:rsid w:val="00FE0FB9"/>
    <w:rsid w:val="00FE2049"/>
    <w:rsid w:val="00FE2181"/>
    <w:rsid w:val="00FE2513"/>
    <w:rsid w:val="00FE2DD7"/>
    <w:rsid w:val="00FE3112"/>
    <w:rsid w:val="00FE3347"/>
    <w:rsid w:val="00FE361A"/>
    <w:rsid w:val="00FE3C9E"/>
    <w:rsid w:val="00FE3E83"/>
    <w:rsid w:val="00FE3F2C"/>
    <w:rsid w:val="00FE49E4"/>
    <w:rsid w:val="00FE58ED"/>
    <w:rsid w:val="00FE5DA8"/>
    <w:rsid w:val="00FE5E10"/>
    <w:rsid w:val="00FE7356"/>
    <w:rsid w:val="00FE73F9"/>
    <w:rsid w:val="00FF0450"/>
    <w:rsid w:val="00FF1057"/>
    <w:rsid w:val="00FF1A4B"/>
    <w:rsid w:val="00FF207B"/>
    <w:rsid w:val="00FF2398"/>
    <w:rsid w:val="00FF3157"/>
    <w:rsid w:val="00FF3C0E"/>
    <w:rsid w:val="00FF3CDA"/>
    <w:rsid w:val="00FF3E25"/>
    <w:rsid w:val="00FF3E66"/>
    <w:rsid w:val="00FF402B"/>
    <w:rsid w:val="00FF40DD"/>
    <w:rsid w:val="00FF4FDC"/>
    <w:rsid w:val="00FF50CF"/>
    <w:rsid w:val="00FF5347"/>
    <w:rsid w:val="00FF5475"/>
    <w:rsid w:val="00FF57B9"/>
    <w:rsid w:val="00FF58FD"/>
    <w:rsid w:val="00FF5BCD"/>
    <w:rsid w:val="00FF5FD8"/>
    <w:rsid w:val="00FF689D"/>
    <w:rsid w:val="014493C4"/>
    <w:rsid w:val="04760CA6"/>
    <w:rsid w:val="0A4D78FE"/>
    <w:rsid w:val="0BC10CC1"/>
    <w:rsid w:val="0C1E628A"/>
    <w:rsid w:val="0DF360D8"/>
    <w:rsid w:val="0FBC864D"/>
    <w:rsid w:val="0FF345A3"/>
    <w:rsid w:val="11A16DF1"/>
    <w:rsid w:val="1393337A"/>
    <w:rsid w:val="1996D1F3"/>
    <w:rsid w:val="19D6C840"/>
    <w:rsid w:val="1CE2CD19"/>
    <w:rsid w:val="1EDE2CF8"/>
    <w:rsid w:val="2016AD85"/>
    <w:rsid w:val="2257F76F"/>
    <w:rsid w:val="230CE577"/>
    <w:rsid w:val="231246FA"/>
    <w:rsid w:val="2B82C756"/>
    <w:rsid w:val="2D4E2C30"/>
    <w:rsid w:val="2EE5749C"/>
    <w:rsid w:val="2F03C0F3"/>
    <w:rsid w:val="2F35FDFB"/>
    <w:rsid w:val="301D0CBC"/>
    <w:rsid w:val="30A15524"/>
    <w:rsid w:val="313629CA"/>
    <w:rsid w:val="3216ED33"/>
    <w:rsid w:val="3666738B"/>
    <w:rsid w:val="380DE669"/>
    <w:rsid w:val="3A2E1D7C"/>
    <w:rsid w:val="3D73B691"/>
    <w:rsid w:val="3E683F17"/>
    <w:rsid w:val="42950687"/>
    <w:rsid w:val="43CB5E7C"/>
    <w:rsid w:val="478C0D0C"/>
    <w:rsid w:val="4EF17045"/>
    <w:rsid w:val="50425E9C"/>
    <w:rsid w:val="515234EE"/>
    <w:rsid w:val="545C1379"/>
    <w:rsid w:val="55254D49"/>
    <w:rsid w:val="57CE50F6"/>
    <w:rsid w:val="5B1E1662"/>
    <w:rsid w:val="5E44178A"/>
    <w:rsid w:val="5E4A4BBE"/>
    <w:rsid w:val="5F0CED0C"/>
    <w:rsid w:val="62615E93"/>
    <w:rsid w:val="640975C2"/>
    <w:rsid w:val="66A08BBC"/>
    <w:rsid w:val="67BF6EC1"/>
    <w:rsid w:val="6C3DFA44"/>
    <w:rsid w:val="71474710"/>
    <w:rsid w:val="71E17D64"/>
    <w:rsid w:val="7854EC3F"/>
    <w:rsid w:val="7859D4CF"/>
    <w:rsid w:val="7D9CAEB1"/>
    <w:rsid w:val="7EE6BED4"/>
    <w:rsid w:val="7F9C00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6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table" w:styleId="TableGrid">
    <w:name w:val="Table Grid"/>
    <w:basedOn w:val="TableNormal"/>
    <w:uiPriority w:val="59"/>
    <w:rsid w:val="00CD4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text-paragraphChar">
    <w:name w:val="base-text-paragraph Char"/>
    <w:basedOn w:val="DefaultParagraphFont"/>
    <w:link w:val="base-text-paragraph"/>
    <w:rsid w:val="00647212"/>
    <w:rPr>
      <w:sz w:val="24"/>
    </w:rPr>
  </w:style>
  <w:style w:type="character" w:styleId="Mention">
    <w:name w:val="Mention"/>
    <w:basedOn w:val="DefaultParagraphFont"/>
    <w:uiPriority w:val="99"/>
    <w:unhideWhenUsed/>
    <w:rsid w:val="00492B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486">
      <w:bodyDiv w:val="1"/>
      <w:marLeft w:val="0"/>
      <w:marRight w:val="0"/>
      <w:marTop w:val="0"/>
      <w:marBottom w:val="0"/>
      <w:divBdr>
        <w:top w:val="none" w:sz="0" w:space="0" w:color="auto"/>
        <w:left w:val="none" w:sz="0" w:space="0" w:color="auto"/>
        <w:bottom w:val="none" w:sz="0" w:space="0" w:color="auto"/>
        <w:right w:val="none" w:sz="0" w:space="0" w:color="auto"/>
      </w:divBdr>
    </w:div>
    <w:div w:id="104423798">
      <w:bodyDiv w:val="1"/>
      <w:marLeft w:val="0"/>
      <w:marRight w:val="0"/>
      <w:marTop w:val="0"/>
      <w:marBottom w:val="0"/>
      <w:divBdr>
        <w:top w:val="none" w:sz="0" w:space="0" w:color="auto"/>
        <w:left w:val="none" w:sz="0" w:space="0" w:color="auto"/>
        <w:bottom w:val="none" w:sz="0" w:space="0" w:color="auto"/>
        <w:right w:val="none" w:sz="0" w:space="0" w:color="auto"/>
      </w:divBdr>
    </w:div>
    <w:div w:id="172841528">
      <w:bodyDiv w:val="1"/>
      <w:marLeft w:val="0"/>
      <w:marRight w:val="0"/>
      <w:marTop w:val="0"/>
      <w:marBottom w:val="0"/>
      <w:divBdr>
        <w:top w:val="none" w:sz="0" w:space="0" w:color="auto"/>
        <w:left w:val="none" w:sz="0" w:space="0" w:color="auto"/>
        <w:bottom w:val="none" w:sz="0" w:space="0" w:color="auto"/>
        <w:right w:val="none" w:sz="0" w:space="0" w:color="auto"/>
      </w:divBdr>
    </w:div>
    <w:div w:id="173225359">
      <w:bodyDiv w:val="1"/>
      <w:marLeft w:val="0"/>
      <w:marRight w:val="0"/>
      <w:marTop w:val="0"/>
      <w:marBottom w:val="0"/>
      <w:divBdr>
        <w:top w:val="none" w:sz="0" w:space="0" w:color="auto"/>
        <w:left w:val="none" w:sz="0" w:space="0" w:color="auto"/>
        <w:bottom w:val="none" w:sz="0" w:space="0" w:color="auto"/>
        <w:right w:val="none" w:sz="0" w:space="0" w:color="auto"/>
      </w:divBdr>
    </w:div>
    <w:div w:id="292715213">
      <w:bodyDiv w:val="1"/>
      <w:marLeft w:val="0"/>
      <w:marRight w:val="0"/>
      <w:marTop w:val="0"/>
      <w:marBottom w:val="0"/>
      <w:divBdr>
        <w:top w:val="none" w:sz="0" w:space="0" w:color="auto"/>
        <w:left w:val="none" w:sz="0" w:space="0" w:color="auto"/>
        <w:bottom w:val="none" w:sz="0" w:space="0" w:color="auto"/>
        <w:right w:val="none" w:sz="0" w:space="0" w:color="auto"/>
      </w:divBdr>
    </w:div>
    <w:div w:id="293760006">
      <w:bodyDiv w:val="1"/>
      <w:marLeft w:val="0"/>
      <w:marRight w:val="0"/>
      <w:marTop w:val="0"/>
      <w:marBottom w:val="0"/>
      <w:divBdr>
        <w:top w:val="none" w:sz="0" w:space="0" w:color="auto"/>
        <w:left w:val="none" w:sz="0" w:space="0" w:color="auto"/>
        <w:bottom w:val="none" w:sz="0" w:space="0" w:color="auto"/>
        <w:right w:val="none" w:sz="0" w:space="0" w:color="auto"/>
      </w:divBdr>
    </w:div>
    <w:div w:id="400300750">
      <w:bodyDiv w:val="1"/>
      <w:marLeft w:val="0"/>
      <w:marRight w:val="0"/>
      <w:marTop w:val="0"/>
      <w:marBottom w:val="0"/>
      <w:divBdr>
        <w:top w:val="none" w:sz="0" w:space="0" w:color="auto"/>
        <w:left w:val="none" w:sz="0" w:space="0" w:color="auto"/>
        <w:bottom w:val="none" w:sz="0" w:space="0" w:color="auto"/>
        <w:right w:val="none" w:sz="0" w:space="0" w:color="auto"/>
      </w:divBdr>
    </w:div>
    <w:div w:id="463621767">
      <w:bodyDiv w:val="1"/>
      <w:marLeft w:val="0"/>
      <w:marRight w:val="0"/>
      <w:marTop w:val="0"/>
      <w:marBottom w:val="0"/>
      <w:divBdr>
        <w:top w:val="none" w:sz="0" w:space="0" w:color="auto"/>
        <w:left w:val="none" w:sz="0" w:space="0" w:color="auto"/>
        <w:bottom w:val="none" w:sz="0" w:space="0" w:color="auto"/>
        <w:right w:val="none" w:sz="0" w:space="0" w:color="auto"/>
      </w:divBdr>
    </w:div>
    <w:div w:id="519050109">
      <w:bodyDiv w:val="1"/>
      <w:marLeft w:val="0"/>
      <w:marRight w:val="0"/>
      <w:marTop w:val="0"/>
      <w:marBottom w:val="0"/>
      <w:divBdr>
        <w:top w:val="none" w:sz="0" w:space="0" w:color="auto"/>
        <w:left w:val="none" w:sz="0" w:space="0" w:color="auto"/>
        <w:bottom w:val="none" w:sz="0" w:space="0" w:color="auto"/>
        <w:right w:val="none" w:sz="0" w:space="0" w:color="auto"/>
      </w:divBdr>
    </w:div>
    <w:div w:id="589850386">
      <w:bodyDiv w:val="1"/>
      <w:marLeft w:val="0"/>
      <w:marRight w:val="0"/>
      <w:marTop w:val="0"/>
      <w:marBottom w:val="0"/>
      <w:divBdr>
        <w:top w:val="none" w:sz="0" w:space="0" w:color="auto"/>
        <w:left w:val="none" w:sz="0" w:space="0" w:color="auto"/>
        <w:bottom w:val="none" w:sz="0" w:space="0" w:color="auto"/>
        <w:right w:val="none" w:sz="0" w:space="0" w:color="auto"/>
      </w:divBdr>
    </w:div>
    <w:div w:id="638074601">
      <w:bodyDiv w:val="1"/>
      <w:marLeft w:val="0"/>
      <w:marRight w:val="0"/>
      <w:marTop w:val="0"/>
      <w:marBottom w:val="0"/>
      <w:divBdr>
        <w:top w:val="none" w:sz="0" w:space="0" w:color="auto"/>
        <w:left w:val="none" w:sz="0" w:space="0" w:color="auto"/>
        <w:bottom w:val="none" w:sz="0" w:space="0" w:color="auto"/>
        <w:right w:val="none" w:sz="0" w:space="0" w:color="auto"/>
      </w:divBdr>
    </w:div>
    <w:div w:id="656157154">
      <w:bodyDiv w:val="1"/>
      <w:marLeft w:val="0"/>
      <w:marRight w:val="0"/>
      <w:marTop w:val="0"/>
      <w:marBottom w:val="0"/>
      <w:divBdr>
        <w:top w:val="none" w:sz="0" w:space="0" w:color="auto"/>
        <w:left w:val="none" w:sz="0" w:space="0" w:color="auto"/>
        <w:bottom w:val="none" w:sz="0" w:space="0" w:color="auto"/>
        <w:right w:val="none" w:sz="0" w:space="0" w:color="auto"/>
      </w:divBdr>
    </w:div>
    <w:div w:id="677735367">
      <w:bodyDiv w:val="1"/>
      <w:marLeft w:val="0"/>
      <w:marRight w:val="0"/>
      <w:marTop w:val="0"/>
      <w:marBottom w:val="0"/>
      <w:divBdr>
        <w:top w:val="none" w:sz="0" w:space="0" w:color="auto"/>
        <w:left w:val="none" w:sz="0" w:space="0" w:color="auto"/>
        <w:bottom w:val="none" w:sz="0" w:space="0" w:color="auto"/>
        <w:right w:val="none" w:sz="0" w:space="0" w:color="auto"/>
      </w:divBdr>
    </w:div>
    <w:div w:id="932591029">
      <w:bodyDiv w:val="1"/>
      <w:marLeft w:val="0"/>
      <w:marRight w:val="0"/>
      <w:marTop w:val="0"/>
      <w:marBottom w:val="0"/>
      <w:divBdr>
        <w:top w:val="none" w:sz="0" w:space="0" w:color="auto"/>
        <w:left w:val="none" w:sz="0" w:space="0" w:color="auto"/>
        <w:bottom w:val="none" w:sz="0" w:space="0" w:color="auto"/>
        <w:right w:val="none" w:sz="0" w:space="0" w:color="auto"/>
      </w:divBdr>
    </w:div>
    <w:div w:id="962617863">
      <w:bodyDiv w:val="1"/>
      <w:marLeft w:val="0"/>
      <w:marRight w:val="0"/>
      <w:marTop w:val="0"/>
      <w:marBottom w:val="0"/>
      <w:divBdr>
        <w:top w:val="none" w:sz="0" w:space="0" w:color="auto"/>
        <w:left w:val="none" w:sz="0" w:space="0" w:color="auto"/>
        <w:bottom w:val="none" w:sz="0" w:space="0" w:color="auto"/>
        <w:right w:val="none" w:sz="0" w:space="0" w:color="auto"/>
      </w:divBdr>
    </w:div>
    <w:div w:id="1056703733">
      <w:bodyDiv w:val="1"/>
      <w:marLeft w:val="0"/>
      <w:marRight w:val="0"/>
      <w:marTop w:val="0"/>
      <w:marBottom w:val="0"/>
      <w:divBdr>
        <w:top w:val="none" w:sz="0" w:space="0" w:color="auto"/>
        <w:left w:val="none" w:sz="0" w:space="0" w:color="auto"/>
        <w:bottom w:val="none" w:sz="0" w:space="0" w:color="auto"/>
        <w:right w:val="none" w:sz="0" w:space="0" w:color="auto"/>
      </w:divBdr>
    </w:div>
    <w:div w:id="1120144080">
      <w:bodyDiv w:val="1"/>
      <w:marLeft w:val="0"/>
      <w:marRight w:val="0"/>
      <w:marTop w:val="0"/>
      <w:marBottom w:val="0"/>
      <w:divBdr>
        <w:top w:val="none" w:sz="0" w:space="0" w:color="auto"/>
        <w:left w:val="none" w:sz="0" w:space="0" w:color="auto"/>
        <w:bottom w:val="none" w:sz="0" w:space="0" w:color="auto"/>
        <w:right w:val="none" w:sz="0" w:space="0" w:color="auto"/>
      </w:divBdr>
    </w:div>
    <w:div w:id="1124039008">
      <w:bodyDiv w:val="1"/>
      <w:marLeft w:val="0"/>
      <w:marRight w:val="0"/>
      <w:marTop w:val="0"/>
      <w:marBottom w:val="0"/>
      <w:divBdr>
        <w:top w:val="none" w:sz="0" w:space="0" w:color="auto"/>
        <w:left w:val="none" w:sz="0" w:space="0" w:color="auto"/>
        <w:bottom w:val="none" w:sz="0" w:space="0" w:color="auto"/>
        <w:right w:val="none" w:sz="0" w:space="0" w:color="auto"/>
      </w:divBdr>
    </w:div>
    <w:div w:id="1183519679">
      <w:bodyDiv w:val="1"/>
      <w:marLeft w:val="0"/>
      <w:marRight w:val="0"/>
      <w:marTop w:val="0"/>
      <w:marBottom w:val="0"/>
      <w:divBdr>
        <w:top w:val="none" w:sz="0" w:space="0" w:color="auto"/>
        <w:left w:val="none" w:sz="0" w:space="0" w:color="auto"/>
        <w:bottom w:val="none" w:sz="0" w:space="0" w:color="auto"/>
        <w:right w:val="none" w:sz="0" w:space="0" w:color="auto"/>
      </w:divBdr>
    </w:div>
    <w:div w:id="1215385169">
      <w:bodyDiv w:val="1"/>
      <w:marLeft w:val="0"/>
      <w:marRight w:val="0"/>
      <w:marTop w:val="0"/>
      <w:marBottom w:val="0"/>
      <w:divBdr>
        <w:top w:val="none" w:sz="0" w:space="0" w:color="auto"/>
        <w:left w:val="none" w:sz="0" w:space="0" w:color="auto"/>
        <w:bottom w:val="none" w:sz="0" w:space="0" w:color="auto"/>
        <w:right w:val="none" w:sz="0" w:space="0" w:color="auto"/>
      </w:divBdr>
    </w:div>
    <w:div w:id="1255019143">
      <w:bodyDiv w:val="1"/>
      <w:marLeft w:val="0"/>
      <w:marRight w:val="0"/>
      <w:marTop w:val="0"/>
      <w:marBottom w:val="0"/>
      <w:divBdr>
        <w:top w:val="none" w:sz="0" w:space="0" w:color="auto"/>
        <w:left w:val="none" w:sz="0" w:space="0" w:color="auto"/>
        <w:bottom w:val="none" w:sz="0" w:space="0" w:color="auto"/>
        <w:right w:val="none" w:sz="0" w:space="0" w:color="auto"/>
      </w:divBdr>
    </w:div>
    <w:div w:id="1267690528">
      <w:bodyDiv w:val="1"/>
      <w:marLeft w:val="0"/>
      <w:marRight w:val="0"/>
      <w:marTop w:val="0"/>
      <w:marBottom w:val="0"/>
      <w:divBdr>
        <w:top w:val="none" w:sz="0" w:space="0" w:color="auto"/>
        <w:left w:val="none" w:sz="0" w:space="0" w:color="auto"/>
        <w:bottom w:val="none" w:sz="0" w:space="0" w:color="auto"/>
        <w:right w:val="none" w:sz="0" w:space="0" w:color="auto"/>
      </w:divBdr>
    </w:div>
    <w:div w:id="1334213431">
      <w:bodyDiv w:val="1"/>
      <w:marLeft w:val="0"/>
      <w:marRight w:val="0"/>
      <w:marTop w:val="0"/>
      <w:marBottom w:val="0"/>
      <w:divBdr>
        <w:top w:val="none" w:sz="0" w:space="0" w:color="auto"/>
        <w:left w:val="none" w:sz="0" w:space="0" w:color="auto"/>
        <w:bottom w:val="none" w:sz="0" w:space="0" w:color="auto"/>
        <w:right w:val="none" w:sz="0" w:space="0" w:color="auto"/>
      </w:divBdr>
    </w:div>
    <w:div w:id="1409225907">
      <w:bodyDiv w:val="1"/>
      <w:marLeft w:val="0"/>
      <w:marRight w:val="0"/>
      <w:marTop w:val="0"/>
      <w:marBottom w:val="0"/>
      <w:divBdr>
        <w:top w:val="none" w:sz="0" w:space="0" w:color="auto"/>
        <w:left w:val="none" w:sz="0" w:space="0" w:color="auto"/>
        <w:bottom w:val="none" w:sz="0" w:space="0" w:color="auto"/>
        <w:right w:val="none" w:sz="0" w:space="0" w:color="auto"/>
      </w:divBdr>
    </w:div>
    <w:div w:id="1493374153">
      <w:bodyDiv w:val="1"/>
      <w:marLeft w:val="0"/>
      <w:marRight w:val="0"/>
      <w:marTop w:val="0"/>
      <w:marBottom w:val="0"/>
      <w:divBdr>
        <w:top w:val="none" w:sz="0" w:space="0" w:color="auto"/>
        <w:left w:val="none" w:sz="0" w:space="0" w:color="auto"/>
        <w:bottom w:val="none" w:sz="0" w:space="0" w:color="auto"/>
        <w:right w:val="none" w:sz="0" w:space="0" w:color="auto"/>
      </w:divBdr>
    </w:div>
    <w:div w:id="156633858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730500116">
      <w:bodyDiv w:val="1"/>
      <w:marLeft w:val="0"/>
      <w:marRight w:val="0"/>
      <w:marTop w:val="0"/>
      <w:marBottom w:val="0"/>
      <w:divBdr>
        <w:top w:val="none" w:sz="0" w:space="0" w:color="auto"/>
        <w:left w:val="none" w:sz="0" w:space="0" w:color="auto"/>
        <w:bottom w:val="none" w:sz="0" w:space="0" w:color="auto"/>
        <w:right w:val="none" w:sz="0" w:space="0" w:color="auto"/>
      </w:divBdr>
    </w:div>
    <w:div w:id="1774010370">
      <w:bodyDiv w:val="1"/>
      <w:marLeft w:val="0"/>
      <w:marRight w:val="0"/>
      <w:marTop w:val="0"/>
      <w:marBottom w:val="0"/>
      <w:divBdr>
        <w:top w:val="none" w:sz="0" w:space="0" w:color="auto"/>
        <w:left w:val="none" w:sz="0" w:space="0" w:color="auto"/>
        <w:bottom w:val="none" w:sz="0" w:space="0" w:color="auto"/>
        <w:right w:val="none" w:sz="0" w:space="0" w:color="auto"/>
      </w:divBdr>
    </w:div>
    <w:div w:id="1820076017">
      <w:bodyDiv w:val="1"/>
      <w:marLeft w:val="0"/>
      <w:marRight w:val="0"/>
      <w:marTop w:val="0"/>
      <w:marBottom w:val="0"/>
      <w:divBdr>
        <w:top w:val="none" w:sz="0" w:space="0" w:color="auto"/>
        <w:left w:val="none" w:sz="0" w:space="0" w:color="auto"/>
        <w:bottom w:val="none" w:sz="0" w:space="0" w:color="auto"/>
        <w:right w:val="none" w:sz="0" w:space="0" w:color="auto"/>
      </w:divBdr>
    </w:div>
    <w:div w:id="183325109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97424207">
      <w:bodyDiv w:val="1"/>
      <w:marLeft w:val="0"/>
      <w:marRight w:val="0"/>
      <w:marTop w:val="0"/>
      <w:marBottom w:val="0"/>
      <w:divBdr>
        <w:top w:val="none" w:sz="0" w:space="0" w:color="auto"/>
        <w:left w:val="none" w:sz="0" w:space="0" w:color="auto"/>
        <w:bottom w:val="none" w:sz="0" w:space="0" w:color="auto"/>
        <w:right w:val="none" w:sz="0" w:space="0" w:color="auto"/>
      </w:divBdr>
    </w:div>
    <w:div w:id="1920209851">
      <w:bodyDiv w:val="1"/>
      <w:marLeft w:val="0"/>
      <w:marRight w:val="0"/>
      <w:marTop w:val="0"/>
      <w:marBottom w:val="0"/>
      <w:divBdr>
        <w:top w:val="none" w:sz="0" w:space="0" w:color="auto"/>
        <w:left w:val="none" w:sz="0" w:space="0" w:color="auto"/>
        <w:bottom w:val="none" w:sz="0" w:space="0" w:color="auto"/>
        <w:right w:val="none" w:sz="0" w:space="0" w:color="auto"/>
      </w:divBdr>
    </w:div>
    <w:div w:id="1960187954">
      <w:bodyDiv w:val="1"/>
      <w:marLeft w:val="0"/>
      <w:marRight w:val="0"/>
      <w:marTop w:val="0"/>
      <w:marBottom w:val="0"/>
      <w:divBdr>
        <w:top w:val="none" w:sz="0" w:space="0" w:color="auto"/>
        <w:left w:val="none" w:sz="0" w:space="0" w:color="auto"/>
        <w:bottom w:val="none" w:sz="0" w:space="0" w:color="auto"/>
        <w:right w:val="none" w:sz="0" w:space="0" w:color="auto"/>
      </w:divBdr>
    </w:div>
    <w:div w:id="2012103004">
      <w:bodyDiv w:val="1"/>
      <w:marLeft w:val="0"/>
      <w:marRight w:val="0"/>
      <w:marTop w:val="0"/>
      <w:marBottom w:val="0"/>
      <w:divBdr>
        <w:top w:val="none" w:sz="0" w:space="0" w:color="auto"/>
        <w:left w:val="none" w:sz="0" w:space="0" w:color="auto"/>
        <w:bottom w:val="none" w:sz="0" w:space="0" w:color="auto"/>
        <w:right w:val="none" w:sz="0" w:space="0" w:color="auto"/>
      </w:divBdr>
    </w:div>
    <w:div w:id="2042587071">
      <w:bodyDiv w:val="1"/>
      <w:marLeft w:val="0"/>
      <w:marRight w:val="0"/>
      <w:marTop w:val="0"/>
      <w:marBottom w:val="0"/>
      <w:divBdr>
        <w:top w:val="none" w:sz="0" w:space="0" w:color="auto"/>
        <w:left w:val="none" w:sz="0" w:space="0" w:color="auto"/>
        <w:bottom w:val="none" w:sz="0" w:space="0" w:color="auto"/>
        <w:right w:val="none" w:sz="0" w:space="0" w:color="auto"/>
      </w:divBdr>
    </w:div>
    <w:div w:id="206170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Merger notification waiver and control instrument – explanatory statement</vt:lpstr>
    </vt:vector>
  </TitlesOfParts>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notification waiver and control instrument – explanatory statement</dc:title>
  <dc:subject/>
  <dc:creator>Australian Government - The Treasury</dc:creator>
  <cp:keywords/>
  <dc:description/>
  <cp:lastModifiedBy/>
  <cp:revision>1</cp:revision>
  <dcterms:created xsi:type="dcterms:W3CDTF">2025-10-21T02:44:00Z</dcterms:created>
  <dcterms:modified xsi:type="dcterms:W3CDTF">2025-10-21T02:44:00Z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2025-10-21T02:44:52Z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b0579108-4c6a-4a8b-b11a-2653ff80526b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