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8730FA" w14:paraId="2791ECCA" w14:textId="77777777" w:rsidTr="008730FA">
        <w:tc>
          <w:tcPr>
            <w:tcW w:w="5000" w:type="pct"/>
          </w:tcPr>
          <w:p w14:paraId="2ECEF5E3" w14:textId="77777777" w:rsidR="008730FA" w:rsidRDefault="008730FA" w:rsidP="008730FA">
            <w:pPr>
              <w:jc w:val="center"/>
              <w:rPr>
                <w:b/>
                <w:sz w:val="26"/>
              </w:rPr>
            </w:pPr>
            <w:bookmarkStart w:id="0" w:name="_Hlk208929483"/>
            <w:r>
              <w:rPr>
                <w:b/>
                <w:sz w:val="26"/>
              </w:rPr>
              <w:t>EXPOSURE DRAFT</w:t>
            </w:r>
          </w:p>
          <w:p w14:paraId="0583AD09" w14:textId="708AC39E" w:rsidR="008730FA" w:rsidRPr="008730FA" w:rsidRDefault="008730FA" w:rsidP="008730FA">
            <w:pPr>
              <w:rPr>
                <w:b/>
                <w:sz w:val="20"/>
              </w:rPr>
            </w:pPr>
          </w:p>
        </w:tc>
      </w:tr>
    </w:tbl>
    <w:p w14:paraId="104FAAE9" w14:textId="77777777" w:rsidR="008730FA" w:rsidRDefault="008730FA" w:rsidP="001C2B21">
      <w:pPr>
        <w:rPr>
          <w:sz w:val="32"/>
          <w:szCs w:val="32"/>
        </w:rPr>
      </w:pPr>
    </w:p>
    <w:p w14:paraId="158661E8" w14:textId="244F467B" w:rsidR="00BC2B55" w:rsidRPr="001C4BC1" w:rsidRDefault="00BC2B55" w:rsidP="001C2B21">
      <w:pPr>
        <w:rPr>
          <w:sz w:val="32"/>
          <w:szCs w:val="32"/>
        </w:rPr>
      </w:pPr>
      <w:r w:rsidRPr="001C4BC1">
        <w:rPr>
          <w:sz w:val="32"/>
          <w:szCs w:val="32"/>
        </w:rPr>
        <w:t>Inserts for</w:t>
      </w:r>
    </w:p>
    <w:p w14:paraId="5F66AFF6" w14:textId="17CDB3FB" w:rsidR="00BC2B55" w:rsidRPr="001C4BC1" w:rsidRDefault="00BC2B55" w:rsidP="001C2B21">
      <w:pPr>
        <w:pStyle w:val="ShortT"/>
      </w:pPr>
      <w:r w:rsidRPr="001C4BC1">
        <w:t xml:space="preserve">Treasury Laws Amendment Bill 2025: Financial </w:t>
      </w:r>
      <w:r w:rsidR="00621B10">
        <w:t>R</w:t>
      </w:r>
      <w:r w:rsidRPr="001C4BC1">
        <w:t xml:space="preserve">eporting </w:t>
      </w:r>
      <w:r w:rsidR="00621B10">
        <w:t>System</w:t>
      </w:r>
      <w:r w:rsidRPr="001C4BC1">
        <w:t xml:space="preserve"> </w:t>
      </w:r>
      <w:r w:rsidR="00621B10">
        <w:t>R</w:t>
      </w:r>
      <w:r w:rsidR="004F381E">
        <w:t>eform</w:t>
      </w:r>
    </w:p>
    <w:p w14:paraId="0179506E" w14:textId="77777777" w:rsidR="00BC2B55" w:rsidRPr="001C4BC1" w:rsidRDefault="00BC2B55" w:rsidP="001C2B21">
      <w:pPr>
        <w:jc w:val="center"/>
      </w:pPr>
    </w:p>
    <w:p w14:paraId="67F1DC64" w14:textId="77777777" w:rsidR="00BC2B55" w:rsidRPr="001C4BC1" w:rsidRDefault="00BC2B55" w:rsidP="001C2B2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C2B55" w:rsidRPr="001C4BC1" w14:paraId="6A7E8CAA" w14:textId="77777777" w:rsidTr="00194C8E">
        <w:trPr>
          <w:tblHeader/>
        </w:trPr>
        <w:tc>
          <w:tcPr>
            <w:tcW w:w="7111" w:type="dxa"/>
            <w:gridSpan w:val="3"/>
            <w:tcBorders>
              <w:top w:val="single" w:sz="12" w:space="0" w:color="auto"/>
              <w:bottom w:val="single" w:sz="6" w:space="0" w:color="auto"/>
            </w:tcBorders>
          </w:tcPr>
          <w:p w14:paraId="44A0DE57" w14:textId="77777777" w:rsidR="00BC2B55" w:rsidRPr="001C4BC1" w:rsidRDefault="00BC2B55" w:rsidP="001C2B21">
            <w:pPr>
              <w:pStyle w:val="TableHeading"/>
            </w:pPr>
            <w:r w:rsidRPr="001C4BC1">
              <w:t>Commencement information</w:t>
            </w:r>
          </w:p>
        </w:tc>
      </w:tr>
      <w:tr w:rsidR="00BC2B55" w:rsidRPr="001C4BC1" w14:paraId="2F338FA3" w14:textId="77777777" w:rsidTr="00194C8E">
        <w:trPr>
          <w:tblHeader/>
        </w:trPr>
        <w:tc>
          <w:tcPr>
            <w:tcW w:w="1701" w:type="dxa"/>
            <w:tcBorders>
              <w:top w:val="single" w:sz="6" w:space="0" w:color="auto"/>
              <w:bottom w:val="single" w:sz="6" w:space="0" w:color="auto"/>
            </w:tcBorders>
          </w:tcPr>
          <w:p w14:paraId="13E74687" w14:textId="77777777" w:rsidR="00BC2B55" w:rsidRPr="001C4BC1" w:rsidRDefault="00BC2B55" w:rsidP="001C2B21">
            <w:pPr>
              <w:pStyle w:val="TableHeading"/>
            </w:pPr>
            <w:r w:rsidRPr="001C4BC1">
              <w:t>Column 1</w:t>
            </w:r>
          </w:p>
        </w:tc>
        <w:tc>
          <w:tcPr>
            <w:tcW w:w="3828" w:type="dxa"/>
            <w:tcBorders>
              <w:top w:val="single" w:sz="6" w:space="0" w:color="auto"/>
              <w:bottom w:val="single" w:sz="6" w:space="0" w:color="auto"/>
            </w:tcBorders>
          </w:tcPr>
          <w:p w14:paraId="2A896AAF" w14:textId="77777777" w:rsidR="00BC2B55" w:rsidRPr="001C4BC1" w:rsidRDefault="00BC2B55" w:rsidP="001C2B21">
            <w:pPr>
              <w:pStyle w:val="TableHeading"/>
            </w:pPr>
            <w:r w:rsidRPr="001C4BC1">
              <w:t>Column 2</w:t>
            </w:r>
          </w:p>
        </w:tc>
        <w:tc>
          <w:tcPr>
            <w:tcW w:w="1582" w:type="dxa"/>
            <w:tcBorders>
              <w:top w:val="single" w:sz="6" w:space="0" w:color="auto"/>
              <w:bottom w:val="single" w:sz="6" w:space="0" w:color="auto"/>
            </w:tcBorders>
          </w:tcPr>
          <w:p w14:paraId="74CE738B" w14:textId="77777777" w:rsidR="00BC2B55" w:rsidRPr="001C4BC1" w:rsidRDefault="00BC2B55" w:rsidP="001C2B21">
            <w:pPr>
              <w:pStyle w:val="TableHeading"/>
            </w:pPr>
            <w:r w:rsidRPr="001C4BC1">
              <w:t>Column 3</w:t>
            </w:r>
          </w:p>
        </w:tc>
      </w:tr>
      <w:tr w:rsidR="00BC2B55" w:rsidRPr="001C4BC1" w14:paraId="606C9ED5" w14:textId="77777777" w:rsidTr="00194C8E">
        <w:trPr>
          <w:tblHeader/>
        </w:trPr>
        <w:tc>
          <w:tcPr>
            <w:tcW w:w="1701" w:type="dxa"/>
            <w:tcBorders>
              <w:top w:val="single" w:sz="6" w:space="0" w:color="auto"/>
              <w:bottom w:val="single" w:sz="12" w:space="0" w:color="auto"/>
            </w:tcBorders>
          </w:tcPr>
          <w:p w14:paraId="681A28AB" w14:textId="77777777" w:rsidR="00BC2B55" w:rsidRPr="001C4BC1" w:rsidRDefault="00BC2B55" w:rsidP="001C2B21">
            <w:pPr>
              <w:pStyle w:val="TableHeading"/>
            </w:pPr>
            <w:r w:rsidRPr="001C4BC1">
              <w:t>Provisions</w:t>
            </w:r>
          </w:p>
        </w:tc>
        <w:tc>
          <w:tcPr>
            <w:tcW w:w="3828" w:type="dxa"/>
            <w:tcBorders>
              <w:top w:val="single" w:sz="6" w:space="0" w:color="auto"/>
              <w:bottom w:val="single" w:sz="12" w:space="0" w:color="auto"/>
            </w:tcBorders>
          </w:tcPr>
          <w:p w14:paraId="4E971AC3" w14:textId="77777777" w:rsidR="00BC2B55" w:rsidRPr="001C4BC1" w:rsidRDefault="00BC2B55" w:rsidP="001C2B21">
            <w:pPr>
              <w:pStyle w:val="TableHeading"/>
            </w:pPr>
            <w:r w:rsidRPr="001C4BC1">
              <w:t>Commencement</w:t>
            </w:r>
          </w:p>
        </w:tc>
        <w:tc>
          <w:tcPr>
            <w:tcW w:w="1582" w:type="dxa"/>
            <w:tcBorders>
              <w:top w:val="single" w:sz="6" w:space="0" w:color="auto"/>
              <w:bottom w:val="single" w:sz="12" w:space="0" w:color="auto"/>
            </w:tcBorders>
          </w:tcPr>
          <w:p w14:paraId="15EA813C" w14:textId="77777777" w:rsidR="00BC2B55" w:rsidRPr="001C4BC1" w:rsidRDefault="00BC2B55" w:rsidP="001C2B21">
            <w:pPr>
              <w:pStyle w:val="TableHeading"/>
            </w:pPr>
            <w:r w:rsidRPr="001C4BC1">
              <w:t>Date/Details</w:t>
            </w:r>
          </w:p>
        </w:tc>
      </w:tr>
      <w:tr w:rsidR="00BC2B55" w:rsidRPr="001C4BC1" w14:paraId="3ACC8C65" w14:textId="77777777" w:rsidTr="00194C8E">
        <w:tc>
          <w:tcPr>
            <w:tcW w:w="1701" w:type="dxa"/>
            <w:tcBorders>
              <w:top w:val="single" w:sz="12" w:space="0" w:color="auto"/>
              <w:bottom w:val="single" w:sz="2" w:space="0" w:color="auto"/>
            </w:tcBorders>
          </w:tcPr>
          <w:p w14:paraId="42162885" w14:textId="177FF90B" w:rsidR="00BC2B55" w:rsidRPr="001C4BC1" w:rsidRDefault="00BC2B55" w:rsidP="001C2B21">
            <w:pPr>
              <w:pStyle w:val="Tabletext"/>
            </w:pPr>
            <w:r w:rsidRPr="001C4BC1">
              <w:t>1.  Schedule [#]</w:t>
            </w:r>
            <w:r>
              <w:t xml:space="preserve">, </w:t>
            </w:r>
            <w:r w:rsidR="00874A53">
              <w:t>Part 1</w:t>
            </w:r>
          </w:p>
        </w:tc>
        <w:tc>
          <w:tcPr>
            <w:tcW w:w="3828" w:type="dxa"/>
            <w:tcBorders>
              <w:top w:val="single" w:sz="12" w:space="0" w:color="auto"/>
              <w:bottom w:val="single" w:sz="2" w:space="0" w:color="auto"/>
            </w:tcBorders>
          </w:tcPr>
          <w:p w14:paraId="671D59AB" w14:textId="77777777" w:rsidR="00BC2B55" w:rsidRPr="001C4BC1" w:rsidRDefault="00BC2B55" w:rsidP="001C2B21">
            <w:pPr>
              <w:pStyle w:val="Tabletext"/>
              <w:rPr>
                <w:i/>
                <w:iCs/>
              </w:rPr>
            </w:pPr>
            <w:r w:rsidRPr="000C4E28">
              <w:t>The first day of the first calendar month</w:t>
            </w:r>
            <w:r>
              <w:t xml:space="preserve"> </w:t>
            </w:r>
            <w:r w:rsidRPr="000C4E28">
              <w:t xml:space="preserve">to </w:t>
            </w:r>
            <w:r>
              <w:t>occur</w:t>
            </w:r>
            <w:r w:rsidRPr="000C4E28">
              <w:t xml:space="preserve"> after the end of the period of</w:t>
            </w:r>
            <w:r w:rsidRPr="00C03312">
              <w:t xml:space="preserve"> </w:t>
            </w:r>
            <w:r>
              <w:t>4</w:t>
            </w:r>
            <w:r w:rsidRPr="00C03312">
              <w:t xml:space="preserve"> months beginning on the day this Act receives the Royal Assent.</w:t>
            </w:r>
          </w:p>
        </w:tc>
        <w:tc>
          <w:tcPr>
            <w:tcW w:w="1582" w:type="dxa"/>
            <w:tcBorders>
              <w:top w:val="single" w:sz="12" w:space="0" w:color="auto"/>
              <w:bottom w:val="single" w:sz="2" w:space="0" w:color="auto"/>
            </w:tcBorders>
          </w:tcPr>
          <w:p w14:paraId="6C05EFC7" w14:textId="77777777" w:rsidR="00BC2B55" w:rsidRPr="001C4BC1" w:rsidRDefault="00BC2B55" w:rsidP="001C2B21">
            <w:pPr>
              <w:pStyle w:val="Tabletext"/>
            </w:pPr>
          </w:p>
        </w:tc>
      </w:tr>
      <w:tr w:rsidR="00BC2B55" w:rsidRPr="001C4BC1" w14:paraId="22E3AFC5" w14:textId="77777777" w:rsidTr="00194C8E">
        <w:tc>
          <w:tcPr>
            <w:tcW w:w="1701" w:type="dxa"/>
            <w:tcBorders>
              <w:top w:val="single" w:sz="2" w:space="0" w:color="auto"/>
              <w:bottom w:val="single" w:sz="12" w:space="0" w:color="auto"/>
            </w:tcBorders>
          </w:tcPr>
          <w:p w14:paraId="5432D622" w14:textId="77777777" w:rsidR="00BC2B55" w:rsidRPr="001C4BC1" w:rsidRDefault="00BC2B55" w:rsidP="001C2B21">
            <w:pPr>
              <w:pStyle w:val="Tabletext"/>
            </w:pPr>
            <w:r w:rsidRPr="001C4BC1">
              <w:t xml:space="preserve">2.  </w:t>
            </w:r>
            <w:r>
              <w:t>Schedule [#], Part 2</w:t>
            </w:r>
          </w:p>
        </w:tc>
        <w:tc>
          <w:tcPr>
            <w:tcW w:w="3828" w:type="dxa"/>
            <w:tcBorders>
              <w:top w:val="single" w:sz="2" w:space="0" w:color="auto"/>
              <w:bottom w:val="single" w:sz="12" w:space="0" w:color="auto"/>
            </w:tcBorders>
          </w:tcPr>
          <w:p w14:paraId="3D4DAF38" w14:textId="77777777" w:rsidR="00BC2B55" w:rsidRPr="001C4BC1" w:rsidRDefault="00BC2B55" w:rsidP="001C2B21">
            <w:pPr>
              <w:pStyle w:val="Tabletext"/>
            </w:pPr>
            <w:r w:rsidRPr="00124917">
              <w:t>The day</w:t>
            </w:r>
            <w:r>
              <w:t xml:space="preserve"> after</w:t>
            </w:r>
            <w:r w:rsidRPr="00124917">
              <w:t xml:space="preserve"> this Act receives the Royal Assent.</w:t>
            </w:r>
          </w:p>
        </w:tc>
        <w:tc>
          <w:tcPr>
            <w:tcW w:w="1582" w:type="dxa"/>
            <w:tcBorders>
              <w:top w:val="single" w:sz="2" w:space="0" w:color="auto"/>
              <w:bottom w:val="single" w:sz="12" w:space="0" w:color="auto"/>
            </w:tcBorders>
          </w:tcPr>
          <w:p w14:paraId="6847BB27" w14:textId="77777777" w:rsidR="00BC2B55" w:rsidRPr="001C4BC1" w:rsidRDefault="00BC2B55" w:rsidP="001C2B21">
            <w:pPr>
              <w:pStyle w:val="Tabletext"/>
            </w:pPr>
          </w:p>
        </w:tc>
      </w:tr>
    </w:tbl>
    <w:p w14:paraId="401D8D77" w14:textId="28133F8B" w:rsidR="00BC2B55" w:rsidRPr="001C4BC1" w:rsidRDefault="00BC2B55" w:rsidP="001C2B21">
      <w:pPr>
        <w:pStyle w:val="ActHead6"/>
        <w:pageBreakBefore/>
      </w:pPr>
      <w:r w:rsidRPr="001C2B21">
        <w:rPr>
          <w:rStyle w:val="CharAmSchNo"/>
        </w:rPr>
        <w:lastRenderedPageBreak/>
        <w:t>Schedule [#]</w:t>
      </w:r>
      <w:r w:rsidRPr="001C4BC1">
        <w:t>—</w:t>
      </w:r>
      <w:r w:rsidRPr="001C2B21">
        <w:rPr>
          <w:rStyle w:val="CharAmSchText"/>
        </w:rPr>
        <w:t xml:space="preserve">Financial </w:t>
      </w:r>
      <w:r w:rsidR="00621B10" w:rsidRPr="001C2B21">
        <w:rPr>
          <w:rStyle w:val="CharAmSchText"/>
        </w:rPr>
        <w:t>R</w:t>
      </w:r>
      <w:r w:rsidRPr="001C2B21">
        <w:rPr>
          <w:rStyle w:val="CharAmSchText"/>
        </w:rPr>
        <w:t xml:space="preserve">eporting </w:t>
      </w:r>
      <w:r w:rsidR="00621B10" w:rsidRPr="001C2B21">
        <w:rPr>
          <w:rStyle w:val="CharAmSchText"/>
        </w:rPr>
        <w:t>System</w:t>
      </w:r>
      <w:r w:rsidRPr="001C2B21">
        <w:rPr>
          <w:rStyle w:val="CharAmSchText"/>
        </w:rPr>
        <w:t xml:space="preserve"> </w:t>
      </w:r>
      <w:r w:rsidR="00621B10" w:rsidRPr="001C2B21">
        <w:rPr>
          <w:rStyle w:val="CharAmSchText"/>
        </w:rPr>
        <w:t>R</w:t>
      </w:r>
      <w:r w:rsidR="00194C8E" w:rsidRPr="001C2B21">
        <w:rPr>
          <w:rStyle w:val="CharAmSchText"/>
        </w:rPr>
        <w:t>eform</w:t>
      </w:r>
    </w:p>
    <w:p w14:paraId="48C8F27C" w14:textId="47113BA9" w:rsidR="00BC2B55" w:rsidRPr="001C4BC1" w:rsidRDefault="00874A53" w:rsidP="001C2B21">
      <w:pPr>
        <w:pStyle w:val="ActHead7"/>
      </w:pPr>
      <w:r w:rsidRPr="001C2B21">
        <w:rPr>
          <w:rStyle w:val="CharAmPartNo"/>
        </w:rPr>
        <w:t>Part 1</w:t>
      </w:r>
      <w:r w:rsidR="00BC2B55">
        <w:t>—</w:t>
      </w:r>
      <w:r w:rsidR="00BC2B55" w:rsidRPr="001C2B21">
        <w:rPr>
          <w:rStyle w:val="CharAmPartText"/>
        </w:rPr>
        <w:t>Main amendments</w:t>
      </w:r>
    </w:p>
    <w:p w14:paraId="600B5A3C" w14:textId="77777777" w:rsidR="00BC2B55" w:rsidRPr="001C4BC1" w:rsidRDefault="00BC2B55" w:rsidP="001C2B21">
      <w:pPr>
        <w:pStyle w:val="ActHead9"/>
      </w:pPr>
      <w:r w:rsidRPr="001C4BC1">
        <w:t>Australian Securities and Investments Commission Act 2001</w:t>
      </w:r>
    </w:p>
    <w:p w14:paraId="2E918BCF" w14:textId="77777777" w:rsidR="00BC2B55" w:rsidRDefault="00BC2B55" w:rsidP="001C2B21">
      <w:pPr>
        <w:pStyle w:val="ItemHead"/>
      </w:pPr>
      <w:proofErr w:type="gramStart"/>
      <w:r>
        <w:t>1  Paragraph</w:t>
      </w:r>
      <w:proofErr w:type="gramEnd"/>
      <w:r>
        <w:t> 1(d)</w:t>
      </w:r>
    </w:p>
    <w:p w14:paraId="20AD6023" w14:textId="3A7D3C20" w:rsidR="00BC2B55" w:rsidRPr="0067562E" w:rsidRDefault="00BC2B55" w:rsidP="001C2B21">
      <w:pPr>
        <w:pStyle w:val="Item"/>
      </w:pPr>
      <w:r w:rsidRPr="0067562E">
        <w:t>Omit “</w:t>
      </w:r>
      <w:r w:rsidR="0022083E">
        <w:t xml:space="preserve">a </w:t>
      </w:r>
      <w:r w:rsidRPr="0067562E">
        <w:t>Financial Reporting Council, an Australian Accounting Standards Board, an Auditing and Assurance Standards Board”, substitute “</w:t>
      </w:r>
      <w:r w:rsidR="0022083E" w:rsidRPr="0022083E">
        <w:t>External Reporting Australia</w:t>
      </w:r>
      <w:r w:rsidRPr="0067562E">
        <w:t>”.</w:t>
      </w:r>
    </w:p>
    <w:p w14:paraId="364DF3AF" w14:textId="4BDB06BF" w:rsidR="00BC2B55" w:rsidRPr="001C4BC1" w:rsidRDefault="00BC2B55" w:rsidP="001C2B21">
      <w:pPr>
        <w:pStyle w:val="ItemHead"/>
      </w:pPr>
      <w:proofErr w:type="gramStart"/>
      <w:r>
        <w:t>2</w:t>
      </w:r>
      <w:r w:rsidRPr="001C4BC1">
        <w:t xml:space="preserve">  Sub</w:t>
      </w:r>
      <w:r w:rsidR="003861E7">
        <w:t>section</w:t>
      </w:r>
      <w:proofErr w:type="gramEnd"/>
      <w:r w:rsidR="003861E7">
        <w:t> 5</w:t>
      </w:r>
      <w:r w:rsidRPr="001C4BC1">
        <w:t>(1)</w:t>
      </w:r>
    </w:p>
    <w:p w14:paraId="678A59A9" w14:textId="77777777" w:rsidR="00BC2B55" w:rsidRPr="001C4BC1" w:rsidRDefault="00BC2B55" w:rsidP="001C2B21">
      <w:pPr>
        <w:pStyle w:val="Item"/>
      </w:pPr>
      <w:r w:rsidRPr="001C4BC1">
        <w:t>Insert:</w:t>
      </w:r>
    </w:p>
    <w:p w14:paraId="419EA779" w14:textId="53D2955D" w:rsidR="00BC2B55" w:rsidRPr="001C4BC1" w:rsidRDefault="00BC2B55" w:rsidP="001C2B21">
      <w:pPr>
        <w:pStyle w:val="Definition"/>
      </w:pPr>
      <w:r w:rsidRPr="001C4BC1">
        <w:rPr>
          <w:b/>
          <w:bCs/>
          <w:i/>
          <w:iCs/>
        </w:rPr>
        <w:t>board member</w:t>
      </w:r>
      <w:r w:rsidRPr="001C4BC1">
        <w:t xml:space="preserve"> means a member of a standard</w:t>
      </w:r>
      <w:r w:rsidR="001C2B21">
        <w:noBreakHyphen/>
      </w:r>
      <w:r w:rsidRPr="001C4BC1">
        <w:t>setting board (including the Chair and the Deputy Chair of the board).</w:t>
      </w:r>
    </w:p>
    <w:p w14:paraId="7E8BA931" w14:textId="77777777" w:rsidR="00BC2B55" w:rsidRPr="001C4BC1" w:rsidRDefault="00BC2B55" w:rsidP="001C2B21">
      <w:pPr>
        <w:pStyle w:val="Definition"/>
      </w:pPr>
      <w:r w:rsidRPr="001C4BC1">
        <w:rPr>
          <w:b/>
          <w:bCs/>
          <w:i/>
          <w:iCs/>
        </w:rPr>
        <w:t>Council Chair</w:t>
      </w:r>
      <w:r w:rsidRPr="001C4BC1">
        <w:t xml:space="preserve"> means the Chair of the Governing Council.</w:t>
      </w:r>
    </w:p>
    <w:p w14:paraId="4EE6ADA4" w14:textId="77777777" w:rsidR="00BC2B55" w:rsidRPr="00A53E32" w:rsidRDefault="00BC2B55" w:rsidP="001C2B21">
      <w:pPr>
        <w:pStyle w:val="Definition"/>
      </w:pPr>
      <w:r w:rsidRPr="001C4BC1">
        <w:rPr>
          <w:b/>
          <w:bCs/>
          <w:i/>
          <w:iCs/>
        </w:rPr>
        <w:t xml:space="preserve">Council </w:t>
      </w:r>
      <w:r>
        <w:rPr>
          <w:b/>
          <w:bCs/>
          <w:i/>
          <w:iCs/>
        </w:rPr>
        <w:t xml:space="preserve">Deputy </w:t>
      </w:r>
      <w:r w:rsidRPr="001C4BC1">
        <w:rPr>
          <w:b/>
          <w:bCs/>
          <w:i/>
          <w:iCs/>
        </w:rPr>
        <w:t>Chair</w:t>
      </w:r>
      <w:r w:rsidRPr="001C4BC1">
        <w:t xml:space="preserve"> means the </w:t>
      </w:r>
      <w:r>
        <w:t xml:space="preserve">Deputy </w:t>
      </w:r>
      <w:r w:rsidRPr="001C4BC1">
        <w:t>Chair of the Governing Council</w:t>
      </w:r>
      <w:r>
        <w:t>.</w:t>
      </w:r>
    </w:p>
    <w:p w14:paraId="02A05BB3" w14:textId="77777777" w:rsidR="00BC2B55" w:rsidRPr="001C4BC1" w:rsidRDefault="00BC2B55" w:rsidP="001C2B21">
      <w:pPr>
        <w:pStyle w:val="Definition"/>
      </w:pPr>
      <w:r w:rsidRPr="001C4BC1">
        <w:rPr>
          <w:b/>
          <w:bCs/>
          <w:i/>
          <w:iCs/>
        </w:rPr>
        <w:t>Council member</w:t>
      </w:r>
      <w:r w:rsidRPr="001C4BC1">
        <w:t xml:space="preserve"> means a member of the Governing Council (including the Council Chair</w:t>
      </w:r>
      <w:r>
        <w:t xml:space="preserve"> and Council Deputy Chair</w:t>
      </w:r>
      <w:r w:rsidRPr="001C4BC1">
        <w:t>).</w:t>
      </w:r>
    </w:p>
    <w:p w14:paraId="5CEAA3D0" w14:textId="7566E5CA" w:rsidR="00BC2B55" w:rsidRPr="001C4BC1" w:rsidRDefault="00BC2B55" w:rsidP="001C2B21">
      <w:pPr>
        <w:pStyle w:val="Definition"/>
      </w:pPr>
      <w:r w:rsidRPr="001C4BC1">
        <w:rPr>
          <w:b/>
          <w:bCs/>
          <w:i/>
          <w:iCs/>
        </w:rPr>
        <w:t xml:space="preserve">Governing Council </w:t>
      </w:r>
      <w:r w:rsidRPr="001C4BC1">
        <w:t xml:space="preserve">means the Governing Council of </w:t>
      </w:r>
      <w:r w:rsidR="0022083E" w:rsidRPr="0022083E">
        <w:t>External Reporting Australia</w:t>
      </w:r>
      <w:r w:rsidRPr="001C4BC1">
        <w:t>.</w:t>
      </w:r>
    </w:p>
    <w:p w14:paraId="309B4ED6" w14:textId="625E1EAA" w:rsidR="00BC2B55" w:rsidRDefault="00BC2B55" w:rsidP="001C2B21">
      <w:pPr>
        <w:pStyle w:val="Definition"/>
      </w:pPr>
      <w:r w:rsidRPr="001C4BC1">
        <w:rPr>
          <w:b/>
          <w:bCs/>
          <w:i/>
          <w:iCs/>
        </w:rPr>
        <w:t>paid work</w:t>
      </w:r>
      <w:r w:rsidRPr="001C4BC1">
        <w:t xml:space="preserve"> means work for financial gain or reward (whether as an employee, a self</w:t>
      </w:r>
      <w:r w:rsidR="001C2B21">
        <w:noBreakHyphen/>
      </w:r>
      <w:r w:rsidRPr="001C4BC1">
        <w:t>employed person or otherwise).</w:t>
      </w:r>
    </w:p>
    <w:p w14:paraId="512C4447" w14:textId="459E763E" w:rsidR="00BC2B55" w:rsidRPr="001C4BC1" w:rsidRDefault="00BC2B55" w:rsidP="001C2B21">
      <w:pPr>
        <w:pStyle w:val="Definition"/>
      </w:pPr>
      <w:r w:rsidRPr="001C4BC1">
        <w:rPr>
          <w:b/>
          <w:bCs/>
          <w:i/>
          <w:iCs/>
        </w:rPr>
        <w:t>standard</w:t>
      </w:r>
      <w:r w:rsidR="001C2B21">
        <w:rPr>
          <w:b/>
          <w:bCs/>
          <w:i/>
          <w:iCs/>
        </w:rPr>
        <w:noBreakHyphen/>
      </w:r>
      <w:r w:rsidRPr="001C4BC1">
        <w:rPr>
          <w:b/>
          <w:bCs/>
          <w:i/>
          <w:iCs/>
        </w:rPr>
        <w:t>setting board</w:t>
      </w:r>
      <w:r w:rsidRPr="001C4BC1">
        <w:t xml:space="preserve"> means a standard</w:t>
      </w:r>
      <w:r w:rsidR="001C2B21">
        <w:noBreakHyphen/>
      </w:r>
      <w:r w:rsidRPr="001C4BC1">
        <w:t xml:space="preserve">setting board of </w:t>
      </w:r>
      <w:r w:rsidR="0022083E" w:rsidRPr="0022083E">
        <w:t>External Reporting Australia</w:t>
      </w:r>
      <w:r w:rsidRPr="001C4BC1">
        <w:t xml:space="preserve"> established under section </w:t>
      </w:r>
      <w:r w:rsidR="001E09C2">
        <w:t>229</w:t>
      </w:r>
      <w:r w:rsidRPr="001C4BC1">
        <w:t>.</w:t>
      </w:r>
    </w:p>
    <w:p w14:paraId="2A443E26" w14:textId="5F9BB58E" w:rsidR="00BC2B55" w:rsidRPr="001C4BC1" w:rsidRDefault="00BC2B55" w:rsidP="001C2B21">
      <w:pPr>
        <w:pStyle w:val="ItemHead"/>
      </w:pPr>
      <w:proofErr w:type="gramStart"/>
      <w:r>
        <w:t>3</w:t>
      </w:r>
      <w:r w:rsidRPr="001C4BC1">
        <w:t xml:space="preserve">  Sub</w:t>
      </w:r>
      <w:r w:rsidR="003861E7">
        <w:t>section</w:t>
      </w:r>
      <w:proofErr w:type="gramEnd"/>
      <w:r w:rsidR="003861E7">
        <w:t> 5</w:t>
      </w:r>
      <w:r w:rsidRPr="001C4BC1">
        <w:t>(1)</w:t>
      </w:r>
    </w:p>
    <w:p w14:paraId="1710EFEE" w14:textId="77777777" w:rsidR="00BC2B55" w:rsidRPr="001C4BC1" w:rsidRDefault="00BC2B55" w:rsidP="001C2B21">
      <w:pPr>
        <w:pStyle w:val="Item"/>
      </w:pPr>
      <w:r w:rsidRPr="001C4BC1">
        <w:t>Repeal the following definitions:</w:t>
      </w:r>
    </w:p>
    <w:p w14:paraId="7FD132CE" w14:textId="77777777" w:rsidR="00BC2B55" w:rsidRPr="001C4BC1" w:rsidRDefault="00BC2B55" w:rsidP="001C2B21">
      <w:pPr>
        <w:pStyle w:val="paragraph"/>
      </w:pPr>
      <w:r w:rsidRPr="001C4BC1">
        <w:tab/>
        <w:t>(a)</w:t>
      </w:r>
      <w:r w:rsidRPr="001C4BC1">
        <w:tab/>
        <w:t xml:space="preserve">definition of </w:t>
      </w:r>
      <w:proofErr w:type="gramStart"/>
      <w:r w:rsidRPr="001C4BC1">
        <w:rPr>
          <w:b/>
          <w:bCs/>
          <w:i/>
          <w:iCs/>
        </w:rPr>
        <w:t>AASB</w:t>
      </w:r>
      <w:r w:rsidRPr="001C4BC1">
        <w:t>;</w:t>
      </w:r>
      <w:proofErr w:type="gramEnd"/>
    </w:p>
    <w:p w14:paraId="179715A1" w14:textId="77777777" w:rsidR="00BC2B55" w:rsidRPr="001C4BC1" w:rsidRDefault="00BC2B55" w:rsidP="001C2B21">
      <w:pPr>
        <w:pStyle w:val="paragraph"/>
      </w:pPr>
      <w:r w:rsidRPr="001C4BC1">
        <w:tab/>
        <w:t>(b)</w:t>
      </w:r>
      <w:r w:rsidRPr="001C4BC1">
        <w:tab/>
        <w:t xml:space="preserve">definition of </w:t>
      </w:r>
      <w:proofErr w:type="gramStart"/>
      <w:r w:rsidRPr="001C4BC1">
        <w:rPr>
          <w:b/>
          <w:bCs/>
          <w:i/>
          <w:iCs/>
        </w:rPr>
        <w:t>AUASB</w:t>
      </w:r>
      <w:r w:rsidRPr="001C4BC1">
        <w:t>;</w:t>
      </w:r>
      <w:proofErr w:type="gramEnd"/>
    </w:p>
    <w:p w14:paraId="1A2580A8" w14:textId="77777777" w:rsidR="00BC2B55" w:rsidRPr="001C4BC1" w:rsidRDefault="00BC2B55" w:rsidP="001C2B21">
      <w:pPr>
        <w:pStyle w:val="paragraph"/>
      </w:pPr>
      <w:r w:rsidRPr="001C4BC1">
        <w:tab/>
        <w:t>(c)</w:t>
      </w:r>
      <w:r w:rsidRPr="001C4BC1">
        <w:tab/>
        <w:t xml:space="preserve">definition of </w:t>
      </w:r>
      <w:r w:rsidRPr="001C4BC1">
        <w:rPr>
          <w:b/>
          <w:bCs/>
          <w:i/>
          <w:iCs/>
        </w:rPr>
        <w:t>FRC</w:t>
      </w:r>
      <w:r w:rsidRPr="001C4BC1">
        <w:t>.</w:t>
      </w:r>
    </w:p>
    <w:p w14:paraId="2BC5653B" w14:textId="7E4ED1D8" w:rsidR="00BC2B55" w:rsidRPr="001C4BC1" w:rsidRDefault="00BC2B55" w:rsidP="001C2B21">
      <w:pPr>
        <w:pStyle w:val="ItemHead"/>
      </w:pPr>
      <w:proofErr w:type="gramStart"/>
      <w:r>
        <w:lastRenderedPageBreak/>
        <w:t>4</w:t>
      </w:r>
      <w:r w:rsidRPr="001C4BC1">
        <w:t xml:space="preserve">  Sub</w:t>
      </w:r>
      <w:r w:rsidR="003861E7">
        <w:t>section</w:t>
      </w:r>
      <w:proofErr w:type="gramEnd"/>
      <w:r w:rsidR="003861E7">
        <w:t> 5</w:t>
      </w:r>
      <w:r w:rsidRPr="001C4BC1">
        <w:t>(1) (</w:t>
      </w:r>
      <w:r w:rsidR="003861E7">
        <w:t>paragraph (</w:t>
      </w:r>
      <w:r w:rsidRPr="001C4BC1">
        <w:t xml:space="preserve">a) of the definition of </w:t>
      </w:r>
      <w:r w:rsidRPr="001C4BC1">
        <w:rPr>
          <w:i/>
        </w:rPr>
        <w:t>member</w:t>
      </w:r>
      <w:r w:rsidRPr="001C4BC1">
        <w:t>)</w:t>
      </w:r>
    </w:p>
    <w:p w14:paraId="4EC944C0" w14:textId="77777777" w:rsidR="00BC2B55" w:rsidRPr="001C4BC1" w:rsidRDefault="00BC2B55" w:rsidP="001C2B21">
      <w:pPr>
        <w:pStyle w:val="Item"/>
      </w:pPr>
      <w:r w:rsidRPr="001C4BC1">
        <w:t>Omit “, the FRC, the AASB”.</w:t>
      </w:r>
    </w:p>
    <w:p w14:paraId="1A5F5C0F" w14:textId="6BF6408E" w:rsidR="00BC2B55" w:rsidRPr="001C4BC1" w:rsidRDefault="00BC2B55" w:rsidP="001C2B21">
      <w:pPr>
        <w:pStyle w:val="ItemHead"/>
      </w:pPr>
      <w:proofErr w:type="gramStart"/>
      <w:r>
        <w:t>5</w:t>
      </w:r>
      <w:r w:rsidRPr="001C4BC1">
        <w:t xml:space="preserve">  Sub</w:t>
      </w:r>
      <w:r w:rsidR="003861E7">
        <w:t>section</w:t>
      </w:r>
      <w:proofErr w:type="gramEnd"/>
      <w:r w:rsidR="003861E7">
        <w:t> 5</w:t>
      </w:r>
      <w:r w:rsidRPr="001C4BC1">
        <w:t>(1) (</w:t>
      </w:r>
      <w:r>
        <w:t>paragraphs (</w:t>
      </w:r>
      <w:r w:rsidRPr="001C4BC1">
        <w:t xml:space="preserve">e), (ea) and (eb) of the definition of </w:t>
      </w:r>
      <w:r w:rsidRPr="001C4BC1">
        <w:rPr>
          <w:i/>
        </w:rPr>
        <w:t>member</w:t>
      </w:r>
      <w:r w:rsidRPr="001C4BC1">
        <w:t>)</w:t>
      </w:r>
    </w:p>
    <w:p w14:paraId="575B6AEA" w14:textId="77777777" w:rsidR="00BC2B55" w:rsidRPr="001C4BC1" w:rsidRDefault="00BC2B55" w:rsidP="001C2B21">
      <w:pPr>
        <w:pStyle w:val="Item"/>
      </w:pPr>
      <w:r w:rsidRPr="001C4BC1">
        <w:t>Repeal the paragraphs.</w:t>
      </w:r>
    </w:p>
    <w:p w14:paraId="69216713" w14:textId="374E6C10" w:rsidR="00BC2B55" w:rsidRPr="001C4BC1" w:rsidRDefault="00BC2B55" w:rsidP="001C2B21">
      <w:pPr>
        <w:pStyle w:val="ItemHead"/>
      </w:pPr>
      <w:proofErr w:type="gramStart"/>
      <w:r>
        <w:t>6</w:t>
      </w:r>
      <w:r w:rsidRPr="001C4BC1">
        <w:t xml:space="preserve">  Sub</w:t>
      </w:r>
      <w:r w:rsidR="003861E7">
        <w:t>section</w:t>
      </w:r>
      <w:proofErr w:type="gramEnd"/>
      <w:r w:rsidR="003861E7">
        <w:t> 5</w:t>
      </w:r>
      <w:r w:rsidRPr="001C4BC1">
        <w:t>(1)</w:t>
      </w:r>
    </w:p>
    <w:p w14:paraId="417C3C76" w14:textId="77777777" w:rsidR="00BC2B55" w:rsidRPr="001C4BC1" w:rsidRDefault="00BC2B55" w:rsidP="001C2B21">
      <w:pPr>
        <w:pStyle w:val="Item"/>
      </w:pPr>
      <w:r w:rsidRPr="001C4BC1">
        <w:t>Repeal the following definitions:</w:t>
      </w:r>
    </w:p>
    <w:p w14:paraId="56285EAC" w14:textId="77777777" w:rsidR="00BC2B55" w:rsidRPr="001C4BC1" w:rsidRDefault="00BC2B55" w:rsidP="001C2B21">
      <w:pPr>
        <w:pStyle w:val="paragraph"/>
      </w:pPr>
      <w:r w:rsidRPr="001C4BC1">
        <w:tab/>
        <w:t>(a)</w:t>
      </w:r>
      <w:r w:rsidRPr="001C4BC1">
        <w:tab/>
        <w:t xml:space="preserve">definition of </w:t>
      </w:r>
      <w:r w:rsidRPr="001C4BC1">
        <w:rPr>
          <w:b/>
          <w:bCs/>
          <w:i/>
          <w:iCs/>
        </w:rPr>
        <w:t xml:space="preserve">Office of the </w:t>
      </w:r>
      <w:proofErr w:type="gramStart"/>
      <w:r w:rsidRPr="001C4BC1">
        <w:rPr>
          <w:b/>
          <w:bCs/>
          <w:i/>
          <w:iCs/>
        </w:rPr>
        <w:t>AASB</w:t>
      </w:r>
      <w:r w:rsidRPr="001C4BC1">
        <w:t>;</w:t>
      </w:r>
      <w:proofErr w:type="gramEnd"/>
    </w:p>
    <w:p w14:paraId="65C4C439" w14:textId="77777777" w:rsidR="00BC2B55" w:rsidRPr="001C4BC1" w:rsidRDefault="00BC2B55" w:rsidP="001C2B21">
      <w:pPr>
        <w:pStyle w:val="paragraph"/>
      </w:pPr>
      <w:r w:rsidRPr="001C4BC1">
        <w:tab/>
        <w:t>(b)</w:t>
      </w:r>
      <w:r w:rsidRPr="001C4BC1">
        <w:tab/>
        <w:t xml:space="preserve">definition of </w:t>
      </w:r>
      <w:r w:rsidRPr="001C4BC1">
        <w:rPr>
          <w:b/>
          <w:bCs/>
          <w:i/>
          <w:iCs/>
        </w:rPr>
        <w:t>Office of the AUASB</w:t>
      </w:r>
      <w:r w:rsidRPr="001C4BC1">
        <w:t>.</w:t>
      </w:r>
    </w:p>
    <w:p w14:paraId="0AF8F61B" w14:textId="77777777" w:rsidR="00BC2B55" w:rsidRDefault="00BC2B55" w:rsidP="001C2B21">
      <w:pPr>
        <w:pStyle w:val="ItemHead"/>
      </w:pPr>
      <w:proofErr w:type="gramStart"/>
      <w:r>
        <w:t>7  Paragraph</w:t>
      </w:r>
      <w:proofErr w:type="gramEnd"/>
      <w:r>
        <w:t> 127(4)(a)</w:t>
      </w:r>
    </w:p>
    <w:p w14:paraId="0C062D8C" w14:textId="4BC778F5" w:rsidR="00BC2B55" w:rsidRDefault="00BC2B55" w:rsidP="001C2B21">
      <w:pPr>
        <w:pStyle w:val="Item"/>
      </w:pPr>
      <w:r>
        <w:t>Omit “</w:t>
      </w:r>
      <w:r w:rsidR="0022083E">
        <w:t xml:space="preserve">the </w:t>
      </w:r>
      <w:r>
        <w:t>FRC”, substitute “</w:t>
      </w:r>
      <w:r w:rsidR="0022083E" w:rsidRPr="0022083E">
        <w:t>External Reporting Australia</w:t>
      </w:r>
      <w:r>
        <w:t>”.</w:t>
      </w:r>
    </w:p>
    <w:p w14:paraId="640E0F20" w14:textId="77777777" w:rsidR="00BC2B55" w:rsidRDefault="00BC2B55" w:rsidP="001C2B21">
      <w:pPr>
        <w:pStyle w:val="ItemHead"/>
      </w:pPr>
      <w:proofErr w:type="gramStart"/>
      <w:r>
        <w:t>8  Paragraph</w:t>
      </w:r>
      <w:proofErr w:type="gramEnd"/>
      <w:r>
        <w:t> 213(2)(aa)</w:t>
      </w:r>
    </w:p>
    <w:p w14:paraId="0A673278" w14:textId="568743FA" w:rsidR="00BC2B55" w:rsidRDefault="00BC2B55" w:rsidP="001C2B21">
      <w:pPr>
        <w:pStyle w:val="Item"/>
      </w:pPr>
      <w:r>
        <w:t>Omit “</w:t>
      </w:r>
      <w:r w:rsidR="0022083E">
        <w:t xml:space="preserve">the </w:t>
      </w:r>
      <w:r>
        <w:t>FRC”, substitute “</w:t>
      </w:r>
      <w:r w:rsidR="0022083E" w:rsidRPr="0022083E">
        <w:t>External Reporting Australia</w:t>
      </w:r>
      <w:r>
        <w:t>”.</w:t>
      </w:r>
    </w:p>
    <w:p w14:paraId="3407D207" w14:textId="30169FD7" w:rsidR="00BC2B55" w:rsidRDefault="00BC2B55" w:rsidP="001C2B21">
      <w:pPr>
        <w:pStyle w:val="ItemHead"/>
      </w:pPr>
      <w:proofErr w:type="gramStart"/>
      <w:r>
        <w:t>9  After</w:t>
      </w:r>
      <w:proofErr w:type="gramEnd"/>
      <w:r>
        <w:t xml:space="preserve"> </w:t>
      </w:r>
      <w:r w:rsidR="003234FC">
        <w:t>paragraph 2</w:t>
      </w:r>
      <w:r>
        <w:t>24(aa)</w:t>
      </w:r>
    </w:p>
    <w:p w14:paraId="2B11255E" w14:textId="77777777" w:rsidR="00BC2B55" w:rsidRDefault="00BC2B55" w:rsidP="001C2B21">
      <w:pPr>
        <w:pStyle w:val="Item"/>
      </w:pPr>
      <w:r>
        <w:t>Insert:</w:t>
      </w:r>
    </w:p>
    <w:p w14:paraId="4BD36449" w14:textId="5D2A4F4A" w:rsidR="00BC2B55" w:rsidRPr="00EE4A5A" w:rsidRDefault="00BC2B55" w:rsidP="001C2B21">
      <w:pPr>
        <w:pStyle w:val="paragraph"/>
      </w:pPr>
      <w:r>
        <w:tab/>
        <w:t>(ab)</w:t>
      </w:r>
      <w:r>
        <w:tab/>
        <w:t>to facilitate the development of other kinds of standards and guidance materials to support markets, investors, businesses</w:t>
      </w:r>
      <w:r w:rsidR="00E71CB9">
        <w:t>, consumers</w:t>
      </w:r>
      <w:r>
        <w:t xml:space="preserve"> and other participants in the Australian economy and community; and</w:t>
      </w:r>
    </w:p>
    <w:p w14:paraId="07BB15E5" w14:textId="2EF1A1DD" w:rsidR="00BC2B55" w:rsidRPr="001C4BC1" w:rsidRDefault="00BC2B55" w:rsidP="001C2B21">
      <w:pPr>
        <w:pStyle w:val="ItemHead"/>
      </w:pPr>
      <w:proofErr w:type="gramStart"/>
      <w:r>
        <w:t>10</w:t>
      </w:r>
      <w:r w:rsidRPr="001C4BC1">
        <w:t xml:space="preserve">  Divisions</w:t>
      </w:r>
      <w:proofErr w:type="gramEnd"/>
      <w:r w:rsidRPr="001C4BC1">
        <w:t xml:space="preserve"> 1 to 3 of </w:t>
      </w:r>
      <w:r w:rsidR="00874A53">
        <w:t>Part 1</w:t>
      </w:r>
      <w:r w:rsidRPr="001C4BC1">
        <w:t>2</w:t>
      </w:r>
    </w:p>
    <w:p w14:paraId="2F43AFB5" w14:textId="77777777" w:rsidR="00BC2B55" w:rsidRPr="001C4BC1" w:rsidRDefault="00BC2B55" w:rsidP="001C2B21">
      <w:pPr>
        <w:pStyle w:val="Item"/>
      </w:pPr>
      <w:r w:rsidRPr="001C4BC1">
        <w:t>Repeal the Divisions, substitute:</w:t>
      </w:r>
    </w:p>
    <w:p w14:paraId="52B89176" w14:textId="27E6A2A0" w:rsidR="00BC2B55" w:rsidRPr="001C4BC1" w:rsidRDefault="00BC2B55" w:rsidP="001C2B21">
      <w:pPr>
        <w:pStyle w:val="ActHead3"/>
      </w:pPr>
      <w:r w:rsidRPr="001C2B21">
        <w:rPr>
          <w:rStyle w:val="CharDivNo"/>
        </w:rPr>
        <w:t>Division 1</w:t>
      </w:r>
      <w:r w:rsidRPr="001C4BC1">
        <w:t>—</w:t>
      </w:r>
      <w:r w:rsidR="0022083E" w:rsidRPr="0022083E">
        <w:t>External Reporting Australia</w:t>
      </w:r>
    </w:p>
    <w:p w14:paraId="0DB14C7D" w14:textId="6B2AF0FA" w:rsidR="00BC2B55" w:rsidRPr="001C4BC1" w:rsidRDefault="001E09C2" w:rsidP="001C2B21">
      <w:pPr>
        <w:pStyle w:val="ActHead5"/>
      </w:pPr>
      <w:proofErr w:type="gramStart"/>
      <w:r>
        <w:rPr>
          <w:rStyle w:val="CharSectno"/>
        </w:rPr>
        <w:t>225</w:t>
      </w:r>
      <w:r w:rsidR="00BC2B55" w:rsidRPr="001C4BC1">
        <w:t xml:space="preserve">  </w:t>
      </w:r>
      <w:r w:rsidR="0022083E" w:rsidRPr="0022083E">
        <w:t>External</w:t>
      </w:r>
      <w:proofErr w:type="gramEnd"/>
      <w:r w:rsidR="0022083E" w:rsidRPr="0022083E">
        <w:t xml:space="preserve"> Reporting Australia</w:t>
      </w:r>
    </w:p>
    <w:p w14:paraId="65D00B1C" w14:textId="3D532713" w:rsidR="00BC2B55" w:rsidRPr="001C4BC1" w:rsidRDefault="00BC2B55" w:rsidP="001C2B21">
      <w:pPr>
        <w:pStyle w:val="subsection"/>
      </w:pPr>
      <w:r w:rsidRPr="001C4BC1">
        <w:tab/>
        <w:t>(1)</w:t>
      </w:r>
      <w:r w:rsidRPr="001C4BC1">
        <w:tab/>
        <w:t xml:space="preserve">The body known immediately before the commencement of this section as the Office of the Australian Accounting Standards Board is continued in existence with the new name, </w:t>
      </w:r>
      <w:r w:rsidR="0022083E" w:rsidRPr="0022083E">
        <w:t>External Reporting Australia</w:t>
      </w:r>
      <w:r w:rsidRPr="001C4BC1">
        <w:t>.</w:t>
      </w:r>
    </w:p>
    <w:p w14:paraId="794717BF" w14:textId="147B4B3E" w:rsidR="00BC2B55" w:rsidRPr="001C4BC1" w:rsidRDefault="00BC2B55" w:rsidP="001C2B21">
      <w:pPr>
        <w:pStyle w:val="notetext"/>
      </w:pPr>
      <w:r w:rsidRPr="001C4BC1">
        <w:t>Note:</w:t>
      </w:r>
      <w:r w:rsidRPr="001C4BC1">
        <w:tab/>
        <w:t xml:space="preserve">See also </w:t>
      </w:r>
      <w:r w:rsidR="00874A53">
        <w:t>section 2</w:t>
      </w:r>
      <w:r w:rsidRPr="001C4BC1">
        <w:t xml:space="preserve">5B of the </w:t>
      </w:r>
      <w:r w:rsidRPr="001C4BC1">
        <w:rPr>
          <w:i/>
          <w:iCs/>
        </w:rPr>
        <w:t>Acts Interpretation Act 1901</w:t>
      </w:r>
      <w:r w:rsidRPr="001C4BC1">
        <w:t>.</w:t>
      </w:r>
    </w:p>
    <w:p w14:paraId="3766EDC7" w14:textId="23B85AF3" w:rsidR="00BC2B55" w:rsidRPr="001C4BC1" w:rsidRDefault="00BC2B55" w:rsidP="001C2B21">
      <w:pPr>
        <w:pStyle w:val="subsection"/>
      </w:pPr>
      <w:r w:rsidRPr="001C4BC1">
        <w:tab/>
        <w:t>(2)</w:t>
      </w:r>
      <w:r w:rsidRPr="001C4BC1">
        <w:tab/>
      </w:r>
      <w:r w:rsidR="0022083E" w:rsidRPr="0022083E">
        <w:t>External Reporting Australia</w:t>
      </w:r>
      <w:r w:rsidRPr="001C4BC1">
        <w:t xml:space="preserve"> consists of:</w:t>
      </w:r>
    </w:p>
    <w:p w14:paraId="02BCBAA5" w14:textId="77777777" w:rsidR="00BC2B55" w:rsidRPr="001C4BC1" w:rsidRDefault="00BC2B55" w:rsidP="001C2B21">
      <w:pPr>
        <w:pStyle w:val="paragraph"/>
      </w:pPr>
      <w:r w:rsidRPr="001C4BC1">
        <w:tab/>
        <w:t>(a)</w:t>
      </w:r>
      <w:r w:rsidRPr="001C4BC1">
        <w:tab/>
        <w:t>the Governing Council; and</w:t>
      </w:r>
    </w:p>
    <w:p w14:paraId="1D510D22" w14:textId="47ACD489" w:rsidR="00BC2B55" w:rsidRPr="001C4BC1" w:rsidRDefault="00BC2B55" w:rsidP="001C2B21">
      <w:pPr>
        <w:pStyle w:val="paragraph"/>
      </w:pPr>
      <w:r w:rsidRPr="001C4BC1">
        <w:lastRenderedPageBreak/>
        <w:tab/>
        <w:t>(b)</w:t>
      </w:r>
      <w:r w:rsidRPr="001C4BC1">
        <w:tab/>
        <w:t>each standard</w:t>
      </w:r>
      <w:r w:rsidR="001C2B21">
        <w:noBreakHyphen/>
      </w:r>
      <w:r w:rsidRPr="001C4BC1">
        <w:t xml:space="preserve">setting board; </w:t>
      </w:r>
      <w:r>
        <w:t>and</w:t>
      </w:r>
    </w:p>
    <w:p w14:paraId="497185E1" w14:textId="696B9975" w:rsidR="00BC2B55" w:rsidRDefault="00BC2B55" w:rsidP="001C2B21">
      <w:pPr>
        <w:pStyle w:val="paragraph"/>
      </w:pPr>
      <w:r w:rsidRPr="001C4BC1">
        <w:tab/>
        <w:t>(c)</w:t>
      </w:r>
      <w:r w:rsidRPr="001C4BC1">
        <w:tab/>
        <w:t>the staff referred to in section </w:t>
      </w:r>
      <w:r w:rsidR="001E09C2">
        <w:t>231</w:t>
      </w:r>
      <w:r>
        <w:t>.</w:t>
      </w:r>
    </w:p>
    <w:p w14:paraId="2329DFE2" w14:textId="77777777" w:rsidR="00BC2B55" w:rsidRPr="001C4BC1" w:rsidRDefault="00BC2B55" w:rsidP="001C2B21">
      <w:pPr>
        <w:pStyle w:val="subsection"/>
      </w:pPr>
      <w:r w:rsidRPr="001C4BC1">
        <w:tab/>
        <w:t>(3)</w:t>
      </w:r>
      <w:r w:rsidRPr="001C4BC1">
        <w:tab/>
        <w:t xml:space="preserve">For the purposes of the finance law (within the meaning of the </w:t>
      </w:r>
      <w:r w:rsidRPr="001C4BC1">
        <w:rPr>
          <w:i/>
          <w:iCs/>
        </w:rPr>
        <w:t>Public Governance, Performance and Accountability Act 2013</w:t>
      </w:r>
      <w:r w:rsidRPr="001C4BC1">
        <w:t>):</w:t>
      </w:r>
    </w:p>
    <w:p w14:paraId="187E9E19" w14:textId="10F9F472" w:rsidR="00BC2B55" w:rsidRPr="001C4BC1" w:rsidRDefault="00BC2B55" w:rsidP="001C2B21">
      <w:pPr>
        <w:pStyle w:val="paragraph"/>
      </w:pPr>
      <w:r w:rsidRPr="001C4BC1">
        <w:tab/>
        <w:t>(a)</w:t>
      </w:r>
      <w:r w:rsidRPr="001C4BC1">
        <w:tab/>
      </w:r>
      <w:r w:rsidR="0022083E" w:rsidRPr="0022083E">
        <w:t>External Reporting Australia</w:t>
      </w:r>
      <w:r w:rsidRPr="001C4BC1">
        <w:t xml:space="preserve"> is a listed entity; and</w:t>
      </w:r>
    </w:p>
    <w:p w14:paraId="4C83D303" w14:textId="77777777" w:rsidR="00BC2B55" w:rsidRPr="001C4BC1" w:rsidRDefault="00BC2B55" w:rsidP="001C2B21">
      <w:pPr>
        <w:pStyle w:val="paragraph"/>
      </w:pPr>
      <w:r w:rsidRPr="001C4BC1">
        <w:tab/>
        <w:t>(b)</w:t>
      </w:r>
      <w:r w:rsidRPr="001C4BC1">
        <w:tab/>
        <w:t>the Governing Council is the accountable authority; and</w:t>
      </w:r>
    </w:p>
    <w:p w14:paraId="78430130" w14:textId="20BFB243" w:rsidR="00BC2B55" w:rsidRPr="001C4BC1" w:rsidRDefault="00BC2B55" w:rsidP="001C2B21">
      <w:pPr>
        <w:pStyle w:val="paragraph"/>
      </w:pPr>
      <w:r w:rsidRPr="001C4BC1">
        <w:tab/>
        <w:t>(c)</w:t>
      </w:r>
      <w:r w:rsidRPr="001C4BC1">
        <w:tab/>
        <w:t xml:space="preserve">the following persons are officials of </w:t>
      </w:r>
      <w:r w:rsidR="0022083E" w:rsidRPr="0022083E">
        <w:t>External Reporting Australia</w:t>
      </w:r>
      <w:r w:rsidRPr="001C4BC1">
        <w:t>:</w:t>
      </w:r>
    </w:p>
    <w:p w14:paraId="3D918C3E" w14:textId="77777777" w:rsidR="00BC2B55" w:rsidRPr="001C4BC1" w:rsidRDefault="00BC2B55" w:rsidP="001C2B21">
      <w:pPr>
        <w:pStyle w:val="paragraphsub"/>
      </w:pPr>
      <w:r w:rsidRPr="001C4BC1">
        <w:tab/>
        <w:t>(i)</w:t>
      </w:r>
      <w:r w:rsidRPr="001C4BC1">
        <w:tab/>
        <w:t xml:space="preserve">the Council </w:t>
      </w:r>
      <w:proofErr w:type="gramStart"/>
      <w:r w:rsidRPr="001C4BC1">
        <w:t>members;</w:t>
      </w:r>
      <w:proofErr w:type="gramEnd"/>
    </w:p>
    <w:p w14:paraId="2A3F230F" w14:textId="31F8C679" w:rsidR="00BC2B55" w:rsidRDefault="00BC2B55" w:rsidP="001C2B21">
      <w:pPr>
        <w:pStyle w:val="paragraphsub"/>
      </w:pPr>
      <w:r w:rsidRPr="001C4BC1">
        <w:tab/>
        <w:t>(</w:t>
      </w:r>
      <w:r>
        <w:t>i</w:t>
      </w:r>
      <w:r w:rsidR="00E64A80">
        <w:t>i</w:t>
      </w:r>
      <w:r w:rsidRPr="001C4BC1">
        <w:t>)</w:t>
      </w:r>
      <w:r w:rsidRPr="001C4BC1">
        <w:tab/>
        <w:t xml:space="preserve">the board </w:t>
      </w:r>
      <w:proofErr w:type="gramStart"/>
      <w:r w:rsidRPr="001C4BC1">
        <w:t>members;</w:t>
      </w:r>
      <w:proofErr w:type="gramEnd"/>
    </w:p>
    <w:p w14:paraId="66304A97" w14:textId="5FEB1A68" w:rsidR="00E64A80" w:rsidRPr="001C4BC1" w:rsidRDefault="00E64A80" w:rsidP="001C2B21">
      <w:pPr>
        <w:pStyle w:val="paragraphsub"/>
      </w:pPr>
      <w:r>
        <w:tab/>
      </w:r>
      <w:r w:rsidRPr="001C4BC1">
        <w:t>(i</w:t>
      </w:r>
      <w:r w:rsidR="00A4582D">
        <w:t>ii</w:t>
      </w:r>
      <w:r w:rsidRPr="001C4BC1">
        <w:t>)</w:t>
      </w:r>
      <w:r w:rsidRPr="001C4BC1">
        <w:tab/>
        <w:t>the staff referred to in section </w:t>
      </w:r>
      <w:proofErr w:type="gramStart"/>
      <w:r w:rsidR="001E09C2">
        <w:t>231</w:t>
      </w:r>
      <w:r w:rsidRPr="001C4BC1">
        <w:t>;</w:t>
      </w:r>
      <w:proofErr w:type="gramEnd"/>
    </w:p>
    <w:p w14:paraId="5330CD11" w14:textId="5961001D" w:rsidR="00BC2B55" w:rsidRDefault="00BC2B55" w:rsidP="001C2B21">
      <w:pPr>
        <w:pStyle w:val="paragraphsub"/>
      </w:pPr>
      <w:r>
        <w:tab/>
        <w:t>(</w:t>
      </w:r>
      <w:r w:rsidR="00E64A80">
        <w:t>i</w:t>
      </w:r>
      <w:r w:rsidR="00A4582D">
        <w:t>v</w:t>
      </w:r>
      <w:r>
        <w:t>)</w:t>
      </w:r>
      <w:r>
        <w:tab/>
        <w:t xml:space="preserve">persons whose services are made available to </w:t>
      </w:r>
      <w:r w:rsidR="0022083E" w:rsidRPr="0022083E">
        <w:t>External Reporting Australia</w:t>
      </w:r>
      <w:r>
        <w:t xml:space="preserve"> under </w:t>
      </w:r>
      <w:r w:rsidR="00194C8E">
        <w:t xml:space="preserve">section </w:t>
      </w:r>
      <w:r w:rsidR="001E09C2">
        <w:t>231B</w:t>
      </w:r>
      <w:r>
        <w:t>;</w:t>
      </w:r>
      <w:r w:rsidR="00A648CB">
        <w:t xml:space="preserve"> and</w:t>
      </w:r>
    </w:p>
    <w:p w14:paraId="1237DE1E" w14:textId="561AD14D" w:rsidR="00BC2B55" w:rsidRPr="00A648CB" w:rsidRDefault="00BC2B55" w:rsidP="001C2B21">
      <w:pPr>
        <w:pStyle w:val="paragraph"/>
      </w:pPr>
      <w:r w:rsidRPr="001C4BC1">
        <w:tab/>
      </w:r>
      <w:r w:rsidRPr="00A648CB">
        <w:t>(d)</w:t>
      </w:r>
      <w:r w:rsidRPr="00A648CB">
        <w:tab/>
        <w:t xml:space="preserve">the purposes of </w:t>
      </w:r>
      <w:r w:rsidR="0022083E" w:rsidRPr="0022083E">
        <w:t>External Reporting Australia</w:t>
      </w:r>
      <w:r w:rsidRPr="00A648CB">
        <w:t xml:space="preserve"> include:</w:t>
      </w:r>
    </w:p>
    <w:p w14:paraId="0450EFAE" w14:textId="794E4DCB" w:rsidR="00BC2B55" w:rsidRPr="001C4BC1" w:rsidRDefault="00BC2B55" w:rsidP="001C2B21">
      <w:pPr>
        <w:pStyle w:val="paragraphsub"/>
      </w:pPr>
      <w:r w:rsidRPr="001C4BC1">
        <w:tab/>
        <w:t>(i)</w:t>
      </w:r>
      <w:r w:rsidRPr="001C4BC1">
        <w:tab/>
        <w:t xml:space="preserve">the functions of </w:t>
      </w:r>
      <w:r w:rsidR="0022083E" w:rsidRPr="0022083E">
        <w:t>External Reporting Australia</w:t>
      </w:r>
      <w:r w:rsidRPr="001C4BC1">
        <w:t xml:space="preserve"> referred to in section </w:t>
      </w:r>
      <w:r w:rsidR="001E09C2">
        <w:t>225A</w:t>
      </w:r>
      <w:r w:rsidRPr="001C4BC1">
        <w:t>; and</w:t>
      </w:r>
    </w:p>
    <w:p w14:paraId="3007A454" w14:textId="4C0B6F37" w:rsidR="00BC2B55" w:rsidRPr="001C4BC1" w:rsidRDefault="00BC2B55" w:rsidP="001C2B21">
      <w:pPr>
        <w:pStyle w:val="paragraphsub"/>
      </w:pPr>
      <w:r w:rsidRPr="001C4BC1">
        <w:tab/>
        <w:t>(ii)</w:t>
      </w:r>
      <w:r w:rsidRPr="001C4BC1">
        <w:tab/>
        <w:t>the functions of the Governing Council referred to in section </w:t>
      </w:r>
      <w:r w:rsidR="001E09C2">
        <w:t>226A</w:t>
      </w:r>
      <w:r w:rsidRPr="001C4BC1">
        <w:t>.</w:t>
      </w:r>
    </w:p>
    <w:p w14:paraId="3037F43F" w14:textId="6DB65E3B" w:rsidR="00BC2B55" w:rsidRPr="001C4BC1" w:rsidRDefault="001E09C2" w:rsidP="001C2B21">
      <w:pPr>
        <w:pStyle w:val="ActHead5"/>
      </w:pPr>
      <w:r>
        <w:rPr>
          <w:rStyle w:val="CharSectno"/>
        </w:rPr>
        <w:t>225</w:t>
      </w:r>
      <w:proofErr w:type="gramStart"/>
      <w:r>
        <w:rPr>
          <w:rStyle w:val="CharSectno"/>
        </w:rPr>
        <w:t>A</w:t>
      </w:r>
      <w:r w:rsidR="00BC2B55" w:rsidRPr="001C4BC1">
        <w:t xml:space="preserve">  Functions</w:t>
      </w:r>
      <w:proofErr w:type="gramEnd"/>
      <w:r w:rsidR="00BC2B55" w:rsidRPr="001C4BC1">
        <w:t xml:space="preserve"> and powers of </w:t>
      </w:r>
      <w:r w:rsidR="0022083E" w:rsidRPr="0022083E">
        <w:t>External Reporting Australia</w:t>
      </w:r>
    </w:p>
    <w:p w14:paraId="76C938D4" w14:textId="39DB2804" w:rsidR="00BC2B55" w:rsidRPr="001C4BC1" w:rsidRDefault="00BC2B55" w:rsidP="001C2B21">
      <w:pPr>
        <w:pStyle w:val="subsection"/>
      </w:pPr>
      <w:r w:rsidRPr="001C4BC1">
        <w:tab/>
        <w:t>(1)</w:t>
      </w:r>
      <w:r w:rsidRPr="001C4BC1">
        <w:tab/>
      </w:r>
      <w:r w:rsidR="0022083E" w:rsidRPr="0022083E">
        <w:t>External Reporting Australia</w:t>
      </w:r>
      <w:r w:rsidRPr="001C4BC1">
        <w:t xml:space="preserve"> has the following functions:</w:t>
      </w:r>
    </w:p>
    <w:p w14:paraId="20960DEF" w14:textId="5E9D397F" w:rsidR="00BC2B55" w:rsidRPr="001C4BC1" w:rsidRDefault="00BC2B55" w:rsidP="001C2B21">
      <w:pPr>
        <w:pStyle w:val="paragraph"/>
      </w:pPr>
      <w:r w:rsidRPr="001C4BC1">
        <w:tab/>
        <w:t>(a)</w:t>
      </w:r>
      <w:r w:rsidRPr="001C4BC1">
        <w:tab/>
        <w:t>to</w:t>
      </w:r>
      <w:r w:rsidR="00573AC5">
        <w:t xml:space="preserve"> do the following</w:t>
      </w:r>
      <w:r w:rsidRPr="001C4BC1">
        <w:t>:</w:t>
      </w:r>
    </w:p>
    <w:p w14:paraId="37A15979" w14:textId="2CC71337" w:rsidR="00BC2B55" w:rsidRPr="001C4BC1" w:rsidRDefault="00BC2B55" w:rsidP="001C2B21">
      <w:pPr>
        <w:pStyle w:val="paragraphsub"/>
      </w:pPr>
      <w:r w:rsidRPr="001C4BC1">
        <w:tab/>
        <w:t>(i)</w:t>
      </w:r>
      <w:r w:rsidRPr="001C4BC1">
        <w:tab/>
      </w:r>
      <w:r w:rsidR="00573AC5">
        <w:t xml:space="preserve">make </w:t>
      </w:r>
      <w:r w:rsidRPr="001C4BC1">
        <w:t xml:space="preserve">accounting standards under </w:t>
      </w:r>
      <w:r w:rsidR="003861E7">
        <w:t>section 3</w:t>
      </w:r>
      <w:r w:rsidRPr="001C4BC1">
        <w:t xml:space="preserve">34 of the Corporations Act for the purposes of the </w:t>
      </w:r>
      <w:proofErr w:type="gramStart"/>
      <w:r w:rsidRPr="001C4BC1">
        <w:t>corporations</w:t>
      </w:r>
      <w:proofErr w:type="gramEnd"/>
      <w:r w:rsidRPr="001C4BC1">
        <w:t xml:space="preserve"> legislation (other than the excluded provisions);</w:t>
      </w:r>
    </w:p>
    <w:p w14:paraId="43F25405" w14:textId="78C42EBE" w:rsidR="00BC2B55" w:rsidRPr="001C4BC1" w:rsidRDefault="00BC2B55" w:rsidP="001C2B21">
      <w:pPr>
        <w:pStyle w:val="paragraphsub"/>
      </w:pPr>
      <w:r w:rsidRPr="001C4BC1">
        <w:tab/>
        <w:t>(ii)</w:t>
      </w:r>
      <w:r w:rsidRPr="001C4BC1">
        <w:tab/>
      </w:r>
      <w:r w:rsidR="00573AC5">
        <w:t xml:space="preserve">make </w:t>
      </w:r>
      <w:r w:rsidRPr="001C4BC1">
        <w:t xml:space="preserve">auditing standards under </w:t>
      </w:r>
      <w:r w:rsidR="003861E7">
        <w:t>section 3</w:t>
      </w:r>
      <w:r w:rsidRPr="001C4BC1">
        <w:t>36 of the</w:t>
      </w:r>
      <w:r>
        <w:t xml:space="preserve"> </w:t>
      </w:r>
      <w:r w:rsidRPr="001C4BC1">
        <w:t xml:space="preserve">Corporations Act for the purposes of the corporations </w:t>
      </w:r>
      <w:proofErr w:type="gramStart"/>
      <w:r w:rsidRPr="001C4BC1">
        <w:t>legislation;</w:t>
      </w:r>
      <w:proofErr w:type="gramEnd"/>
    </w:p>
    <w:p w14:paraId="428E0E38" w14:textId="4E60434B" w:rsidR="00BC2B55" w:rsidRPr="001C4BC1" w:rsidRDefault="00BC2B55" w:rsidP="001C2B21">
      <w:pPr>
        <w:pStyle w:val="paragraphsub"/>
      </w:pPr>
      <w:r w:rsidRPr="001C4BC1">
        <w:tab/>
        <w:t>(iii)</w:t>
      </w:r>
      <w:r w:rsidRPr="001C4BC1">
        <w:tab/>
      </w:r>
      <w:r w:rsidR="00573AC5">
        <w:t xml:space="preserve">make </w:t>
      </w:r>
      <w:r w:rsidRPr="001C4BC1">
        <w:t xml:space="preserve">sustainability standards under </w:t>
      </w:r>
      <w:r w:rsidR="003861E7">
        <w:t>section 3</w:t>
      </w:r>
      <w:r w:rsidRPr="001C4BC1">
        <w:t xml:space="preserve">36A of the Corporations Act for the purposes of the </w:t>
      </w:r>
      <w:proofErr w:type="gramStart"/>
      <w:r w:rsidRPr="001C4BC1">
        <w:t>corporations</w:t>
      </w:r>
      <w:proofErr w:type="gramEnd"/>
      <w:r w:rsidRPr="001C4BC1">
        <w:t xml:space="preserve"> legislation (other than the excluded provisions);</w:t>
      </w:r>
    </w:p>
    <w:p w14:paraId="5EC46258" w14:textId="77777777" w:rsidR="00BC2B55" w:rsidRDefault="00BC2B55" w:rsidP="001C2B21">
      <w:pPr>
        <w:pStyle w:val="paragraph"/>
      </w:pPr>
      <w:r w:rsidRPr="001C4BC1">
        <w:tab/>
        <w:t>(b)</w:t>
      </w:r>
      <w:r w:rsidRPr="001C4BC1">
        <w:tab/>
        <w:t>to formulate</w:t>
      </w:r>
      <w:r>
        <w:t xml:space="preserve"> accounting standards, auditing and assurance standards or sustainability standards:</w:t>
      </w:r>
    </w:p>
    <w:p w14:paraId="2EFDA84E" w14:textId="77777777" w:rsidR="00BC2B55" w:rsidRDefault="00BC2B55" w:rsidP="001C2B21">
      <w:pPr>
        <w:pStyle w:val="paragraphsub"/>
      </w:pPr>
      <w:r>
        <w:tab/>
      </w:r>
      <w:r w:rsidRPr="00A458D3">
        <w:t>(i)</w:t>
      </w:r>
      <w:r w:rsidRPr="00A458D3">
        <w:tab/>
        <w:t>for publication on the internet;</w:t>
      </w:r>
      <w:r>
        <w:t xml:space="preserve"> or</w:t>
      </w:r>
    </w:p>
    <w:p w14:paraId="542E861C" w14:textId="77777777" w:rsidR="00BC2B55" w:rsidRDefault="00BC2B55" w:rsidP="001C2B21">
      <w:pPr>
        <w:pStyle w:val="paragraphsub"/>
      </w:pPr>
      <w:r>
        <w:tab/>
        <w:t>(ii)</w:t>
      </w:r>
      <w:r>
        <w:tab/>
      </w:r>
      <w:r w:rsidRPr="00A42BB1">
        <w:t>in respect of activities, matters or things (including engagements, reports, audits and reviews) in a Territor</w:t>
      </w:r>
      <w:r>
        <w:t>y; or</w:t>
      </w:r>
    </w:p>
    <w:p w14:paraId="3F1840BA" w14:textId="28D85C0C" w:rsidR="00BC2B55" w:rsidRPr="006B1618" w:rsidRDefault="00BC2B55" w:rsidP="001C2B21">
      <w:pPr>
        <w:pStyle w:val="paragraphsub"/>
      </w:pPr>
      <w:r>
        <w:tab/>
        <w:t>(iii)</w:t>
      </w:r>
      <w:r>
        <w:tab/>
      </w:r>
      <w:r w:rsidRPr="00A42BB1">
        <w:t xml:space="preserve">for other </w:t>
      </w:r>
      <w:proofErr w:type="gramStart"/>
      <w:r w:rsidRPr="00A42BB1">
        <w:t>purpose</w:t>
      </w:r>
      <w:r>
        <w:t>s;</w:t>
      </w:r>
      <w:proofErr w:type="gramEnd"/>
    </w:p>
    <w:p w14:paraId="207805C7" w14:textId="00D36FBC" w:rsidR="00BC2B55" w:rsidRPr="001C4BC1" w:rsidRDefault="00BC2B55" w:rsidP="001C2B21">
      <w:pPr>
        <w:pStyle w:val="paragraph"/>
      </w:pPr>
      <w:r w:rsidRPr="001C4BC1">
        <w:lastRenderedPageBreak/>
        <w:tab/>
        <w:t>(</w:t>
      </w:r>
      <w:r>
        <w:t>c</w:t>
      </w:r>
      <w:r w:rsidRPr="001C4BC1">
        <w:t>)</w:t>
      </w:r>
      <w:r w:rsidRPr="001C4BC1">
        <w:tab/>
        <w:t xml:space="preserve">to formulate guidance relating to standards mentioned in </w:t>
      </w:r>
      <w:r w:rsidR="003861E7">
        <w:t>paragraph (</w:t>
      </w:r>
      <w:r w:rsidRPr="001C4BC1">
        <w:t>a)</w:t>
      </w:r>
      <w:r>
        <w:t xml:space="preserve"> or (b</w:t>
      </w:r>
      <w:proofErr w:type="gramStart"/>
      <w:r>
        <w:t>)</w:t>
      </w:r>
      <w:r w:rsidRPr="001C4BC1">
        <w:t>;</w:t>
      </w:r>
      <w:proofErr w:type="gramEnd"/>
    </w:p>
    <w:p w14:paraId="37825BDD" w14:textId="77777777" w:rsidR="00BC2B55" w:rsidRPr="001C4BC1" w:rsidRDefault="00BC2B55" w:rsidP="001C2B21">
      <w:pPr>
        <w:pStyle w:val="paragraph"/>
      </w:pPr>
      <w:r w:rsidRPr="001C4BC1">
        <w:tab/>
        <w:t>(</w:t>
      </w:r>
      <w:r>
        <w:t>d</w:t>
      </w:r>
      <w:r w:rsidRPr="001C4BC1">
        <w:t>)</w:t>
      </w:r>
      <w:r w:rsidRPr="001C4BC1">
        <w:tab/>
        <w:t>to develop conceptual frameworks, not having the force of standards, for the purposes of evaluating:</w:t>
      </w:r>
    </w:p>
    <w:p w14:paraId="1F0B0C72" w14:textId="77777777" w:rsidR="00BC2B55" w:rsidRPr="001C4BC1" w:rsidRDefault="00BC2B55" w:rsidP="001C2B21">
      <w:pPr>
        <w:pStyle w:val="paragraphsub"/>
      </w:pPr>
      <w:r w:rsidRPr="001C4BC1">
        <w:tab/>
        <w:t>(i)</w:t>
      </w:r>
      <w:r w:rsidRPr="001C4BC1">
        <w:tab/>
        <w:t>proposed accounting standards and international accounting standards;</w:t>
      </w:r>
      <w:r>
        <w:t xml:space="preserve"> or</w:t>
      </w:r>
    </w:p>
    <w:p w14:paraId="05E93F1E" w14:textId="77777777" w:rsidR="00BC2B55" w:rsidRPr="001C4BC1" w:rsidRDefault="00BC2B55" w:rsidP="001C2B21">
      <w:pPr>
        <w:pStyle w:val="paragraphsub"/>
      </w:pPr>
      <w:r w:rsidRPr="001C4BC1">
        <w:tab/>
        <w:t>(ii)</w:t>
      </w:r>
      <w:r w:rsidRPr="001C4BC1">
        <w:tab/>
        <w:t xml:space="preserve">proposed sustainability standards and international sustainability </w:t>
      </w:r>
      <w:proofErr w:type="gramStart"/>
      <w:r w:rsidRPr="001C4BC1">
        <w:t>standards;</w:t>
      </w:r>
      <w:proofErr w:type="gramEnd"/>
    </w:p>
    <w:p w14:paraId="6027233C" w14:textId="740F384B" w:rsidR="00BC2B55" w:rsidRPr="001C4BC1" w:rsidRDefault="00BC2B55" w:rsidP="001C2B21">
      <w:pPr>
        <w:pStyle w:val="paragraph"/>
      </w:pPr>
      <w:r>
        <w:tab/>
      </w:r>
      <w:r w:rsidRPr="001C4BC1">
        <w:t>(</w:t>
      </w:r>
      <w:r>
        <w:t>e</w:t>
      </w:r>
      <w:r w:rsidRPr="001C4BC1">
        <w:t>)</w:t>
      </w:r>
      <w:r w:rsidRPr="001C4BC1">
        <w:tab/>
      </w:r>
      <w:r>
        <w:t xml:space="preserve">to participate in and contribute </w:t>
      </w:r>
      <w:r w:rsidRPr="001C4BC1">
        <w:t xml:space="preserve">to </w:t>
      </w:r>
      <w:r>
        <w:t xml:space="preserve">the development of </w:t>
      </w:r>
      <w:r w:rsidRPr="001C4BC1">
        <w:t>a single set of</w:t>
      </w:r>
      <w:r>
        <w:t xml:space="preserve"> accounting standards, </w:t>
      </w:r>
      <w:r w:rsidR="00573AC5" w:rsidRPr="001C4BC1">
        <w:t>a single set of</w:t>
      </w:r>
      <w:r w:rsidR="00573AC5">
        <w:t xml:space="preserve"> </w:t>
      </w:r>
      <w:r>
        <w:t>auditing standards</w:t>
      </w:r>
      <w:r w:rsidRPr="001C4BC1">
        <w:t xml:space="preserve"> </w:t>
      </w:r>
      <w:r>
        <w:t xml:space="preserve">and </w:t>
      </w:r>
      <w:r w:rsidR="00573AC5" w:rsidRPr="001C4BC1">
        <w:t>a single set of</w:t>
      </w:r>
      <w:r w:rsidR="00573AC5">
        <w:t xml:space="preserve"> </w:t>
      </w:r>
      <w:r>
        <w:t xml:space="preserve">sustainability standards </w:t>
      </w:r>
      <w:r w:rsidRPr="001C4BC1">
        <w:t>for world</w:t>
      </w:r>
      <w:r w:rsidR="001C2B21">
        <w:noBreakHyphen/>
      </w:r>
      <w:r w:rsidRPr="001C4BC1">
        <w:t xml:space="preserve">wide use with appropriate regard to international </w:t>
      </w:r>
      <w:proofErr w:type="gramStart"/>
      <w:r w:rsidRPr="001C4BC1">
        <w:t>developments</w:t>
      </w:r>
      <w:r>
        <w:t>;</w:t>
      </w:r>
      <w:proofErr w:type="gramEnd"/>
    </w:p>
    <w:p w14:paraId="587F9D9F" w14:textId="7ADB2E39" w:rsidR="00BC2B55" w:rsidRPr="001C4BC1" w:rsidRDefault="00BC2B55" w:rsidP="001C2B21">
      <w:pPr>
        <w:pStyle w:val="paragraph"/>
      </w:pPr>
      <w:r>
        <w:tab/>
      </w:r>
      <w:r w:rsidRPr="001C4BC1">
        <w:t>(</w:t>
      </w:r>
      <w:r>
        <w:t>f</w:t>
      </w:r>
      <w:r w:rsidRPr="001C4BC1">
        <w:t>)</w:t>
      </w:r>
      <w:r w:rsidRPr="001C4BC1">
        <w:tab/>
        <w:t>to monitor the development of, and amendments to</w:t>
      </w:r>
      <w:r w:rsidR="00ED4951">
        <w:t>,</w:t>
      </w:r>
      <w:r>
        <w:t xml:space="preserve"> international accounting standards, international auditing standards and international sustainability </w:t>
      </w:r>
      <w:proofErr w:type="gramStart"/>
      <w:r>
        <w:t>standards;</w:t>
      </w:r>
      <w:proofErr w:type="gramEnd"/>
    </w:p>
    <w:p w14:paraId="32CEBB06" w14:textId="77777777" w:rsidR="00BC2B55" w:rsidRPr="00243FE7" w:rsidRDefault="00BC2B55" w:rsidP="001C2B21">
      <w:pPr>
        <w:pStyle w:val="paragraph"/>
      </w:pPr>
      <w:r>
        <w:tab/>
      </w:r>
      <w:r w:rsidRPr="00243FE7">
        <w:t>(</w:t>
      </w:r>
      <w:r>
        <w:t>g</w:t>
      </w:r>
      <w:r w:rsidRPr="00243FE7">
        <w:t>)</w:t>
      </w:r>
      <w:r w:rsidRPr="00243FE7">
        <w:tab/>
        <w:t xml:space="preserve">to monitor the development of </w:t>
      </w:r>
      <w:r>
        <w:t>accounting standards, auditing standards</w:t>
      </w:r>
      <w:r w:rsidRPr="001C4BC1">
        <w:t xml:space="preserve"> </w:t>
      </w:r>
      <w:r>
        <w:t>and sustainability standards</w:t>
      </w:r>
      <w:r w:rsidRPr="00243FE7">
        <w:t xml:space="preserve"> as they apply in major international financial </w:t>
      </w:r>
      <w:proofErr w:type="gramStart"/>
      <w:r w:rsidRPr="00243FE7">
        <w:t>centres</w:t>
      </w:r>
      <w:r>
        <w:t>;</w:t>
      </w:r>
      <w:proofErr w:type="gramEnd"/>
    </w:p>
    <w:p w14:paraId="3FE99BFD" w14:textId="77777777" w:rsidR="00BC2B55" w:rsidRDefault="00BC2B55" w:rsidP="001C2B21">
      <w:pPr>
        <w:pStyle w:val="paragraph"/>
      </w:pPr>
      <w:r w:rsidRPr="001C4BC1">
        <w:tab/>
      </w:r>
      <w:r>
        <w:t>(h)</w:t>
      </w:r>
      <w:r>
        <w:tab/>
        <w:t>t</w:t>
      </w:r>
      <w:r w:rsidRPr="001C4BC1">
        <w:t xml:space="preserve">o give strategic policy advice to the Minister in relation to </w:t>
      </w:r>
      <w:r>
        <w:t>its</w:t>
      </w:r>
      <w:r w:rsidRPr="001C4BC1">
        <w:t xml:space="preserve"> functions and powers under this </w:t>
      </w:r>
      <w:proofErr w:type="gramStart"/>
      <w:r w:rsidRPr="001C4BC1">
        <w:t>Act</w:t>
      </w:r>
      <w:r>
        <w:t>;</w:t>
      </w:r>
      <w:proofErr w:type="gramEnd"/>
    </w:p>
    <w:p w14:paraId="00120557" w14:textId="2E3D98BC" w:rsidR="00BC2B55" w:rsidRPr="001C4BC1" w:rsidRDefault="00BC2B55" w:rsidP="001C2B21">
      <w:pPr>
        <w:pStyle w:val="paragraph"/>
      </w:pPr>
      <w:r>
        <w:tab/>
      </w:r>
      <w:r w:rsidRPr="001C4BC1">
        <w:t>(</w:t>
      </w:r>
      <w:r>
        <w:t>i</w:t>
      </w:r>
      <w:r w:rsidRPr="001C4BC1">
        <w:t>)</w:t>
      </w:r>
      <w:r w:rsidRPr="001C4BC1">
        <w:tab/>
        <w:t xml:space="preserve">any other functions that are specified in an instrument under </w:t>
      </w:r>
      <w:r w:rsidR="001C2B21">
        <w:t>subsection (</w:t>
      </w:r>
      <w:r w:rsidRPr="001C4BC1">
        <w:t>2</w:t>
      </w:r>
      <w:proofErr w:type="gramStart"/>
      <w:r w:rsidRPr="001C4BC1">
        <w:t>);</w:t>
      </w:r>
      <w:proofErr w:type="gramEnd"/>
    </w:p>
    <w:p w14:paraId="4E639892" w14:textId="77777777" w:rsidR="00BC2B55" w:rsidRPr="001C4BC1" w:rsidRDefault="00BC2B55" w:rsidP="001C2B21">
      <w:pPr>
        <w:pStyle w:val="paragraph"/>
      </w:pPr>
      <w:r w:rsidRPr="001C4BC1">
        <w:tab/>
        <w:t>(</w:t>
      </w:r>
      <w:r>
        <w:t>j</w:t>
      </w:r>
      <w:r w:rsidRPr="001C4BC1">
        <w:t>)</w:t>
      </w:r>
      <w:r w:rsidRPr="001C4BC1">
        <w:tab/>
        <w:t>to do anything incidental to, or conducive to, the performance of any of the above functions.</w:t>
      </w:r>
    </w:p>
    <w:p w14:paraId="5DE0FB32" w14:textId="2A0C6B76" w:rsidR="00BC2B55" w:rsidRDefault="00BC2B55" w:rsidP="001C2B21">
      <w:pPr>
        <w:pStyle w:val="notetext"/>
      </w:pPr>
      <w:r w:rsidRPr="001C4BC1">
        <w:t>Note:</w:t>
      </w:r>
      <w:r w:rsidRPr="001C4BC1">
        <w:tab/>
        <w:t xml:space="preserve">The standards mentioned in </w:t>
      </w:r>
      <w:r w:rsidR="003861E7">
        <w:t>paragraph (</w:t>
      </w:r>
      <w:r w:rsidRPr="001C4BC1">
        <w:t xml:space="preserve">a) are made and have legal effect under the Corporations Act. The standards mentioned in </w:t>
      </w:r>
      <w:r>
        <w:t>paragraph (</w:t>
      </w:r>
      <w:r w:rsidRPr="001C4BC1">
        <w:t>b) do not have legal effect under the Corporations Act but may be applied or adopted by some other authority.</w:t>
      </w:r>
    </w:p>
    <w:p w14:paraId="1B1192B2" w14:textId="77777777" w:rsidR="00BC2B55" w:rsidRDefault="00BC2B55" w:rsidP="001C2B21">
      <w:pPr>
        <w:pStyle w:val="subsection"/>
      </w:pPr>
      <w:r w:rsidRPr="001C4BC1">
        <w:tab/>
        <w:t>(2)</w:t>
      </w:r>
      <w:r w:rsidRPr="001C4BC1">
        <w:tab/>
        <w:t>The Minister may, by legislative instrument</w:t>
      </w:r>
      <w:r>
        <w:t>:</w:t>
      </w:r>
    </w:p>
    <w:p w14:paraId="0C356EDD" w14:textId="609BF3F9" w:rsidR="00BC2B55" w:rsidRDefault="00BC2B55" w:rsidP="001C2B21">
      <w:pPr>
        <w:pStyle w:val="paragraph"/>
      </w:pPr>
      <w:r>
        <w:tab/>
        <w:t>(a)</w:t>
      </w:r>
      <w:r>
        <w:tab/>
      </w:r>
      <w:r w:rsidRPr="001C4BC1">
        <w:t>specify functions for the purposes of paragraph (1)(</w:t>
      </w:r>
      <w:r>
        <w:t>i</w:t>
      </w:r>
      <w:r w:rsidRPr="001C4BC1">
        <w:t>)</w:t>
      </w:r>
      <w:r>
        <w:t xml:space="preserve">; </w:t>
      </w:r>
      <w:r w:rsidR="00CA62BA">
        <w:t>or</w:t>
      </w:r>
    </w:p>
    <w:p w14:paraId="78EAD099" w14:textId="79B24EBD" w:rsidR="00BC2B55" w:rsidRDefault="00BC2B55" w:rsidP="001C2B21">
      <w:pPr>
        <w:pStyle w:val="paragraph"/>
      </w:pPr>
      <w:r>
        <w:tab/>
        <w:t>(b)</w:t>
      </w:r>
      <w:r>
        <w:tab/>
        <w:t xml:space="preserve">specify procedural requirements </w:t>
      </w:r>
      <w:r w:rsidR="009079C9">
        <w:t xml:space="preserve">that apply in relation to the performance of functions </w:t>
      </w:r>
      <w:r>
        <w:t xml:space="preserve">specified under </w:t>
      </w:r>
      <w:r w:rsidR="003861E7">
        <w:t>paragraph (</w:t>
      </w:r>
      <w:r>
        <w:t>a).</w:t>
      </w:r>
    </w:p>
    <w:p w14:paraId="63518640" w14:textId="3DBF89EA" w:rsidR="00BC2B55" w:rsidRDefault="00BC2B55" w:rsidP="001C2B21">
      <w:pPr>
        <w:pStyle w:val="subsection"/>
      </w:pPr>
      <w:r>
        <w:tab/>
        <w:t>(</w:t>
      </w:r>
      <w:r w:rsidR="00607DD5">
        <w:t>3</w:t>
      </w:r>
      <w:r>
        <w:t>)</w:t>
      </w:r>
      <w:r>
        <w:tab/>
        <w:t xml:space="preserve">Without limiting </w:t>
      </w:r>
      <w:r w:rsidR="001C2B21">
        <w:t>subsection (</w:t>
      </w:r>
      <w:r>
        <w:t xml:space="preserve">2), </w:t>
      </w:r>
      <w:r w:rsidRPr="002461B6">
        <w:t xml:space="preserve">functions specified under that subsection may relate to standards of any kind, </w:t>
      </w:r>
      <w:proofErr w:type="gramStart"/>
      <w:r w:rsidRPr="002461B6">
        <w:t xml:space="preserve">whether or </w:t>
      </w:r>
      <w:r w:rsidR="00607DD5">
        <w:t>not</w:t>
      </w:r>
      <w:proofErr w:type="gramEnd"/>
      <w:r w:rsidR="00607DD5">
        <w:t xml:space="preserve"> they are</w:t>
      </w:r>
      <w:r w:rsidR="0069553E">
        <w:t xml:space="preserve"> </w:t>
      </w:r>
      <w:r w:rsidRPr="002461B6">
        <w:t xml:space="preserve">accounting, </w:t>
      </w:r>
      <w:r w:rsidR="004D4924" w:rsidRPr="002461B6">
        <w:t>auditing and assurance</w:t>
      </w:r>
      <w:r w:rsidR="004D4924">
        <w:t xml:space="preserve">, or </w:t>
      </w:r>
      <w:r w:rsidRPr="002461B6">
        <w:t>sustainability standards.</w:t>
      </w:r>
    </w:p>
    <w:p w14:paraId="6DB97255" w14:textId="262F7606" w:rsidR="00BC2B55" w:rsidRPr="001C4BC1" w:rsidRDefault="00BC2B55" w:rsidP="001C2B21">
      <w:pPr>
        <w:pStyle w:val="subsection"/>
      </w:pPr>
      <w:r w:rsidRPr="001C4BC1">
        <w:tab/>
        <w:t>(</w:t>
      </w:r>
      <w:r w:rsidR="00607DD5">
        <w:t>4</w:t>
      </w:r>
      <w:r w:rsidRPr="001C4BC1">
        <w:t>)</w:t>
      </w:r>
      <w:r w:rsidRPr="001C4BC1">
        <w:tab/>
      </w:r>
      <w:r w:rsidR="0022083E" w:rsidRPr="0022083E">
        <w:t>External Reporting Australia</w:t>
      </w:r>
      <w:r w:rsidRPr="001C4BC1">
        <w:t xml:space="preserve"> has the power:</w:t>
      </w:r>
    </w:p>
    <w:p w14:paraId="6216EF91" w14:textId="0A6BC16A" w:rsidR="00BC2B55" w:rsidRPr="001C4BC1" w:rsidRDefault="00BC2B55" w:rsidP="001C2B21">
      <w:pPr>
        <w:pStyle w:val="paragraph"/>
      </w:pPr>
      <w:r w:rsidRPr="001C4BC1">
        <w:tab/>
        <w:t>(a)</w:t>
      </w:r>
      <w:r w:rsidRPr="001C4BC1">
        <w:tab/>
        <w:t>to establish committees and consultative groups and monitor the effectiveness of these consultative arrangements; and</w:t>
      </w:r>
    </w:p>
    <w:p w14:paraId="24F16C76" w14:textId="6D010845" w:rsidR="00BC2B55" w:rsidRDefault="00BC2B55" w:rsidP="001C2B21">
      <w:pPr>
        <w:pStyle w:val="paragraph"/>
      </w:pPr>
      <w:r w:rsidRPr="001C4BC1">
        <w:tab/>
        <w:t>(</w:t>
      </w:r>
      <w:r w:rsidR="008171FB">
        <w:t>b</w:t>
      </w:r>
      <w:r w:rsidRPr="001C4BC1">
        <w:t>)</w:t>
      </w:r>
      <w:r w:rsidRPr="001C4BC1">
        <w:tab/>
        <w:t>to do anything that is necessary or convenient to be done for or in connection with the performance of its functions.</w:t>
      </w:r>
    </w:p>
    <w:p w14:paraId="4E6E944C" w14:textId="77777777" w:rsidR="00BC2B55" w:rsidRPr="00350CAC" w:rsidRDefault="00BC2B55" w:rsidP="001C2B21">
      <w:pPr>
        <w:pStyle w:val="SubsectionHead"/>
      </w:pPr>
      <w:r>
        <w:lastRenderedPageBreak/>
        <w:t>Manner of performing its functions</w:t>
      </w:r>
    </w:p>
    <w:p w14:paraId="033C0E91" w14:textId="1822B9C2" w:rsidR="00BC2B55" w:rsidRPr="001C4BC1" w:rsidRDefault="00BC2B55" w:rsidP="001C2B21">
      <w:pPr>
        <w:pStyle w:val="subsection"/>
      </w:pPr>
      <w:r w:rsidRPr="001C4BC1">
        <w:tab/>
        <w:t>(</w:t>
      </w:r>
      <w:r w:rsidR="00607DD5">
        <w:t>5</w:t>
      </w:r>
      <w:r w:rsidRPr="001C4BC1">
        <w:t>)</w:t>
      </w:r>
      <w:r w:rsidRPr="001C4BC1">
        <w:tab/>
      </w:r>
      <w:r w:rsidR="003F5783" w:rsidRPr="0022083E">
        <w:t>External Reporting Australia</w:t>
      </w:r>
      <w:r w:rsidRPr="001C4BC1">
        <w:t xml:space="preserve"> must, so far as is practicable, perform its functions:</w:t>
      </w:r>
    </w:p>
    <w:p w14:paraId="320773D1" w14:textId="77777777" w:rsidR="00BC2B55" w:rsidRPr="001C4BC1" w:rsidRDefault="00BC2B55" w:rsidP="001C2B21">
      <w:pPr>
        <w:pStyle w:val="paragraph"/>
      </w:pPr>
      <w:r w:rsidRPr="001C4BC1">
        <w:tab/>
        <w:t>(a)</w:t>
      </w:r>
      <w:r w:rsidRPr="001C4BC1">
        <w:tab/>
        <w:t>in a manner that promotes the objects of this Part; and</w:t>
      </w:r>
    </w:p>
    <w:p w14:paraId="62F2FA09" w14:textId="2CC456E0" w:rsidR="00BC2B55" w:rsidRDefault="00BC2B55" w:rsidP="001C2B21">
      <w:pPr>
        <w:pStyle w:val="paragraph"/>
      </w:pPr>
      <w:r w:rsidRPr="001C4BC1">
        <w:tab/>
        <w:t>(b)</w:t>
      </w:r>
      <w:r w:rsidRPr="001C4BC1">
        <w:tab/>
        <w:t xml:space="preserve">in a manner that promotes the continued adoption of international best practice </w:t>
      </w:r>
      <w:r>
        <w:t xml:space="preserve">accounting standards, auditing standards and sustainability standards </w:t>
      </w:r>
      <w:r w:rsidRPr="00BE0224">
        <w:t>in the Australian standard</w:t>
      </w:r>
      <w:r w:rsidR="001C2B21">
        <w:noBreakHyphen/>
      </w:r>
      <w:r w:rsidRPr="00BE0224">
        <w:t>setting processes</w:t>
      </w:r>
      <w:r>
        <w:t>,</w:t>
      </w:r>
      <w:r w:rsidRPr="00BE0224">
        <w:t xml:space="preserve"> if doing so would be in the best interests of both the private and public sectors in the Australian economy</w:t>
      </w:r>
      <w:r>
        <w:t>; and</w:t>
      </w:r>
    </w:p>
    <w:p w14:paraId="1E6F0556" w14:textId="77777777" w:rsidR="00BC2B55" w:rsidRDefault="00BC2B55" w:rsidP="001C2B21">
      <w:pPr>
        <w:pStyle w:val="paragraph"/>
      </w:pPr>
      <w:r>
        <w:tab/>
        <w:t>(c)</w:t>
      </w:r>
      <w:r>
        <w:tab/>
      </w:r>
      <w:proofErr w:type="gramStart"/>
      <w:r>
        <w:t>with regard to</w:t>
      </w:r>
      <w:proofErr w:type="gramEnd"/>
      <w:r>
        <w:t xml:space="preserve"> the interests of Australian corporations which raise or propose to raise capital in major international financial centres.</w:t>
      </w:r>
    </w:p>
    <w:p w14:paraId="242C7475" w14:textId="77777777" w:rsidR="00BC2B55" w:rsidRPr="00BE0224" w:rsidRDefault="00BC2B55" w:rsidP="001C2B21">
      <w:pPr>
        <w:pStyle w:val="SubsectionHead"/>
      </w:pPr>
      <w:r>
        <w:t>Manner of making or formulating standards</w:t>
      </w:r>
    </w:p>
    <w:p w14:paraId="587C7987" w14:textId="74CAB516" w:rsidR="00BC2B55" w:rsidRPr="001C4BC1" w:rsidRDefault="00BC2B55" w:rsidP="001C2B21">
      <w:pPr>
        <w:pStyle w:val="subsection"/>
      </w:pPr>
      <w:r w:rsidRPr="001C4BC1">
        <w:tab/>
        <w:t>(</w:t>
      </w:r>
      <w:r w:rsidR="00607DD5">
        <w:t>6</w:t>
      </w:r>
      <w:r w:rsidRPr="001C4BC1">
        <w:t>)</w:t>
      </w:r>
      <w:r w:rsidRPr="001C4BC1">
        <w:tab/>
        <w:t xml:space="preserve">Without limiting </w:t>
      </w:r>
      <w:r w:rsidR="001C2B21">
        <w:t>subsection (</w:t>
      </w:r>
      <w:r w:rsidRPr="001C4BC1">
        <w:t>1</w:t>
      </w:r>
      <w:r>
        <w:t xml:space="preserve">), </w:t>
      </w:r>
      <w:r w:rsidR="003F5783" w:rsidRPr="0022083E">
        <w:t>External Reporting Australia</w:t>
      </w:r>
      <w:r w:rsidRPr="001C4BC1">
        <w:t xml:space="preserve"> may make or formulate:</w:t>
      </w:r>
    </w:p>
    <w:p w14:paraId="096844AB" w14:textId="0E544E88" w:rsidR="00BC2B55" w:rsidRPr="001C4BC1" w:rsidRDefault="00BC2B55" w:rsidP="001C2B21">
      <w:pPr>
        <w:pStyle w:val="paragraph"/>
      </w:pPr>
      <w:r w:rsidRPr="001C4BC1">
        <w:tab/>
        <w:t>(</w:t>
      </w:r>
      <w:r>
        <w:t>a</w:t>
      </w:r>
      <w:r w:rsidRPr="001C4BC1">
        <w:t>)</w:t>
      </w:r>
      <w:r w:rsidRPr="001C4BC1">
        <w:tab/>
        <w:t>an accounting standard by issuing the text of an international accounting standard; and</w:t>
      </w:r>
    </w:p>
    <w:p w14:paraId="41BF49D5" w14:textId="3645F589" w:rsidR="004D4924" w:rsidRDefault="00BC2B55" w:rsidP="001C2B21">
      <w:pPr>
        <w:pStyle w:val="paragraph"/>
      </w:pPr>
      <w:r w:rsidRPr="001C4BC1">
        <w:tab/>
        <w:t>(</w:t>
      </w:r>
      <w:r w:rsidR="004D4924">
        <w:t>b</w:t>
      </w:r>
      <w:r w:rsidRPr="001C4BC1">
        <w:t>)</w:t>
      </w:r>
      <w:r w:rsidRPr="001C4BC1">
        <w:tab/>
        <w:t>an auditing standard by</w:t>
      </w:r>
      <w:r>
        <w:t xml:space="preserve"> </w:t>
      </w:r>
      <w:r w:rsidRPr="001C4BC1">
        <w:t>issuing the text of an international auditing standard</w:t>
      </w:r>
      <w:r w:rsidR="004D4924">
        <w:t>; and</w:t>
      </w:r>
    </w:p>
    <w:p w14:paraId="001F08A6" w14:textId="0B23515E" w:rsidR="00BC2B55" w:rsidRDefault="004D4924" w:rsidP="001C2B21">
      <w:pPr>
        <w:pStyle w:val="paragraph"/>
      </w:pPr>
      <w:r>
        <w:tab/>
      </w:r>
      <w:r w:rsidRPr="001C4BC1">
        <w:t>(</w:t>
      </w:r>
      <w:r>
        <w:t>c</w:t>
      </w:r>
      <w:r w:rsidRPr="001C4BC1">
        <w:t>)</w:t>
      </w:r>
      <w:r w:rsidRPr="001C4BC1">
        <w:tab/>
        <w:t>a sustainability standard by issuing the text of an international sustainability standard</w:t>
      </w:r>
      <w:r>
        <w:t>.</w:t>
      </w:r>
    </w:p>
    <w:p w14:paraId="419B8872" w14:textId="04D79869" w:rsidR="00BC2B55" w:rsidRPr="001C4BC1" w:rsidRDefault="00BC2B55" w:rsidP="001C2B21">
      <w:pPr>
        <w:pStyle w:val="subsection"/>
      </w:pPr>
      <w:r w:rsidRPr="001C4BC1">
        <w:tab/>
        <w:t>(</w:t>
      </w:r>
      <w:r w:rsidR="00607DD5">
        <w:t>7</w:t>
      </w:r>
      <w:r w:rsidRPr="001C4BC1">
        <w:t>)</w:t>
      </w:r>
      <w:r w:rsidRPr="001C4BC1">
        <w:tab/>
        <w:t xml:space="preserve">The text of an international standard referred to in </w:t>
      </w:r>
      <w:r w:rsidR="001C2B21">
        <w:t>subsection (</w:t>
      </w:r>
      <w:r w:rsidR="00ED4951">
        <w:t>6</w:t>
      </w:r>
      <w:r w:rsidRPr="001C4BC1">
        <w:t>) may be modified:</w:t>
      </w:r>
    </w:p>
    <w:p w14:paraId="06CE437A" w14:textId="77777777" w:rsidR="00BC2B55" w:rsidRPr="001C4BC1" w:rsidRDefault="00BC2B55" w:rsidP="001C2B21">
      <w:pPr>
        <w:pStyle w:val="paragraph"/>
      </w:pPr>
      <w:r w:rsidRPr="001C4BC1">
        <w:tab/>
        <w:t>(a)</w:t>
      </w:r>
      <w:r w:rsidRPr="001C4BC1">
        <w:tab/>
        <w:t>to the extent necessary to take account of the Australian legal or institutional environment; and</w:t>
      </w:r>
    </w:p>
    <w:p w14:paraId="31FF5AD1" w14:textId="77777777" w:rsidR="00BC2B55" w:rsidRDefault="00BC2B55" w:rsidP="001C2B21">
      <w:pPr>
        <w:pStyle w:val="paragraph"/>
      </w:pPr>
      <w:r w:rsidRPr="001C4BC1">
        <w:tab/>
      </w:r>
      <w:proofErr w:type="gramStart"/>
      <w:r w:rsidRPr="001C4BC1">
        <w:t>(b)</w:t>
      </w:r>
      <w:r w:rsidRPr="001C4BC1">
        <w:tab/>
        <w:t>in particular, to</w:t>
      </w:r>
      <w:proofErr w:type="gramEnd"/>
      <w:r w:rsidRPr="001C4BC1">
        <w:t xml:space="preserve"> ensure that any disclosure and transparency provisions in the standard are appropriate to the Australian legal or institutional environment.</w:t>
      </w:r>
    </w:p>
    <w:p w14:paraId="2C4BBFF2" w14:textId="77777777" w:rsidR="00BC2B55" w:rsidRDefault="00BC2B55" w:rsidP="001C2B21">
      <w:pPr>
        <w:pStyle w:val="SubsectionHead"/>
      </w:pPr>
      <w:r>
        <w:t>Manner of participating in the development of international standards</w:t>
      </w:r>
    </w:p>
    <w:p w14:paraId="710F6D58" w14:textId="6D7F0862" w:rsidR="00BC2B55" w:rsidRDefault="00BC2B55" w:rsidP="001C2B21">
      <w:pPr>
        <w:pStyle w:val="subsection"/>
      </w:pPr>
      <w:r>
        <w:tab/>
        <w:t>(</w:t>
      </w:r>
      <w:r w:rsidR="00607DD5">
        <w:t>8</w:t>
      </w:r>
      <w:r>
        <w:t>)</w:t>
      </w:r>
      <w:r>
        <w:tab/>
        <w:t xml:space="preserve">Without limiting </w:t>
      </w:r>
      <w:r w:rsidR="003861E7">
        <w:t>paragraph (</w:t>
      </w:r>
      <w:r>
        <w:t xml:space="preserve">1)(e), </w:t>
      </w:r>
      <w:r w:rsidR="0022083E" w:rsidRPr="0022083E">
        <w:t>External Reporting Australia</w:t>
      </w:r>
      <w:r>
        <w:t xml:space="preserve"> may </w:t>
      </w:r>
      <w:r w:rsidRPr="00B21E0C">
        <w:t>distribute for consultation the text of</w:t>
      </w:r>
      <w:r>
        <w:t xml:space="preserve"> any of the following </w:t>
      </w:r>
      <w:r w:rsidRPr="00B21E0C">
        <w:t>(</w:t>
      </w:r>
      <w:proofErr w:type="gramStart"/>
      <w:r w:rsidRPr="00B21E0C">
        <w:t>whether or not</w:t>
      </w:r>
      <w:proofErr w:type="gramEnd"/>
      <w:r w:rsidRPr="00B21E0C">
        <w:t xml:space="preserve"> modified to take account of the Australian legal or institutional environment):</w:t>
      </w:r>
    </w:p>
    <w:p w14:paraId="50D0FFCD" w14:textId="25B2D9BA" w:rsidR="00BC2B55" w:rsidRDefault="00BC2B55" w:rsidP="001C2B21">
      <w:pPr>
        <w:pStyle w:val="paragraph"/>
      </w:pPr>
      <w:r>
        <w:tab/>
      </w:r>
      <w:r w:rsidRPr="00B21E0C">
        <w:t>(a)</w:t>
      </w:r>
      <w:r w:rsidRPr="00B21E0C">
        <w:tab/>
        <w:t xml:space="preserve">a draft international accounting </w:t>
      </w:r>
      <w:proofErr w:type="gramStart"/>
      <w:r w:rsidRPr="00B21E0C">
        <w:t>standard;</w:t>
      </w:r>
      <w:proofErr w:type="gramEnd"/>
    </w:p>
    <w:p w14:paraId="7CF242CC" w14:textId="63C118B9" w:rsidR="00BC2B55" w:rsidRDefault="00BC2B55" w:rsidP="001C2B21">
      <w:pPr>
        <w:pStyle w:val="paragraph"/>
      </w:pPr>
      <w:r>
        <w:tab/>
        <w:t>(</w:t>
      </w:r>
      <w:r w:rsidR="004D4924">
        <w:t>b</w:t>
      </w:r>
      <w:r>
        <w:t>)</w:t>
      </w:r>
      <w:r>
        <w:tab/>
        <w:t xml:space="preserve">a draft international auditing </w:t>
      </w:r>
      <w:proofErr w:type="gramStart"/>
      <w:r>
        <w:t>standard</w:t>
      </w:r>
      <w:r w:rsidR="004D4924">
        <w:t>;</w:t>
      </w:r>
      <w:proofErr w:type="gramEnd"/>
    </w:p>
    <w:p w14:paraId="0B6F1F44" w14:textId="7BF7DAAE" w:rsidR="00956CCA" w:rsidRDefault="004D4924" w:rsidP="001C2B21">
      <w:pPr>
        <w:pStyle w:val="paragraph"/>
      </w:pPr>
      <w:r>
        <w:lastRenderedPageBreak/>
        <w:tab/>
      </w:r>
      <w:r w:rsidRPr="00B21E0C">
        <w:t>(</w:t>
      </w:r>
      <w:r>
        <w:t>c</w:t>
      </w:r>
      <w:r w:rsidRPr="00B21E0C">
        <w:t>)</w:t>
      </w:r>
      <w:r w:rsidRPr="00B21E0C">
        <w:tab/>
        <w:t>a draft international sustainability standard</w:t>
      </w:r>
      <w:r>
        <w:t>.</w:t>
      </w:r>
    </w:p>
    <w:p w14:paraId="51E42586" w14:textId="1563F847" w:rsidR="00BC2B55" w:rsidRPr="001C4BC1" w:rsidRDefault="001E09C2" w:rsidP="001C2B21">
      <w:pPr>
        <w:pStyle w:val="ActHead5"/>
      </w:pPr>
      <w:r>
        <w:rPr>
          <w:rStyle w:val="CharSectno"/>
        </w:rPr>
        <w:t>225</w:t>
      </w:r>
      <w:proofErr w:type="gramStart"/>
      <w:r>
        <w:rPr>
          <w:rStyle w:val="CharSectno"/>
        </w:rPr>
        <w:t>B</w:t>
      </w:r>
      <w:r w:rsidR="00BC2B55" w:rsidRPr="001C4BC1">
        <w:t xml:space="preserve">  Minister</w:t>
      </w:r>
      <w:proofErr w:type="gramEnd"/>
      <w:r w:rsidR="00BC2B55" w:rsidRPr="001C4BC1">
        <w:t xml:space="preserve"> may give directions about the role of international standards</w:t>
      </w:r>
    </w:p>
    <w:p w14:paraId="38806ECE" w14:textId="0CE722D8" w:rsidR="00BC2B55" w:rsidRPr="001C4BC1" w:rsidRDefault="00BC2B55" w:rsidP="001C2B21">
      <w:pPr>
        <w:pStyle w:val="subsection"/>
      </w:pPr>
      <w:r w:rsidRPr="001C4BC1">
        <w:tab/>
        <w:t>(1)</w:t>
      </w:r>
      <w:r w:rsidRPr="001C4BC1">
        <w:tab/>
        <w:t>The Minister may</w:t>
      </w:r>
      <w:r w:rsidR="00ED4951">
        <w:t>,</w:t>
      </w:r>
      <w:r w:rsidRPr="001C4BC1">
        <w:t xml:space="preserve"> by </w:t>
      </w:r>
      <w:r>
        <w:t>legislative instrument</w:t>
      </w:r>
      <w:r w:rsidRPr="001C4BC1">
        <w:t xml:space="preserve">, give written directions to </w:t>
      </w:r>
      <w:r w:rsidR="0022083E" w:rsidRPr="0022083E">
        <w:t>External Reporting Australia</w:t>
      </w:r>
      <w:r w:rsidRPr="001C4BC1">
        <w:t xml:space="preserve"> about the role of</w:t>
      </w:r>
      <w:r>
        <w:t xml:space="preserve"> international standards in the making</w:t>
      </w:r>
      <w:r w:rsidR="00AB2733">
        <w:t xml:space="preserve">, </w:t>
      </w:r>
      <w:r>
        <w:t xml:space="preserve">formulating </w:t>
      </w:r>
      <w:r w:rsidR="00AB2733">
        <w:t xml:space="preserve">or development </w:t>
      </w:r>
      <w:r>
        <w:t>of standards</w:t>
      </w:r>
      <w:r w:rsidR="00AE565C">
        <w:t xml:space="preserve"> or other materials</w:t>
      </w:r>
      <w:r>
        <w:t xml:space="preserve"> by </w:t>
      </w:r>
      <w:r w:rsidR="0022083E" w:rsidRPr="0022083E">
        <w:t>External Reporting Australia</w:t>
      </w:r>
      <w:r>
        <w:t>.</w:t>
      </w:r>
    </w:p>
    <w:p w14:paraId="3227A89B" w14:textId="425B1A54" w:rsidR="00BC2B55" w:rsidRDefault="00BC2B55" w:rsidP="001C2B21">
      <w:pPr>
        <w:pStyle w:val="subsection"/>
      </w:pPr>
      <w:r>
        <w:tab/>
      </w:r>
      <w:r w:rsidRPr="003C7FD4">
        <w:t>(2)</w:t>
      </w:r>
      <w:r w:rsidRPr="003C7FD4">
        <w:tab/>
      </w:r>
      <w:r w:rsidR="0022083E" w:rsidRPr="0022083E">
        <w:t>External Reporting Australia</w:t>
      </w:r>
      <w:r w:rsidRPr="003C7FD4">
        <w:t xml:space="preserve"> must comply with a direction under </w:t>
      </w:r>
      <w:r w:rsidR="001C2B21">
        <w:t>subsection (</w:t>
      </w:r>
      <w:r w:rsidRPr="003C7FD4">
        <w:t>1).</w:t>
      </w:r>
    </w:p>
    <w:p w14:paraId="367C1EFF" w14:textId="35902D6D" w:rsidR="00BC2B55" w:rsidRDefault="00BC2B55" w:rsidP="001C2B21">
      <w:pPr>
        <w:pStyle w:val="subsection"/>
      </w:pPr>
      <w:r>
        <w:tab/>
      </w:r>
      <w:r w:rsidRPr="004E2783">
        <w:t>(</w:t>
      </w:r>
      <w:r>
        <w:t>3</w:t>
      </w:r>
      <w:r w:rsidRPr="004E2783">
        <w:t>)</w:t>
      </w:r>
      <w:r w:rsidRPr="004E2783">
        <w:tab/>
        <w:t xml:space="preserve">Despite regulations made for the purposes of paragraph 44(2)(b) of the </w:t>
      </w:r>
      <w:r w:rsidRPr="004E2783">
        <w:rPr>
          <w:i/>
          <w:iCs/>
        </w:rPr>
        <w:t>Legislation Act 2003</w:t>
      </w:r>
      <w:r w:rsidRPr="004E2783">
        <w:t xml:space="preserve">, </w:t>
      </w:r>
      <w:r w:rsidR="003234FC">
        <w:t>section 4</w:t>
      </w:r>
      <w:r w:rsidRPr="004E2783">
        <w:t xml:space="preserve">2 (disallowance) of that Act applies to </w:t>
      </w:r>
      <w:r>
        <w:t>a direction given</w:t>
      </w:r>
      <w:r w:rsidRPr="004E2783">
        <w:t xml:space="preserve"> under </w:t>
      </w:r>
      <w:r w:rsidR="001C2B21">
        <w:t>subsection (</w:t>
      </w:r>
      <w:r w:rsidRPr="004E2783">
        <w:t>1) of this section.</w:t>
      </w:r>
    </w:p>
    <w:p w14:paraId="5ADC6C8E" w14:textId="2E9AD3EC" w:rsidR="00BC2B55" w:rsidRPr="00B453EB" w:rsidRDefault="00BC2B55" w:rsidP="00B453EB">
      <w:pPr>
        <w:pStyle w:val="ActHead3"/>
        <w:pageBreakBefore/>
      </w:pPr>
      <w:r w:rsidRPr="00B453EB">
        <w:lastRenderedPageBreak/>
        <w:t>Division 2—The Governing Council</w:t>
      </w:r>
      <w:r w:rsidR="00DB34B6" w:rsidRPr="00B453EB">
        <w:t xml:space="preserve"> of </w:t>
      </w:r>
      <w:r w:rsidR="0022083E" w:rsidRPr="0022083E">
        <w:t>External Reporting Australia</w:t>
      </w:r>
    </w:p>
    <w:p w14:paraId="553D600C" w14:textId="77777777" w:rsidR="00BC2B55" w:rsidRPr="001C4BC1" w:rsidRDefault="00BC2B55" w:rsidP="001C2B21">
      <w:pPr>
        <w:pStyle w:val="ActHead4"/>
      </w:pPr>
      <w:r w:rsidRPr="001C2B21">
        <w:rPr>
          <w:rStyle w:val="CharSubdNo"/>
        </w:rPr>
        <w:t>Subdivision A</w:t>
      </w:r>
      <w:r w:rsidRPr="001C4BC1">
        <w:t>—</w:t>
      </w:r>
      <w:r w:rsidRPr="001C2B21">
        <w:rPr>
          <w:rStyle w:val="CharSubdText"/>
        </w:rPr>
        <w:t>Establishment and functions of the Governing Council</w:t>
      </w:r>
    </w:p>
    <w:p w14:paraId="2E9A8BBF" w14:textId="37387F61" w:rsidR="00BC2B55" w:rsidRPr="001C4BC1" w:rsidRDefault="001E09C2" w:rsidP="001C2B21">
      <w:pPr>
        <w:pStyle w:val="ActHead5"/>
      </w:pPr>
      <w:proofErr w:type="gramStart"/>
      <w:r>
        <w:rPr>
          <w:rStyle w:val="CharSectno"/>
        </w:rPr>
        <w:t>226</w:t>
      </w:r>
      <w:r w:rsidR="00BC2B55" w:rsidRPr="001C4BC1">
        <w:t xml:space="preserve">  Establishment</w:t>
      </w:r>
      <w:proofErr w:type="gramEnd"/>
    </w:p>
    <w:p w14:paraId="79EFDAA0" w14:textId="0045BDC8" w:rsidR="00BC2B55" w:rsidRPr="00ED4951" w:rsidRDefault="00ED4951" w:rsidP="001C2B21">
      <w:pPr>
        <w:pStyle w:val="subsection"/>
      </w:pPr>
      <w:r>
        <w:tab/>
      </w:r>
      <w:r>
        <w:tab/>
      </w:r>
      <w:r w:rsidR="00BC2B55" w:rsidRPr="00ED4951">
        <w:t xml:space="preserve">The Governing Council of </w:t>
      </w:r>
      <w:r w:rsidR="003F5783" w:rsidRPr="0022083E">
        <w:t>External Reporting Australia</w:t>
      </w:r>
      <w:r w:rsidR="00BC2B55" w:rsidRPr="00ED4951">
        <w:t xml:space="preserve"> is established by this section.</w:t>
      </w:r>
    </w:p>
    <w:p w14:paraId="01A32DD4" w14:textId="0D7B7FF0" w:rsidR="00BC2B55" w:rsidRPr="001C4BC1" w:rsidRDefault="001E09C2" w:rsidP="001C2B21">
      <w:pPr>
        <w:pStyle w:val="ActHead5"/>
      </w:pPr>
      <w:r>
        <w:rPr>
          <w:rStyle w:val="CharSectno"/>
        </w:rPr>
        <w:t>226</w:t>
      </w:r>
      <w:proofErr w:type="gramStart"/>
      <w:r>
        <w:rPr>
          <w:rStyle w:val="CharSectno"/>
        </w:rPr>
        <w:t>A</w:t>
      </w:r>
      <w:r w:rsidR="00BC2B55" w:rsidRPr="001C4BC1">
        <w:t xml:space="preserve">  Functions</w:t>
      </w:r>
      <w:proofErr w:type="gramEnd"/>
      <w:r w:rsidR="00BC2B55" w:rsidRPr="001C4BC1">
        <w:t xml:space="preserve"> and powers of the Governing Council</w:t>
      </w:r>
    </w:p>
    <w:p w14:paraId="6C21E1AC" w14:textId="5D2B37ED" w:rsidR="00BC2B55" w:rsidRPr="001C4BC1" w:rsidRDefault="00BC2B55" w:rsidP="001C2B21">
      <w:pPr>
        <w:pStyle w:val="subsection"/>
      </w:pPr>
      <w:r w:rsidRPr="001C4BC1">
        <w:tab/>
        <w:t>(1)</w:t>
      </w:r>
      <w:r w:rsidRPr="001C4BC1">
        <w:tab/>
        <w:t>The functions of the Governing Council are:</w:t>
      </w:r>
    </w:p>
    <w:p w14:paraId="6ADB8483" w14:textId="54384D31" w:rsidR="00BC2B55" w:rsidRPr="001C4BC1" w:rsidRDefault="00BC2B55" w:rsidP="001C2B21">
      <w:pPr>
        <w:pStyle w:val="paragraph"/>
      </w:pPr>
      <w:r w:rsidRPr="001C4BC1">
        <w:tab/>
        <w:t>(a)</w:t>
      </w:r>
      <w:r w:rsidRPr="001C4BC1">
        <w:tab/>
        <w:t xml:space="preserve">to ensure the proper, efficient and effective performance of </w:t>
      </w:r>
      <w:r w:rsidR="0022083E" w:rsidRPr="0022083E">
        <w:t>External Reporting Australia</w:t>
      </w:r>
      <w:r w:rsidRPr="001C4BC1">
        <w:t>’s functions; and</w:t>
      </w:r>
    </w:p>
    <w:p w14:paraId="027772BB" w14:textId="60F9A12D" w:rsidR="00BC2B55" w:rsidRPr="001C4BC1" w:rsidRDefault="00BC2B55" w:rsidP="001C2B21">
      <w:pPr>
        <w:pStyle w:val="paragraph"/>
      </w:pPr>
      <w:r w:rsidRPr="001C4BC1">
        <w:tab/>
        <w:t>(</w:t>
      </w:r>
      <w:r>
        <w:t>b</w:t>
      </w:r>
      <w:r w:rsidRPr="001C4BC1">
        <w:t>)</w:t>
      </w:r>
      <w:r w:rsidRPr="001C4BC1">
        <w:tab/>
        <w:t>any other functions conferred on the Governing Council by this Act.</w:t>
      </w:r>
    </w:p>
    <w:p w14:paraId="3B791B05" w14:textId="3E9868DD" w:rsidR="00BC2B55" w:rsidRPr="001C4BC1" w:rsidRDefault="00BC2B55" w:rsidP="001C2B21">
      <w:pPr>
        <w:pStyle w:val="subsection"/>
      </w:pPr>
      <w:r w:rsidRPr="001C4BC1">
        <w:tab/>
        <w:t>(2)</w:t>
      </w:r>
      <w:r w:rsidRPr="001C4BC1">
        <w:tab/>
        <w:t xml:space="preserve">The Governing Council may perform any of the functions and exercise any of the powers of </w:t>
      </w:r>
      <w:r w:rsidR="0022083E" w:rsidRPr="0022083E">
        <w:t>External Reporting Australia</w:t>
      </w:r>
      <w:r w:rsidRPr="001C4BC1">
        <w:t>.</w:t>
      </w:r>
    </w:p>
    <w:p w14:paraId="300E534E" w14:textId="77777777" w:rsidR="00BC2B55" w:rsidRPr="001C4BC1" w:rsidRDefault="00BC2B55" w:rsidP="001C2B21">
      <w:pPr>
        <w:pStyle w:val="subsection"/>
      </w:pPr>
      <w:r w:rsidRPr="001C4BC1">
        <w:tab/>
        <w:t>(3)</w:t>
      </w:r>
      <w:r w:rsidRPr="001C4BC1">
        <w:tab/>
        <w:t>The Governing Council has power to do anything that is necessary or convenient to be done for, or in connection with, the performance of its functions.</w:t>
      </w:r>
    </w:p>
    <w:p w14:paraId="309EA291" w14:textId="4B299BBD" w:rsidR="00BC2B55" w:rsidRPr="001C4BC1" w:rsidRDefault="00BC2B55" w:rsidP="001C2B21">
      <w:pPr>
        <w:pStyle w:val="subsection"/>
      </w:pPr>
      <w:r w:rsidRPr="001C4BC1">
        <w:tab/>
        <w:t>(4)</w:t>
      </w:r>
      <w:r w:rsidRPr="001C4BC1">
        <w:tab/>
        <w:t xml:space="preserve">Anything done in the name of, or on behalf of, </w:t>
      </w:r>
      <w:r w:rsidR="0022083E" w:rsidRPr="0022083E">
        <w:t>External Reporting Australia</w:t>
      </w:r>
      <w:r w:rsidRPr="001C4BC1">
        <w:t xml:space="preserve"> by the Governing Council, or with the authority of the Governing Council, is taken to have been done by </w:t>
      </w:r>
      <w:r w:rsidR="0022083E" w:rsidRPr="0022083E">
        <w:t>External Reporting Australia</w:t>
      </w:r>
      <w:r w:rsidRPr="001C4BC1">
        <w:t>.</w:t>
      </w:r>
    </w:p>
    <w:p w14:paraId="50CF563D" w14:textId="12C49720" w:rsidR="00BC2B55" w:rsidRDefault="00BC2B55" w:rsidP="001C2B21">
      <w:pPr>
        <w:pStyle w:val="subsection"/>
      </w:pPr>
      <w:r w:rsidRPr="001C4BC1">
        <w:tab/>
        <w:t>(5)</w:t>
      </w:r>
      <w:r w:rsidRPr="001C4BC1">
        <w:tab/>
        <w:t xml:space="preserve">If a function or power of </w:t>
      </w:r>
      <w:r w:rsidR="0022083E" w:rsidRPr="0022083E">
        <w:t>External Reporting Australia</w:t>
      </w:r>
      <w:r w:rsidRPr="001C4BC1">
        <w:t xml:space="preserve"> is dependent on the opinion, belief or state of mind of </w:t>
      </w:r>
      <w:r w:rsidR="0022083E" w:rsidRPr="0022083E">
        <w:t>External Reporting Australia</w:t>
      </w:r>
      <w:r w:rsidRPr="001C4BC1">
        <w:t xml:space="preserve"> in relation to a matter, the function or power may be exercised upon the opinion, belief or state of mind of a person or body acting as </w:t>
      </w:r>
      <w:r w:rsidR="00D72125">
        <w:t xml:space="preserve">mentioned in </w:t>
      </w:r>
      <w:r w:rsidR="001C2B21">
        <w:t>subsection (</w:t>
      </w:r>
      <w:r w:rsidR="00D72125">
        <w:t>4)</w:t>
      </w:r>
      <w:r w:rsidRPr="001C4BC1">
        <w:t xml:space="preserve"> in relation to that matter.</w:t>
      </w:r>
    </w:p>
    <w:p w14:paraId="3D2C3987" w14:textId="55E7C98B" w:rsidR="00BC2B55" w:rsidRPr="001C4BC1" w:rsidRDefault="00BC2B55" w:rsidP="001C2B21">
      <w:pPr>
        <w:pStyle w:val="subsection"/>
      </w:pPr>
      <w:r>
        <w:tab/>
        <w:t xml:space="preserve">(6) </w:t>
      </w:r>
      <w:r>
        <w:tab/>
      </w:r>
      <w:r w:rsidR="003234FC">
        <w:t>Subsections (</w:t>
      </w:r>
      <w:r>
        <w:t xml:space="preserve">2) and (3) have effect subject to section </w:t>
      </w:r>
      <w:r w:rsidR="001E09C2">
        <w:t>232D</w:t>
      </w:r>
      <w:r>
        <w:t xml:space="preserve"> </w:t>
      </w:r>
      <w:r w:rsidRPr="00E6505F">
        <w:t>(Governing Council involvement in standard setting).</w:t>
      </w:r>
    </w:p>
    <w:p w14:paraId="64A7C1F0" w14:textId="77777777" w:rsidR="00BC2B55" w:rsidRPr="003234FC" w:rsidRDefault="00BC2B55" w:rsidP="001C2B21">
      <w:pPr>
        <w:pStyle w:val="ActHead4"/>
      </w:pPr>
      <w:r w:rsidRPr="001C2B21">
        <w:rPr>
          <w:rStyle w:val="CharSubdNo"/>
        </w:rPr>
        <w:lastRenderedPageBreak/>
        <w:t>Subdivision B</w:t>
      </w:r>
      <w:r w:rsidRPr="001C4BC1">
        <w:t>—</w:t>
      </w:r>
      <w:r w:rsidRPr="001C2B21">
        <w:rPr>
          <w:rStyle w:val="CharSubdText"/>
        </w:rPr>
        <w:t>Governing Council members</w:t>
      </w:r>
    </w:p>
    <w:p w14:paraId="12C8027C" w14:textId="382BAB8B" w:rsidR="00BC2B55" w:rsidRPr="001C4BC1" w:rsidRDefault="001E09C2" w:rsidP="001C2B21">
      <w:pPr>
        <w:pStyle w:val="ActHead5"/>
      </w:pPr>
      <w:proofErr w:type="gramStart"/>
      <w:r>
        <w:rPr>
          <w:rStyle w:val="CharSectno"/>
        </w:rPr>
        <w:t>227</w:t>
      </w:r>
      <w:r w:rsidR="00BC2B55" w:rsidRPr="001C4BC1">
        <w:t xml:space="preserve">  Membership</w:t>
      </w:r>
      <w:proofErr w:type="gramEnd"/>
    </w:p>
    <w:p w14:paraId="1E1410E9" w14:textId="77777777" w:rsidR="00BC2B55" w:rsidRPr="001C4BC1" w:rsidRDefault="00BC2B55" w:rsidP="001C2B21">
      <w:pPr>
        <w:pStyle w:val="subsection"/>
      </w:pPr>
      <w:r w:rsidRPr="001C4BC1">
        <w:tab/>
      </w:r>
      <w:r w:rsidRPr="001C4BC1">
        <w:tab/>
        <w:t>The Governing Council consists of the following members:</w:t>
      </w:r>
    </w:p>
    <w:p w14:paraId="02D98786" w14:textId="77777777" w:rsidR="00BC2B55" w:rsidRPr="001C4BC1" w:rsidRDefault="00BC2B55" w:rsidP="001C2B21">
      <w:pPr>
        <w:pStyle w:val="paragraph"/>
      </w:pPr>
      <w:r w:rsidRPr="001C4BC1">
        <w:tab/>
        <w:t>(a)</w:t>
      </w:r>
      <w:r w:rsidRPr="001C4BC1">
        <w:tab/>
        <w:t>the Chair</w:t>
      </w:r>
      <w:r>
        <w:t xml:space="preserve"> of the Governing </w:t>
      </w:r>
      <w:proofErr w:type="gramStart"/>
      <w:r>
        <w:t>Council</w:t>
      </w:r>
      <w:r w:rsidRPr="001C4BC1">
        <w:t>;</w:t>
      </w:r>
      <w:proofErr w:type="gramEnd"/>
    </w:p>
    <w:p w14:paraId="6E30E117" w14:textId="77777777" w:rsidR="00BC2B55" w:rsidRDefault="00BC2B55" w:rsidP="001C2B21">
      <w:pPr>
        <w:pStyle w:val="paragraph"/>
      </w:pPr>
      <w:r w:rsidRPr="001C4BC1">
        <w:tab/>
        <w:t>(b)</w:t>
      </w:r>
      <w:r w:rsidRPr="001C4BC1">
        <w:tab/>
        <w:t>not fewer than 4, and not more than 8, other members.</w:t>
      </w:r>
    </w:p>
    <w:p w14:paraId="64381F26" w14:textId="7E60C95C" w:rsidR="00BC2B55" w:rsidRPr="001C4BC1" w:rsidRDefault="001E09C2" w:rsidP="001C2B21">
      <w:pPr>
        <w:pStyle w:val="ActHead5"/>
      </w:pPr>
      <w:r>
        <w:rPr>
          <w:rStyle w:val="CharSectno"/>
        </w:rPr>
        <w:t>227</w:t>
      </w:r>
      <w:proofErr w:type="gramStart"/>
      <w:r>
        <w:rPr>
          <w:rStyle w:val="CharSectno"/>
        </w:rPr>
        <w:t>A</w:t>
      </w:r>
      <w:r w:rsidR="00BC2B55">
        <w:t xml:space="preserve"> </w:t>
      </w:r>
      <w:r w:rsidR="00BC2B55" w:rsidRPr="001C4BC1">
        <w:t xml:space="preserve"> Appointment</w:t>
      </w:r>
      <w:proofErr w:type="gramEnd"/>
    </w:p>
    <w:p w14:paraId="580FE605" w14:textId="77777777" w:rsidR="00BC2B55" w:rsidRPr="001C4BC1" w:rsidRDefault="00BC2B55" w:rsidP="001C2B21">
      <w:pPr>
        <w:pStyle w:val="subsection"/>
      </w:pPr>
      <w:r w:rsidRPr="001C4BC1">
        <w:tab/>
        <w:t>(1)</w:t>
      </w:r>
      <w:r w:rsidRPr="001C4BC1">
        <w:tab/>
        <w:t>The Council members are to be appointed by the Minister by written instrument.</w:t>
      </w:r>
    </w:p>
    <w:p w14:paraId="74F83943" w14:textId="57B0B27A" w:rsidR="00BC2B55" w:rsidRPr="001C4BC1" w:rsidRDefault="00BC2B55" w:rsidP="001C2B21">
      <w:pPr>
        <w:pStyle w:val="notetext"/>
      </w:pPr>
      <w:r w:rsidRPr="001C4BC1">
        <w:t>Note:</w:t>
      </w:r>
      <w:r w:rsidRPr="001C4BC1">
        <w:tab/>
        <w:t xml:space="preserve">A Council member may be reappointed: see </w:t>
      </w:r>
      <w:r w:rsidR="003861E7">
        <w:t>section 3</w:t>
      </w:r>
      <w:r w:rsidRPr="001C4BC1">
        <w:t xml:space="preserve">3AA of the </w:t>
      </w:r>
      <w:r w:rsidRPr="001C4BC1">
        <w:rPr>
          <w:i/>
          <w:iCs/>
        </w:rPr>
        <w:t>Acts Interpretation Act 1901</w:t>
      </w:r>
      <w:r w:rsidRPr="001C4BC1">
        <w:t>.</w:t>
      </w:r>
    </w:p>
    <w:p w14:paraId="71B9AB4F" w14:textId="4C132808" w:rsidR="00BC2B55" w:rsidRPr="001C4BC1" w:rsidRDefault="00BC2B55" w:rsidP="001C2B21">
      <w:pPr>
        <w:pStyle w:val="subsection"/>
      </w:pPr>
      <w:r>
        <w:tab/>
        <w:t>(2)</w:t>
      </w:r>
      <w:r>
        <w:tab/>
      </w:r>
      <w:r w:rsidRPr="001C4BC1">
        <w:t>The Council Chair may be appointed on a full</w:t>
      </w:r>
      <w:r w:rsidR="001C2B21">
        <w:noBreakHyphen/>
      </w:r>
      <w:r w:rsidRPr="001C4BC1">
        <w:t>time basis or on a part</w:t>
      </w:r>
      <w:r w:rsidR="001C2B21">
        <w:noBreakHyphen/>
      </w:r>
      <w:r w:rsidRPr="001C4BC1">
        <w:t>time basis.</w:t>
      </w:r>
    </w:p>
    <w:p w14:paraId="7AEDEC28" w14:textId="3DA0E96B" w:rsidR="00BC2B55" w:rsidRPr="001C4BC1" w:rsidRDefault="00BC2B55" w:rsidP="001C2B21">
      <w:pPr>
        <w:pStyle w:val="subsection"/>
      </w:pPr>
      <w:r w:rsidRPr="001C4BC1">
        <w:tab/>
        <w:t>(</w:t>
      </w:r>
      <w:r>
        <w:t>3</w:t>
      </w:r>
      <w:r w:rsidRPr="001C4BC1">
        <w:t>)</w:t>
      </w:r>
      <w:r w:rsidRPr="001C4BC1">
        <w:tab/>
      </w:r>
      <w:r w:rsidRPr="00D7565C">
        <w:t>Other Council members are to be appointed on a part</w:t>
      </w:r>
      <w:r w:rsidR="001C2B21">
        <w:noBreakHyphen/>
      </w:r>
      <w:r w:rsidRPr="00D7565C">
        <w:t>time basis</w:t>
      </w:r>
      <w:r w:rsidRPr="001C4BC1">
        <w:t>.</w:t>
      </w:r>
    </w:p>
    <w:p w14:paraId="1489C17B" w14:textId="77777777" w:rsidR="00BC2B55" w:rsidRPr="001C4BC1" w:rsidRDefault="00BC2B55" w:rsidP="001C2B21">
      <w:pPr>
        <w:pStyle w:val="subsection"/>
      </w:pPr>
      <w:r w:rsidRPr="001C4BC1">
        <w:tab/>
        <w:t>(</w:t>
      </w:r>
      <w:r>
        <w:t>4</w:t>
      </w:r>
      <w:r w:rsidRPr="001C4BC1">
        <w:t>)</w:t>
      </w:r>
      <w:r w:rsidRPr="001C4BC1">
        <w:tab/>
        <w:t>A person is not eligible for appointment as a Council member unless the Minister is satisfied that the person has experience in, or knowledge of, at least one of the following fields:</w:t>
      </w:r>
    </w:p>
    <w:p w14:paraId="03D04469" w14:textId="77777777" w:rsidR="00BC2B55" w:rsidRDefault="00BC2B55" w:rsidP="001C2B21">
      <w:pPr>
        <w:pStyle w:val="paragraph"/>
      </w:pPr>
      <w:r w:rsidRPr="001C4BC1">
        <w:tab/>
        <w:t>(</w:t>
      </w:r>
      <w:r>
        <w:t>a</w:t>
      </w:r>
      <w:r w:rsidRPr="001C4BC1">
        <w:t>)</w:t>
      </w:r>
      <w:r w:rsidRPr="001C4BC1">
        <w:tab/>
      </w:r>
      <w:proofErr w:type="gramStart"/>
      <w:r w:rsidRPr="001C4BC1">
        <w:t>governance;</w:t>
      </w:r>
      <w:proofErr w:type="gramEnd"/>
    </w:p>
    <w:p w14:paraId="67DD1083" w14:textId="77777777" w:rsidR="00BC2B55" w:rsidRPr="001C4BC1" w:rsidRDefault="00BC2B55" w:rsidP="001C2B21">
      <w:pPr>
        <w:pStyle w:val="paragraph"/>
      </w:pPr>
      <w:r>
        <w:tab/>
      </w:r>
      <w:r w:rsidRPr="001C4BC1">
        <w:t>(</w:t>
      </w:r>
      <w:r>
        <w:t>b</w:t>
      </w:r>
      <w:r w:rsidRPr="001C4BC1">
        <w:t>)</w:t>
      </w:r>
      <w:r w:rsidRPr="001C4BC1">
        <w:tab/>
      </w:r>
      <w:proofErr w:type="gramStart"/>
      <w:r w:rsidRPr="001C4BC1">
        <w:t>business;</w:t>
      </w:r>
      <w:proofErr w:type="gramEnd"/>
    </w:p>
    <w:p w14:paraId="26CF5D6A" w14:textId="77777777" w:rsidR="00BC2B55" w:rsidRPr="001C4BC1" w:rsidRDefault="00BC2B55" w:rsidP="001C2B21">
      <w:pPr>
        <w:pStyle w:val="paragraph"/>
      </w:pPr>
      <w:r w:rsidRPr="001C4BC1">
        <w:tab/>
        <w:t>(</w:t>
      </w:r>
      <w:r>
        <w:t>c</w:t>
      </w:r>
      <w:r w:rsidRPr="001C4BC1">
        <w:t>)</w:t>
      </w:r>
      <w:r w:rsidRPr="001C4BC1">
        <w:tab/>
        <w:t xml:space="preserve">financial </w:t>
      </w:r>
      <w:proofErr w:type="gramStart"/>
      <w:r w:rsidRPr="001C4BC1">
        <w:t>markets;</w:t>
      </w:r>
      <w:proofErr w:type="gramEnd"/>
    </w:p>
    <w:p w14:paraId="7C3F6D97" w14:textId="77777777" w:rsidR="00BC2B55" w:rsidRPr="001C4BC1" w:rsidRDefault="00BC2B55" w:rsidP="001C2B21">
      <w:pPr>
        <w:pStyle w:val="paragraph"/>
      </w:pPr>
      <w:r w:rsidRPr="001C4BC1">
        <w:tab/>
        <w:t>(</w:t>
      </w:r>
      <w:r>
        <w:t>d</w:t>
      </w:r>
      <w:r w:rsidRPr="001C4BC1">
        <w:t>)</w:t>
      </w:r>
      <w:r w:rsidRPr="001C4BC1">
        <w:tab/>
      </w:r>
      <w:proofErr w:type="gramStart"/>
      <w:r w:rsidRPr="001C4BC1">
        <w:t>law;</w:t>
      </w:r>
      <w:proofErr w:type="gramEnd"/>
    </w:p>
    <w:p w14:paraId="285C4200" w14:textId="77777777" w:rsidR="00BC2B55" w:rsidRPr="001C4BC1" w:rsidRDefault="00BC2B55" w:rsidP="001C2B21">
      <w:pPr>
        <w:pStyle w:val="paragraph"/>
      </w:pPr>
      <w:r w:rsidRPr="001C4BC1">
        <w:tab/>
        <w:t>(</w:t>
      </w:r>
      <w:r>
        <w:t>e</w:t>
      </w:r>
      <w:r w:rsidRPr="001C4BC1">
        <w:t>)</w:t>
      </w:r>
      <w:r w:rsidRPr="001C4BC1">
        <w:tab/>
      </w:r>
      <w:proofErr w:type="gramStart"/>
      <w:r w:rsidRPr="001C4BC1">
        <w:t>government;</w:t>
      </w:r>
      <w:proofErr w:type="gramEnd"/>
    </w:p>
    <w:p w14:paraId="765CD57C" w14:textId="77777777" w:rsidR="00BC2B55" w:rsidRPr="001C4BC1" w:rsidRDefault="00BC2B55" w:rsidP="001C2B21">
      <w:pPr>
        <w:pStyle w:val="paragraph"/>
      </w:pPr>
      <w:r w:rsidRPr="001C4BC1">
        <w:tab/>
        <w:t>(</w:t>
      </w:r>
      <w:r>
        <w:t>f</w:t>
      </w:r>
      <w:r w:rsidRPr="001C4BC1">
        <w:t>)</w:t>
      </w:r>
      <w:r w:rsidRPr="001C4BC1">
        <w:tab/>
      </w:r>
      <w:proofErr w:type="gramStart"/>
      <w:r w:rsidRPr="001C4BC1">
        <w:t>accounting;</w:t>
      </w:r>
      <w:proofErr w:type="gramEnd"/>
    </w:p>
    <w:p w14:paraId="6276EDEE" w14:textId="77777777" w:rsidR="00BC2B55" w:rsidRPr="001C4BC1" w:rsidRDefault="00BC2B55" w:rsidP="001C2B21">
      <w:pPr>
        <w:pStyle w:val="paragraph"/>
      </w:pPr>
      <w:r w:rsidRPr="001C4BC1">
        <w:tab/>
        <w:t>(</w:t>
      </w:r>
      <w:r>
        <w:t>g</w:t>
      </w:r>
      <w:r w:rsidRPr="001C4BC1">
        <w:t>)</w:t>
      </w:r>
      <w:r w:rsidRPr="001C4BC1">
        <w:tab/>
      </w:r>
      <w:proofErr w:type="gramStart"/>
      <w:r w:rsidRPr="001C4BC1">
        <w:t>auditing;</w:t>
      </w:r>
      <w:proofErr w:type="gramEnd"/>
    </w:p>
    <w:p w14:paraId="0792B548" w14:textId="77777777" w:rsidR="00BC2B55" w:rsidRDefault="00BC2B55" w:rsidP="001C2B21">
      <w:pPr>
        <w:pStyle w:val="paragraph"/>
      </w:pPr>
      <w:r w:rsidRPr="001C4BC1">
        <w:tab/>
        <w:t>(</w:t>
      </w:r>
      <w:r>
        <w:t>h</w:t>
      </w:r>
      <w:r w:rsidRPr="001C4BC1">
        <w:t>)</w:t>
      </w:r>
      <w:r w:rsidRPr="001C4BC1">
        <w:tab/>
        <w:t xml:space="preserve">sustainability or climate </w:t>
      </w:r>
      <w:proofErr w:type="gramStart"/>
      <w:r w:rsidRPr="001C4BC1">
        <w:t>change;</w:t>
      </w:r>
      <w:proofErr w:type="gramEnd"/>
    </w:p>
    <w:p w14:paraId="14C7606D" w14:textId="247CBA8E" w:rsidR="00A15995" w:rsidRPr="001C4BC1" w:rsidRDefault="00A15995" w:rsidP="001C2B21">
      <w:pPr>
        <w:pStyle w:val="paragraph"/>
      </w:pPr>
      <w:r>
        <w:tab/>
        <w:t>(i)</w:t>
      </w:r>
      <w:r>
        <w:tab/>
      </w:r>
      <w:proofErr w:type="gramStart"/>
      <w:r>
        <w:t>science;</w:t>
      </w:r>
      <w:proofErr w:type="gramEnd"/>
    </w:p>
    <w:p w14:paraId="22413B43" w14:textId="6219D4C4" w:rsidR="00BC2B55" w:rsidRPr="001C4BC1" w:rsidRDefault="00BC2B55" w:rsidP="001C2B21">
      <w:pPr>
        <w:pStyle w:val="paragraph"/>
      </w:pPr>
      <w:r w:rsidRPr="001C4BC1">
        <w:tab/>
        <w:t>(</w:t>
      </w:r>
      <w:r w:rsidR="00A15995">
        <w:t>j</w:t>
      </w:r>
      <w:r w:rsidRPr="001C4BC1">
        <w:t>)</w:t>
      </w:r>
      <w:r w:rsidRPr="001C4BC1">
        <w:tab/>
        <w:t>any other field</w:t>
      </w:r>
      <w:r>
        <w:t xml:space="preserve"> the Minister considers appropriate having regard to a function of </w:t>
      </w:r>
      <w:r w:rsidR="0022083E" w:rsidRPr="0022083E">
        <w:t>External Reporting Australia</w:t>
      </w:r>
      <w:r>
        <w:t xml:space="preserve"> under paragraph </w:t>
      </w:r>
      <w:r w:rsidR="001E09C2">
        <w:t>225A</w:t>
      </w:r>
      <w:r>
        <w:t>(1)(i)</w:t>
      </w:r>
      <w:r w:rsidRPr="001C4BC1">
        <w:t>.</w:t>
      </w:r>
    </w:p>
    <w:p w14:paraId="3B8B4458" w14:textId="69D0E233" w:rsidR="00BC2B55" w:rsidRDefault="00BC2B55" w:rsidP="001C2B21">
      <w:pPr>
        <w:pStyle w:val="subsection"/>
      </w:pPr>
      <w:r w:rsidRPr="001C4BC1">
        <w:tab/>
        <w:t>(</w:t>
      </w:r>
      <w:r>
        <w:t>5</w:t>
      </w:r>
      <w:r w:rsidRPr="001C4BC1">
        <w:t>)</w:t>
      </w:r>
      <w:r w:rsidRPr="001C4BC1">
        <w:tab/>
        <w:t>Before appointing a person as a Council member, the Minister must have regard to</w:t>
      </w:r>
      <w:r>
        <w:t xml:space="preserve"> the principle that the Governing Council should contain an appropriate level of representation of persons who are, and are seen to be, independent from Australian auditors.</w:t>
      </w:r>
    </w:p>
    <w:p w14:paraId="1D7DEBA4" w14:textId="14045745" w:rsidR="00BC2B55" w:rsidRPr="001C4BC1" w:rsidRDefault="001E09C2" w:rsidP="001C2B21">
      <w:pPr>
        <w:pStyle w:val="ActHead5"/>
      </w:pPr>
      <w:r>
        <w:rPr>
          <w:rStyle w:val="CharSectno"/>
        </w:rPr>
        <w:lastRenderedPageBreak/>
        <w:t>227</w:t>
      </w:r>
      <w:proofErr w:type="gramStart"/>
      <w:r>
        <w:rPr>
          <w:rStyle w:val="CharSectno"/>
        </w:rPr>
        <w:t>B</w:t>
      </w:r>
      <w:r w:rsidR="00BC2B55" w:rsidRPr="001C4BC1">
        <w:t xml:space="preserve">  Term</w:t>
      </w:r>
      <w:proofErr w:type="gramEnd"/>
      <w:r w:rsidR="00BC2B55" w:rsidRPr="001C4BC1">
        <w:t xml:space="preserve"> of appointment</w:t>
      </w:r>
    </w:p>
    <w:p w14:paraId="02C5C35B" w14:textId="77777777" w:rsidR="00BC2B55" w:rsidRPr="001C4BC1" w:rsidRDefault="00BC2B55" w:rsidP="001C2B21">
      <w:pPr>
        <w:pStyle w:val="subsection"/>
      </w:pPr>
      <w:r w:rsidRPr="001C4BC1">
        <w:tab/>
      </w:r>
      <w:r w:rsidRPr="001C4BC1">
        <w:tab/>
        <w:t>A Council member holds office for the period specified in the instrument of appointment. The period must not exceed 5 years.</w:t>
      </w:r>
    </w:p>
    <w:p w14:paraId="77E42630" w14:textId="303ACB11" w:rsidR="00BC2B55" w:rsidRPr="001C4BC1" w:rsidRDefault="00BC2B55" w:rsidP="001C2B21">
      <w:pPr>
        <w:pStyle w:val="notetext"/>
      </w:pPr>
      <w:r w:rsidRPr="001C4BC1">
        <w:t>Note:</w:t>
      </w:r>
      <w:r w:rsidRPr="001C4BC1">
        <w:tab/>
        <w:t xml:space="preserve">A Council member may be reappointed: see </w:t>
      </w:r>
      <w:r w:rsidR="003861E7">
        <w:t>section 3</w:t>
      </w:r>
      <w:r w:rsidRPr="001C4BC1">
        <w:t xml:space="preserve">3AA of the </w:t>
      </w:r>
      <w:r w:rsidRPr="001C4BC1">
        <w:rPr>
          <w:i/>
          <w:iCs/>
        </w:rPr>
        <w:t>Acts Interpretation Act 1901</w:t>
      </w:r>
      <w:r w:rsidRPr="001C4BC1">
        <w:t>.</w:t>
      </w:r>
    </w:p>
    <w:p w14:paraId="62D5B746" w14:textId="0594B368" w:rsidR="00684FFF" w:rsidRDefault="001E09C2" w:rsidP="001C2B21">
      <w:pPr>
        <w:pStyle w:val="ActHead5"/>
      </w:pPr>
      <w:r>
        <w:rPr>
          <w:rStyle w:val="CharSectno"/>
        </w:rPr>
        <w:t>227</w:t>
      </w:r>
      <w:proofErr w:type="gramStart"/>
      <w:r>
        <w:rPr>
          <w:rStyle w:val="CharSectno"/>
        </w:rPr>
        <w:t>C</w:t>
      </w:r>
      <w:r w:rsidR="00684FFF">
        <w:t xml:space="preserve">  Deputy</w:t>
      </w:r>
      <w:proofErr w:type="gramEnd"/>
      <w:r w:rsidR="00684FFF">
        <w:t xml:space="preserve"> Chair</w:t>
      </w:r>
    </w:p>
    <w:p w14:paraId="3BE4E0A8" w14:textId="0F60D1AE" w:rsidR="00684FFF" w:rsidRDefault="00684FFF" w:rsidP="001C2B21">
      <w:pPr>
        <w:pStyle w:val="subsection"/>
      </w:pPr>
      <w:r>
        <w:tab/>
        <w:t>(1)</w:t>
      </w:r>
      <w:r>
        <w:tab/>
      </w:r>
      <w:r w:rsidRPr="00D7565C">
        <w:t>The Governing Council may</w:t>
      </w:r>
      <w:r w:rsidR="00AE4B94">
        <w:t>, in writing,</w:t>
      </w:r>
      <w:r w:rsidRPr="00D7565C">
        <w:t xml:space="preserve"> </w:t>
      </w:r>
      <w:r w:rsidR="00AE4B94">
        <w:t xml:space="preserve">appoint </w:t>
      </w:r>
      <w:r w:rsidRPr="00D7565C">
        <w:t xml:space="preserve">a Council member (other than the Council </w:t>
      </w:r>
      <w:r>
        <w:t>C</w:t>
      </w:r>
      <w:r w:rsidRPr="00D7565C">
        <w:t>hair) to be the Deputy Chair</w:t>
      </w:r>
      <w:r w:rsidR="00810B39">
        <w:t xml:space="preserve"> of the Governing Council</w:t>
      </w:r>
      <w:r w:rsidRPr="00D7565C">
        <w:t>.</w:t>
      </w:r>
    </w:p>
    <w:p w14:paraId="568B59E8" w14:textId="77777777" w:rsidR="00684FFF" w:rsidRDefault="00684FFF" w:rsidP="001C2B21">
      <w:pPr>
        <w:pStyle w:val="subsection"/>
      </w:pPr>
      <w:r>
        <w:tab/>
        <w:t>(2)</w:t>
      </w:r>
      <w:r>
        <w:tab/>
        <w:t>The Council Deputy Chair holds office until whichever first happens:</w:t>
      </w:r>
    </w:p>
    <w:p w14:paraId="54C0CC64" w14:textId="4EC9617C" w:rsidR="005F1010" w:rsidRDefault="00684FFF" w:rsidP="001C2B21">
      <w:pPr>
        <w:pStyle w:val="paragraph"/>
      </w:pPr>
      <w:r w:rsidRPr="00A65670">
        <w:tab/>
      </w:r>
      <w:r w:rsidR="00D33516" w:rsidRPr="00A65670">
        <w:t>(a)</w:t>
      </w:r>
      <w:r w:rsidR="00D33516" w:rsidRPr="00A65670">
        <w:tab/>
      </w:r>
      <w:r w:rsidR="00D33516" w:rsidRPr="00863AEB">
        <w:t xml:space="preserve">the Council Deputy Chair’s period of appointment </w:t>
      </w:r>
      <w:r w:rsidR="00860EE1">
        <w:t xml:space="preserve">(if any is specified) </w:t>
      </w:r>
      <w:r w:rsidR="00D33516" w:rsidRPr="00863AEB">
        <w:t>ends</w:t>
      </w:r>
      <w:r w:rsidRPr="00291127">
        <w:t>;</w:t>
      </w:r>
      <w:r w:rsidRPr="00863AEB">
        <w:t xml:space="preserve"> </w:t>
      </w:r>
      <w:r w:rsidR="005852AC">
        <w:t>or</w:t>
      </w:r>
    </w:p>
    <w:p w14:paraId="3B05010F" w14:textId="34B35F3E" w:rsidR="00684FFF" w:rsidRPr="00A65670" w:rsidRDefault="005F1010" w:rsidP="001C2B21">
      <w:pPr>
        <w:pStyle w:val="paragraph"/>
      </w:pPr>
      <w:r>
        <w:tab/>
        <w:t>(b)</w:t>
      </w:r>
      <w:r>
        <w:tab/>
        <w:t xml:space="preserve">the Council Deputy Chair </w:t>
      </w:r>
      <w:r w:rsidR="00982B9F">
        <w:t xml:space="preserve">resigns the </w:t>
      </w:r>
      <w:r w:rsidR="00860EE1">
        <w:t>Council Deputy Chair’s appointment</w:t>
      </w:r>
      <w:r w:rsidR="00982B9F">
        <w:t xml:space="preserve"> in accordance with subsection </w:t>
      </w:r>
      <w:r w:rsidR="001E09C2">
        <w:t>227</w:t>
      </w:r>
      <w:proofErr w:type="gramStart"/>
      <w:r w:rsidR="001E09C2">
        <w:t>K</w:t>
      </w:r>
      <w:r w:rsidR="00982B9F">
        <w:t>(</w:t>
      </w:r>
      <w:proofErr w:type="gramEnd"/>
      <w:r w:rsidR="00982B9F">
        <w:t xml:space="preserve">3); </w:t>
      </w:r>
      <w:r w:rsidR="00684FFF" w:rsidRPr="00863AEB">
        <w:t>or</w:t>
      </w:r>
    </w:p>
    <w:p w14:paraId="4A0665E1" w14:textId="1CF39E8D" w:rsidR="00684FFF" w:rsidRPr="00A65670" w:rsidRDefault="00684FFF" w:rsidP="001C2B21">
      <w:pPr>
        <w:pStyle w:val="paragraph"/>
      </w:pPr>
      <w:r w:rsidRPr="00A65670">
        <w:tab/>
        <w:t>(</w:t>
      </w:r>
      <w:r w:rsidR="00982B9F">
        <w:t>c</w:t>
      </w:r>
      <w:r w:rsidRPr="00A65670">
        <w:t>)</w:t>
      </w:r>
      <w:r w:rsidRPr="00A65670">
        <w:tab/>
        <w:t>the Council Deputy Chair ceases to be a Council member; or</w:t>
      </w:r>
    </w:p>
    <w:p w14:paraId="727F42E0" w14:textId="1893E8EA" w:rsidR="00684FFF" w:rsidRDefault="00684FFF" w:rsidP="001C2B21">
      <w:pPr>
        <w:pStyle w:val="paragraph"/>
      </w:pPr>
      <w:r w:rsidRPr="00A65670">
        <w:tab/>
        <w:t>(</w:t>
      </w:r>
      <w:r w:rsidR="00982B9F">
        <w:t>d</w:t>
      </w:r>
      <w:r w:rsidRPr="00A65670">
        <w:t>)</w:t>
      </w:r>
      <w:r w:rsidRPr="00A65670">
        <w:tab/>
        <w:t>the Governing Council terminates the appointment</w:t>
      </w:r>
      <w:r>
        <w:t xml:space="preserve"> of the Council Deputy Chair.</w:t>
      </w:r>
    </w:p>
    <w:p w14:paraId="173578EC" w14:textId="77777777" w:rsidR="00684FFF" w:rsidRPr="00A2316F" w:rsidRDefault="00684FFF" w:rsidP="001C2B21">
      <w:pPr>
        <w:pStyle w:val="notetext"/>
      </w:pPr>
      <w:r w:rsidRPr="00516A3A">
        <w:t>Note:</w:t>
      </w:r>
      <w:r w:rsidRPr="00516A3A">
        <w:tab/>
        <w:t>A person may cease to be the Deputy Chair of the Governing Council without ceasing to be a Council member.</w:t>
      </w:r>
    </w:p>
    <w:p w14:paraId="0699FF1F" w14:textId="6059ABC8" w:rsidR="00BC2B55" w:rsidRPr="001C4BC1" w:rsidRDefault="001E09C2" w:rsidP="001C2B21">
      <w:pPr>
        <w:pStyle w:val="ActHead5"/>
      </w:pPr>
      <w:r>
        <w:rPr>
          <w:rStyle w:val="CharSectno"/>
        </w:rPr>
        <w:t>227</w:t>
      </w:r>
      <w:proofErr w:type="gramStart"/>
      <w:r>
        <w:rPr>
          <w:rStyle w:val="CharSectno"/>
        </w:rPr>
        <w:t>D</w:t>
      </w:r>
      <w:r w:rsidR="00BC2B55" w:rsidRPr="001C4BC1">
        <w:t xml:space="preserve">  Acting</w:t>
      </w:r>
      <w:proofErr w:type="gramEnd"/>
      <w:r w:rsidR="00BC2B55" w:rsidRPr="001C4BC1">
        <w:t xml:space="preserve"> appointments</w:t>
      </w:r>
    </w:p>
    <w:p w14:paraId="5CDD003B" w14:textId="77777777" w:rsidR="00BC2B55" w:rsidRPr="001C4BC1" w:rsidRDefault="00BC2B55" w:rsidP="001C2B21">
      <w:pPr>
        <w:pStyle w:val="SubsectionHead"/>
      </w:pPr>
      <w:r w:rsidRPr="001C4BC1">
        <w:t xml:space="preserve">Acting </w:t>
      </w:r>
      <w:r>
        <w:t>Council Chair</w:t>
      </w:r>
    </w:p>
    <w:p w14:paraId="255ECB93" w14:textId="77777777" w:rsidR="00BC2B55" w:rsidRPr="001C4BC1" w:rsidRDefault="00BC2B55" w:rsidP="001C2B21">
      <w:pPr>
        <w:pStyle w:val="subsection"/>
      </w:pPr>
      <w:r w:rsidRPr="001C4BC1">
        <w:tab/>
        <w:t>(1)</w:t>
      </w:r>
      <w:r w:rsidRPr="001C4BC1">
        <w:tab/>
        <w:t xml:space="preserve">The </w:t>
      </w:r>
      <w:r>
        <w:t>Minister may, by written instrument, appoint a person to act as the Council Chair</w:t>
      </w:r>
      <w:r w:rsidRPr="001C4BC1">
        <w:t>:</w:t>
      </w:r>
    </w:p>
    <w:p w14:paraId="40B48EB5" w14:textId="77777777" w:rsidR="00BC2B55" w:rsidRPr="001C4BC1" w:rsidRDefault="00BC2B55" w:rsidP="001C2B21">
      <w:pPr>
        <w:pStyle w:val="paragraph"/>
      </w:pPr>
      <w:r w:rsidRPr="001C4BC1">
        <w:tab/>
        <w:t>(a)</w:t>
      </w:r>
      <w:r w:rsidRPr="001C4BC1">
        <w:tab/>
        <w:t xml:space="preserve">during a vacancy in the office of the </w:t>
      </w:r>
      <w:r>
        <w:t xml:space="preserve">Council Chair </w:t>
      </w:r>
      <w:r w:rsidRPr="001C4BC1">
        <w:t>(</w:t>
      </w:r>
      <w:proofErr w:type="gramStart"/>
      <w:r w:rsidRPr="001C4BC1">
        <w:t>whether or not</w:t>
      </w:r>
      <w:proofErr w:type="gramEnd"/>
      <w:r w:rsidRPr="001C4BC1">
        <w:t xml:space="preserve"> an appointment has previously been made to the office); or</w:t>
      </w:r>
    </w:p>
    <w:p w14:paraId="69D39A75" w14:textId="77777777" w:rsidR="00BC2B55" w:rsidRPr="001C4BC1" w:rsidRDefault="00BC2B55" w:rsidP="001C2B21">
      <w:pPr>
        <w:pStyle w:val="paragraph"/>
      </w:pPr>
      <w:r w:rsidRPr="001C4BC1">
        <w:tab/>
        <w:t>(b)</w:t>
      </w:r>
      <w:r w:rsidRPr="001C4BC1">
        <w:tab/>
        <w:t xml:space="preserve">during any period, or during all periods, when the </w:t>
      </w:r>
      <w:r>
        <w:t>Council Chair</w:t>
      </w:r>
      <w:r w:rsidRPr="001C4BC1">
        <w:t>:</w:t>
      </w:r>
    </w:p>
    <w:p w14:paraId="75D95923" w14:textId="77777777" w:rsidR="00BC2B55" w:rsidRPr="001C4BC1" w:rsidRDefault="00BC2B55" w:rsidP="001C2B21">
      <w:pPr>
        <w:pStyle w:val="paragraphsub"/>
      </w:pPr>
      <w:r w:rsidRPr="001C4BC1">
        <w:tab/>
        <w:t>(i)</w:t>
      </w:r>
      <w:r w:rsidRPr="001C4BC1">
        <w:tab/>
        <w:t>is absent from duty; or</w:t>
      </w:r>
    </w:p>
    <w:p w14:paraId="2E3D7D5D" w14:textId="77777777" w:rsidR="00BC2B55" w:rsidRDefault="00BC2B55" w:rsidP="001C2B21">
      <w:pPr>
        <w:pStyle w:val="paragraphsub"/>
      </w:pPr>
      <w:r w:rsidRPr="001C4BC1">
        <w:tab/>
        <w:t>(ii)</w:t>
      </w:r>
      <w:r w:rsidRPr="001C4BC1">
        <w:tab/>
        <w:t>is, for any reason, unable to perform the duties of the office.</w:t>
      </w:r>
    </w:p>
    <w:p w14:paraId="2735D698" w14:textId="002BE601" w:rsidR="001C42FF" w:rsidRPr="001C42FF" w:rsidRDefault="001C42FF" w:rsidP="001C2B21">
      <w:pPr>
        <w:pStyle w:val="SubsectionHead"/>
      </w:pPr>
      <w:r w:rsidRPr="001C42FF">
        <w:lastRenderedPageBreak/>
        <w:t>Acting Council Deputy Chair</w:t>
      </w:r>
    </w:p>
    <w:p w14:paraId="577644FB" w14:textId="2AB7AF01" w:rsidR="001C42FF" w:rsidRPr="001C42FF" w:rsidRDefault="001C42FF" w:rsidP="001C2B21">
      <w:pPr>
        <w:pStyle w:val="subsection"/>
      </w:pPr>
      <w:r w:rsidRPr="001C42FF">
        <w:tab/>
        <w:t>(2)</w:t>
      </w:r>
      <w:r w:rsidRPr="001C42FF">
        <w:tab/>
        <w:t>The Governing Council may, by written instrument, appoint a Council member to act as the Council Deputy Chair:</w:t>
      </w:r>
    </w:p>
    <w:p w14:paraId="6F414120" w14:textId="0D39C6EC" w:rsidR="001C42FF" w:rsidRPr="001C42FF" w:rsidRDefault="001C42FF" w:rsidP="001C2B21">
      <w:pPr>
        <w:pStyle w:val="paragraph"/>
      </w:pPr>
      <w:r w:rsidRPr="001C42FF">
        <w:tab/>
        <w:t>(a)</w:t>
      </w:r>
      <w:r w:rsidRPr="001C42FF">
        <w:tab/>
        <w:t>during a vacancy in the office of the Council Deputy Chair (</w:t>
      </w:r>
      <w:proofErr w:type="gramStart"/>
      <w:r w:rsidRPr="001C42FF">
        <w:t>whether or not</w:t>
      </w:r>
      <w:proofErr w:type="gramEnd"/>
      <w:r w:rsidRPr="001C42FF">
        <w:t xml:space="preserve"> an appointment has previously been made to the office); or</w:t>
      </w:r>
    </w:p>
    <w:p w14:paraId="356C50B4" w14:textId="497E0B3E" w:rsidR="001C42FF" w:rsidRPr="001C42FF" w:rsidRDefault="001C42FF" w:rsidP="001C2B21">
      <w:pPr>
        <w:pStyle w:val="paragraph"/>
      </w:pPr>
      <w:r w:rsidRPr="001C42FF">
        <w:tab/>
        <w:t>(b)</w:t>
      </w:r>
      <w:r w:rsidRPr="001C42FF">
        <w:tab/>
        <w:t>during any period, or during all periods, when the Council Deputy Chair:</w:t>
      </w:r>
    </w:p>
    <w:p w14:paraId="1760C868" w14:textId="77777777" w:rsidR="001C42FF" w:rsidRPr="001C42FF" w:rsidRDefault="001C42FF" w:rsidP="001C2B21">
      <w:pPr>
        <w:pStyle w:val="paragraphsub"/>
      </w:pPr>
      <w:r w:rsidRPr="001C42FF">
        <w:tab/>
        <w:t>(i)</w:t>
      </w:r>
      <w:r w:rsidRPr="001C42FF">
        <w:tab/>
        <w:t>is absent from duty; or</w:t>
      </w:r>
    </w:p>
    <w:p w14:paraId="69E59299" w14:textId="32367058" w:rsidR="001C42FF" w:rsidRDefault="001C42FF" w:rsidP="001C2B21">
      <w:pPr>
        <w:pStyle w:val="paragraphsub"/>
      </w:pPr>
      <w:r w:rsidRPr="001C42FF">
        <w:tab/>
        <w:t>(ii)</w:t>
      </w:r>
      <w:r w:rsidRPr="001C42FF">
        <w:tab/>
        <w:t>is, for any reason, unable to perform the duties of the office.</w:t>
      </w:r>
    </w:p>
    <w:p w14:paraId="07FF3720" w14:textId="4893D1D4" w:rsidR="00BC2B55" w:rsidRPr="001C4BC1" w:rsidRDefault="00BC2B55" w:rsidP="001C2B21">
      <w:pPr>
        <w:pStyle w:val="SubsectionHead"/>
      </w:pPr>
      <w:r>
        <w:t>Acting appointments (other than the Council Chair)</w:t>
      </w:r>
    </w:p>
    <w:p w14:paraId="64F26E09" w14:textId="340647C6" w:rsidR="00BC2B55" w:rsidRPr="001C4BC1" w:rsidRDefault="00BC2B55" w:rsidP="001C2B21">
      <w:pPr>
        <w:pStyle w:val="subsection"/>
      </w:pPr>
      <w:r>
        <w:tab/>
      </w:r>
      <w:r w:rsidRPr="001C4BC1">
        <w:t>(</w:t>
      </w:r>
      <w:r w:rsidR="001C42FF">
        <w:t>3</w:t>
      </w:r>
      <w:r w:rsidRPr="001C4BC1">
        <w:t>)</w:t>
      </w:r>
      <w:r w:rsidRPr="001C4BC1">
        <w:tab/>
        <w:t>The Minister may</w:t>
      </w:r>
      <w:r>
        <w:t>,</w:t>
      </w:r>
      <w:r w:rsidRPr="001C4BC1">
        <w:t xml:space="preserve"> </w:t>
      </w:r>
      <w:r>
        <w:t xml:space="preserve">by written instrument, </w:t>
      </w:r>
      <w:r w:rsidRPr="001C4BC1">
        <w:t>appoint a person to act as a Council member</w:t>
      </w:r>
      <w:r>
        <w:t xml:space="preserve"> (other than the Council Chair)</w:t>
      </w:r>
      <w:r w:rsidRPr="001C4BC1">
        <w:t>:</w:t>
      </w:r>
    </w:p>
    <w:p w14:paraId="43743DF0" w14:textId="29CADDA3" w:rsidR="00BC2B55" w:rsidRPr="001C4BC1" w:rsidRDefault="00BC2B55" w:rsidP="001C2B21">
      <w:pPr>
        <w:pStyle w:val="paragraph"/>
      </w:pPr>
      <w:r w:rsidRPr="001C4BC1">
        <w:tab/>
        <w:t>(a)</w:t>
      </w:r>
      <w:r w:rsidRPr="001C4BC1">
        <w:tab/>
      </w:r>
      <w:r w:rsidR="00672AD5" w:rsidRPr="001C4BC1">
        <w:t xml:space="preserve">during a vacancy in the office of a </w:t>
      </w:r>
      <w:r w:rsidR="00672AD5">
        <w:t>Council</w:t>
      </w:r>
      <w:r w:rsidR="00672AD5" w:rsidRPr="001C4BC1">
        <w:t xml:space="preserve"> member</w:t>
      </w:r>
      <w:r w:rsidR="00CA5017">
        <w:t xml:space="preserve"> (other than the Council Chair), </w:t>
      </w:r>
      <w:proofErr w:type="gramStart"/>
      <w:r w:rsidR="00672AD5" w:rsidRPr="001C4BC1">
        <w:t>whether or not</w:t>
      </w:r>
      <w:proofErr w:type="gramEnd"/>
      <w:r w:rsidR="00672AD5" w:rsidRPr="001C4BC1">
        <w:t xml:space="preserve"> an appointment has previously been made to the office</w:t>
      </w:r>
      <w:r w:rsidRPr="001C4BC1">
        <w:t>; or</w:t>
      </w:r>
    </w:p>
    <w:p w14:paraId="5D7904E4" w14:textId="77777777" w:rsidR="00BC2B55" w:rsidRPr="001C4BC1" w:rsidRDefault="00BC2B55" w:rsidP="001C2B21">
      <w:pPr>
        <w:pStyle w:val="paragraph"/>
      </w:pPr>
      <w:r w:rsidRPr="001C4BC1">
        <w:tab/>
        <w:t>(b)</w:t>
      </w:r>
      <w:r w:rsidRPr="001C4BC1">
        <w:tab/>
        <w:t xml:space="preserve">during any period, or during all periods, when </w:t>
      </w:r>
      <w:r>
        <w:t xml:space="preserve">such </w:t>
      </w:r>
      <w:r w:rsidRPr="001C4BC1">
        <w:t>a Council member:</w:t>
      </w:r>
    </w:p>
    <w:p w14:paraId="06BD7D77" w14:textId="77777777" w:rsidR="00BC2B55" w:rsidRPr="001C4BC1" w:rsidRDefault="00BC2B55" w:rsidP="001C2B21">
      <w:pPr>
        <w:pStyle w:val="paragraphsub"/>
      </w:pPr>
      <w:r w:rsidRPr="001C4BC1">
        <w:tab/>
        <w:t>(i)</w:t>
      </w:r>
      <w:r w:rsidRPr="001C4BC1">
        <w:tab/>
        <w:t>is absent from duty or from Australia; or</w:t>
      </w:r>
    </w:p>
    <w:p w14:paraId="2E830184" w14:textId="77777777" w:rsidR="00BC2B55" w:rsidRPr="001C4BC1" w:rsidRDefault="00BC2B55" w:rsidP="001C2B21">
      <w:pPr>
        <w:pStyle w:val="paragraphsub"/>
      </w:pPr>
      <w:r w:rsidRPr="001C4BC1">
        <w:tab/>
        <w:t>(ii)</w:t>
      </w:r>
      <w:r w:rsidRPr="001C4BC1">
        <w:tab/>
        <w:t>is, for any reason, unable to perform the duties of the office.</w:t>
      </w:r>
    </w:p>
    <w:p w14:paraId="72DE0323" w14:textId="77777777" w:rsidR="00BC2B55" w:rsidRDefault="00BC2B55" w:rsidP="001C2B21">
      <w:pPr>
        <w:pStyle w:val="notetext"/>
      </w:pPr>
      <w:r w:rsidRPr="001C4BC1">
        <w:t>Note:</w:t>
      </w:r>
      <w:r w:rsidRPr="001C4BC1">
        <w:tab/>
        <w:t xml:space="preserve">For rules that apply to acting appointments, see sections 33AB and 33A of the </w:t>
      </w:r>
      <w:r w:rsidRPr="001C4BC1">
        <w:rPr>
          <w:i/>
          <w:iCs/>
        </w:rPr>
        <w:t>Acts Interpretation Act 1901</w:t>
      </w:r>
      <w:r w:rsidRPr="001C4BC1">
        <w:t>.</w:t>
      </w:r>
    </w:p>
    <w:p w14:paraId="1D5234D7" w14:textId="7495E026" w:rsidR="006E337B" w:rsidRDefault="006E337B" w:rsidP="001C2B21">
      <w:pPr>
        <w:pStyle w:val="SubsectionHead"/>
      </w:pPr>
      <w:r>
        <w:t>Eligibility</w:t>
      </w:r>
    </w:p>
    <w:p w14:paraId="4A2B3BEB" w14:textId="4E902D0D" w:rsidR="00BC2B55" w:rsidRDefault="00BC2B55" w:rsidP="001C2B21">
      <w:pPr>
        <w:pStyle w:val="subsection"/>
      </w:pPr>
      <w:r>
        <w:tab/>
      </w:r>
      <w:r w:rsidRPr="00BF4083">
        <w:t>(</w:t>
      </w:r>
      <w:r w:rsidR="001C42FF">
        <w:t>4</w:t>
      </w:r>
      <w:r w:rsidRPr="00BF4083">
        <w:t>)</w:t>
      </w:r>
      <w:r w:rsidRPr="00BF4083">
        <w:tab/>
        <w:t xml:space="preserve">A person is not eligible for appointment under </w:t>
      </w:r>
      <w:r w:rsidR="001C2B21">
        <w:t>subsection (</w:t>
      </w:r>
      <w:r>
        <w:t>1</w:t>
      </w:r>
      <w:r w:rsidRPr="00BF4083">
        <w:t>)</w:t>
      </w:r>
      <w:r>
        <w:t xml:space="preserve"> or (</w:t>
      </w:r>
      <w:r w:rsidR="00455637">
        <w:t>3</w:t>
      </w:r>
      <w:r>
        <w:t>)</w:t>
      </w:r>
      <w:r w:rsidRPr="00BF4083">
        <w:t xml:space="preserve"> unless the Minister is satisfied that the person</w:t>
      </w:r>
      <w:r>
        <w:t xml:space="preserve"> is eligible for appointment as a Council member</w:t>
      </w:r>
      <w:r w:rsidRPr="00BF4083">
        <w:t>.</w:t>
      </w:r>
    </w:p>
    <w:p w14:paraId="77A676EA" w14:textId="6B2004D3" w:rsidR="00BC2B55" w:rsidRDefault="00BC2B55" w:rsidP="001C2B21">
      <w:pPr>
        <w:pStyle w:val="subsection"/>
      </w:pPr>
      <w:r>
        <w:tab/>
        <w:t>(</w:t>
      </w:r>
      <w:r w:rsidR="001C42FF">
        <w:t>5</w:t>
      </w:r>
      <w:r>
        <w:t>)</w:t>
      </w:r>
      <w:r>
        <w:tab/>
      </w:r>
      <w:r w:rsidRPr="004655F9">
        <w:t xml:space="preserve">In appointing a person under </w:t>
      </w:r>
      <w:r w:rsidR="001C2B21">
        <w:t>subsection (</w:t>
      </w:r>
      <w:r w:rsidRPr="004655F9">
        <w:t>1) or (</w:t>
      </w:r>
      <w:r w:rsidR="00455637">
        <w:t>3</w:t>
      </w:r>
      <w:r w:rsidRPr="004655F9">
        <w:t xml:space="preserve">), the Minister must have regard to the principle mentioned in subsection </w:t>
      </w:r>
      <w:r w:rsidR="001E09C2">
        <w:t>227</w:t>
      </w:r>
      <w:proofErr w:type="gramStart"/>
      <w:r w:rsidR="001E09C2">
        <w:t>A</w:t>
      </w:r>
      <w:r w:rsidRPr="004655F9">
        <w:t>(</w:t>
      </w:r>
      <w:proofErr w:type="gramEnd"/>
      <w:r>
        <w:t>5</w:t>
      </w:r>
      <w:r w:rsidRPr="004655F9">
        <w:t>)</w:t>
      </w:r>
      <w:r>
        <w:t>.</w:t>
      </w:r>
    </w:p>
    <w:p w14:paraId="038D506D" w14:textId="46660571" w:rsidR="00BC2B55" w:rsidRPr="001C4BC1" w:rsidRDefault="001E09C2" w:rsidP="001C2B21">
      <w:pPr>
        <w:pStyle w:val="ActHead5"/>
      </w:pPr>
      <w:r>
        <w:rPr>
          <w:rStyle w:val="CharSectno"/>
        </w:rPr>
        <w:t>227</w:t>
      </w:r>
      <w:proofErr w:type="gramStart"/>
      <w:r>
        <w:rPr>
          <w:rStyle w:val="CharSectno"/>
        </w:rPr>
        <w:t>E</w:t>
      </w:r>
      <w:r w:rsidR="00BC2B55" w:rsidRPr="001C4BC1">
        <w:t xml:space="preserve">  Terms</w:t>
      </w:r>
      <w:proofErr w:type="gramEnd"/>
      <w:r w:rsidR="00BC2B55" w:rsidRPr="001C4BC1">
        <w:t xml:space="preserve"> and conditions—</w:t>
      </w:r>
      <w:r w:rsidR="00BC7281">
        <w:t>general</w:t>
      </w:r>
    </w:p>
    <w:p w14:paraId="5F530D3C" w14:textId="77777777" w:rsidR="00BC2B55" w:rsidRPr="001C4BC1" w:rsidRDefault="00BC2B55" w:rsidP="001C2B21">
      <w:pPr>
        <w:pStyle w:val="subsection"/>
      </w:pPr>
      <w:r w:rsidRPr="001C4BC1">
        <w:tab/>
      </w:r>
      <w:r w:rsidRPr="001C4BC1">
        <w:tab/>
        <w:t>A Council member holds office on the terms and conditions (if any) in relation to matters not covered by this Act as the Minister determines in writing.</w:t>
      </w:r>
    </w:p>
    <w:p w14:paraId="102F9403" w14:textId="52EBA461" w:rsidR="00BC2B55" w:rsidRPr="001C4BC1" w:rsidRDefault="001E09C2" w:rsidP="001C2B21">
      <w:pPr>
        <w:pStyle w:val="ActHead5"/>
      </w:pPr>
      <w:r>
        <w:rPr>
          <w:rStyle w:val="CharSectno"/>
        </w:rPr>
        <w:lastRenderedPageBreak/>
        <w:t>227</w:t>
      </w:r>
      <w:proofErr w:type="gramStart"/>
      <w:r>
        <w:rPr>
          <w:rStyle w:val="CharSectno"/>
        </w:rPr>
        <w:t>F</w:t>
      </w:r>
      <w:r w:rsidR="00BC2B55" w:rsidRPr="001C4BC1">
        <w:t xml:space="preserve">  Remuneration</w:t>
      </w:r>
      <w:proofErr w:type="gramEnd"/>
    </w:p>
    <w:p w14:paraId="0C4DE912" w14:textId="78BD2661" w:rsidR="00BC2B55" w:rsidRPr="001C4BC1" w:rsidRDefault="00BC2B55" w:rsidP="001C2B21">
      <w:pPr>
        <w:pStyle w:val="subsection"/>
      </w:pPr>
      <w:r w:rsidRPr="001C4BC1">
        <w:tab/>
        <w:t>(1)</w:t>
      </w:r>
      <w:r w:rsidRPr="001C4BC1">
        <w:tab/>
        <w:t xml:space="preserve">A Council member is to be paid the remuneration that is determined by the Remuneration Tribunal. If no determination of that remuneration by the Tribunal is in operation, the member is to be paid the remuneration that is prescribed under </w:t>
      </w:r>
      <w:r w:rsidR="001C2B21">
        <w:t>subsection (</w:t>
      </w:r>
      <w:r w:rsidRPr="001C4BC1">
        <w:t>4).</w:t>
      </w:r>
    </w:p>
    <w:p w14:paraId="23F310F0" w14:textId="523F8740" w:rsidR="00BC2B55" w:rsidRPr="001C4BC1" w:rsidRDefault="00BC2B55" w:rsidP="001C2B21">
      <w:pPr>
        <w:pStyle w:val="subsection"/>
      </w:pPr>
      <w:r w:rsidRPr="001C4BC1">
        <w:tab/>
        <w:t>(2)</w:t>
      </w:r>
      <w:r w:rsidRPr="001C4BC1">
        <w:tab/>
        <w:t xml:space="preserve">A Council member is to be paid the allowances that are prescribed under </w:t>
      </w:r>
      <w:r w:rsidR="001C2B21">
        <w:t>subsection (</w:t>
      </w:r>
      <w:r w:rsidRPr="001C4BC1">
        <w:t>4).</w:t>
      </w:r>
    </w:p>
    <w:p w14:paraId="3EDD7FE9" w14:textId="77777777" w:rsidR="00BC2B55" w:rsidRPr="001C4BC1" w:rsidRDefault="00BC2B55" w:rsidP="001C2B21">
      <w:pPr>
        <w:pStyle w:val="subsection"/>
        <w:rPr>
          <w:i/>
          <w:iCs/>
        </w:rPr>
      </w:pPr>
      <w:r w:rsidRPr="001C4BC1">
        <w:tab/>
        <w:t>(3)</w:t>
      </w:r>
      <w:r w:rsidRPr="001C4BC1">
        <w:tab/>
        <w:t xml:space="preserve">This section has effect subject to the </w:t>
      </w:r>
      <w:r w:rsidRPr="001C4BC1">
        <w:rPr>
          <w:i/>
          <w:iCs/>
        </w:rPr>
        <w:t>Remuneration Tribunal Act 1973</w:t>
      </w:r>
      <w:r w:rsidRPr="00A83431">
        <w:t>.</w:t>
      </w:r>
    </w:p>
    <w:p w14:paraId="5280D460" w14:textId="77777777" w:rsidR="00BC2B55" w:rsidRPr="001C4BC1" w:rsidRDefault="00BC2B55" w:rsidP="001C2B21">
      <w:pPr>
        <w:pStyle w:val="subsection"/>
      </w:pPr>
      <w:r w:rsidRPr="001C4BC1">
        <w:tab/>
        <w:t>(4)</w:t>
      </w:r>
      <w:r w:rsidRPr="001C4BC1">
        <w:tab/>
        <w:t>The Minister may, by legislative instrument, prescribe:</w:t>
      </w:r>
    </w:p>
    <w:p w14:paraId="336052B3" w14:textId="7C0D5E91" w:rsidR="00BC2B55" w:rsidRPr="001C4BC1" w:rsidRDefault="00BC2B55" w:rsidP="001C2B21">
      <w:pPr>
        <w:pStyle w:val="paragraph"/>
      </w:pPr>
      <w:r w:rsidRPr="001C4BC1">
        <w:tab/>
        <w:t>(a)</w:t>
      </w:r>
      <w:r w:rsidRPr="001C4BC1">
        <w:tab/>
        <w:t xml:space="preserve">remuneration for the purposes of </w:t>
      </w:r>
      <w:r w:rsidR="001C2B21">
        <w:t>subsection (</w:t>
      </w:r>
      <w:r w:rsidRPr="001C4BC1">
        <w:t>1); and</w:t>
      </w:r>
    </w:p>
    <w:p w14:paraId="11515F1E" w14:textId="0258EB6D" w:rsidR="00BC2B55" w:rsidRPr="001C4BC1" w:rsidRDefault="00BC2B55" w:rsidP="001C2B21">
      <w:pPr>
        <w:pStyle w:val="paragraph"/>
      </w:pPr>
      <w:r w:rsidRPr="001C4BC1">
        <w:tab/>
        <w:t>(b)</w:t>
      </w:r>
      <w:r w:rsidRPr="001C4BC1">
        <w:tab/>
        <w:t xml:space="preserve">allowances for the purposes of </w:t>
      </w:r>
      <w:r w:rsidR="001C2B21">
        <w:t>subsection (</w:t>
      </w:r>
      <w:r w:rsidRPr="001C4BC1">
        <w:t>2).</w:t>
      </w:r>
    </w:p>
    <w:p w14:paraId="79BABD50" w14:textId="350DFF65" w:rsidR="00BC2B55" w:rsidRPr="001C4BC1" w:rsidRDefault="001E09C2" w:rsidP="001C2B21">
      <w:pPr>
        <w:pStyle w:val="ActHead5"/>
      </w:pPr>
      <w:r>
        <w:rPr>
          <w:rStyle w:val="CharSectno"/>
        </w:rPr>
        <w:t>227</w:t>
      </w:r>
      <w:proofErr w:type="gramStart"/>
      <w:r>
        <w:rPr>
          <w:rStyle w:val="CharSectno"/>
        </w:rPr>
        <w:t>G</w:t>
      </w:r>
      <w:r w:rsidR="00BC2B55" w:rsidRPr="001C4BC1">
        <w:t xml:space="preserve">  Leave</w:t>
      </w:r>
      <w:proofErr w:type="gramEnd"/>
      <w:r w:rsidR="00BC2B55" w:rsidRPr="001C4BC1">
        <w:t xml:space="preserve"> of absence</w:t>
      </w:r>
    </w:p>
    <w:p w14:paraId="0BFDA7D8" w14:textId="46658D94" w:rsidR="00BC2B55" w:rsidRPr="001C4BC1" w:rsidRDefault="00BC2B55" w:rsidP="001C2B21">
      <w:pPr>
        <w:pStyle w:val="subsection"/>
      </w:pPr>
      <w:r w:rsidRPr="001C4BC1">
        <w:tab/>
        <w:t>(1)</w:t>
      </w:r>
      <w:r w:rsidRPr="001C4BC1">
        <w:tab/>
        <w:t>If the Council Chair is appointed on a full</w:t>
      </w:r>
      <w:r w:rsidR="001C2B21">
        <w:noBreakHyphen/>
      </w:r>
      <w:r w:rsidRPr="001C4BC1">
        <w:t>time basis:</w:t>
      </w:r>
    </w:p>
    <w:p w14:paraId="1D1CADA9" w14:textId="77777777" w:rsidR="00BC2B55" w:rsidRPr="001C4BC1" w:rsidRDefault="00BC2B55" w:rsidP="001C2B21">
      <w:pPr>
        <w:pStyle w:val="paragraph"/>
      </w:pPr>
      <w:r w:rsidRPr="001C4BC1">
        <w:tab/>
        <w:t>(a)</w:t>
      </w:r>
      <w:r w:rsidRPr="001C4BC1">
        <w:tab/>
        <w:t>the Council Chair has the recreation leave entitlements that are determined by the Remuneration Tribunal; and</w:t>
      </w:r>
    </w:p>
    <w:p w14:paraId="703EFBF7" w14:textId="77777777" w:rsidR="00BC2B55" w:rsidRPr="001C4BC1" w:rsidRDefault="00BC2B55" w:rsidP="001C2B21">
      <w:pPr>
        <w:pStyle w:val="paragraph"/>
      </w:pPr>
      <w:r w:rsidRPr="001C4BC1">
        <w:tab/>
        <w:t>(b)</w:t>
      </w:r>
      <w:r w:rsidRPr="001C4BC1">
        <w:tab/>
        <w:t>the Minister may grant the Council Chair a leave of absence, other than recreation leave, on such terms and conditions as to remuneration or otherwise as the Minister determines.</w:t>
      </w:r>
    </w:p>
    <w:p w14:paraId="3B552F30" w14:textId="1DDE7369" w:rsidR="00BC2B55" w:rsidRPr="001C4BC1" w:rsidRDefault="00BC2B55" w:rsidP="001C2B21">
      <w:pPr>
        <w:pStyle w:val="subsection"/>
      </w:pPr>
      <w:r w:rsidRPr="001C4BC1">
        <w:tab/>
        <w:t>(2)</w:t>
      </w:r>
      <w:r w:rsidRPr="001C4BC1">
        <w:tab/>
        <w:t>The Minister may grant leave of absence to any part</w:t>
      </w:r>
      <w:r w:rsidR="001C2B21">
        <w:noBreakHyphen/>
      </w:r>
      <w:r w:rsidRPr="001C4BC1">
        <w:t>time Council member on the terms and conditions that the Minister determines.</w:t>
      </w:r>
    </w:p>
    <w:p w14:paraId="4E001309" w14:textId="750B9D94" w:rsidR="00BC2B55" w:rsidRPr="001C4BC1" w:rsidRDefault="001E09C2" w:rsidP="001C2B21">
      <w:pPr>
        <w:pStyle w:val="ActHead5"/>
      </w:pPr>
      <w:r>
        <w:rPr>
          <w:rStyle w:val="CharSectno"/>
        </w:rPr>
        <w:t>227</w:t>
      </w:r>
      <w:proofErr w:type="gramStart"/>
      <w:r>
        <w:rPr>
          <w:rStyle w:val="CharSectno"/>
        </w:rPr>
        <w:t>H</w:t>
      </w:r>
      <w:r w:rsidR="00BC2B55" w:rsidRPr="001C4BC1">
        <w:t xml:space="preserve">  Other</w:t>
      </w:r>
      <w:proofErr w:type="gramEnd"/>
      <w:r w:rsidR="00BC2B55" w:rsidRPr="001C4BC1">
        <w:t xml:space="preserve"> paid work</w:t>
      </w:r>
    </w:p>
    <w:p w14:paraId="73E72EDC" w14:textId="2BD51D28" w:rsidR="00BC2B55" w:rsidRPr="001C4BC1" w:rsidRDefault="00BC2B55" w:rsidP="001C2B21">
      <w:pPr>
        <w:pStyle w:val="subsection"/>
      </w:pPr>
      <w:r w:rsidRPr="001C4BC1">
        <w:tab/>
      </w:r>
      <w:r w:rsidRPr="001C4BC1">
        <w:tab/>
        <w:t>If the Council Chair is appointed on a full</w:t>
      </w:r>
      <w:r w:rsidR="001C2B21">
        <w:noBreakHyphen/>
      </w:r>
      <w:r w:rsidRPr="001C4BC1">
        <w:t>time basis</w:t>
      </w:r>
      <w:r w:rsidR="00455637">
        <w:t xml:space="preserve">, </w:t>
      </w:r>
      <w:r w:rsidRPr="001C4BC1">
        <w:t>the Council Chair must not engage in paid work outside the duties of the Council Chair’s office without the Minister’s approval.</w:t>
      </w:r>
    </w:p>
    <w:p w14:paraId="4DA34CA5" w14:textId="59A93970" w:rsidR="00BC2B55" w:rsidRPr="001C4BC1" w:rsidRDefault="001E09C2" w:rsidP="001C2B21">
      <w:pPr>
        <w:pStyle w:val="ActHead5"/>
      </w:pPr>
      <w:bookmarkStart w:id="1" w:name="_Hlk207972659"/>
      <w:r>
        <w:rPr>
          <w:rStyle w:val="CharSectno"/>
        </w:rPr>
        <w:t>227</w:t>
      </w:r>
      <w:proofErr w:type="gramStart"/>
      <w:r>
        <w:rPr>
          <w:rStyle w:val="CharSectno"/>
        </w:rPr>
        <w:t>J</w:t>
      </w:r>
      <w:r w:rsidR="00BC2B55" w:rsidRPr="001C4BC1">
        <w:t xml:space="preserve">  Disclosure</w:t>
      </w:r>
      <w:proofErr w:type="gramEnd"/>
      <w:r w:rsidR="00BC2B55" w:rsidRPr="001C4BC1">
        <w:t xml:space="preserve"> of interests</w:t>
      </w:r>
    </w:p>
    <w:p w14:paraId="0CC04630" w14:textId="454FC1A8" w:rsidR="00BC2B55" w:rsidRDefault="00BC2B55" w:rsidP="001C2B21">
      <w:pPr>
        <w:pStyle w:val="subsection"/>
      </w:pPr>
      <w:r w:rsidRPr="001C4BC1">
        <w:tab/>
        <w:t>(1)</w:t>
      </w:r>
      <w:r w:rsidRPr="001C4BC1">
        <w:tab/>
      </w:r>
      <w:r w:rsidRPr="00666292">
        <w:t xml:space="preserve">A disclosure by a Council member (the </w:t>
      </w:r>
      <w:r w:rsidRPr="00666292">
        <w:rPr>
          <w:b/>
          <w:bCs/>
          <w:i/>
          <w:iCs/>
        </w:rPr>
        <w:t>relevant member</w:t>
      </w:r>
      <w:r w:rsidRPr="00666292">
        <w:t xml:space="preserve">) under </w:t>
      </w:r>
      <w:r w:rsidR="00874A53">
        <w:t>section 2</w:t>
      </w:r>
      <w:r w:rsidRPr="00666292">
        <w:t xml:space="preserve">9 of the </w:t>
      </w:r>
      <w:r w:rsidRPr="00666292">
        <w:rPr>
          <w:i/>
          <w:iCs/>
        </w:rPr>
        <w:t xml:space="preserve">Public Governance, Performance and Accountability Act 2013 </w:t>
      </w:r>
      <w:r w:rsidRPr="00666292">
        <w:t>(which deals with the duty to disclose interests) must be made to the other Council members as soon as practicable after the relevant member becomes aware of the interest, regardless of when the next meeting of the Governing Council is to be held.</w:t>
      </w:r>
    </w:p>
    <w:p w14:paraId="475156A9" w14:textId="77777777" w:rsidR="00BC2B55" w:rsidRPr="00491BEB" w:rsidRDefault="00BC2B55" w:rsidP="001C2B21">
      <w:pPr>
        <w:pStyle w:val="subsection"/>
      </w:pPr>
      <w:r>
        <w:lastRenderedPageBreak/>
        <w:tab/>
        <w:t>(2)</w:t>
      </w:r>
      <w:r>
        <w:tab/>
      </w:r>
      <w:r w:rsidRPr="00491BEB">
        <w:t>The Council member presiding at the first meeting of the Governing Council following the making of the disclosure must:</w:t>
      </w:r>
    </w:p>
    <w:p w14:paraId="16766637" w14:textId="4ED82B87" w:rsidR="00BC2B55" w:rsidRPr="00E65D4E" w:rsidRDefault="00BC2B55" w:rsidP="001C2B21">
      <w:pPr>
        <w:pStyle w:val="paragraph"/>
      </w:pPr>
      <w:r>
        <w:tab/>
      </w:r>
      <w:r w:rsidRPr="00E65D4E">
        <w:t>(a)</w:t>
      </w:r>
      <w:r>
        <w:tab/>
      </w:r>
      <w:r w:rsidRPr="00E65D4E">
        <w:t>table the disclosure at that meeting;</w:t>
      </w:r>
      <w:r w:rsidR="008222BD">
        <w:t xml:space="preserve"> and</w:t>
      </w:r>
    </w:p>
    <w:p w14:paraId="573C1722" w14:textId="77777777" w:rsidR="00BC2B55" w:rsidRDefault="00BC2B55" w:rsidP="001C2B21">
      <w:pPr>
        <w:pStyle w:val="paragraph"/>
      </w:pPr>
      <w:r>
        <w:tab/>
      </w:r>
      <w:r w:rsidRPr="00E65D4E">
        <w:t>(b)</w:t>
      </w:r>
      <w:r>
        <w:tab/>
      </w:r>
      <w:r w:rsidRPr="00E65D4E">
        <w:t>ensure that the interest disclosed is recorded in the minutes of that meeting.</w:t>
      </w:r>
    </w:p>
    <w:p w14:paraId="1FBF3630" w14:textId="3B62E70F" w:rsidR="00BC2B55" w:rsidRPr="00385614" w:rsidRDefault="00BC2B55" w:rsidP="001C2B21">
      <w:pPr>
        <w:pStyle w:val="subsection"/>
      </w:pPr>
      <w:r>
        <w:tab/>
      </w:r>
      <w:r w:rsidRPr="00385614">
        <w:t>(</w:t>
      </w:r>
      <w:r>
        <w:t>3</w:t>
      </w:r>
      <w:r w:rsidRPr="00385614">
        <w:t>)</w:t>
      </w:r>
      <w:r w:rsidRPr="00385614">
        <w:tab/>
      </w:r>
      <w:r w:rsidR="003861E7">
        <w:t>Subsection (</w:t>
      </w:r>
      <w:r w:rsidRPr="00385614">
        <w:t>1) applies in addition to any rules made for the purposes of that section.</w:t>
      </w:r>
    </w:p>
    <w:p w14:paraId="058EA0F7" w14:textId="17A302AC" w:rsidR="00BC2B55" w:rsidRDefault="00BC2B55" w:rsidP="001C2B21">
      <w:pPr>
        <w:pStyle w:val="subsection"/>
      </w:pPr>
      <w:r w:rsidRPr="001C4BC1">
        <w:tab/>
        <w:t>(</w:t>
      </w:r>
      <w:r>
        <w:t>4</w:t>
      </w:r>
      <w:r w:rsidRPr="001C4BC1">
        <w:t>)</w:t>
      </w:r>
      <w:r w:rsidRPr="001C4BC1">
        <w:tab/>
        <w:t xml:space="preserve">For the purposes of this Act and the </w:t>
      </w:r>
      <w:r w:rsidRPr="001C4BC1">
        <w:rPr>
          <w:i/>
          <w:iCs/>
        </w:rPr>
        <w:t>Public Governance, Performance and Accountability Act 2013</w:t>
      </w:r>
      <w:r w:rsidRPr="001C4BC1">
        <w:t xml:space="preserve">, the Council member is taken not to have complied with </w:t>
      </w:r>
      <w:r w:rsidR="00874A53">
        <w:t>section 2</w:t>
      </w:r>
      <w:r w:rsidRPr="001C4BC1">
        <w:t xml:space="preserve">9 of that Act if the Council member does not comply with </w:t>
      </w:r>
      <w:r w:rsidR="001C2B21">
        <w:t>subsection (</w:t>
      </w:r>
      <w:r w:rsidRPr="001C4BC1">
        <w:t>1) of this section.</w:t>
      </w:r>
    </w:p>
    <w:bookmarkEnd w:id="1"/>
    <w:p w14:paraId="4BC1C8D2" w14:textId="4DCD8236" w:rsidR="00BC2B55" w:rsidRPr="001C4BC1" w:rsidRDefault="001E09C2" w:rsidP="001C2B21">
      <w:pPr>
        <w:pStyle w:val="ActHead5"/>
      </w:pPr>
      <w:r>
        <w:rPr>
          <w:rStyle w:val="CharSectno"/>
        </w:rPr>
        <w:t>227</w:t>
      </w:r>
      <w:proofErr w:type="gramStart"/>
      <w:r>
        <w:rPr>
          <w:rStyle w:val="CharSectno"/>
        </w:rPr>
        <w:t>K</w:t>
      </w:r>
      <w:r w:rsidR="00BC2B55" w:rsidRPr="001C4BC1">
        <w:t xml:space="preserve">  Resignation</w:t>
      </w:r>
      <w:proofErr w:type="gramEnd"/>
      <w:r w:rsidR="00BC2B55" w:rsidRPr="001C4BC1">
        <w:t xml:space="preserve"> of appointment</w:t>
      </w:r>
    </w:p>
    <w:p w14:paraId="6441F6C1" w14:textId="77777777" w:rsidR="00BC2B55" w:rsidRPr="001C4BC1" w:rsidRDefault="00BC2B55" w:rsidP="001C2B21">
      <w:pPr>
        <w:pStyle w:val="subsection"/>
      </w:pPr>
      <w:r w:rsidRPr="001C4BC1">
        <w:tab/>
        <w:t>(1)</w:t>
      </w:r>
      <w:r w:rsidRPr="001C4BC1">
        <w:tab/>
        <w:t>A Council member may resign the member’s appointment by giving the Minister a written resignation.</w:t>
      </w:r>
    </w:p>
    <w:p w14:paraId="51A43B7B" w14:textId="39B6CB90" w:rsidR="00BC2B55" w:rsidRDefault="00BC2B55" w:rsidP="001C2B21">
      <w:pPr>
        <w:pStyle w:val="subsection"/>
      </w:pPr>
      <w:r w:rsidRPr="001C4BC1">
        <w:tab/>
        <w:t>(2)</w:t>
      </w:r>
      <w:r w:rsidRPr="001C4BC1">
        <w:tab/>
        <w:t>The resignation</w:t>
      </w:r>
      <w:r w:rsidR="00714F8C">
        <w:t xml:space="preserve"> of a Council member</w:t>
      </w:r>
      <w:r w:rsidR="00516A3A">
        <w:t xml:space="preserve"> under </w:t>
      </w:r>
      <w:r w:rsidR="001C2B21">
        <w:t>subsection (</w:t>
      </w:r>
      <w:r w:rsidR="00516A3A">
        <w:t>1)</w:t>
      </w:r>
      <w:r w:rsidRPr="001C4BC1">
        <w:t xml:space="preserve"> takes effect on the day it is received by the Minister or, if a later day is specified in the resignation, on that </w:t>
      </w:r>
      <w:bookmarkStart w:id="2" w:name="_Hlk208565815"/>
      <w:r w:rsidRPr="001C4BC1">
        <w:t>later day.</w:t>
      </w:r>
    </w:p>
    <w:p w14:paraId="31972D52" w14:textId="5DA71B0A" w:rsidR="00714F8C" w:rsidRDefault="00714F8C" w:rsidP="001C2B21">
      <w:pPr>
        <w:pStyle w:val="subsection"/>
      </w:pPr>
      <w:r>
        <w:tab/>
        <w:t>(3)</w:t>
      </w:r>
      <w:r>
        <w:tab/>
        <w:t xml:space="preserve">A Council member may resign an appointment as Council Deputy Chair by giving the </w:t>
      </w:r>
      <w:r w:rsidR="00E96918">
        <w:t xml:space="preserve">Governing Council </w:t>
      </w:r>
      <w:r>
        <w:t>a written notice of resignation. The resignation does not affect the person’s appointment as a Council member.</w:t>
      </w:r>
    </w:p>
    <w:p w14:paraId="1809232D" w14:textId="4C97BF7A" w:rsidR="00714F8C" w:rsidRDefault="00714F8C" w:rsidP="001C2B21">
      <w:pPr>
        <w:pStyle w:val="subsection"/>
      </w:pPr>
      <w:r>
        <w:tab/>
        <w:t>(4)</w:t>
      </w:r>
      <w:r>
        <w:tab/>
        <w:t xml:space="preserve">The resignation of the Council Deputy Chair </w:t>
      </w:r>
      <w:r w:rsidR="00516A3A">
        <w:t xml:space="preserve">under </w:t>
      </w:r>
      <w:r w:rsidR="001C2B21">
        <w:t>subsection (</w:t>
      </w:r>
      <w:r w:rsidR="00516A3A">
        <w:t xml:space="preserve">3) </w:t>
      </w:r>
      <w:r>
        <w:t xml:space="preserve">takes effect on the day it is received by the </w:t>
      </w:r>
      <w:r w:rsidR="00E96918">
        <w:t>Governing Council</w:t>
      </w:r>
      <w:r>
        <w:t xml:space="preserve"> or, if a later day is specified in the resignation, on that later day.</w:t>
      </w:r>
    </w:p>
    <w:p w14:paraId="248AB0B5" w14:textId="600935CB" w:rsidR="00BC2B55" w:rsidRPr="001C4BC1" w:rsidRDefault="001E09C2" w:rsidP="001C2B21">
      <w:pPr>
        <w:pStyle w:val="ActHead5"/>
      </w:pPr>
      <w:bookmarkStart w:id="3" w:name="_Hlk207972679"/>
      <w:r>
        <w:rPr>
          <w:rStyle w:val="CharSectno"/>
        </w:rPr>
        <w:t>227</w:t>
      </w:r>
      <w:proofErr w:type="gramStart"/>
      <w:r>
        <w:rPr>
          <w:rStyle w:val="CharSectno"/>
        </w:rPr>
        <w:t>L</w:t>
      </w:r>
      <w:r w:rsidR="00BC2B55" w:rsidRPr="001C4BC1">
        <w:t xml:space="preserve">  Termination</w:t>
      </w:r>
      <w:proofErr w:type="gramEnd"/>
      <w:r w:rsidR="00BC2B55" w:rsidRPr="001C4BC1">
        <w:t xml:space="preserve"> of appointment</w:t>
      </w:r>
    </w:p>
    <w:p w14:paraId="77A9CD1E" w14:textId="77777777" w:rsidR="00BC2B55" w:rsidRPr="001C4BC1" w:rsidRDefault="00BC2B55" w:rsidP="001C2B21">
      <w:pPr>
        <w:pStyle w:val="subsection"/>
      </w:pPr>
      <w:r w:rsidRPr="001C4BC1">
        <w:tab/>
        <w:t>(</w:t>
      </w:r>
      <w:r>
        <w:t>1</w:t>
      </w:r>
      <w:r w:rsidRPr="001C4BC1">
        <w:t>)</w:t>
      </w:r>
      <w:r w:rsidRPr="001C4BC1">
        <w:tab/>
        <w:t>The Minister may terminate the appointment of a Council member:</w:t>
      </w:r>
    </w:p>
    <w:p w14:paraId="482EEF09" w14:textId="77777777" w:rsidR="00BC2B55" w:rsidRPr="001C4BC1" w:rsidRDefault="00BC2B55" w:rsidP="001C2B21">
      <w:pPr>
        <w:pStyle w:val="paragraph"/>
      </w:pPr>
      <w:r w:rsidRPr="001C4BC1">
        <w:tab/>
        <w:t>(a)</w:t>
      </w:r>
      <w:r w:rsidRPr="001C4BC1">
        <w:tab/>
        <w:t>for misbehaviour; or</w:t>
      </w:r>
    </w:p>
    <w:p w14:paraId="4B94FEEA" w14:textId="77777777" w:rsidR="00BC2B55" w:rsidRDefault="00BC2B55" w:rsidP="001C2B21">
      <w:pPr>
        <w:pStyle w:val="paragraph"/>
      </w:pPr>
      <w:r w:rsidRPr="001C4BC1">
        <w:tab/>
        <w:t>(b)</w:t>
      </w:r>
      <w:r w:rsidRPr="001C4BC1">
        <w:tab/>
        <w:t>if the member is unable to perform the duties of the member’s office because of physical or mental incapacity</w:t>
      </w:r>
      <w:r>
        <w:t>; or</w:t>
      </w:r>
    </w:p>
    <w:p w14:paraId="2E043E43" w14:textId="5C61A754" w:rsidR="00BC2B55" w:rsidRDefault="00BC2B55" w:rsidP="001C2B21">
      <w:pPr>
        <w:pStyle w:val="paragraph"/>
      </w:pPr>
      <w:r>
        <w:tab/>
        <w:t>(c)</w:t>
      </w:r>
      <w:r>
        <w:tab/>
      </w:r>
      <w:r w:rsidRPr="00165AC8">
        <w:t>if the member makes a disclosure</w:t>
      </w:r>
      <w:r>
        <w:t xml:space="preserve"> of information that is </w:t>
      </w:r>
      <w:r w:rsidRPr="00165AC8">
        <w:t xml:space="preserve">inconsistent with </w:t>
      </w:r>
      <w:r w:rsidR="0022083E" w:rsidRPr="0022083E">
        <w:t>External Reporting Australia</w:t>
      </w:r>
      <w:r w:rsidRPr="00165AC8">
        <w:t>’s</w:t>
      </w:r>
      <w:r>
        <w:t xml:space="preserve"> obligation </w:t>
      </w:r>
      <w:r w:rsidRPr="00165AC8">
        <w:t xml:space="preserve">under section </w:t>
      </w:r>
      <w:r w:rsidR="001E09C2">
        <w:t>233B</w:t>
      </w:r>
      <w:r>
        <w:t xml:space="preserve"> (confidentiality).</w:t>
      </w:r>
    </w:p>
    <w:bookmarkEnd w:id="3"/>
    <w:p w14:paraId="73D54F5A" w14:textId="77777777" w:rsidR="00BC2B55" w:rsidRPr="001C4BC1" w:rsidRDefault="00BC2B55" w:rsidP="001C2B21">
      <w:pPr>
        <w:pStyle w:val="subsection"/>
      </w:pPr>
      <w:r>
        <w:tab/>
      </w:r>
      <w:r w:rsidRPr="001C4BC1">
        <w:t>(</w:t>
      </w:r>
      <w:r>
        <w:t>2</w:t>
      </w:r>
      <w:r w:rsidRPr="001C4BC1">
        <w:t>)</w:t>
      </w:r>
      <w:r w:rsidRPr="001C4BC1">
        <w:tab/>
        <w:t xml:space="preserve">The Minister </w:t>
      </w:r>
      <w:r>
        <w:t>must</w:t>
      </w:r>
      <w:r w:rsidRPr="001C4BC1">
        <w:t xml:space="preserve"> terminate the appointment of a Council member if the Council member</w:t>
      </w:r>
      <w:r>
        <w:t>:</w:t>
      </w:r>
    </w:p>
    <w:p w14:paraId="595226AE" w14:textId="77777777" w:rsidR="00BC2B55" w:rsidRPr="008D372C" w:rsidRDefault="00BC2B55" w:rsidP="001C2B21">
      <w:pPr>
        <w:pStyle w:val="paragraph"/>
      </w:pPr>
      <w:r w:rsidRPr="001C4BC1">
        <w:lastRenderedPageBreak/>
        <w:tab/>
      </w:r>
      <w:r w:rsidRPr="008D372C">
        <w:t>(</w:t>
      </w:r>
      <w:r>
        <w:t>a</w:t>
      </w:r>
      <w:r w:rsidRPr="008D372C">
        <w:t>)</w:t>
      </w:r>
      <w:r w:rsidRPr="008D372C">
        <w:tab/>
        <w:t>becomes bankrupt; or</w:t>
      </w:r>
    </w:p>
    <w:p w14:paraId="3FA2CC22" w14:textId="77777777" w:rsidR="00BC2B55" w:rsidRPr="008D372C" w:rsidRDefault="00BC2B55" w:rsidP="001C2B21">
      <w:pPr>
        <w:pStyle w:val="paragraph"/>
      </w:pPr>
      <w:r w:rsidRPr="008D372C">
        <w:tab/>
        <w:t>(</w:t>
      </w:r>
      <w:r>
        <w:t>b</w:t>
      </w:r>
      <w:r w:rsidRPr="008D372C">
        <w:t>)</w:t>
      </w:r>
      <w:r w:rsidRPr="008D372C">
        <w:tab/>
        <w:t>applies to take the benefit of any law for the relief of bankrupt or insolvent debtors; or</w:t>
      </w:r>
    </w:p>
    <w:p w14:paraId="637E15E8" w14:textId="77777777" w:rsidR="00BC2B55" w:rsidRPr="008D372C" w:rsidRDefault="00BC2B55" w:rsidP="001C2B21">
      <w:pPr>
        <w:pStyle w:val="paragraph"/>
      </w:pPr>
      <w:r w:rsidRPr="008D372C">
        <w:tab/>
        <w:t>(</w:t>
      </w:r>
      <w:r>
        <w:t>c</w:t>
      </w:r>
      <w:r w:rsidRPr="008D372C">
        <w:t>)</w:t>
      </w:r>
      <w:r w:rsidRPr="008D372C">
        <w:tab/>
        <w:t>compounds with the member’s creditors; or</w:t>
      </w:r>
    </w:p>
    <w:p w14:paraId="771B5226" w14:textId="77777777" w:rsidR="00BC2B55" w:rsidRDefault="00BC2B55" w:rsidP="001C2B21">
      <w:pPr>
        <w:pStyle w:val="paragraph"/>
      </w:pPr>
      <w:r w:rsidRPr="008D372C">
        <w:tab/>
        <w:t>(</w:t>
      </w:r>
      <w:r>
        <w:t>d</w:t>
      </w:r>
      <w:r w:rsidRPr="008D372C">
        <w:t>)</w:t>
      </w:r>
      <w:r w:rsidRPr="008D372C">
        <w:tab/>
        <w:t>makes an assignment of the member’s remuneration for the benefit of the member’s creditors.</w:t>
      </w:r>
    </w:p>
    <w:p w14:paraId="6E2B7915" w14:textId="77777777" w:rsidR="00BC2B55" w:rsidRPr="00142BF2" w:rsidRDefault="00BC2B55" w:rsidP="001C2B21">
      <w:pPr>
        <w:pStyle w:val="subsection"/>
      </w:pPr>
      <w:r>
        <w:tab/>
      </w:r>
      <w:bookmarkEnd w:id="2"/>
      <w:r w:rsidRPr="00142BF2">
        <w:t>(3)</w:t>
      </w:r>
      <w:r>
        <w:tab/>
      </w:r>
      <w:r w:rsidRPr="00142BF2">
        <w:t>The Minister may terminate the appointment of a Council member if:</w:t>
      </w:r>
    </w:p>
    <w:p w14:paraId="14D10F72" w14:textId="77777777" w:rsidR="00BC2B55" w:rsidRPr="00142BF2" w:rsidRDefault="00BC2B55" w:rsidP="001C2B21">
      <w:pPr>
        <w:pStyle w:val="paragraph"/>
      </w:pPr>
      <w:r>
        <w:tab/>
      </w:r>
      <w:r w:rsidRPr="00142BF2">
        <w:t>(a)</w:t>
      </w:r>
      <w:r>
        <w:tab/>
      </w:r>
      <w:r w:rsidRPr="00142BF2">
        <w:t xml:space="preserve">the Council member is absent, except on leave of absence, from 3 consecutive meetings of the Governing </w:t>
      </w:r>
      <w:proofErr w:type="gramStart"/>
      <w:r w:rsidRPr="00142BF2">
        <w:t>Council;</w:t>
      </w:r>
      <w:proofErr w:type="gramEnd"/>
      <w:r w:rsidRPr="00142BF2">
        <w:t xml:space="preserve"> or</w:t>
      </w:r>
    </w:p>
    <w:p w14:paraId="334A42C9" w14:textId="77777777" w:rsidR="00BC2B55" w:rsidRPr="00142BF2" w:rsidRDefault="00BC2B55" w:rsidP="001C2B21">
      <w:pPr>
        <w:pStyle w:val="paragraph"/>
      </w:pPr>
      <w:r>
        <w:tab/>
      </w:r>
      <w:r w:rsidRPr="00142BF2">
        <w:t>(b)</w:t>
      </w:r>
      <w:r>
        <w:tab/>
      </w:r>
      <w:r w:rsidRPr="00142BF2">
        <w:t xml:space="preserve">for a Council Chair—the Council Chair is absent, except on leave of absence, for 14 consecutive days or for 28 days in any 12 </w:t>
      </w:r>
      <w:proofErr w:type="gramStart"/>
      <w:r w:rsidRPr="00142BF2">
        <w:t>months;</w:t>
      </w:r>
      <w:proofErr w:type="gramEnd"/>
      <w:r w:rsidRPr="00142BF2">
        <w:t xml:space="preserve"> or</w:t>
      </w:r>
    </w:p>
    <w:p w14:paraId="2DBEF4D5" w14:textId="6ACD6B33" w:rsidR="00BC2B55" w:rsidRPr="00142BF2" w:rsidRDefault="00BC2B55" w:rsidP="001C2B21">
      <w:pPr>
        <w:pStyle w:val="paragraph"/>
      </w:pPr>
      <w:r>
        <w:tab/>
      </w:r>
      <w:r w:rsidRPr="00142BF2">
        <w:t>(c)</w:t>
      </w:r>
      <w:r>
        <w:tab/>
      </w:r>
      <w:r w:rsidRPr="00142BF2">
        <w:t>for a Council Chair appointed on a full</w:t>
      </w:r>
      <w:r w:rsidR="001C2B21">
        <w:noBreakHyphen/>
      </w:r>
      <w:r w:rsidRPr="00142BF2">
        <w:t xml:space="preserve">time basis—the Council Chair engages, except with the Minister’s approval, in paid work outside the duties of the Chair’s office (see section </w:t>
      </w:r>
      <w:r w:rsidR="001E09C2">
        <w:t>227H</w:t>
      </w:r>
      <w:r w:rsidRPr="00142BF2">
        <w:t>); or</w:t>
      </w:r>
    </w:p>
    <w:p w14:paraId="11C359B6" w14:textId="6FBB1E25" w:rsidR="00BC2B55" w:rsidRDefault="00BC2B55" w:rsidP="001C2B21">
      <w:pPr>
        <w:pStyle w:val="paragraph"/>
      </w:pPr>
      <w:r>
        <w:tab/>
      </w:r>
      <w:r w:rsidRPr="00142BF2">
        <w:t>(</w:t>
      </w:r>
      <w:r w:rsidR="00F8343B">
        <w:t>d</w:t>
      </w:r>
      <w:r w:rsidRPr="00142BF2">
        <w:t>)</w:t>
      </w:r>
      <w:r>
        <w:tab/>
      </w:r>
      <w:r w:rsidRPr="00142BF2">
        <w:t xml:space="preserve">the Council member fails, without reasonable excuse, to comply with </w:t>
      </w:r>
      <w:r w:rsidR="00874A53">
        <w:t>section 2</w:t>
      </w:r>
      <w:r w:rsidRPr="00142BF2">
        <w:t xml:space="preserve">9 of the </w:t>
      </w:r>
      <w:r w:rsidRPr="00142BF2">
        <w:rPr>
          <w:i/>
          <w:iCs/>
        </w:rPr>
        <w:t>Public Governance, Performance and Accountability Act 2013</w:t>
      </w:r>
      <w:r w:rsidRPr="00142BF2">
        <w:t xml:space="preserve"> (which deals with the duty to disclose interests) or rules made for the purposes of that section.</w:t>
      </w:r>
    </w:p>
    <w:p w14:paraId="0E5555CA" w14:textId="77777777" w:rsidR="00BC2B55" w:rsidRPr="004F6BB0" w:rsidRDefault="00BC2B55" w:rsidP="001C2B21">
      <w:pPr>
        <w:pStyle w:val="ActHead4"/>
      </w:pPr>
      <w:r w:rsidRPr="001C2B21">
        <w:rPr>
          <w:rStyle w:val="CharSubdNo"/>
        </w:rPr>
        <w:t>Subdivision C</w:t>
      </w:r>
      <w:r w:rsidRPr="004F6BB0">
        <w:t>—</w:t>
      </w:r>
      <w:r w:rsidRPr="001C2B21">
        <w:rPr>
          <w:rStyle w:val="CharSubdText"/>
        </w:rPr>
        <w:t>Procedures of the Governing Council</w:t>
      </w:r>
    </w:p>
    <w:p w14:paraId="7AC8E279" w14:textId="6596660E" w:rsidR="00BC2B55" w:rsidRPr="001C4BC1" w:rsidRDefault="001E09C2" w:rsidP="001C2B21">
      <w:pPr>
        <w:pStyle w:val="ActHead5"/>
      </w:pPr>
      <w:proofErr w:type="gramStart"/>
      <w:r>
        <w:rPr>
          <w:rStyle w:val="CharSectno"/>
        </w:rPr>
        <w:t>228</w:t>
      </w:r>
      <w:r w:rsidR="00BC2B55" w:rsidRPr="001C4BC1">
        <w:t xml:space="preserve">  Convening</w:t>
      </w:r>
      <w:proofErr w:type="gramEnd"/>
      <w:r w:rsidR="00BC2B55" w:rsidRPr="001C4BC1">
        <w:t xml:space="preserve"> meetings</w:t>
      </w:r>
    </w:p>
    <w:p w14:paraId="07A52FBA" w14:textId="77777777" w:rsidR="00BC2B55" w:rsidRPr="001C4BC1" w:rsidRDefault="00BC2B55" w:rsidP="001C2B21">
      <w:pPr>
        <w:pStyle w:val="subsection"/>
      </w:pPr>
      <w:r w:rsidRPr="001C4BC1">
        <w:tab/>
        <w:t>(1)</w:t>
      </w:r>
      <w:r w:rsidRPr="001C4BC1">
        <w:tab/>
        <w:t>The Governing Council must hold such meetings as are necessary for the efficient performance of its functions.</w:t>
      </w:r>
    </w:p>
    <w:p w14:paraId="6724981B" w14:textId="77777777" w:rsidR="00BC2B55" w:rsidRPr="001C4BC1" w:rsidRDefault="00BC2B55" w:rsidP="001C2B21">
      <w:pPr>
        <w:pStyle w:val="subsection"/>
      </w:pPr>
      <w:r w:rsidRPr="001C4BC1">
        <w:tab/>
        <w:t>(2)</w:t>
      </w:r>
      <w:r w:rsidRPr="001C4BC1">
        <w:tab/>
        <w:t>The Council Chair:</w:t>
      </w:r>
    </w:p>
    <w:p w14:paraId="01EC4417" w14:textId="77777777" w:rsidR="00BC2B55" w:rsidRPr="001C4BC1" w:rsidRDefault="00BC2B55" w:rsidP="001C2B21">
      <w:pPr>
        <w:pStyle w:val="paragraph"/>
      </w:pPr>
      <w:r w:rsidRPr="001C4BC1">
        <w:tab/>
        <w:t>(a)</w:t>
      </w:r>
      <w:r w:rsidRPr="001C4BC1">
        <w:tab/>
        <w:t>may convene a meeting at any time; and</w:t>
      </w:r>
    </w:p>
    <w:p w14:paraId="5FFCD8A1" w14:textId="77777777" w:rsidR="00BC2B55" w:rsidRPr="001C4BC1" w:rsidRDefault="00BC2B55" w:rsidP="001C2B21">
      <w:pPr>
        <w:pStyle w:val="paragraph"/>
      </w:pPr>
      <w:r w:rsidRPr="001C4BC1">
        <w:tab/>
        <w:t>(b)</w:t>
      </w:r>
      <w:r w:rsidRPr="001C4BC1">
        <w:tab/>
        <w:t xml:space="preserve">must convene at least </w:t>
      </w:r>
      <w:r>
        <w:t>4</w:t>
      </w:r>
      <w:r w:rsidRPr="001C4BC1">
        <w:t xml:space="preserve"> meetings each calendar year; and</w:t>
      </w:r>
    </w:p>
    <w:p w14:paraId="020F9420" w14:textId="77777777" w:rsidR="00BC2B55" w:rsidRPr="001C4BC1" w:rsidRDefault="00BC2B55" w:rsidP="001C2B21">
      <w:pPr>
        <w:pStyle w:val="paragraph"/>
      </w:pPr>
      <w:r w:rsidRPr="001C4BC1">
        <w:tab/>
        <w:t>(c)</w:t>
      </w:r>
      <w:r w:rsidRPr="001C4BC1">
        <w:tab/>
        <w:t>must convene a meeting within 30 days after receiving a written request to do so from another Council member.</w:t>
      </w:r>
    </w:p>
    <w:p w14:paraId="2AB24EDE" w14:textId="55D621E4" w:rsidR="00BC2B55" w:rsidRPr="001C4BC1" w:rsidRDefault="001E09C2" w:rsidP="001C2B21">
      <w:pPr>
        <w:pStyle w:val="ActHead5"/>
      </w:pPr>
      <w:r>
        <w:rPr>
          <w:rStyle w:val="CharSectno"/>
        </w:rPr>
        <w:t>228</w:t>
      </w:r>
      <w:proofErr w:type="gramStart"/>
      <w:r>
        <w:rPr>
          <w:rStyle w:val="CharSectno"/>
        </w:rPr>
        <w:t>A</w:t>
      </w:r>
      <w:r w:rsidR="00BC2B55" w:rsidRPr="001C4BC1">
        <w:t xml:space="preserve">  Quorum</w:t>
      </w:r>
      <w:proofErr w:type="gramEnd"/>
    </w:p>
    <w:p w14:paraId="158859D1" w14:textId="77777777" w:rsidR="00BC2B55" w:rsidRDefault="00BC2B55" w:rsidP="001C2B21">
      <w:pPr>
        <w:pStyle w:val="subsection"/>
        <w:rPr>
          <w:lang w:eastAsia="en-US"/>
        </w:rPr>
      </w:pPr>
      <w:r w:rsidRPr="001C4BC1">
        <w:tab/>
        <w:t>(1)</w:t>
      </w:r>
      <w:r w:rsidRPr="001C4BC1">
        <w:tab/>
        <w:t>At a meeting of the Governing Council, a quorum is constituted by</w:t>
      </w:r>
    </w:p>
    <w:p w14:paraId="2AEA7620" w14:textId="77777777" w:rsidR="00BC2B55" w:rsidRPr="001C4BC1" w:rsidRDefault="00BC2B55" w:rsidP="001C2B21">
      <w:pPr>
        <w:pStyle w:val="paragraph"/>
      </w:pPr>
      <w:r>
        <w:tab/>
      </w:r>
      <w:r w:rsidRPr="001C4BC1">
        <w:t>(</w:t>
      </w:r>
      <w:r>
        <w:t>a</w:t>
      </w:r>
      <w:r w:rsidRPr="001C4BC1">
        <w:t>)</w:t>
      </w:r>
      <w:r w:rsidRPr="001C4BC1">
        <w:tab/>
        <w:t>if there are</w:t>
      </w:r>
      <w:r>
        <w:t xml:space="preserve"> not more than 7 </w:t>
      </w:r>
      <w:r w:rsidRPr="001C4BC1">
        <w:t xml:space="preserve">Council members—4 Council </w:t>
      </w:r>
      <w:proofErr w:type="gramStart"/>
      <w:r w:rsidRPr="001C4BC1">
        <w:t>members;</w:t>
      </w:r>
      <w:proofErr w:type="gramEnd"/>
      <w:r w:rsidRPr="001C4BC1">
        <w:t xml:space="preserve"> or</w:t>
      </w:r>
    </w:p>
    <w:p w14:paraId="7FC2833C" w14:textId="77777777" w:rsidR="00BC2B55" w:rsidRDefault="00BC2B55" w:rsidP="001C2B21">
      <w:pPr>
        <w:pStyle w:val="paragraph"/>
      </w:pPr>
      <w:r w:rsidRPr="001C4BC1">
        <w:lastRenderedPageBreak/>
        <w:tab/>
        <w:t>(</w:t>
      </w:r>
      <w:r>
        <w:t>b</w:t>
      </w:r>
      <w:r w:rsidRPr="001C4BC1">
        <w:t>)</w:t>
      </w:r>
      <w:r w:rsidRPr="001C4BC1">
        <w:tab/>
        <w:t>if there are more than 7 Council members—5 Council members.</w:t>
      </w:r>
    </w:p>
    <w:p w14:paraId="64319E4A" w14:textId="77777777" w:rsidR="00BC2B55" w:rsidRPr="001C4BC1" w:rsidRDefault="00BC2B55" w:rsidP="001C2B21">
      <w:pPr>
        <w:pStyle w:val="subsection"/>
      </w:pPr>
      <w:r w:rsidRPr="001C4BC1">
        <w:tab/>
        <w:t>(2)</w:t>
      </w:r>
      <w:r w:rsidRPr="001C4BC1">
        <w:tab/>
        <w:t>However, if:</w:t>
      </w:r>
    </w:p>
    <w:p w14:paraId="5E9262B5" w14:textId="6FDA1809" w:rsidR="00BC2B55" w:rsidRPr="001C4BC1" w:rsidRDefault="00BC2B55" w:rsidP="001C2B21">
      <w:pPr>
        <w:pStyle w:val="paragraph"/>
      </w:pPr>
      <w:r w:rsidRPr="001C4BC1">
        <w:tab/>
        <w:t>(a)</w:t>
      </w:r>
      <w:r w:rsidRPr="001C4BC1">
        <w:tab/>
        <w:t xml:space="preserve">a Council member is required by rules made for the purposes of </w:t>
      </w:r>
      <w:r w:rsidR="00874A53">
        <w:t>section 2</w:t>
      </w:r>
      <w:r w:rsidRPr="001C4BC1">
        <w:t xml:space="preserve">9 of the </w:t>
      </w:r>
      <w:r w:rsidRPr="001C4BC1">
        <w:rPr>
          <w:i/>
          <w:iCs/>
        </w:rPr>
        <w:t>Public Governance, Performance and Accountability Act 2013</w:t>
      </w:r>
      <w:r w:rsidRPr="001C4BC1">
        <w:t xml:space="preserve"> not to be present during the deliberations, or to take part in any decision, of the Governing Council with respect to a particular matter; and</w:t>
      </w:r>
    </w:p>
    <w:p w14:paraId="30E1B430" w14:textId="77777777" w:rsidR="00BC2B55" w:rsidRPr="001C4BC1" w:rsidRDefault="00BC2B55" w:rsidP="001C2B21">
      <w:pPr>
        <w:pStyle w:val="paragraph"/>
      </w:pPr>
      <w:r w:rsidRPr="001C4BC1">
        <w:tab/>
        <w:t>(b)</w:t>
      </w:r>
      <w:r w:rsidRPr="001C4BC1">
        <w:tab/>
        <w:t xml:space="preserve">when the Council member leaves the meeting concerned there is no longer a quorum </w:t>
      </w:r>
      <w:proofErr w:type="gramStart"/>
      <w:r w:rsidRPr="001C4BC1">
        <w:t>present;</w:t>
      </w:r>
      <w:proofErr w:type="gramEnd"/>
    </w:p>
    <w:p w14:paraId="5DCA67A2" w14:textId="77777777" w:rsidR="00BC2B55" w:rsidRPr="001C4BC1" w:rsidRDefault="00BC2B55" w:rsidP="001C2B21">
      <w:pPr>
        <w:pStyle w:val="subsection2"/>
      </w:pPr>
      <w:r w:rsidRPr="001C4BC1">
        <w:t>the remaining Council members at the meeting constitute a quorum for the purpose of any deliberation or decision at that meeting with respect to that matter.</w:t>
      </w:r>
    </w:p>
    <w:p w14:paraId="38F695A8" w14:textId="12DF1CDF" w:rsidR="00BC2B55" w:rsidRPr="001C4BC1" w:rsidRDefault="001E09C2" w:rsidP="001C2B21">
      <w:pPr>
        <w:pStyle w:val="ActHead5"/>
      </w:pPr>
      <w:r>
        <w:rPr>
          <w:rStyle w:val="CharSectno"/>
        </w:rPr>
        <w:t>228</w:t>
      </w:r>
      <w:proofErr w:type="gramStart"/>
      <w:r>
        <w:rPr>
          <w:rStyle w:val="CharSectno"/>
        </w:rPr>
        <w:t>B</w:t>
      </w:r>
      <w:r w:rsidR="00BC2B55" w:rsidRPr="001C4BC1">
        <w:t xml:space="preserve">  Presiding</w:t>
      </w:r>
      <w:proofErr w:type="gramEnd"/>
      <w:r w:rsidR="00BC2B55" w:rsidRPr="001C4BC1">
        <w:t xml:space="preserve"> at meetings</w:t>
      </w:r>
    </w:p>
    <w:p w14:paraId="66D825C5" w14:textId="77777777" w:rsidR="00BC2B55" w:rsidRDefault="00BC2B55" w:rsidP="001C2B21">
      <w:pPr>
        <w:pStyle w:val="subsection"/>
      </w:pPr>
      <w:r w:rsidRPr="001C4BC1">
        <w:tab/>
        <w:t>(1)</w:t>
      </w:r>
      <w:r w:rsidRPr="001C4BC1">
        <w:tab/>
        <w:t>The Council Chair must preside at all meetings of the Governing Council at which the Council Chair is present.</w:t>
      </w:r>
    </w:p>
    <w:p w14:paraId="0D2DEB4F" w14:textId="77777777" w:rsidR="00BC2B55" w:rsidRPr="001C4BC1" w:rsidRDefault="00BC2B55" w:rsidP="001C2B21">
      <w:pPr>
        <w:pStyle w:val="subsection"/>
      </w:pPr>
      <w:r>
        <w:tab/>
        <w:t>(2)</w:t>
      </w:r>
      <w:r>
        <w:tab/>
        <w:t xml:space="preserve">If the Council </w:t>
      </w:r>
      <w:r w:rsidRPr="001D6E62">
        <w:t xml:space="preserve">Chair is not present at a meeting of the </w:t>
      </w:r>
      <w:r>
        <w:t>Governing Council</w:t>
      </w:r>
      <w:r w:rsidRPr="001D6E62">
        <w:t>, the</w:t>
      </w:r>
      <w:r>
        <w:t xml:space="preserve"> Council</w:t>
      </w:r>
      <w:r w:rsidRPr="001D6E62">
        <w:t xml:space="preserve"> Deputy Chair, if present, must preside at the meeting.</w:t>
      </w:r>
    </w:p>
    <w:p w14:paraId="35A8E907" w14:textId="77777777" w:rsidR="00BC2B55" w:rsidRPr="001C4BC1" w:rsidRDefault="00BC2B55" w:rsidP="001C2B21">
      <w:pPr>
        <w:pStyle w:val="subsection"/>
      </w:pPr>
      <w:r w:rsidRPr="001C4BC1">
        <w:tab/>
        <w:t>(</w:t>
      </w:r>
      <w:r>
        <w:t>3</w:t>
      </w:r>
      <w:r w:rsidRPr="001C4BC1">
        <w:t>)</w:t>
      </w:r>
      <w:r w:rsidRPr="001C4BC1">
        <w:tab/>
        <w:t>If</w:t>
      </w:r>
      <w:r>
        <w:t xml:space="preserve"> neither</w:t>
      </w:r>
      <w:r w:rsidRPr="001C4BC1">
        <w:t xml:space="preserve"> the Council Chair </w:t>
      </w:r>
      <w:r>
        <w:t xml:space="preserve">nor the Council Deputy Chair </w:t>
      </w:r>
      <w:r w:rsidRPr="001C4BC1">
        <w:t>is present at a meeting of the Governing Council, the other Council members present must appoint one of themselves to preside.</w:t>
      </w:r>
    </w:p>
    <w:p w14:paraId="2C007548" w14:textId="14633FDA" w:rsidR="00BC2B55" w:rsidRPr="001C4BC1" w:rsidRDefault="001E09C2" w:rsidP="001C2B21">
      <w:pPr>
        <w:pStyle w:val="ActHead5"/>
      </w:pPr>
      <w:r>
        <w:rPr>
          <w:rStyle w:val="CharSectno"/>
        </w:rPr>
        <w:t>228</w:t>
      </w:r>
      <w:proofErr w:type="gramStart"/>
      <w:r>
        <w:rPr>
          <w:rStyle w:val="CharSectno"/>
        </w:rPr>
        <w:t>C</w:t>
      </w:r>
      <w:r w:rsidR="00BC2B55" w:rsidRPr="001C4BC1">
        <w:t xml:space="preserve">  Voting</w:t>
      </w:r>
      <w:proofErr w:type="gramEnd"/>
      <w:r w:rsidR="00BC2B55" w:rsidRPr="001C4BC1">
        <w:t xml:space="preserve"> at meetings</w:t>
      </w:r>
    </w:p>
    <w:p w14:paraId="28A0066D" w14:textId="3E954172" w:rsidR="00BC2B55" w:rsidRPr="001C4BC1" w:rsidRDefault="00BC2B55" w:rsidP="001C2B21">
      <w:pPr>
        <w:pStyle w:val="subsection"/>
      </w:pPr>
      <w:r w:rsidRPr="001C4BC1">
        <w:tab/>
        <w:t>(1)</w:t>
      </w:r>
      <w:r w:rsidRPr="001C4BC1">
        <w:tab/>
        <w:t xml:space="preserve">Subject to </w:t>
      </w:r>
      <w:r w:rsidR="008222BD">
        <w:t>subsection</w:t>
      </w:r>
      <w:r w:rsidRPr="001C4BC1">
        <w:t> </w:t>
      </w:r>
      <w:r w:rsidR="001E09C2">
        <w:t>232</w:t>
      </w:r>
      <w:proofErr w:type="gramStart"/>
      <w:r w:rsidR="001E09C2">
        <w:t>D</w:t>
      </w:r>
      <w:r w:rsidRPr="001C4BC1">
        <w:t>(</w:t>
      </w:r>
      <w:proofErr w:type="gramEnd"/>
      <w:r w:rsidRPr="001C4BC1">
        <w:t>4), a question arising at a meeting of the Governing Council is to be determined by a majority of the votes of the Governing Council members present and voting.</w:t>
      </w:r>
    </w:p>
    <w:p w14:paraId="1E235113" w14:textId="77777777" w:rsidR="00BC2B55" w:rsidRPr="001C4BC1" w:rsidRDefault="00BC2B55" w:rsidP="001C2B21">
      <w:pPr>
        <w:pStyle w:val="subsection"/>
      </w:pPr>
      <w:r w:rsidRPr="001C4BC1">
        <w:tab/>
        <w:t>(2)</w:t>
      </w:r>
      <w:r w:rsidRPr="001C4BC1">
        <w:tab/>
        <w:t>The person presiding at the meeting of the Governing Council has a deliberative vote and, if the votes are equal, a casting vote.</w:t>
      </w:r>
    </w:p>
    <w:p w14:paraId="4BEA18B3" w14:textId="7EFC958A" w:rsidR="00BC2B55" w:rsidRPr="001C4BC1" w:rsidRDefault="001E09C2" w:rsidP="001C2B21">
      <w:pPr>
        <w:pStyle w:val="ActHead5"/>
      </w:pPr>
      <w:r>
        <w:rPr>
          <w:rStyle w:val="CharSectno"/>
        </w:rPr>
        <w:t>228</w:t>
      </w:r>
      <w:proofErr w:type="gramStart"/>
      <w:r>
        <w:rPr>
          <w:rStyle w:val="CharSectno"/>
        </w:rPr>
        <w:t>D</w:t>
      </w:r>
      <w:r w:rsidR="00BC2B55" w:rsidRPr="001C4BC1">
        <w:t xml:space="preserve">  Minutes</w:t>
      </w:r>
      <w:proofErr w:type="gramEnd"/>
    </w:p>
    <w:p w14:paraId="6EC259D9" w14:textId="77777777" w:rsidR="00BC2B55" w:rsidRPr="001C4BC1" w:rsidRDefault="00BC2B55" w:rsidP="001C2B21">
      <w:pPr>
        <w:pStyle w:val="subsection"/>
      </w:pPr>
      <w:r w:rsidRPr="001C4BC1">
        <w:tab/>
      </w:r>
      <w:r w:rsidRPr="001C4BC1">
        <w:tab/>
        <w:t>The Governing Council must keep minutes of its meetings.</w:t>
      </w:r>
    </w:p>
    <w:p w14:paraId="30FDDD55" w14:textId="3B01DB40" w:rsidR="00BC2B55" w:rsidRPr="001C4BC1" w:rsidRDefault="001E09C2" w:rsidP="001C2B21">
      <w:pPr>
        <w:pStyle w:val="ActHead5"/>
      </w:pPr>
      <w:r>
        <w:rPr>
          <w:rStyle w:val="CharSectno"/>
        </w:rPr>
        <w:t>228</w:t>
      </w:r>
      <w:proofErr w:type="gramStart"/>
      <w:r>
        <w:rPr>
          <w:rStyle w:val="CharSectno"/>
        </w:rPr>
        <w:t>E</w:t>
      </w:r>
      <w:r w:rsidR="00BC2B55" w:rsidRPr="001C4BC1">
        <w:t xml:space="preserve">  Conduct</w:t>
      </w:r>
      <w:proofErr w:type="gramEnd"/>
      <w:r w:rsidR="00BC2B55" w:rsidRPr="001C4BC1">
        <w:t xml:space="preserve"> of meetings</w:t>
      </w:r>
    </w:p>
    <w:p w14:paraId="1620D754" w14:textId="0B68E1FB" w:rsidR="00BC2B55" w:rsidRPr="001C4BC1" w:rsidRDefault="00BC2B55" w:rsidP="001C2B21">
      <w:pPr>
        <w:pStyle w:val="subsection"/>
      </w:pPr>
      <w:r w:rsidRPr="001C4BC1">
        <w:tab/>
      </w:r>
      <w:r w:rsidRPr="001C4BC1">
        <w:tab/>
        <w:t xml:space="preserve">The Governing Council may, subject to this </w:t>
      </w:r>
      <w:r w:rsidR="00C94033">
        <w:t>Part</w:t>
      </w:r>
      <w:r w:rsidRPr="001C4BC1">
        <w:t>, regulate proceedings at its meetings as it considers appropriate.</w:t>
      </w:r>
    </w:p>
    <w:p w14:paraId="0B5D09C4" w14:textId="5144F380" w:rsidR="0056568D" w:rsidRDefault="0056568D" w:rsidP="001C2B21">
      <w:pPr>
        <w:pStyle w:val="notetext"/>
      </w:pPr>
      <w:r>
        <w:lastRenderedPageBreak/>
        <w:t>Note 1:</w:t>
      </w:r>
      <w:r>
        <w:tab/>
      </w:r>
      <w:r w:rsidR="00C94033">
        <w:t xml:space="preserve">Meetings </w:t>
      </w:r>
      <w:r>
        <w:t>of the Governing Council</w:t>
      </w:r>
      <w:r w:rsidR="00C94033">
        <w:t xml:space="preserve"> relating to certain standards</w:t>
      </w:r>
      <w:r>
        <w:t xml:space="preserve"> </w:t>
      </w:r>
      <w:r w:rsidR="00C94033">
        <w:t>are</w:t>
      </w:r>
      <w:r>
        <w:t xml:space="preserve"> required to be held in public</w:t>
      </w:r>
      <w:r w:rsidR="00165F8A">
        <w:t>:</w:t>
      </w:r>
      <w:r w:rsidR="00C94033">
        <w:t xml:space="preserve"> </w:t>
      </w:r>
      <w:r w:rsidR="00165F8A">
        <w:t>s</w:t>
      </w:r>
      <w:r w:rsidR="00C94033">
        <w:t>ee section</w:t>
      </w:r>
      <w:r w:rsidR="007C3896">
        <w:t xml:space="preserve"> </w:t>
      </w:r>
      <w:r w:rsidR="001E09C2">
        <w:t>232E</w:t>
      </w:r>
      <w:r w:rsidR="00C94033">
        <w:t>.</w:t>
      </w:r>
    </w:p>
    <w:p w14:paraId="04F17601" w14:textId="748E1F8B" w:rsidR="00BC2B55" w:rsidRPr="001C4BC1" w:rsidRDefault="00BC2B55" w:rsidP="001C2B21">
      <w:pPr>
        <w:pStyle w:val="notetext"/>
      </w:pPr>
      <w:r w:rsidRPr="001C4BC1">
        <w:t>Note</w:t>
      </w:r>
      <w:r w:rsidR="0056568D">
        <w:t xml:space="preserve"> 2</w:t>
      </w:r>
      <w:r w:rsidRPr="001C4BC1">
        <w:t>:</w:t>
      </w:r>
      <w:r w:rsidRPr="001C4BC1">
        <w:tab/>
        <w:t xml:space="preserve">Section 33B of the </w:t>
      </w:r>
      <w:r w:rsidRPr="001C4BC1">
        <w:rPr>
          <w:i/>
          <w:iCs/>
        </w:rPr>
        <w:t>Acts Interpretation Act 1901</w:t>
      </w:r>
      <w:r w:rsidRPr="001C4BC1">
        <w:t xml:space="preserve"> contains further information about the ways in which Governing Council members may participate in meetings.</w:t>
      </w:r>
    </w:p>
    <w:p w14:paraId="3E48B897" w14:textId="5D3E59C1" w:rsidR="00BC2B55" w:rsidRPr="001C4BC1" w:rsidRDefault="001E09C2" w:rsidP="001C2B21">
      <w:pPr>
        <w:pStyle w:val="ActHead5"/>
      </w:pPr>
      <w:r>
        <w:rPr>
          <w:rStyle w:val="CharSectno"/>
        </w:rPr>
        <w:t>228</w:t>
      </w:r>
      <w:proofErr w:type="gramStart"/>
      <w:r>
        <w:rPr>
          <w:rStyle w:val="CharSectno"/>
        </w:rPr>
        <w:t>F</w:t>
      </w:r>
      <w:r w:rsidR="00BC2B55" w:rsidRPr="001C4BC1">
        <w:t xml:space="preserve">  Decisions</w:t>
      </w:r>
      <w:proofErr w:type="gramEnd"/>
      <w:r w:rsidR="00BC2B55" w:rsidRPr="001C4BC1">
        <w:t xml:space="preserve"> without meetings</w:t>
      </w:r>
    </w:p>
    <w:p w14:paraId="06DE437D" w14:textId="77777777" w:rsidR="00BC2B55" w:rsidRPr="001C4BC1" w:rsidRDefault="00BC2B55" w:rsidP="001C2B21">
      <w:pPr>
        <w:pStyle w:val="subsection"/>
      </w:pPr>
      <w:r w:rsidRPr="001C4BC1">
        <w:tab/>
        <w:t>(1)</w:t>
      </w:r>
      <w:r w:rsidRPr="001C4BC1">
        <w:tab/>
        <w:t xml:space="preserve">The Governing Council is taken to have </w:t>
      </w:r>
      <w:proofErr w:type="gramStart"/>
      <w:r w:rsidRPr="001C4BC1">
        <w:t>made a decision</w:t>
      </w:r>
      <w:proofErr w:type="gramEnd"/>
      <w:r w:rsidRPr="001C4BC1">
        <w:t xml:space="preserve"> at a meeting if:</w:t>
      </w:r>
    </w:p>
    <w:p w14:paraId="17CFC298" w14:textId="77777777" w:rsidR="00BC2B55" w:rsidRPr="001C4BC1" w:rsidRDefault="00BC2B55" w:rsidP="001C2B21">
      <w:pPr>
        <w:pStyle w:val="paragraph"/>
      </w:pPr>
      <w:r w:rsidRPr="001C4BC1">
        <w:tab/>
        <w:t>(a)</w:t>
      </w:r>
      <w:r w:rsidRPr="001C4BC1">
        <w:tab/>
        <w:t>without meeting, a majority of the Council members entitled to vote on the proposed decision indicate agreement with the decision; and</w:t>
      </w:r>
    </w:p>
    <w:p w14:paraId="1868ECD4" w14:textId="59A4734C" w:rsidR="00BC2B55" w:rsidRPr="001C4BC1" w:rsidRDefault="00BC2B55" w:rsidP="001C2B21">
      <w:pPr>
        <w:pStyle w:val="paragraph"/>
      </w:pPr>
      <w:r w:rsidRPr="001C4BC1">
        <w:tab/>
        <w:t>(b)</w:t>
      </w:r>
      <w:r w:rsidRPr="001C4BC1">
        <w:tab/>
        <w:t xml:space="preserve">that agreement is indicated in accordance with the method determined by the Governing Council under </w:t>
      </w:r>
      <w:r w:rsidR="001C2B21">
        <w:t>subsection (</w:t>
      </w:r>
      <w:r w:rsidRPr="001C4BC1">
        <w:t>2); and</w:t>
      </w:r>
    </w:p>
    <w:p w14:paraId="0C524FEB" w14:textId="77777777" w:rsidR="00BC2B55" w:rsidRPr="001C4BC1" w:rsidRDefault="00BC2B55" w:rsidP="001C2B21">
      <w:pPr>
        <w:pStyle w:val="paragraph"/>
      </w:pPr>
      <w:r w:rsidRPr="001C4BC1">
        <w:tab/>
        <w:t>(c)</w:t>
      </w:r>
      <w:r w:rsidRPr="001C4BC1">
        <w:tab/>
        <w:t>all the Council members were informed of the proposed decision, or reasonable efforts were made to inform all the Governing Council members of the proposed decision.</w:t>
      </w:r>
    </w:p>
    <w:p w14:paraId="4CD0A81D" w14:textId="6EB5CB12" w:rsidR="00BC2B55" w:rsidRPr="001C4BC1" w:rsidRDefault="00BC2B55" w:rsidP="001C2B21">
      <w:pPr>
        <w:pStyle w:val="subsection"/>
      </w:pPr>
      <w:r w:rsidRPr="001C4BC1">
        <w:tab/>
        <w:t>(2)</w:t>
      </w:r>
      <w:r w:rsidRPr="001C4BC1">
        <w:tab/>
      </w:r>
      <w:r w:rsidR="003861E7">
        <w:t>Subsection (</w:t>
      </w:r>
      <w:r w:rsidRPr="001C4BC1">
        <w:t>1) applies only if the Governing Council:</w:t>
      </w:r>
    </w:p>
    <w:p w14:paraId="7BCE2DC8" w14:textId="77777777" w:rsidR="00BC2B55" w:rsidRPr="001C4BC1" w:rsidRDefault="00BC2B55" w:rsidP="001C2B21">
      <w:pPr>
        <w:pStyle w:val="paragraph"/>
      </w:pPr>
      <w:r w:rsidRPr="001C4BC1">
        <w:tab/>
        <w:t>(a)</w:t>
      </w:r>
      <w:r w:rsidRPr="001C4BC1">
        <w:tab/>
        <w:t>has determined that it may make decisions of that kind without meeting; and</w:t>
      </w:r>
    </w:p>
    <w:p w14:paraId="2FBF5C46" w14:textId="77777777" w:rsidR="00BC2B55" w:rsidRPr="001C4BC1" w:rsidRDefault="00BC2B55" w:rsidP="001C2B21">
      <w:pPr>
        <w:pStyle w:val="paragraph"/>
      </w:pPr>
      <w:r w:rsidRPr="001C4BC1">
        <w:tab/>
        <w:t>(b)</w:t>
      </w:r>
      <w:r w:rsidRPr="001C4BC1">
        <w:tab/>
        <w:t>has determined the method by which Council members are to indicate agreement with proposed decisions.</w:t>
      </w:r>
    </w:p>
    <w:p w14:paraId="5B43C4C4" w14:textId="0443EAA3" w:rsidR="00BC2B55" w:rsidRPr="001C4BC1" w:rsidRDefault="00BC2B55" w:rsidP="001C2B21">
      <w:pPr>
        <w:pStyle w:val="subsection"/>
      </w:pPr>
      <w:r w:rsidRPr="001C4BC1">
        <w:tab/>
        <w:t>(3)</w:t>
      </w:r>
      <w:r w:rsidRPr="001C4BC1">
        <w:tab/>
        <w:t xml:space="preserve">For the purposes of </w:t>
      </w:r>
      <w:r w:rsidR="003861E7">
        <w:t>paragraph (</w:t>
      </w:r>
      <w:r w:rsidRPr="001C4BC1">
        <w:t>1)(a), a Council member is not entitled to vote on a proposed decision if the Governing Council member would not have been entitled to vote on that proposal if the matter had been considered at a meeting of the Governing Council.</w:t>
      </w:r>
    </w:p>
    <w:p w14:paraId="51E07D27" w14:textId="77777777" w:rsidR="00BC2B55" w:rsidRDefault="00BC2B55" w:rsidP="001C2B21">
      <w:pPr>
        <w:pStyle w:val="subsection"/>
      </w:pPr>
      <w:r w:rsidRPr="001C4BC1">
        <w:tab/>
        <w:t>(4)</w:t>
      </w:r>
      <w:r w:rsidRPr="001C4BC1">
        <w:tab/>
        <w:t>The Governing Council must keep a record of decisions made in accordance with this section.</w:t>
      </w:r>
    </w:p>
    <w:p w14:paraId="2C2E14DD" w14:textId="3C061C4D" w:rsidR="00BC2B55" w:rsidRPr="003B726C" w:rsidRDefault="001E09C2" w:rsidP="001C2B21">
      <w:pPr>
        <w:pStyle w:val="ActHead5"/>
      </w:pPr>
      <w:r>
        <w:rPr>
          <w:rStyle w:val="CharSectno"/>
        </w:rPr>
        <w:t>228</w:t>
      </w:r>
      <w:proofErr w:type="gramStart"/>
      <w:r>
        <w:rPr>
          <w:rStyle w:val="CharSectno"/>
        </w:rPr>
        <w:t>G</w:t>
      </w:r>
      <w:r w:rsidR="00BC2B55">
        <w:t xml:space="preserve">  Annual</w:t>
      </w:r>
      <w:proofErr w:type="gramEnd"/>
      <w:r w:rsidR="00BC2B55">
        <w:t xml:space="preserve"> report</w:t>
      </w:r>
    </w:p>
    <w:p w14:paraId="7EE33800" w14:textId="44307E0B" w:rsidR="00BC2B55" w:rsidRDefault="00BC2B55" w:rsidP="001C2B21">
      <w:pPr>
        <w:pStyle w:val="subsection"/>
      </w:pPr>
      <w:r>
        <w:tab/>
      </w:r>
      <w:r>
        <w:tab/>
      </w:r>
      <w:r w:rsidRPr="00893F44">
        <w:t xml:space="preserve">The annual report prepared by the Governing Council and given to the Minister under </w:t>
      </w:r>
      <w:r w:rsidR="003234FC">
        <w:t>section 4</w:t>
      </w:r>
      <w:r w:rsidRPr="00893F44">
        <w:t xml:space="preserve">6 of the </w:t>
      </w:r>
      <w:r w:rsidRPr="00E83FD2">
        <w:rPr>
          <w:i/>
          <w:iCs/>
        </w:rPr>
        <w:t>Public Governance, Performance and Accountability Act 2013</w:t>
      </w:r>
      <w:r w:rsidRPr="00893F44">
        <w:t xml:space="preserve"> for a period must include</w:t>
      </w:r>
      <w:r w:rsidR="00FB24A3">
        <w:t>:</w:t>
      </w:r>
    </w:p>
    <w:p w14:paraId="6DE85068" w14:textId="517891FC" w:rsidR="00BC2B55" w:rsidRDefault="00BC2B55" w:rsidP="001C2B21">
      <w:pPr>
        <w:pStyle w:val="paragraph"/>
      </w:pPr>
      <w:r>
        <w:tab/>
        <w:t>(a)</w:t>
      </w:r>
      <w:r>
        <w:tab/>
      </w:r>
      <w:r w:rsidRPr="00893F44">
        <w:t>information describing any directions given by the Governing Council under subsection </w:t>
      </w:r>
      <w:r w:rsidR="001E09C2">
        <w:t>232</w:t>
      </w:r>
      <w:proofErr w:type="gramStart"/>
      <w:r w:rsidR="001E09C2">
        <w:t>D</w:t>
      </w:r>
      <w:r w:rsidRPr="00893F44">
        <w:t>(</w:t>
      </w:r>
      <w:proofErr w:type="gramEnd"/>
      <w:r w:rsidRPr="00893F44">
        <w:t>1) during that period</w:t>
      </w:r>
      <w:r>
        <w:t>; and</w:t>
      </w:r>
    </w:p>
    <w:p w14:paraId="0461A217" w14:textId="77777777" w:rsidR="00BC2B55" w:rsidRDefault="00BC2B55" w:rsidP="001C2B21">
      <w:pPr>
        <w:pStyle w:val="paragraph"/>
      </w:pPr>
      <w:r>
        <w:lastRenderedPageBreak/>
        <w:tab/>
        <w:t>(b)</w:t>
      </w:r>
      <w:r>
        <w:tab/>
        <w:t>for each of those directions—information setting out the reason for giving the direction.</w:t>
      </w:r>
    </w:p>
    <w:p w14:paraId="7D1D802A" w14:textId="19854C7D" w:rsidR="00BB425B" w:rsidRPr="00BB425B" w:rsidRDefault="00BB425B" w:rsidP="001C2B21">
      <w:pPr>
        <w:pStyle w:val="notetext"/>
      </w:pPr>
      <w:r w:rsidRPr="00EC6018">
        <w:t>Note:</w:t>
      </w:r>
      <w:r w:rsidRPr="00EC6018">
        <w:tab/>
      </w:r>
      <w:r w:rsidR="00874A53">
        <w:t>Section 2</w:t>
      </w:r>
      <w:r w:rsidRPr="00EC6018">
        <w:t>3</w:t>
      </w:r>
      <w:r w:rsidR="00A83431">
        <w:t>2</w:t>
      </w:r>
      <w:r w:rsidRPr="00EC6018">
        <w:t>D deals with directions given by the Governing Council to a standard</w:t>
      </w:r>
      <w:r w:rsidR="001C2B21">
        <w:noBreakHyphen/>
      </w:r>
      <w:r w:rsidRPr="00EC6018">
        <w:t>setting board in relation to a particular standard.</w:t>
      </w:r>
    </w:p>
    <w:p w14:paraId="242E1D48" w14:textId="7012307F" w:rsidR="00BC2B55" w:rsidRPr="003234FC" w:rsidRDefault="00BC2B55" w:rsidP="001C2B21">
      <w:pPr>
        <w:pStyle w:val="ActHead3"/>
        <w:pageBreakBefore/>
      </w:pPr>
      <w:r w:rsidRPr="001C2B21">
        <w:rPr>
          <w:rStyle w:val="CharDivNo"/>
        </w:rPr>
        <w:lastRenderedPageBreak/>
        <w:t>Division 3</w:t>
      </w:r>
      <w:r w:rsidRPr="001C4BC1">
        <w:t>—</w:t>
      </w:r>
      <w:r w:rsidRPr="001C2B21">
        <w:rPr>
          <w:rStyle w:val="CharDivText"/>
        </w:rPr>
        <w:t>Standard</w:t>
      </w:r>
      <w:r w:rsidR="001C2B21" w:rsidRPr="001C2B21">
        <w:rPr>
          <w:rStyle w:val="CharDivText"/>
        </w:rPr>
        <w:noBreakHyphen/>
      </w:r>
      <w:r w:rsidRPr="001C2B21">
        <w:rPr>
          <w:rStyle w:val="CharDivText"/>
        </w:rPr>
        <w:t>setting boards</w:t>
      </w:r>
    </w:p>
    <w:p w14:paraId="149BE013" w14:textId="73062EF4" w:rsidR="0049782D" w:rsidRPr="0049782D" w:rsidRDefault="0049782D" w:rsidP="001C2B21">
      <w:pPr>
        <w:pStyle w:val="ActHead4"/>
      </w:pPr>
      <w:r w:rsidRPr="001C2B21">
        <w:rPr>
          <w:rStyle w:val="CharSubdNo"/>
        </w:rPr>
        <w:t>Subdivision A</w:t>
      </w:r>
      <w:r>
        <w:t>—</w:t>
      </w:r>
      <w:r w:rsidRPr="001C2B21">
        <w:rPr>
          <w:rStyle w:val="CharSubdText"/>
        </w:rPr>
        <w:t>Establishment and functions of standard</w:t>
      </w:r>
      <w:r w:rsidR="001C2B21" w:rsidRPr="001C2B21">
        <w:rPr>
          <w:rStyle w:val="CharSubdText"/>
        </w:rPr>
        <w:noBreakHyphen/>
      </w:r>
      <w:r w:rsidRPr="001C2B21">
        <w:rPr>
          <w:rStyle w:val="CharSubdText"/>
        </w:rPr>
        <w:t>setting boards</w:t>
      </w:r>
    </w:p>
    <w:p w14:paraId="1826182B" w14:textId="29D40604" w:rsidR="00BC2B55" w:rsidRPr="00A002A3" w:rsidRDefault="001E09C2" w:rsidP="001C2B21">
      <w:pPr>
        <w:pStyle w:val="ActHead5"/>
      </w:pPr>
      <w:proofErr w:type="gramStart"/>
      <w:r>
        <w:rPr>
          <w:rStyle w:val="CharSectno"/>
        </w:rPr>
        <w:t>229</w:t>
      </w:r>
      <w:r w:rsidR="00BC2B55" w:rsidRPr="00A002A3">
        <w:t xml:space="preserve">  Establishment</w:t>
      </w:r>
      <w:proofErr w:type="gramEnd"/>
      <w:r w:rsidR="00BC2B55" w:rsidRPr="00A002A3">
        <w:t xml:space="preserve"> of standard</w:t>
      </w:r>
      <w:r w:rsidR="001C2B21">
        <w:noBreakHyphen/>
      </w:r>
      <w:r w:rsidR="00BC2B55" w:rsidRPr="00A002A3">
        <w:t>setting boards</w:t>
      </w:r>
    </w:p>
    <w:p w14:paraId="0879E844" w14:textId="77777777" w:rsidR="00BC2B55" w:rsidRPr="001C4BC1" w:rsidRDefault="00BC2B55" w:rsidP="001C2B21">
      <w:pPr>
        <w:pStyle w:val="SubsectionHead"/>
      </w:pPr>
      <w:r w:rsidRPr="001C4BC1">
        <w:t>Establishment, functions and powers</w:t>
      </w:r>
    </w:p>
    <w:p w14:paraId="47D0267C" w14:textId="77777777" w:rsidR="00BC2B55" w:rsidRPr="001C4BC1" w:rsidRDefault="00BC2B55" w:rsidP="001C2B21">
      <w:pPr>
        <w:pStyle w:val="subsection"/>
      </w:pPr>
      <w:r w:rsidRPr="001C4BC1">
        <w:tab/>
        <w:t>(1)</w:t>
      </w:r>
      <w:r w:rsidRPr="001C4BC1">
        <w:tab/>
        <w:t>The Governing Council may, by legislative instrument, determine:</w:t>
      </w:r>
    </w:p>
    <w:p w14:paraId="17613C37" w14:textId="0F41FBBD" w:rsidR="00BC2B55" w:rsidRPr="001C4BC1" w:rsidRDefault="00BC2B55" w:rsidP="001C2B21">
      <w:pPr>
        <w:pStyle w:val="paragraph"/>
      </w:pPr>
      <w:r w:rsidRPr="001C4BC1">
        <w:tab/>
        <w:t>(a)</w:t>
      </w:r>
      <w:r w:rsidRPr="001C4BC1">
        <w:tab/>
        <w:t>that a standard</w:t>
      </w:r>
      <w:r w:rsidR="001C2B21">
        <w:noBreakHyphen/>
      </w:r>
      <w:r w:rsidRPr="001C4BC1">
        <w:t>setting board of a specified name is established; and</w:t>
      </w:r>
    </w:p>
    <w:p w14:paraId="084FC34E" w14:textId="77777777" w:rsidR="00BC2B55" w:rsidRDefault="00BC2B55" w:rsidP="001C2B21">
      <w:pPr>
        <w:pStyle w:val="paragraph"/>
      </w:pPr>
      <w:r w:rsidRPr="001C4BC1">
        <w:tab/>
        <w:t>(b)</w:t>
      </w:r>
      <w:r w:rsidRPr="001C4BC1">
        <w:tab/>
        <w:t>the kinds of standards in relation to which the board is to perform functions</w:t>
      </w:r>
      <w:r>
        <w:t>; and</w:t>
      </w:r>
    </w:p>
    <w:p w14:paraId="77043916" w14:textId="45F7A08B" w:rsidR="00BC2B55" w:rsidRDefault="00BC2B55" w:rsidP="001C2B21">
      <w:pPr>
        <w:pStyle w:val="paragraph"/>
      </w:pPr>
      <w:r>
        <w:tab/>
        <w:t>(c)</w:t>
      </w:r>
      <w:r>
        <w:tab/>
      </w:r>
      <w:r w:rsidRPr="00BB7CFE">
        <w:t>any functions</w:t>
      </w:r>
      <w:r w:rsidR="005852AC">
        <w:t xml:space="preserve"> </w:t>
      </w:r>
      <w:r w:rsidRPr="00BB7CFE">
        <w:t xml:space="preserve">of </w:t>
      </w:r>
      <w:r w:rsidR="0022083E" w:rsidRPr="0022083E">
        <w:t>External Reporting Australia</w:t>
      </w:r>
      <w:r w:rsidRPr="00BB7CFE">
        <w:t xml:space="preserve"> for the purposes of </w:t>
      </w:r>
      <w:r w:rsidR="000E5457">
        <w:t>sub</w:t>
      </w:r>
      <w:r w:rsidRPr="00BB7CFE">
        <w:t xml:space="preserve">paragraph </w:t>
      </w:r>
      <w:r w:rsidR="001E09C2">
        <w:t>229B</w:t>
      </w:r>
      <w:r w:rsidRPr="00BB7CFE">
        <w:t>(</w:t>
      </w:r>
      <w:r w:rsidR="000E5457">
        <w:t>1)(a)(v)</w:t>
      </w:r>
      <w:r w:rsidRPr="00BB7CFE">
        <w:t xml:space="preserve"> (additional functions that may be performed by the standard</w:t>
      </w:r>
      <w:r w:rsidR="001C2B21">
        <w:noBreakHyphen/>
      </w:r>
      <w:r w:rsidRPr="00BB7CFE">
        <w:t>setting board)</w:t>
      </w:r>
      <w:r w:rsidR="00DE41A7">
        <w:t>; and</w:t>
      </w:r>
    </w:p>
    <w:p w14:paraId="2B67BBDD" w14:textId="168B6CDB" w:rsidR="00DE41A7" w:rsidRPr="001C4BC1" w:rsidRDefault="00F961C5" w:rsidP="001C2B21">
      <w:pPr>
        <w:pStyle w:val="paragraph"/>
      </w:pPr>
      <w:r>
        <w:tab/>
        <w:t>(d)</w:t>
      </w:r>
      <w:r>
        <w:tab/>
        <w:t xml:space="preserve">any powers of </w:t>
      </w:r>
      <w:r w:rsidR="0022083E" w:rsidRPr="0022083E">
        <w:t>External Reporting Australia</w:t>
      </w:r>
      <w:r>
        <w:t xml:space="preserve"> under paragraph </w:t>
      </w:r>
      <w:r w:rsidR="001E09C2">
        <w:t>225A</w:t>
      </w:r>
      <w:r>
        <w:t>(4)(</w:t>
      </w:r>
      <w:r w:rsidR="00A441EF">
        <w:t>a</w:t>
      </w:r>
      <w:r>
        <w:t xml:space="preserve">) for the purposes of subparagraph </w:t>
      </w:r>
      <w:r w:rsidR="001E09C2">
        <w:t>229B</w:t>
      </w:r>
      <w:r>
        <w:t>(1)(b)(i) (establishing committees and consultative groups etc.).</w:t>
      </w:r>
    </w:p>
    <w:p w14:paraId="780EF235" w14:textId="7DDBD809" w:rsidR="00BC2B55" w:rsidRPr="001C4BC1" w:rsidRDefault="00BC2B55" w:rsidP="001C2B21">
      <w:pPr>
        <w:pStyle w:val="notetext"/>
      </w:pPr>
      <w:r w:rsidRPr="001C4BC1">
        <w:t>Note:</w:t>
      </w:r>
      <w:r w:rsidRPr="001C4BC1">
        <w:tab/>
        <w:t xml:space="preserve">For </w:t>
      </w:r>
      <w:r w:rsidR="003861E7">
        <w:t>paragraph (</w:t>
      </w:r>
      <w:r w:rsidRPr="001C4BC1">
        <w:t xml:space="preserve">b), see subsection </w:t>
      </w:r>
      <w:r w:rsidR="001E09C2">
        <w:t>229</w:t>
      </w:r>
      <w:proofErr w:type="gramStart"/>
      <w:r w:rsidR="001E09C2">
        <w:t>A</w:t>
      </w:r>
      <w:r w:rsidRPr="001C4BC1">
        <w:t>(</w:t>
      </w:r>
      <w:proofErr w:type="gramEnd"/>
      <w:r w:rsidRPr="001C4BC1">
        <w:t>1).</w:t>
      </w:r>
    </w:p>
    <w:p w14:paraId="706EC6C6" w14:textId="77777777" w:rsidR="00BC2B55" w:rsidRPr="001C4BC1" w:rsidRDefault="00BC2B55" w:rsidP="001C2B21">
      <w:pPr>
        <w:pStyle w:val="SubsectionHead"/>
      </w:pPr>
      <w:r w:rsidRPr="001C4BC1">
        <w:t>Operation of the board</w:t>
      </w:r>
    </w:p>
    <w:p w14:paraId="64CC8CF1" w14:textId="75FBC03C" w:rsidR="00BC2B55" w:rsidRPr="001C4BC1" w:rsidRDefault="00BC2B55" w:rsidP="001C2B21">
      <w:pPr>
        <w:pStyle w:val="subsection"/>
      </w:pPr>
      <w:r w:rsidRPr="001C4BC1">
        <w:tab/>
        <w:t>(2)</w:t>
      </w:r>
      <w:r w:rsidRPr="001C4BC1">
        <w:tab/>
        <w:t xml:space="preserve">Subject to section </w:t>
      </w:r>
      <w:r w:rsidR="001E09C2">
        <w:t>232E</w:t>
      </w:r>
      <w:r w:rsidRPr="001C4BC1">
        <w:t>, the determination may also provide for:</w:t>
      </w:r>
    </w:p>
    <w:p w14:paraId="1647F2DD" w14:textId="77777777" w:rsidR="00BC2B55" w:rsidRPr="001C4BC1" w:rsidRDefault="00BC2B55" w:rsidP="001C2B21">
      <w:pPr>
        <w:pStyle w:val="paragraph"/>
      </w:pPr>
      <w:r w:rsidRPr="001C4BC1">
        <w:rPr>
          <w:b/>
          <w:kern w:val="28"/>
          <w:sz w:val="24"/>
        </w:rPr>
        <w:tab/>
      </w:r>
      <w:r w:rsidRPr="001C4BC1">
        <w:t>(a)</w:t>
      </w:r>
      <w:r w:rsidRPr="001C4BC1">
        <w:tab/>
        <w:t>matters relating to the operation of the board, including:</w:t>
      </w:r>
    </w:p>
    <w:p w14:paraId="613CBEAE" w14:textId="77777777" w:rsidR="00BC2B55" w:rsidRPr="001C4BC1" w:rsidRDefault="00BC2B55" w:rsidP="001C2B21">
      <w:pPr>
        <w:pStyle w:val="paragraphsub"/>
      </w:pPr>
      <w:r w:rsidRPr="001C4BC1">
        <w:rPr>
          <w:b/>
          <w:kern w:val="28"/>
          <w:sz w:val="24"/>
        </w:rPr>
        <w:tab/>
      </w:r>
      <w:r w:rsidRPr="001C4BC1">
        <w:t>(i)</w:t>
      </w:r>
      <w:r w:rsidRPr="001C4BC1">
        <w:tab/>
        <w:t>procedures for convening meetings of the board; and</w:t>
      </w:r>
    </w:p>
    <w:p w14:paraId="726C1477" w14:textId="77777777" w:rsidR="00BC2B55" w:rsidRPr="001C4BC1" w:rsidRDefault="00BC2B55" w:rsidP="001C2B21">
      <w:pPr>
        <w:pStyle w:val="paragraphsub"/>
      </w:pPr>
      <w:r w:rsidRPr="001C4BC1">
        <w:tab/>
        <w:t>(ii)</w:t>
      </w:r>
      <w:r w:rsidRPr="001C4BC1">
        <w:tab/>
        <w:t>procedures for determining who is to preside at a meeting of the board; and</w:t>
      </w:r>
    </w:p>
    <w:p w14:paraId="375A11B7" w14:textId="77777777" w:rsidR="00BC2B55" w:rsidRPr="001C4BC1" w:rsidRDefault="00BC2B55" w:rsidP="001C2B21">
      <w:pPr>
        <w:pStyle w:val="paragraphsub"/>
      </w:pPr>
      <w:r w:rsidRPr="001C4BC1">
        <w:tab/>
        <w:t>(iii)</w:t>
      </w:r>
      <w:r w:rsidRPr="001C4BC1">
        <w:tab/>
        <w:t>determining who may attend a meeting of the board; and</w:t>
      </w:r>
    </w:p>
    <w:p w14:paraId="15667652" w14:textId="77777777" w:rsidR="00BC2B55" w:rsidRPr="001C4BC1" w:rsidRDefault="00BC2B55" w:rsidP="001C2B21">
      <w:pPr>
        <w:pStyle w:val="paragraphsub"/>
      </w:pPr>
      <w:r w:rsidRPr="001C4BC1">
        <w:tab/>
        <w:t>(iv)</w:t>
      </w:r>
      <w:r w:rsidRPr="001C4BC1">
        <w:tab/>
        <w:t>the constitution of a quorum for a meeting of the board; and</w:t>
      </w:r>
    </w:p>
    <w:p w14:paraId="16D5DD4A" w14:textId="77777777" w:rsidR="00BC2B55" w:rsidRPr="001C4BC1" w:rsidRDefault="00BC2B55" w:rsidP="001C2B21">
      <w:pPr>
        <w:pStyle w:val="paragraphsub"/>
      </w:pPr>
      <w:r w:rsidRPr="001C4BC1">
        <w:tab/>
        <w:t>(v)</w:t>
      </w:r>
      <w:r w:rsidRPr="001C4BC1">
        <w:tab/>
        <w:t>procedures relating to a member’s interest in matters being dealt with by the board; and</w:t>
      </w:r>
    </w:p>
    <w:p w14:paraId="25972DE3" w14:textId="77777777" w:rsidR="00BC2B55" w:rsidRPr="001C4BC1" w:rsidRDefault="00BC2B55" w:rsidP="001C2B21">
      <w:pPr>
        <w:pStyle w:val="paragraphsub"/>
      </w:pPr>
      <w:r w:rsidRPr="001C4BC1">
        <w:tab/>
        <w:t>(vi)</w:t>
      </w:r>
      <w:r w:rsidRPr="001C4BC1">
        <w:tab/>
        <w:t>the way in which matters are to be resolved by the board; and</w:t>
      </w:r>
    </w:p>
    <w:p w14:paraId="438E26D2" w14:textId="00426353" w:rsidR="007A6363" w:rsidRDefault="00BC2B55" w:rsidP="001C2B21">
      <w:pPr>
        <w:pStyle w:val="paragraph"/>
      </w:pPr>
      <w:r w:rsidRPr="001C4BC1">
        <w:tab/>
        <w:t>(b)</w:t>
      </w:r>
      <w:r w:rsidRPr="001C4BC1">
        <w:tab/>
        <w:t xml:space="preserve">the </w:t>
      </w:r>
      <w:proofErr w:type="gramStart"/>
      <w:r w:rsidRPr="001C4BC1">
        <w:t>manner in which</w:t>
      </w:r>
      <w:proofErr w:type="gramEnd"/>
      <w:r w:rsidRPr="001C4BC1">
        <w:t xml:space="preserve"> the board is to perform functions or exercise powers (such as consultation or other procedural requirements);</w:t>
      </w:r>
      <w:r w:rsidR="007A6363">
        <w:t xml:space="preserve"> and</w:t>
      </w:r>
    </w:p>
    <w:p w14:paraId="33C81450" w14:textId="6C9CB7E8" w:rsidR="00BC2B55" w:rsidRPr="001C4BC1" w:rsidRDefault="007A6363" w:rsidP="001C2B21">
      <w:pPr>
        <w:pStyle w:val="paragraph"/>
      </w:pPr>
      <w:r>
        <w:lastRenderedPageBreak/>
        <w:tab/>
        <w:t>(c)</w:t>
      </w:r>
      <w:r>
        <w:tab/>
        <w:t>the broad strategic direction of the board; and</w:t>
      </w:r>
    </w:p>
    <w:p w14:paraId="1DC01968" w14:textId="2A28B8C8" w:rsidR="00BC2B55" w:rsidRDefault="00BC2B55" w:rsidP="001C2B21">
      <w:pPr>
        <w:pStyle w:val="paragraph"/>
      </w:pPr>
      <w:r w:rsidRPr="001C4BC1">
        <w:tab/>
        <w:t>(</w:t>
      </w:r>
      <w:r w:rsidR="00522360">
        <w:t>d</w:t>
      </w:r>
      <w:r w:rsidRPr="001C4BC1">
        <w:t>)</w:t>
      </w:r>
      <w:r w:rsidRPr="001C4BC1">
        <w:tab/>
        <w:t>reporting requirements for the board.</w:t>
      </w:r>
    </w:p>
    <w:p w14:paraId="3E0B076D" w14:textId="560ABE73" w:rsidR="00F961C5" w:rsidRDefault="00F961C5" w:rsidP="001C2B21">
      <w:pPr>
        <w:pStyle w:val="notetext"/>
      </w:pPr>
      <w:r>
        <w:t>Note 1:</w:t>
      </w:r>
      <w:r>
        <w:tab/>
        <w:t xml:space="preserve">Section </w:t>
      </w:r>
      <w:r w:rsidR="001E09C2">
        <w:t>232E</w:t>
      </w:r>
      <w:r>
        <w:t xml:space="preserve"> </w:t>
      </w:r>
      <w:r w:rsidR="00D122F5">
        <w:t>requires</w:t>
      </w:r>
      <w:r>
        <w:t xml:space="preserve"> meetings of a standard</w:t>
      </w:r>
      <w:r w:rsidR="001C2B21">
        <w:noBreakHyphen/>
      </w:r>
      <w:r>
        <w:t>setting board relating to the contents of certain standards to be held in public.</w:t>
      </w:r>
    </w:p>
    <w:p w14:paraId="6D9B642D" w14:textId="753916F8" w:rsidR="00BC2B55" w:rsidRDefault="00BC2B55" w:rsidP="001C2B21">
      <w:pPr>
        <w:pStyle w:val="notetext"/>
      </w:pPr>
      <w:r>
        <w:t>Note</w:t>
      </w:r>
      <w:r w:rsidR="007F6B75">
        <w:t xml:space="preserve"> </w:t>
      </w:r>
      <w:r w:rsidR="00F961C5">
        <w:t>2</w:t>
      </w:r>
      <w:r>
        <w:t>:</w:t>
      </w:r>
      <w:r>
        <w:tab/>
        <w:t>Any procedures included in the determination under sub</w:t>
      </w:r>
      <w:r w:rsidR="003861E7">
        <w:t>paragraph (</w:t>
      </w:r>
      <w:r>
        <w:t xml:space="preserve">2)(a)(v) are in addition to the member’s obligations under section </w:t>
      </w:r>
      <w:r w:rsidR="001E09C2">
        <w:t>230G</w:t>
      </w:r>
      <w:r>
        <w:t xml:space="preserve"> (disclosure of interests).</w:t>
      </w:r>
    </w:p>
    <w:p w14:paraId="1BF700E7" w14:textId="2A331617" w:rsidR="007F6B75" w:rsidRPr="00923BEA" w:rsidRDefault="007F6B75" w:rsidP="001C2B21">
      <w:pPr>
        <w:pStyle w:val="notetext"/>
      </w:pPr>
      <w:r>
        <w:t xml:space="preserve">Note </w:t>
      </w:r>
      <w:r w:rsidR="00F961C5">
        <w:t>3</w:t>
      </w:r>
      <w:r>
        <w:t>:</w:t>
      </w:r>
      <w:r>
        <w:tab/>
        <w:t>The Governing Council’s ability to determine the broad strategic direction of a standard</w:t>
      </w:r>
      <w:r w:rsidR="001C2B21">
        <w:noBreakHyphen/>
      </w:r>
      <w:r>
        <w:t xml:space="preserve">setting board is in addition to its power to give specific directions relating to standard setting (see section </w:t>
      </w:r>
      <w:r w:rsidR="001E09C2">
        <w:t>232D</w:t>
      </w:r>
      <w:r>
        <w:t>).</w:t>
      </w:r>
    </w:p>
    <w:p w14:paraId="7D5EF16E" w14:textId="77777777" w:rsidR="00BC2B55" w:rsidRPr="001C4BC1" w:rsidRDefault="00BC2B55" w:rsidP="001C2B21">
      <w:pPr>
        <w:pStyle w:val="subsection"/>
      </w:pPr>
      <w:r>
        <w:tab/>
        <w:t>(3)</w:t>
      </w:r>
      <w:r>
        <w:tab/>
      </w:r>
      <w:r w:rsidRPr="001C4BC1">
        <w:t>The determination may allow the board to determine a matter relating to the operation of the board for which the determination may provide.</w:t>
      </w:r>
    </w:p>
    <w:p w14:paraId="3E60F622" w14:textId="1F914325" w:rsidR="00BC2B55" w:rsidRPr="001C4BC1" w:rsidRDefault="00BC2B55" w:rsidP="001C2B21">
      <w:pPr>
        <w:pStyle w:val="subsection"/>
      </w:pPr>
      <w:r w:rsidRPr="001C4BC1">
        <w:tab/>
        <w:t>(</w:t>
      </w:r>
      <w:r>
        <w:t>4</w:t>
      </w:r>
      <w:r w:rsidRPr="001C4BC1">
        <w:t>)</w:t>
      </w:r>
      <w:r w:rsidRPr="001C4BC1">
        <w:tab/>
        <w:t xml:space="preserve">If the determination does not provide for a matter mentioned in </w:t>
      </w:r>
      <w:r w:rsidR="003861E7">
        <w:t>paragraph (</w:t>
      </w:r>
      <w:r w:rsidRPr="001C4BC1">
        <w:t>2)(a), the board may operate in the way it determines in relation to that matter.</w:t>
      </w:r>
    </w:p>
    <w:p w14:paraId="28CF42DB" w14:textId="04E33CB6" w:rsidR="00BC2B55" w:rsidRPr="001C4BC1" w:rsidRDefault="001E09C2" w:rsidP="001C2B21">
      <w:pPr>
        <w:pStyle w:val="ActHead5"/>
      </w:pPr>
      <w:r>
        <w:rPr>
          <w:rStyle w:val="CharSectno"/>
        </w:rPr>
        <w:t>229</w:t>
      </w:r>
      <w:proofErr w:type="gramStart"/>
      <w:r>
        <w:rPr>
          <w:rStyle w:val="CharSectno"/>
        </w:rPr>
        <w:t>A</w:t>
      </w:r>
      <w:r w:rsidR="00BC2B55" w:rsidRPr="001C4BC1">
        <w:t xml:space="preserve">  Allocation</w:t>
      </w:r>
      <w:proofErr w:type="gramEnd"/>
      <w:r w:rsidR="00BC2B55" w:rsidRPr="001C4BC1">
        <w:t xml:space="preserve"> of functions across boards</w:t>
      </w:r>
    </w:p>
    <w:p w14:paraId="3244907E" w14:textId="45DC43D0" w:rsidR="00BC2B55" w:rsidRPr="001C4BC1" w:rsidRDefault="00BC2B55" w:rsidP="001C2B21">
      <w:pPr>
        <w:pStyle w:val="subsection"/>
      </w:pPr>
      <w:r w:rsidRPr="001C4BC1">
        <w:tab/>
        <w:t>(1)</w:t>
      </w:r>
      <w:r w:rsidRPr="001C4BC1">
        <w:tab/>
        <w:t>The kinds of standards determined for a standard</w:t>
      </w:r>
      <w:r w:rsidR="001C2B21">
        <w:noBreakHyphen/>
      </w:r>
      <w:r w:rsidRPr="001C4BC1">
        <w:t>setting board under paragraph </w:t>
      </w:r>
      <w:r w:rsidR="001E09C2">
        <w:t>229</w:t>
      </w:r>
      <w:r w:rsidRPr="001C4BC1">
        <w:t>(1)(</w:t>
      </w:r>
      <w:r>
        <w:t>b</w:t>
      </w:r>
      <w:r w:rsidRPr="001C4BC1">
        <w:t xml:space="preserve">) must not extend beyond a single category of standards mentioned in </w:t>
      </w:r>
      <w:r w:rsidR="001C2B21">
        <w:t>subsection (</w:t>
      </w:r>
      <w:r w:rsidRPr="001C4BC1">
        <w:t>3) of this section, except to the extent that standards</w:t>
      </w:r>
      <w:r>
        <w:t xml:space="preserve"> </w:t>
      </w:r>
      <w:r w:rsidRPr="001C4BC1">
        <w:t xml:space="preserve">relate to a function conferred on </w:t>
      </w:r>
      <w:r w:rsidR="0022083E" w:rsidRPr="0022083E">
        <w:t>External Reporting Australia</w:t>
      </w:r>
      <w:r w:rsidRPr="001C4BC1">
        <w:t xml:space="preserve"> under paragraph </w:t>
      </w:r>
      <w:r w:rsidR="001E09C2">
        <w:t>225A</w:t>
      </w:r>
      <w:r w:rsidRPr="001C4BC1">
        <w:t>(1)(</w:t>
      </w:r>
      <w:r>
        <w:t>i</w:t>
      </w:r>
      <w:r w:rsidRPr="001C4BC1">
        <w:t>)</w:t>
      </w:r>
      <w:r>
        <w:t>.</w:t>
      </w:r>
    </w:p>
    <w:p w14:paraId="0B680FD0" w14:textId="372043CD" w:rsidR="00BC2B55" w:rsidRPr="001C4BC1" w:rsidRDefault="00BC2B55" w:rsidP="001C2B21">
      <w:pPr>
        <w:pStyle w:val="subsection"/>
      </w:pPr>
      <w:r>
        <w:tab/>
      </w:r>
      <w:r w:rsidRPr="001C4BC1">
        <w:t>(2)</w:t>
      </w:r>
      <w:r w:rsidRPr="001C4BC1">
        <w:tab/>
        <w:t xml:space="preserve">The Governing Council must </w:t>
      </w:r>
      <w:proofErr w:type="gramStart"/>
      <w:r w:rsidRPr="001C4BC1">
        <w:t>ensure at all times</w:t>
      </w:r>
      <w:proofErr w:type="gramEnd"/>
      <w:r w:rsidRPr="001C4BC1">
        <w:t xml:space="preserve"> that, for each category of standards mentioned in </w:t>
      </w:r>
      <w:r w:rsidR="001C2B21">
        <w:t>subsection (</w:t>
      </w:r>
      <w:r w:rsidRPr="001C4BC1">
        <w:t>3) of this section, there is at least one standard</w:t>
      </w:r>
      <w:r w:rsidR="001C2B21">
        <w:noBreakHyphen/>
      </w:r>
      <w:r w:rsidRPr="001C4BC1">
        <w:t>setting board authorised to perform functions and exercise powers in relation to standards in the category.</w:t>
      </w:r>
    </w:p>
    <w:p w14:paraId="32335077" w14:textId="77777777" w:rsidR="00BC2B55" w:rsidRPr="001C4BC1" w:rsidRDefault="00BC2B55" w:rsidP="001C2B21">
      <w:pPr>
        <w:pStyle w:val="subsection"/>
      </w:pPr>
      <w:r w:rsidRPr="001C4BC1">
        <w:tab/>
        <w:t>(3)</w:t>
      </w:r>
      <w:r w:rsidRPr="001C4BC1">
        <w:tab/>
        <w:t>The categories of standards are as follows:</w:t>
      </w:r>
    </w:p>
    <w:p w14:paraId="75A2BE04" w14:textId="77777777" w:rsidR="00BC2B55" w:rsidRPr="001C4BC1" w:rsidRDefault="00BC2B55" w:rsidP="001C2B21">
      <w:pPr>
        <w:pStyle w:val="paragraph"/>
      </w:pPr>
      <w:r w:rsidRPr="001C4BC1">
        <w:tab/>
        <w:t>(a)</w:t>
      </w:r>
      <w:r w:rsidRPr="001C4BC1">
        <w:tab/>
        <w:t xml:space="preserve">accounting </w:t>
      </w:r>
      <w:proofErr w:type="gramStart"/>
      <w:r w:rsidRPr="001C4BC1">
        <w:t>standards;</w:t>
      </w:r>
      <w:proofErr w:type="gramEnd"/>
    </w:p>
    <w:p w14:paraId="7F60A905" w14:textId="77777777" w:rsidR="00BC2B55" w:rsidRPr="001C4BC1" w:rsidRDefault="00BC2B55" w:rsidP="001C2B21">
      <w:pPr>
        <w:pStyle w:val="paragraph"/>
      </w:pPr>
      <w:r w:rsidRPr="001C4BC1">
        <w:tab/>
        <w:t>(b)</w:t>
      </w:r>
      <w:r w:rsidRPr="001C4BC1">
        <w:tab/>
        <w:t xml:space="preserve">auditing and assurance </w:t>
      </w:r>
      <w:proofErr w:type="gramStart"/>
      <w:r w:rsidRPr="001C4BC1">
        <w:t>standards;</w:t>
      </w:r>
      <w:proofErr w:type="gramEnd"/>
    </w:p>
    <w:p w14:paraId="3A41118A" w14:textId="77777777" w:rsidR="00BC2B55" w:rsidRDefault="00BC2B55" w:rsidP="001C2B21">
      <w:pPr>
        <w:pStyle w:val="paragraph"/>
      </w:pPr>
      <w:r w:rsidRPr="001C4BC1">
        <w:tab/>
        <w:t>(c)</w:t>
      </w:r>
      <w:r w:rsidRPr="001C4BC1">
        <w:tab/>
        <w:t>sustainability standards.</w:t>
      </w:r>
    </w:p>
    <w:p w14:paraId="6389A319" w14:textId="2E225A15" w:rsidR="00BC2B55" w:rsidRPr="001C4BC1" w:rsidRDefault="001E09C2" w:rsidP="001C2B21">
      <w:pPr>
        <w:pStyle w:val="ActHead5"/>
      </w:pPr>
      <w:r>
        <w:rPr>
          <w:rStyle w:val="CharSectno"/>
        </w:rPr>
        <w:t>229</w:t>
      </w:r>
      <w:proofErr w:type="gramStart"/>
      <w:r>
        <w:rPr>
          <w:rStyle w:val="CharSectno"/>
        </w:rPr>
        <w:t>B</w:t>
      </w:r>
      <w:r w:rsidR="00BC2B55" w:rsidRPr="001C4BC1">
        <w:t xml:space="preserve">  Role</w:t>
      </w:r>
      <w:proofErr w:type="gramEnd"/>
      <w:r w:rsidR="00BC2B55" w:rsidRPr="001C4BC1">
        <w:t xml:space="preserve"> of standard</w:t>
      </w:r>
      <w:r w:rsidR="001C2B21">
        <w:noBreakHyphen/>
      </w:r>
      <w:r w:rsidR="00BC2B55" w:rsidRPr="001C4BC1">
        <w:t>setting board</w:t>
      </w:r>
    </w:p>
    <w:p w14:paraId="3242D205" w14:textId="76E69119" w:rsidR="00BC2B55" w:rsidRPr="001C4BC1" w:rsidRDefault="00BC2B55" w:rsidP="001C2B21">
      <w:pPr>
        <w:pStyle w:val="subsection"/>
      </w:pPr>
      <w:r w:rsidRPr="001C4BC1">
        <w:tab/>
      </w:r>
      <w:r w:rsidR="00A21F02">
        <w:t>(1)</w:t>
      </w:r>
      <w:r w:rsidRPr="001C4BC1">
        <w:tab/>
        <w:t>A determination under section </w:t>
      </w:r>
      <w:r w:rsidR="001E09C2">
        <w:t>229</w:t>
      </w:r>
      <w:r w:rsidRPr="001C4BC1">
        <w:t xml:space="preserve"> has effect as an authorisation by the Governing Council for the standard</w:t>
      </w:r>
      <w:r w:rsidR="001C2B21">
        <w:noBreakHyphen/>
      </w:r>
      <w:r w:rsidRPr="001C4BC1">
        <w:t xml:space="preserve">setting board to do the following on behalf of </w:t>
      </w:r>
      <w:r w:rsidR="0022083E" w:rsidRPr="0022083E">
        <w:t>External Reporting Australia</w:t>
      </w:r>
      <w:r w:rsidRPr="001C4BC1">
        <w:t>:</w:t>
      </w:r>
    </w:p>
    <w:p w14:paraId="487FDEC9" w14:textId="1D168A85" w:rsidR="00BC2B55" w:rsidRDefault="00BC2B55" w:rsidP="001C2B21">
      <w:pPr>
        <w:pStyle w:val="paragraph"/>
      </w:pPr>
      <w:r w:rsidRPr="001C4BC1">
        <w:lastRenderedPageBreak/>
        <w:tab/>
        <w:t>(a)</w:t>
      </w:r>
      <w:r w:rsidRPr="001C4BC1">
        <w:tab/>
      </w:r>
      <w:r w:rsidRPr="00D7565C">
        <w:t xml:space="preserve">perform the following functions of </w:t>
      </w:r>
      <w:r w:rsidR="0022083E" w:rsidRPr="0022083E">
        <w:t>External Reporting Australia</w:t>
      </w:r>
      <w:r w:rsidRPr="00D7565C">
        <w:t xml:space="preserve"> in relation to the kinds of standards specified in the determination (to the extent they are relevant)</w:t>
      </w:r>
      <w:r>
        <w:t>:</w:t>
      </w:r>
    </w:p>
    <w:p w14:paraId="6C929E1B" w14:textId="06595223" w:rsidR="00BC2B55" w:rsidRPr="00D7565C" w:rsidRDefault="00BC2B55" w:rsidP="001C2B21">
      <w:pPr>
        <w:pStyle w:val="paragraphsub"/>
      </w:pPr>
      <w:r>
        <w:tab/>
      </w:r>
      <w:r w:rsidRPr="00D7565C">
        <w:t>(</w:t>
      </w:r>
      <w:r>
        <w:t>i</w:t>
      </w:r>
      <w:r w:rsidRPr="00D7565C">
        <w:t>)</w:t>
      </w:r>
      <w:r w:rsidRPr="00D7565C">
        <w:tab/>
      </w:r>
      <w:r w:rsidR="0016172B">
        <w:t xml:space="preserve">the function under </w:t>
      </w:r>
      <w:r w:rsidR="003234FC">
        <w:t>paragraph </w:t>
      </w:r>
      <w:r w:rsidR="001E09C2">
        <w:t>225A</w:t>
      </w:r>
      <w:r w:rsidRPr="00D7565C">
        <w:t>(1)(a) (making standards under the Corporations Act</w:t>
      </w:r>
      <w:proofErr w:type="gramStart"/>
      <w:r w:rsidRPr="00D7565C">
        <w:t>);</w:t>
      </w:r>
      <w:proofErr w:type="gramEnd"/>
    </w:p>
    <w:p w14:paraId="4FC870E3" w14:textId="2BB0CB7A" w:rsidR="00BC2B55" w:rsidRPr="00D7565C" w:rsidRDefault="00BC2B55" w:rsidP="001C2B21">
      <w:pPr>
        <w:pStyle w:val="paragraphsub"/>
      </w:pPr>
      <w:r w:rsidRPr="00D7565C">
        <w:tab/>
        <w:t>(</w:t>
      </w:r>
      <w:r>
        <w:t>ii</w:t>
      </w:r>
      <w:r w:rsidRPr="00D7565C">
        <w:t>)</w:t>
      </w:r>
      <w:r w:rsidRPr="00D7565C">
        <w:tab/>
      </w:r>
      <w:r w:rsidR="0016172B">
        <w:t xml:space="preserve">the function under </w:t>
      </w:r>
      <w:r w:rsidR="003234FC">
        <w:t>paragraph </w:t>
      </w:r>
      <w:r w:rsidR="001E09C2">
        <w:t>225A</w:t>
      </w:r>
      <w:r w:rsidRPr="00D7565C">
        <w:t>(1)(b) (formulating other standards</w:t>
      </w:r>
      <w:proofErr w:type="gramStart"/>
      <w:r w:rsidRPr="00D7565C">
        <w:t>);</w:t>
      </w:r>
      <w:proofErr w:type="gramEnd"/>
    </w:p>
    <w:p w14:paraId="579F90B3" w14:textId="387ADB17" w:rsidR="00BC2B55" w:rsidRPr="00D7565C" w:rsidRDefault="00BC2B55" w:rsidP="001C2B21">
      <w:pPr>
        <w:pStyle w:val="paragraphsub"/>
      </w:pPr>
      <w:r w:rsidRPr="00D7565C">
        <w:tab/>
        <w:t>(</w:t>
      </w:r>
      <w:r>
        <w:t>iii</w:t>
      </w:r>
      <w:r w:rsidRPr="00D7565C">
        <w:t>)</w:t>
      </w:r>
      <w:r w:rsidRPr="00D7565C">
        <w:tab/>
      </w:r>
      <w:r w:rsidR="0016172B">
        <w:t xml:space="preserve">the function under </w:t>
      </w:r>
      <w:r w:rsidR="003234FC">
        <w:t>paragraph </w:t>
      </w:r>
      <w:r w:rsidR="001E09C2">
        <w:t>225A</w:t>
      </w:r>
      <w:r w:rsidRPr="00D7565C">
        <w:t>(1)(c) (formulating guidance</w:t>
      </w:r>
      <w:proofErr w:type="gramStart"/>
      <w:r w:rsidRPr="00D7565C">
        <w:t>);</w:t>
      </w:r>
      <w:proofErr w:type="gramEnd"/>
    </w:p>
    <w:p w14:paraId="1F7F13DF" w14:textId="5C33DE0A" w:rsidR="00BC2B55" w:rsidRPr="00D7565C" w:rsidRDefault="00BC2B55" w:rsidP="001C2B21">
      <w:pPr>
        <w:pStyle w:val="paragraphsub"/>
      </w:pPr>
      <w:r w:rsidRPr="00D7565C">
        <w:tab/>
        <w:t>(</w:t>
      </w:r>
      <w:r>
        <w:t>iv</w:t>
      </w:r>
      <w:r w:rsidRPr="00D7565C">
        <w:t>)</w:t>
      </w:r>
      <w:r w:rsidRPr="00D7565C">
        <w:tab/>
      </w:r>
      <w:r w:rsidR="0016172B">
        <w:t xml:space="preserve">the function under </w:t>
      </w:r>
      <w:r w:rsidR="003234FC">
        <w:t>paragraph </w:t>
      </w:r>
      <w:r w:rsidR="001E09C2">
        <w:t>225A</w:t>
      </w:r>
      <w:r w:rsidRPr="00D7565C">
        <w:t>(1)(d) (developing conceptual frameworks</w:t>
      </w:r>
      <w:proofErr w:type="gramStart"/>
      <w:r w:rsidRPr="00D7565C">
        <w:t>);</w:t>
      </w:r>
      <w:proofErr w:type="gramEnd"/>
    </w:p>
    <w:p w14:paraId="692A1A9D" w14:textId="4CDA19EC" w:rsidR="00BC2B55" w:rsidRPr="001C4BC1" w:rsidRDefault="00BC2B55" w:rsidP="001C2B21">
      <w:pPr>
        <w:pStyle w:val="paragraphsub"/>
      </w:pPr>
      <w:r w:rsidRPr="00D7565C">
        <w:tab/>
        <w:t>(</w:t>
      </w:r>
      <w:r>
        <w:t>v</w:t>
      </w:r>
      <w:r w:rsidRPr="00D7565C">
        <w:t>)</w:t>
      </w:r>
      <w:r w:rsidRPr="00D7565C">
        <w:tab/>
        <w:t xml:space="preserve">any other functions of </w:t>
      </w:r>
      <w:r w:rsidR="0022083E" w:rsidRPr="0022083E">
        <w:t>External Reporting Australia</w:t>
      </w:r>
      <w:r w:rsidRPr="00D7565C">
        <w:t xml:space="preserve"> specified in </w:t>
      </w:r>
      <w:r w:rsidR="00F961C5">
        <w:t>the</w:t>
      </w:r>
      <w:r w:rsidRPr="00D7565C">
        <w:t xml:space="preserve"> determination under </w:t>
      </w:r>
      <w:r w:rsidR="00F961C5">
        <w:t>paragraph</w:t>
      </w:r>
      <w:r w:rsidR="003234FC">
        <w:t> </w:t>
      </w:r>
      <w:r w:rsidR="001E09C2">
        <w:t>229</w:t>
      </w:r>
      <w:r w:rsidRPr="00D7565C">
        <w:t>(1)</w:t>
      </w:r>
      <w:r w:rsidR="00F961C5">
        <w:t>(c</w:t>
      </w:r>
      <w:proofErr w:type="gramStart"/>
      <w:r w:rsidR="00F961C5">
        <w:t>)</w:t>
      </w:r>
      <w:r>
        <w:t>;</w:t>
      </w:r>
      <w:proofErr w:type="gramEnd"/>
    </w:p>
    <w:p w14:paraId="7A1B0EF2" w14:textId="77777777" w:rsidR="00F961C5" w:rsidRDefault="00BC2B55" w:rsidP="001C2B21">
      <w:pPr>
        <w:pStyle w:val="paragraph"/>
      </w:pPr>
      <w:r w:rsidRPr="001C4BC1">
        <w:rPr>
          <w:b/>
          <w:kern w:val="28"/>
          <w:sz w:val="24"/>
        </w:rPr>
        <w:tab/>
      </w:r>
      <w:r w:rsidRPr="001C4BC1">
        <w:t>(b)</w:t>
      </w:r>
      <w:r w:rsidRPr="001C4BC1">
        <w:tab/>
        <w:t xml:space="preserve">exercise the </w:t>
      </w:r>
      <w:r w:rsidR="00F961C5">
        <w:t xml:space="preserve">following </w:t>
      </w:r>
      <w:r w:rsidRPr="001C4BC1">
        <w:t>powers</w:t>
      </w:r>
      <w:r w:rsidR="00F961C5">
        <w:t>:</w:t>
      </w:r>
    </w:p>
    <w:p w14:paraId="266F9545" w14:textId="662148FA" w:rsidR="00F961C5" w:rsidRDefault="00F961C5" w:rsidP="001C2B21">
      <w:pPr>
        <w:pStyle w:val="paragraphsub"/>
      </w:pPr>
      <w:r>
        <w:tab/>
        <w:t>(i)</w:t>
      </w:r>
      <w:r>
        <w:tab/>
        <w:t xml:space="preserve">any powers of </w:t>
      </w:r>
      <w:r w:rsidR="0022083E" w:rsidRPr="0022083E">
        <w:t>External Reporting Australia</w:t>
      </w:r>
      <w:r>
        <w:t xml:space="preserve"> specified in the determination under paragraph </w:t>
      </w:r>
      <w:r w:rsidR="001E09C2">
        <w:t>229</w:t>
      </w:r>
      <w:r w:rsidRPr="00D7565C">
        <w:t>(1)</w:t>
      </w:r>
      <w:r>
        <w:t>(d)</w:t>
      </w:r>
      <w:r w:rsidR="00A441EF">
        <w:t xml:space="preserve"> as they relate to those </w:t>
      </w:r>
      <w:proofErr w:type="gramStart"/>
      <w:r w:rsidR="00A441EF">
        <w:t>functions</w:t>
      </w:r>
      <w:r>
        <w:t>;</w:t>
      </w:r>
      <w:proofErr w:type="gramEnd"/>
    </w:p>
    <w:p w14:paraId="0F4BF99E" w14:textId="25F97B49" w:rsidR="00BC2B55" w:rsidRPr="001C4BC1" w:rsidRDefault="00F961C5" w:rsidP="001C2B21">
      <w:pPr>
        <w:pStyle w:val="paragraphsub"/>
      </w:pPr>
      <w:r>
        <w:tab/>
        <w:t>(ii)</w:t>
      </w:r>
      <w:r>
        <w:tab/>
      </w:r>
      <w:r w:rsidR="00307F73">
        <w:t xml:space="preserve">any powers of </w:t>
      </w:r>
      <w:r w:rsidR="0022083E" w:rsidRPr="0022083E">
        <w:t>External Reporting Australia</w:t>
      </w:r>
      <w:r w:rsidR="00E503BC">
        <w:t xml:space="preserve"> (other than under paragraph </w:t>
      </w:r>
      <w:r w:rsidR="001E09C2">
        <w:t>225A</w:t>
      </w:r>
      <w:r w:rsidR="00E503BC">
        <w:t>(4)(a))</w:t>
      </w:r>
      <w:r w:rsidR="00BC2B55" w:rsidRPr="001C4BC1">
        <w:t xml:space="preserve"> as necessary or convenient to perform</w:t>
      </w:r>
      <w:r w:rsidR="00BC2B55">
        <w:t xml:space="preserve"> those functions</w:t>
      </w:r>
      <w:r w:rsidR="00BC2B55" w:rsidRPr="001C4BC1">
        <w:t>.</w:t>
      </w:r>
    </w:p>
    <w:p w14:paraId="70B3CA2F" w14:textId="6EFB588A" w:rsidR="00BC2B55" w:rsidRPr="001C4BC1" w:rsidRDefault="00BC2B55" w:rsidP="001C2B21">
      <w:pPr>
        <w:pStyle w:val="notetext"/>
      </w:pPr>
      <w:r w:rsidRPr="001C4BC1">
        <w:t>Note:</w:t>
      </w:r>
      <w:r w:rsidRPr="001C4BC1">
        <w:tab/>
        <w:t xml:space="preserve">Anything done on behalf of </w:t>
      </w:r>
      <w:r w:rsidR="003F5783" w:rsidRPr="0022083E">
        <w:t>External Reporting Australia</w:t>
      </w:r>
      <w:r w:rsidRPr="001C4BC1">
        <w:t xml:space="preserve"> with the authority of the Governing Council is taken to have been done by </w:t>
      </w:r>
      <w:r w:rsidR="0022083E" w:rsidRPr="0022083E">
        <w:t>External Reporting Australia</w:t>
      </w:r>
      <w:r w:rsidRPr="001C4BC1">
        <w:t>: see subsection </w:t>
      </w:r>
      <w:r w:rsidR="001E09C2">
        <w:t>226</w:t>
      </w:r>
      <w:proofErr w:type="gramStart"/>
      <w:r w:rsidR="001E09C2">
        <w:t>A</w:t>
      </w:r>
      <w:r w:rsidRPr="001C4BC1">
        <w:t>(</w:t>
      </w:r>
      <w:proofErr w:type="gramEnd"/>
      <w:r w:rsidRPr="001C4BC1">
        <w:t>4).</w:t>
      </w:r>
    </w:p>
    <w:p w14:paraId="4DEC4916" w14:textId="072C3682" w:rsidR="00BC2B55" w:rsidRPr="001C4BC1" w:rsidRDefault="00BC2B55" w:rsidP="001C2B21">
      <w:pPr>
        <w:pStyle w:val="subsection"/>
      </w:pPr>
      <w:r>
        <w:tab/>
      </w:r>
      <w:r w:rsidRPr="001C4BC1">
        <w:t>(</w:t>
      </w:r>
      <w:r w:rsidR="00A21F02">
        <w:t>2</w:t>
      </w:r>
      <w:r w:rsidRPr="001C4BC1">
        <w:t>)</w:t>
      </w:r>
      <w:r>
        <w:tab/>
      </w:r>
      <w:r w:rsidRPr="001C4BC1">
        <w:t>Two or more standard</w:t>
      </w:r>
      <w:r w:rsidR="001C2B21">
        <w:noBreakHyphen/>
      </w:r>
      <w:r w:rsidRPr="001C4BC1">
        <w:t>setting boards may act jointly in the performance of functions or exercise of powers.</w:t>
      </w:r>
    </w:p>
    <w:p w14:paraId="7CBCA0CA" w14:textId="52ECCD59" w:rsidR="00BC2B55" w:rsidRDefault="00BC2B55" w:rsidP="001C2B21">
      <w:pPr>
        <w:pStyle w:val="subsection"/>
      </w:pPr>
      <w:r w:rsidRPr="001C4BC1">
        <w:rPr>
          <w:b/>
          <w:kern w:val="28"/>
          <w:sz w:val="24"/>
        </w:rPr>
        <w:tab/>
      </w:r>
      <w:r w:rsidRPr="001C4BC1">
        <w:t>(</w:t>
      </w:r>
      <w:r w:rsidR="00A21F02">
        <w:t>3</w:t>
      </w:r>
      <w:r w:rsidRPr="001C4BC1">
        <w:t>)</w:t>
      </w:r>
      <w:r w:rsidRPr="001C4BC1">
        <w:tab/>
        <w:t>A standard</w:t>
      </w:r>
      <w:r w:rsidR="001C2B21">
        <w:noBreakHyphen/>
      </w:r>
      <w:r w:rsidRPr="001C4BC1">
        <w:t xml:space="preserve">setting board must perform any functions and exercise any powers having regard to the duties of the Governing Council as the accountable authority of </w:t>
      </w:r>
      <w:r w:rsidR="0022083E" w:rsidRPr="0022083E">
        <w:t>External Reporting Australia</w:t>
      </w:r>
      <w:r w:rsidRPr="001C4BC1">
        <w:t xml:space="preserve"> for the purposes of the </w:t>
      </w:r>
      <w:r w:rsidRPr="001C4BC1">
        <w:rPr>
          <w:i/>
          <w:iCs/>
        </w:rPr>
        <w:t>Public Governance, Performance and Accountability Act 2013</w:t>
      </w:r>
      <w:r w:rsidRPr="001C4BC1">
        <w:t>.</w:t>
      </w:r>
    </w:p>
    <w:p w14:paraId="7E95A9AF" w14:textId="067C8EEB" w:rsidR="004170AE" w:rsidRDefault="004170AE" w:rsidP="001C2B21">
      <w:pPr>
        <w:pStyle w:val="ActHead4"/>
      </w:pPr>
      <w:r w:rsidRPr="001C2B21">
        <w:rPr>
          <w:rStyle w:val="CharSubdNo"/>
        </w:rPr>
        <w:t>Subdivision B</w:t>
      </w:r>
      <w:r>
        <w:t>—</w:t>
      </w:r>
      <w:r w:rsidRPr="001C2B21">
        <w:rPr>
          <w:rStyle w:val="CharSubdText"/>
        </w:rPr>
        <w:t>Standard</w:t>
      </w:r>
      <w:r w:rsidR="001C2B21" w:rsidRPr="001C2B21">
        <w:rPr>
          <w:rStyle w:val="CharSubdText"/>
        </w:rPr>
        <w:noBreakHyphen/>
      </w:r>
      <w:r w:rsidRPr="001C2B21">
        <w:rPr>
          <w:rStyle w:val="CharSubdText"/>
        </w:rPr>
        <w:t>setting board members</w:t>
      </w:r>
    </w:p>
    <w:p w14:paraId="7E013208" w14:textId="3B8088BD" w:rsidR="00BC2B55" w:rsidRPr="001C4BC1" w:rsidRDefault="001E09C2" w:rsidP="001C2B21">
      <w:pPr>
        <w:pStyle w:val="ActHead5"/>
      </w:pPr>
      <w:proofErr w:type="gramStart"/>
      <w:r>
        <w:rPr>
          <w:rStyle w:val="CharSectno"/>
        </w:rPr>
        <w:t>230</w:t>
      </w:r>
      <w:r w:rsidR="00BC2B55" w:rsidRPr="001C4BC1">
        <w:t xml:space="preserve">  Appointments</w:t>
      </w:r>
      <w:proofErr w:type="gramEnd"/>
      <w:r w:rsidR="00BC2B55" w:rsidRPr="001C4BC1">
        <w:t xml:space="preserve"> to standard</w:t>
      </w:r>
      <w:r w:rsidR="001C2B21">
        <w:noBreakHyphen/>
      </w:r>
      <w:r w:rsidR="00BC2B55" w:rsidRPr="001C4BC1">
        <w:t>setting board</w:t>
      </w:r>
    </w:p>
    <w:p w14:paraId="0EE96175" w14:textId="77777777" w:rsidR="00BC2B55" w:rsidRPr="001C4BC1" w:rsidRDefault="00BC2B55" w:rsidP="001C2B21">
      <w:pPr>
        <w:pStyle w:val="subsection"/>
      </w:pPr>
      <w:r w:rsidRPr="001C4BC1">
        <w:tab/>
        <w:t>(1)</w:t>
      </w:r>
      <w:r w:rsidRPr="001C4BC1">
        <w:tab/>
        <w:t>A board member is to be appointed by the Governing Council by written instrument.</w:t>
      </w:r>
    </w:p>
    <w:p w14:paraId="2A4C856B" w14:textId="726D6C29" w:rsidR="00BC2B55" w:rsidRPr="001C4BC1" w:rsidRDefault="00BC2B55" w:rsidP="001C2B21">
      <w:pPr>
        <w:pStyle w:val="notetext"/>
      </w:pPr>
      <w:r w:rsidRPr="001C4BC1">
        <w:t>Note:</w:t>
      </w:r>
      <w:r w:rsidRPr="001C4BC1">
        <w:tab/>
        <w:t xml:space="preserve">The board member may be reappointed: see </w:t>
      </w:r>
      <w:r w:rsidR="003861E7">
        <w:t>section 3</w:t>
      </w:r>
      <w:r w:rsidRPr="001C4BC1">
        <w:t xml:space="preserve">3AA of the </w:t>
      </w:r>
      <w:r w:rsidRPr="001C4BC1">
        <w:rPr>
          <w:i/>
          <w:iCs/>
        </w:rPr>
        <w:t>Acts Interpretation Act 1901</w:t>
      </w:r>
      <w:r w:rsidRPr="001C4BC1">
        <w:t>.</w:t>
      </w:r>
    </w:p>
    <w:p w14:paraId="54A73163" w14:textId="5B0242EF" w:rsidR="00BC2B55" w:rsidRPr="001C4BC1" w:rsidRDefault="00EC38B1" w:rsidP="001C2B21">
      <w:pPr>
        <w:pStyle w:val="subsection"/>
      </w:pPr>
      <w:r>
        <w:lastRenderedPageBreak/>
        <w:tab/>
      </w:r>
      <w:r w:rsidR="00BC2B55" w:rsidRPr="001C4BC1">
        <w:t>(</w:t>
      </w:r>
      <w:r w:rsidR="00B647D7">
        <w:t>2</w:t>
      </w:r>
      <w:r w:rsidR="00BC2B55" w:rsidRPr="001C4BC1">
        <w:t>)</w:t>
      </w:r>
      <w:r w:rsidR="00BC2B55" w:rsidRPr="001C4BC1">
        <w:tab/>
        <w:t>The board member is to be appointed on a part</w:t>
      </w:r>
      <w:r w:rsidR="001C2B21">
        <w:noBreakHyphen/>
      </w:r>
      <w:r w:rsidR="00BC2B55" w:rsidRPr="001C4BC1">
        <w:t>time basis.</w:t>
      </w:r>
    </w:p>
    <w:p w14:paraId="2D1E82CD" w14:textId="5CD6BB60" w:rsidR="00BC2B55" w:rsidRPr="001C4BC1" w:rsidRDefault="00BC2B55" w:rsidP="001C2B21">
      <w:pPr>
        <w:pStyle w:val="subsection"/>
      </w:pPr>
      <w:r w:rsidRPr="001C4BC1">
        <w:tab/>
        <w:t>(</w:t>
      </w:r>
      <w:r w:rsidR="00B647D7">
        <w:t>3</w:t>
      </w:r>
      <w:r w:rsidRPr="001C4BC1">
        <w:t>)</w:t>
      </w:r>
      <w:r w:rsidRPr="001C4BC1">
        <w:tab/>
        <w:t>The board member holds office for the period specified in the instrument of appointment. The period must not exceed 5 years.</w:t>
      </w:r>
    </w:p>
    <w:p w14:paraId="068CB22A" w14:textId="72A245DF" w:rsidR="00BC2B55" w:rsidRPr="001C4BC1" w:rsidRDefault="00BC2B55" w:rsidP="001C2B21">
      <w:pPr>
        <w:pStyle w:val="subsection"/>
      </w:pPr>
      <w:r w:rsidRPr="001C4BC1">
        <w:tab/>
        <w:t>(</w:t>
      </w:r>
      <w:r w:rsidR="00B647D7">
        <w:t>4</w:t>
      </w:r>
      <w:r w:rsidRPr="001C4BC1">
        <w:t>)</w:t>
      </w:r>
      <w:r w:rsidRPr="001C4BC1">
        <w:tab/>
        <w:t>A person is not eligible for appointment as a board member unless the Governing Council is satisfied that the person has experience in, or knowledge of, at least one of the following fields:</w:t>
      </w:r>
    </w:p>
    <w:p w14:paraId="5E9BB7DE" w14:textId="77777777" w:rsidR="00BC2B55" w:rsidRPr="001C4BC1" w:rsidRDefault="00BC2B55" w:rsidP="001C2B21">
      <w:pPr>
        <w:pStyle w:val="paragraph"/>
      </w:pPr>
      <w:r w:rsidRPr="001C4BC1">
        <w:tab/>
        <w:t>(a)</w:t>
      </w:r>
      <w:r w:rsidRPr="001C4BC1">
        <w:tab/>
      </w:r>
      <w:proofErr w:type="gramStart"/>
      <w:r w:rsidRPr="001C4BC1">
        <w:t>business;</w:t>
      </w:r>
      <w:proofErr w:type="gramEnd"/>
    </w:p>
    <w:p w14:paraId="16E9ABD9" w14:textId="77777777" w:rsidR="00BC2B55" w:rsidRPr="001C4BC1" w:rsidRDefault="00BC2B55" w:rsidP="001C2B21">
      <w:pPr>
        <w:pStyle w:val="paragraph"/>
      </w:pPr>
      <w:r w:rsidRPr="001C4BC1">
        <w:tab/>
        <w:t>(b)</w:t>
      </w:r>
      <w:r w:rsidRPr="001C4BC1">
        <w:tab/>
        <w:t xml:space="preserve">financial </w:t>
      </w:r>
      <w:proofErr w:type="gramStart"/>
      <w:r w:rsidRPr="001C4BC1">
        <w:t>markets;</w:t>
      </w:r>
      <w:proofErr w:type="gramEnd"/>
    </w:p>
    <w:p w14:paraId="1D726266" w14:textId="77777777" w:rsidR="00BC2B55" w:rsidRPr="001C4BC1" w:rsidRDefault="00BC2B55" w:rsidP="001C2B21">
      <w:pPr>
        <w:pStyle w:val="paragraph"/>
      </w:pPr>
      <w:r w:rsidRPr="001C4BC1">
        <w:tab/>
        <w:t>(c)</w:t>
      </w:r>
      <w:r w:rsidRPr="001C4BC1">
        <w:tab/>
      </w:r>
      <w:proofErr w:type="gramStart"/>
      <w:r w:rsidRPr="001C4BC1">
        <w:t>law;</w:t>
      </w:r>
      <w:proofErr w:type="gramEnd"/>
    </w:p>
    <w:p w14:paraId="4835B03B" w14:textId="77777777" w:rsidR="00BC2B55" w:rsidRPr="001C4BC1" w:rsidRDefault="00BC2B55" w:rsidP="001C2B21">
      <w:pPr>
        <w:pStyle w:val="paragraph"/>
      </w:pPr>
      <w:r w:rsidRPr="001C4BC1">
        <w:tab/>
        <w:t>(d)</w:t>
      </w:r>
      <w:r w:rsidRPr="001C4BC1">
        <w:tab/>
      </w:r>
      <w:proofErr w:type="gramStart"/>
      <w:r w:rsidRPr="001C4BC1">
        <w:t>government;</w:t>
      </w:r>
      <w:proofErr w:type="gramEnd"/>
    </w:p>
    <w:p w14:paraId="4EB6A4B8" w14:textId="77777777" w:rsidR="00BC2B55" w:rsidRPr="001C4BC1" w:rsidRDefault="00BC2B55" w:rsidP="001C2B21">
      <w:pPr>
        <w:pStyle w:val="paragraph"/>
      </w:pPr>
      <w:r w:rsidRPr="001C4BC1">
        <w:tab/>
        <w:t>(e)</w:t>
      </w:r>
      <w:r w:rsidRPr="001C4BC1">
        <w:tab/>
      </w:r>
      <w:proofErr w:type="gramStart"/>
      <w:r w:rsidRPr="001C4BC1">
        <w:t>accounting;</w:t>
      </w:r>
      <w:proofErr w:type="gramEnd"/>
    </w:p>
    <w:p w14:paraId="4FDA0627" w14:textId="77777777" w:rsidR="00BC2B55" w:rsidRPr="001C4BC1" w:rsidRDefault="00BC2B55" w:rsidP="001C2B21">
      <w:pPr>
        <w:pStyle w:val="paragraph"/>
      </w:pPr>
      <w:r w:rsidRPr="001C4BC1">
        <w:tab/>
        <w:t>(f)</w:t>
      </w:r>
      <w:r w:rsidRPr="001C4BC1">
        <w:tab/>
      </w:r>
      <w:proofErr w:type="gramStart"/>
      <w:r w:rsidRPr="001C4BC1">
        <w:t>auditing;</w:t>
      </w:r>
      <w:proofErr w:type="gramEnd"/>
    </w:p>
    <w:p w14:paraId="7A2AE1CD" w14:textId="77777777" w:rsidR="00BC2B55" w:rsidRDefault="00BC2B55" w:rsidP="001C2B21">
      <w:pPr>
        <w:pStyle w:val="paragraph"/>
      </w:pPr>
      <w:r w:rsidRPr="001C4BC1">
        <w:tab/>
        <w:t>(g)</w:t>
      </w:r>
      <w:r w:rsidRPr="001C4BC1">
        <w:tab/>
        <w:t xml:space="preserve">sustainability or climate </w:t>
      </w:r>
      <w:proofErr w:type="gramStart"/>
      <w:r w:rsidRPr="001C4BC1">
        <w:t>change;</w:t>
      </w:r>
      <w:proofErr w:type="gramEnd"/>
    </w:p>
    <w:p w14:paraId="2F0C9CCB" w14:textId="57D12870" w:rsidR="00A15995" w:rsidRPr="001C4BC1" w:rsidRDefault="00A15995" w:rsidP="001C2B21">
      <w:pPr>
        <w:pStyle w:val="paragraph"/>
      </w:pPr>
      <w:r>
        <w:tab/>
        <w:t>(h)</w:t>
      </w:r>
      <w:r>
        <w:tab/>
      </w:r>
      <w:proofErr w:type="gramStart"/>
      <w:r>
        <w:t>science;</w:t>
      </w:r>
      <w:proofErr w:type="gramEnd"/>
    </w:p>
    <w:p w14:paraId="5A257B4B" w14:textId="4D0A95FF" w:rsidR="00BC2B55" w:rsidRPr="001C4BC1" w:rsidRDefault="00BC2B55" w:rsidP="001C2B21">
      <w:pPr>
        <w:pStyle w:val="paragraph"/>
      </w:pPr>
      <w:r w:rsidRPr="001C4BC1">
        <w:tab/>
        <w:t>(</w:t>
      </w:r>
      <w:r w:rsidR="00A15995">
        <w:t>i</w:t>
      </w:r>
      <w:r w:rsidRPr="001C4BC1">
        <w:t>)</w:t>
      </w:r>
      <w:r w:rsidRPr="001C4BC1">
        <w:tab/>
        <w:t xml:space="preserve">any other field the Governing Council considers </w:t>
      </w:r>
      <w:r>
        <w:t xml:space="preserve">appropriate </w:t>
      </w:r>
      <w:r w:rsidRPr="00B87C2B">
        <w:t xml:space="preserve">having regard to any function of </w:t>
      </w:r>
      <w:r w:rsidR="0022083E" w:rsidRPr="0022083E">
        <w:t>External Reporting Australia</w:t>
      </w:r>
      <w:r w:rsidRPr="00B87C2B">
        <w:t xml:space="preserve"> under paragraph </w:t>
      </w:r>
      <w:r w:rsidR="001E09C2">
        <w:t>225A</w:t>
      </w:r>
      <w:r w:rsidRPr="00B87C2B">
        <w:t>(</w:t>
      </w:r>
      <w:r w:rsidRPr="00D7565C">
        <w:t>1)(i)</w:t>
      </w:r>
      <w:r w:rsidRPr="00B87C2B">
        <w:t xml:space="preserve"> that may be performed by the board</w:t>
      </w:r>
      <w:r w:rsidRPr="001C4BC1">
        <w:t>.</w:t>
      </w:r>
    </w:p>
    <w:p w14:paraId="37A14679" w14:textId="104A2336" w:rsidR="00B647D7" w:rsidRDefault="00B647D7" w:rsidP="001C2B21">
      <w:pPr>
        <w:pStyle w:val="subsection"/>
      </w:pPr>
      <w:r w:rsidRPr="001C4BC1">
        <w:tab/>
      </w:r>
      <w:r w:rsidRPr="00EC38B1">
        <w:t>(</w:t>
      </w:r>
      <w:r>
        <w:t>5</w:t>
      </w:r>
      <w:r w:rsidRPr="00EC38B1">
        <w:t>)</w:t>
      </w:r>
      <w:r w:rsidRPr="00EC38B1">
        <w:tab/>
      </w:r>
      <w:r>
        <w:t xml:space="preserve">A person appointed as a Council member must not be appointed as a board member </w:t>
      </w:r>
      <w:r w:rsidRPr="00EC38B1">
        <w:t>unless the Minister agrees in writing to the appointment.</w:t>
      </w:r>
    </w:p>
    <w:p w14:paraId="230312E8" w14:textId="08F07DA5" w:rsidR="00363019" w:rsidRDefault="00B647D7" w:rsidP="001C2B21">
      <w:pPr>
        <w:pStyle w:val="subsection"/>
      </w:pPr>
      <w:r w:rsidRPr="00363019">
        <w:tab/>
      </w:r>
      <w:r w:rsidR="00BC2B55" w:rsidRPr="00363019">
        <w:t>(</w:t>
      </w:r>
      <w:r w:rsidRPr="00363019">
        <w:t>6</w:t>
      </w:r>
      <w:r w:rsidR="00BC2B55" w:rsidRPr="00363019">
        <w:t>)</w:t>
      </w:r>
      <w:r w:rsidR="00BC2B55" w:rsidRPr="00363019">
        <w:tab/>
        <w:t>The Governing Council, in appointing a board member, must ensure, to the extent practicable, that the composition of a standard</w:t>
      </w:r>
      <w:r w:rsidR="001C2B21">
        <w:noBreakHyphen/>
      </w:r>
      <w:r w:rsidR="00BC2B55" w:rsidRPr="00363019">
        <w:t xml:space="preserve">setting board reflects an appropriate mix of persons with the qualifications, skills and experience that reflect </w:t>
      </w:r>
      <w:r w:rsidR="00102D5E" w:rsidRPr="00363019">
        <w:t>both</w:t>
      </w:r>
      <w:r w:rsidR="00A83431">
        <w:t>:</w:t>
      </w:r>
    </w:p>
    <w:p w14:paraId="4983AE4D" w14:textId="5A265510" w:rsidR="00363019" w:rsidRDefault="00363019" w:rsidP="001C2B21">
      <w:pPr>
        <w:pStyle w:val="paragraph"/>
      </w:pPr>
      <w:r>
        <w:tab/>
        <w:t>(a)</w:t>
      </w:r>
      <w:r>
        <w:tab/>
      </w:r>
      <w:r w:rsidR="00BC2B55" w:rsidRPr="00363019">
        <w:t>the users of the kinds of standards</w:t>
      </w:r>
      <w:r w:rsidR="00CD3E0B" w:rsidRPr="00363019">
        <w:t xml:space="preserve"> determined for that board</w:t>
      </w:r>
      <w:r>
        <w:t>;</w:t>
      </w:r>
      <w:r w:rsidR="00CD3E0B" w:rsidRPr="00363019">
        <w:t xml:space="preserve"> and</w:t>
      </w:r>
    </w:p>
    <w:p w14:paraId="6AF7D5F8" w14:textId="252A12F7" w:rsidR="00BC2B55" w:rsidRPr="00363019" w:rsidRDefault="00363019" w:rsidP="001C2B21">
      <w:pPr>
        <w:pStyle w:val="paragraph"/>
      </w:pPr>
      <w:r>
        <w:tab/>
        <w:t>(b)</w:t>
      </w:r>
      <w:r>
        <w:tab/>
      </w:r>
      <w:r w:rsidR="00CD3E0B" w:rsidRPr="00363019">
        <w:t>the users of materials prepared in accordance with those standards.</w:t>
      </w:r>
    </w:p>
    <w:p w14:paraId="4A57031E" w14:textId="2A294196" w:rsidR="00BC2B55" w:rsidRPr="008B56BF" w:rsidRDefault="001E09C2" w:rsidP="001C2B21">
      <w:pPr>
        <w:pStyle w:val="ActHead5"/>
      </w:pPr>
      <w:r>
        <w:rPr>
          <w:rStyle w:val="CharSectno"/>
        </w:rPr>
        <w:t>230</w:t>
      </w:r>
      <w:proofErr w:type="gramStart"/>
      <w:r>
        <w:rPr>
          <w:rStyle w:val="CharSectno"/>
        </w:rPr>
        <w:t>A</w:t>
      </w:r>
      <w:r w:rsidR="00BC2B55" w:rsidRPr="008B56BF">
        <w:t xml:space="preserve">  </w:t>
      </w:r>
      <w:r w:rsidR="00BC2B55">
        <w:t>Chair</w:t>
      </w:r>
      <w:proofErr w:type="gramEnd"/>
      <w:r w:rsidR="00BC2B55">
        <w:t xml:space="preserve"> of a standard</w:t>
      </w:r>
      <w:r w:rsidR="001C2B21">
        <w:noBreakHyphen/>
      </w:r>
      <w:r w:rsidR="00BC2B55">
        <w:t>setting board</w:t>
      </w:r>
    </w:p>
    <w:p w14:paraId="071F74C3" w14:textId="47DD365D" w:rsidR="00BC2B55" w:rsidRDefault="00BC2B55" w:rsidP="001C2B21">
      <w:pPr>
        <w:pStyle w:val="subsection"/>
      </w:pPr>
      <w:r>
        <w:tab/>
        <w:t>(1)</w:t>
      </w:r>
      <w:r>
        <w:tab/>
      </w:r>
      <w:r w:rsidRPr="001C4BC1">
        <w:t>For each standard</w:t>
      </w:r>
      <w:r w:rsidR="001C2B21">
        <w:noBreakHyphen/>
      </w:r>
      <w:r w:rsidRPr="001C4BC1">
        <w:t>setting board, the Governing Council must appoint, in writing, one of the board members of that board to be the Chair</w:t>
      </w:r>
      <w:r>
        <w:t xml:space="preserve"> of that board. The appointment may be made at the same time as the appointment of that person as a board member, or </w:t>
      </w:r>
      <w:proofErr w:type="gramStart"/>
      <w:r>
        <w:t>at a later time</w:t>
      </w:r>
      <w:proofErr w:type="gramEnd"/>
      <w:r>
        <w:t>.</w:t>
      </w:r>
    </w:p>
    <w:p w14:paraId="5CCF0EAA" w14:textId="77777777" w:rsidR="00BC2B55" w:rsidRDefault="00BC2B55" w:rsidP="001C2B21">
      <w:pPr>
        <w:pStyle w:val="subsection"/>
      </w:pPr>
      <w:r>
        <w:lastRenderedPageBreak/>
        <w:tab/>
        <w:t>(2)</w:t>
      </w:r>
      <w:r>
        <w:tab/>
        <w:t>The Chair holds office for the period specified in the instrument of appointment.</w:t>
      </w:r>
    </w:p>
    <w:p w14:paraId="0E7287F2" w14:textId="77777777" w:rsidR="00BC2B55" w:rsidRDefault="00BC2B55" w:rsidP="001C2B21">
      <w:pPr>
        <w:pStyle w:val="subsection"/>
      </w:pPr>
      <w:r>
        <w:tab/>
        <w:t>(3)</w:t>
      </w:r>
      <w:r>
        <w:tab/>
        <w:t>If the Chair ceases to be a board member of that board, then the board member also ceases to be the Chair of that board.</w:t>
      </w:r>
    </w:p>
    <w:p w14:paraId="5AD60FE0" w14:textId="73F0060E" w:rsidR="00BC2B55" w:rsidRPr="00A2316F" w:rsidRDefault="00BC2B55" w:rsidP="001C2B21">
      <w:pPr>
        <w:pStyle w:val="notetext"/>
      </w:pPr>
      <w:r w:rsidRPr="00A2316F">
        <w:t>Note:</w:t>
      </w:r>
      <w:r w:rsidRPr="00A2316F">
        <w:tab/>
        <w:t xml:space="preserve">A person may cease to be the </w:t>
      </w:r>
      <w:r>
        <w:t>Chair of a standard</w:t>
      </w:r>
      <w:r w:rsidR="001C2B21">
        <w:noBreakHyphen/>
      </w:r>
      <w:r>
        <w:t>setting board</w:t>
      </w:r>
      <w:r w:rsidRPr="00A2316F">
        <w:t xml:space="preserve"> without ceasing to be a</w:t>
      </w:r>
      <w:r>
        <w:t xml:space="preserve"> board </w:t>
      </w:r>
      <w:r w:rsidRPr="00A2316F">
        <w:t>member.</w:t>
      </w:r>
    </w:p>
    <w:p w14:paraId="612BF0B8" w14:textId="0BC5EB31" w:rsidR="00BC2B55" w:rsidRPr="008B56BF" w:rsidRDefault="001E09C2" w:rsidP="001C2B21">
      <w:pPr>
        <w:pStyle w:val="ActHead5"/>
      </w:pPr>
      <w:bookmarkStart w:id="4" w:name="_Hlk208818822"/>
      <w:r>
        <w:rPr>
          <w:rStyle w:val="CharSectno"/>
        </w:rPr>
        <w:t>230</w:t>
      </w:r>
      <w:proofErr w:type="gramStart"/>
      <w:r>
        <w:rPr>
          <w:rStyle w:val="CharSectno"/>
        </w:rPr>
        <w:t>B</w:t>
      </w:r>
      <w:r w:rsidR="00BC2B55" w:rsidRPr="008B56BF">
        <w:t xml:space="preserve">  </w:t>
      </w:r>
      <w:r w:rsidR="00BC2B55">
        <w:t>Deputy</w:t>
      </w:r>
      <w:proofErr w:type="gramEnd"/>
      <w:r w:rsidR="00BC2B55">
        <w:t xml:space="preserve"> Chair of a standard</w:t>
      </w:r>
      <w:r w:rsidR="001C2B21">
        <w:noBreakHyphen/>
      </w:r>
      <w:r w:rsidR="00BC2B55">
        <w:t>setting board</w:t>
      </w:r>
    </w:p>
    <w:p w14:paraId="6DBEB5B5" w14:textId="2997F710" w:rsidR="00BC2B55" w:rsidRDefault="00BC2B55" w:rsidP="001C2B21">
      <w:pPr>
        <w:pStyle w:val="subsection"/>
      </w:pPr>
      <w:r>
        <w:tab/>
        <w:t>(1)</w:t>
      </w:r>
      <w:r>
        <w:tab/>
      </w:r>
      <w:r w:rsidRPr="001C4BC1">
        <w:t>For each standard</w:t>
      </w:r>
      <w:r w:rsidR="001C2B21">
        <w:noBreakHyphen/>
      </w:r>
      <w:r w:rsidRPr="001C4BC1">
        <w:t>setting board, the Governing Council m</w:t>
      </w:r>
      <w:r>
        <w:t>ay</w:t>
      </w:r>
      <w:r w:rsidRPr="001C4BC1">
        <w:t xml:space="preserve"> appoint, in writing, one of the board members of that board to be the </w:t>
      </w:r>
      <w:r>
        <w:t xml:space="preserve">Deputy </w:t>
      </w:r>
      <w:r w:rsidRPr="001C4BC1">
        <w:t>Chair</w:t>
      </w:r>
      <w:r>
        <w:t xml:space="preserve"> of that board. The appointment may be made at the same time as the appointment of that person as a board member, or </w:t>
      </w:r>
      <w:proofErr w:type="gramStart"/>
      <w:r>
        <w:t>at a later time</w:t>
      </w:r>
      <w:proofErr w:type="gramEnd"/>
      <w:r>
        <w:t>.</w:t>
      </w:r>
    </w:p>
    <w:p w14:paraId="484DCC0D" w14:textId="77777777" w:rsidR="00BC2B55" w:rsidRDefault="00BC2B55" w:rsidP="001C2B21">
      <w:pPr>
        <w:pStyle w:val="subsection"/>
      </w:pPr>
      <w:r>
        <w:tab/>
        <w:t>(2)</w:t>
      </w:r>
      <w:r>
        <w:tab/>
        <w:t>The Deputy Chair holds office for the period specified in the instrument of appointment.</w:t>
      </w:r>
    </w:p>
    <w:p w14:paraId="6B99ECC1" w14:textId="77777777" w:rsidR="00BC2B55" w:rsidRDefault="00BC2B55" w:rsidP="001C2B21">
      <w:pPr>
        <w:pStyle w:val="subsection"/>
      </w:pPr>
      <w:r>
        <w:tab/>
        <w:t>(3)</w:t>
      </w:r>
      <w:r>
        <w:tab/>
        <w:t>If the Deputy Chair ceases to be a board member of that board, then the board member also ceases to be the Deputy Chair of that board.</w:t>
      </w:r>
    </w:p>
    <w:p w14:paraId="0B1CA6BF" w14:textId="52712FF9" w:rsidR="00BC2B55" w:rsidRPr="00A2316F" w:rsidRDefault="00BC2B55" w:rsidP="001C2B21">
      <w:pPr>
        <w:pStyle w:val="notetext"/>
      </w:pPr>
      <w:r w:rsidRPr="00A2316F">
        <w:t>Note:</w:t>
      </w:r>
      <w:r w:rsidRPr="00A2316F">
        <w:tab/>
        <w:t xml:space="preserve">A person may cease to be the </w:t>
      </w:r>
      <w:r>
        <w:t>Deputy Chair of a standard</w:t>
      </w:r>
      <w:r w:rsidR="001C2B21">
        <w:noBreakHyphen/>
      </w:r>
      <w:r>
        <w:t>setting board</w:t>
      </w:r>
      <w:r w:rsidRPr="00A2316F">
        <w:t xml:space="preserve"> without ceasing to be a</w:t>
      </w:r>
      <w:r>
        <w:t xml:space="preserve"> board </w:t>
      </w:r>
      <w:r w:rsidRPr="00A2316F">
        <w:t>member.</w:t>
      </w:r>
    </w:p>
    <w:bookmarkEnd w:id="4"/>
    <w:p w14:paraId="65359FF6" w14:textId="2320D0B0" w:rsidR="00BC2B55" w:rsidRPr="001C4BC1" w:rsidRDefault="001E09C2" w:rsidP="001C2B21">
      <w:pPr>
        <w:pStyle w:val="ActHead5"/>
      </w:pPr>
      <w:r>
        <w:rPr>
          <w:rStyle w:val="CharSectno"/>
        </w:rPr>
        <w:t>230</w:t>
      </w:r>
      <w:proofErr w:type="gramStart"/>
      <w:r>
        <w:rPr>
          <w:rStyle w:val="CharSectno"/>
        </w:rPr>
        <w:t>C</w:t>
      </w:r>
      <w:r w:rsidR="00BC2B55" w:rsidRPr="001C4BC1">
        <w:t xml:space="preserve"> </w:t>
      </w:r>
      <w:r w:rsidR="00BC2B55">
        <w:t xml:space="preserve"> </w:t>
      </w:r>
      <w:r w:rsidR="00BC2B55" w:rsidRPr="001C4BC1">
        <w:t>Acting</w:t>
      </w:r>
      <w:proofErr w:type="gramEnd"/>
      <w:r w:rsidR="00BC2B55" w:rsidRPr="001C4BC1">
        <w:t xml:space="preserve"> appointments</w:t>
      </w:r>
    </w:p>
    <w:p w14:paraId="55469182" w14:textId="77777777" w:rsidR="00BC2B55" w:rsidRPr="001C4BC1" w:rsidRDefault="00BC2B55" w:rsidP="001C2B21">
      <w:pPr>
        <w:pStyle w:val="SubsectionHead"/>
      </w:pPr>
      <w:r w:rsidRPr="001C4BC1">
        <w:t xml:space="preserve">Acting </w:t>
      </w:r>
      <w:r>
        <w:t>Chair</w:t>
      </w:r>
    </w:p>
    <w:p w14:paraId="0F490CB5" w14:textId="14F5718C" w:rsidR="00BC2B55" w:rsidRPr="001C4BC1" w:rsidRDefault="00BC2B55" w:rsidP="001C2B21">
      <w:pPr>
        <w:pStyle w:val="subsection"/>
      </w:pPr>
      <w:r w:rsidRPr="001C4BC1">
        <w:tab/>
        <w:t>(1)</w:t>
      </w:r>
      <w:r w:rsidRPr="001C4BC1">
        <w:tab/>
        <w:t xml:space="preserve">The </w:t>
      </w:r>
      <w:r>
        <w:t xml:space="preserve">Governing Council may, </w:t>
      </w:r>
      <w:r w:rsidRPr="001C4BC1">
        <w:t xml:space="preserve">by written instrument, </w:t>
      </w:r>
      <w:r>
        <w:t xml:space="preserve">appoint a </w:t>
      </w:r>
      <w:r w:rsidR="00DE233B">
        <w:t>board member of a standard</w:t>
      </w:r>
      <w:r w:rsidR="001C2B21">
        <w:noBreakHyphen/>
      </w:r>
      <w:r w:rsidR="00DE233B">
        <w:t xml:space="preserve">setting board </w:t>
      </w:r>
      <w:r>
        <w:t xml:space="preserve">to act as the Chair of </w:t>
      </w:r>
      <w:r w:rsidR="00DE233B">
        <w:t>that board</w:t>
      </w:r>
      <w:r w:rsidRPr="001C4BC1">
        <w:t>:</w:t>
      </w:r>
    </w:p>
    <w:p w14:paraId="0079457D" w14:textId="40F3E7B4" w:rsidR="00BC2B55" w:rsidRPr="001C4BC1" w:rsidRDefault="00BC2B55" w:rsidP="001C2B21">
      <w:pPr>
        <w:pStyle w:val="paragraph"/>
      </w:pPr>
      <w:r w:rsidRPr="001C4BC1">
        <w:tab/>
        <w:t>(a)</w:t>
      </w:r>
      <w:r w:rsidRPr="001C4BC1">
        <w:tab/>
        <w:t>during a vacancy in the office of the Chair of th</w:t>
      </w:r>
      <w:r w:rsidR="00DE233B">
        <w:t>at</w:t>
      </w:r>
      <w:r w:rsidRPr="001C4BC1">
        <w:t xml:space="preserve"> board (</w:t>
      </w:r>
      <w:proofErr w:type="gramStart"/>
      <w:r w:rsidRPr="001C4BC1">
        <w:t>whether or not</w:t>
      </w:r>
      <w:proofErr w:type="gramEnd"/>
      <w:r w:rsidRPr="001C4BC1">
        <w:t xml:space="preserve"> an appointment has previously been made to the office); or</w:t>
      </w:r>
    </w:p>
    <w:p w14:paraId="476B75B2" w14:textId="0996B4C2" w:rsidR="00BC2B55" w:rsidRPr="001C4BC1" w:rsidRDefault="00BC2B55" w:rsidP="001C2B21">
      <w:pPr>
        <w:pStyle w:val="paragraph"/>
      </w:pPr>
      <w:r w:rsidRPr="001C4BC1">
        <w:tab/>
        <w:t>(b)</w:t>
      </w:r>
      <w:r w:rsidRPr="001C4BC1">
        <w:tab/>
        <w:t>during any period, or during all periods, when the Chair of th</w:t>
      </w:r>
      <w:r w:rsidR="00DE233B">
        <w:t>at</w:t>
      </w:r>
      <w:r w:rsidRPr="001C4BC1">
        <w:t xml:space="preserve"> board:</w:t>
      </w:r>
    </w:p>
    <w:p w14:paraId="008F0ABB" w14:textId="77777777" w:rsidR="00BC2B55" w:rsidRPr="001C4BC1" w:rsidRDefault="00BC2B55" w:rsidP="001C2B21">
      <w:pPr>
        <w:pStyle w:val="paragraphsub"/>
      </w:pPr>
      <w:r w:rsidRPr="001C4BC1">
        <w:tab/>
        <w:t>(i)</w:t>
      </w:r>
      <w:r w:rsidRPr="001C4BC1">
        <w:tab/>
        <w:t>is absent from duty; or</w:t>
      </w:r>
    </w:p>
    <w:p w14:paraId="0A9B5771" w14:textId="77777777" w:rsidR="00BC2B55" w:rsidRDefault="00BC2B55" w:rsidP="001C2B21">
      <w:pPr>
        <w:pStyle w:val="paragraphsub"/>
      </w:pPr>
      <w:r w:rsidRPr="001C4BC1">
        <w:tab/>
        <w:t>(ii)</w:t>
      </w:r>
      <w:r w:rsidRPr="001C4BC1">
        <w:tab/>
        <w:t>is, for any reason, unable to perform the duties of the office.</w:t>
      </w:r>
    </w:p>
    <w:p w14:paraId="082F8AAC" w14:textId="5A7FC23B" w:rsidR="003A67E7" w:rsidRDefault="003A67E7" w:rsidP="001C2B21">
      <w:pPr>
        <w:pStyle w:val="SubsectionHead"/>
      </w:pPr>
      <w:r w:rsidRPr="00D32B6D">
        <w:lastRenderedPageBreak/>
        <w:t>Acting Deputy Chair</w:t>
      </w:r>
    </w:p>
    <w:p w14:paraId="485703F1" w14:textId="71DEBAC9" w:rsidR="00684FFF" w:rsidRPr="001C4BC1" w:rsidRDefault="00684FFF" w:rsidP="001C2B21">
      <w:pPr>
        <w:pStyle w:val="subsection"/>
      </w:pPr>
      <w:r>
        <w:tab/>
      </w:r>
      <w:r w:rsidRPr="001C4BC1">
        <w:t>(</w:t>
      </w:r>
      <w:r>
        <w:t>2</w:t>
      </w:r>
      <w:r w:rsidRPr="001C4BC1">
        <w:t>)</w:t>
      </w:r>
      <w:r w:rsidRPr="001C4BC1">
        <w:tab/>
        <w:t xml:space="preserve">The </w:t>
      </w:r>
      <w:r>
        <w:t xml:space="preserve">Governing Council may, </w:t>
      </w:r>
      <w:r w:rsidRPr="001C4BC1">
        <w:t xml:space="preserve">by written instrument, </w:t>
      </w:r>
      <w:r>
        <w:t>appoint a</w:t>
      </w:r>
      <w:r w:rsidR="00DE233B">
        <w:t xml:space="preserve"> board member of a standard</w:t>
      </w:r>
      <w:r w:rsidR="001C2B21">
        <w:noBreakHyphen/>
      </w:r>
      <w:r w:rsidR="00DE233B">
        <w:t>setting board</w:t>
      </w:r>
      <w:r>
        <w:t xml:space="preserve"> to act as the Deputy Chair of</w:t>
      </w:r>
      <w:r w:rsidR="00DE233B">
        <w:t xml:space="preserve"> that board</w:t>
      </w:r>
      <w:r w:rsidRPr="001C4BC1">
        <w:t>:</w:t>
      </w:r>
    </w:p>
    <w:p w14:paraId="4D3F1163" w14:textId="3FE33E44" w:rsidR="00684FFF" w:rsidRPr="001C4BC1" w:rsidRDefault="00684FFF" w:rsidP="001C2B21">
      <w:pPr>
        <w:pStyle w:val="paragraph"/>
      </w:pPr>
      <w:r w:rsidRPr="001C4BC1">
        <w:tab/>
        <w:t>(a)</w:t>
      </w:r>
      <w:r w:rsidRPr="001C4BC1">
        <w:tab/>
        <w:t>during a vacancy in the office of the</w:t>
      </w:r>
      <w:r>
        <w:t xml:space="preserve"> Deputy</w:t>
      </w:r>
      <w:r w:rsidRPr="001C4BC1">
        <w:t xml:space="preserve"> Chair of th</w:t>
      </w:r>
      <w:r w:rsidR="00DE233B">
        <w:t>at</w:t>
      </w:r>
      <w:r w:rsidRPr="001C4BC1">
        <w:t xml:space="preserve"> board (</w:t>
      </w:r>
      <w:proofErr w:type="gramStart"/>
      <w:r w:rsidRPr="001C4BC1">
        <w:t>whether or not</w:t>
      </w:r>
      <w:proofErr w:type="gramEnd"/>
      <w:r w:rsidRPr="001C4BC1">
        <w:t xml:space="preserve"> an appointment has previously been made to the office); or</w:t>
      </w:r>
    </w:p>
    <w:p w14:paraId="078ADED5" w14:textId="1BC61C29" w:rsidR="00684FFF" w:rsidRPr="001C4BC1" w:rsidRDefault="00684FFF" w:rsidP="001C2B21">
      <w:pPr>
        <w:pStyle w:val="paragraph"/>
      </w:pPr>
      <w:r w:rsidRPr="001C4BC1">
        <w:tab/>
        <w:t>(b)</w:t>
      </w:r>
      <w:r w:rsidRPr="001C4BC1">
        <w:tab/>
        <w:t xml:space="preserve">during any period, or during all periods, when the </w:t>
      </w:r>
      <w:r>
        <w:t xml:space="preserve">Deputy </w:t>
      </w:r>
      <w:r w:rsidRPr="001C4BC1">
        <w:t>Chair of th</w:t>
      </w:r>
      <w:r w:rsidR="00DE233B">
        <w:t>at</w:t>
      </w:r>
      <w:r w:rsidRPr="001C4BC1">
        <w:t xml:space="preserve"> board:</w:t>
      </w:r>
    </w:p>
    <w:p w14:paraId="75933903" w14:textId="77777777" w:rsidR="00684FFF" w:rsidRPr="001C4BC1" w:rsidRDefault="00684FFF" w:rsidP="001C2B21">
      <w:pPr>
        <w:pStyle w:val="paragraphsub"/>
      </w:pPr>
      <w:r w:rsidRPr="001C4BC1">
        <w:tab/>
        <w:t>(i)</w:t>
      </w:r>
      <w:r w:rsidRPr="001C4BC1">
        <w:tab/>
        <w:t>is absent from duty; or</w:t>
      </w:r>
    </w:p>
    <w:p w14:paraId="7E42161B" w14:textId="4F80EF54" w:rsidR="00684FFF" w:rsidRPr="00684FFF" w:rsidRDefault="00684FFF" w:rsidP="001C2B21">
      <w:pPr>
        <w:pStyle w:val="paragraphsub"/>
      </w:pPr>
      <w:r w:rsidRPr="001C4BC1">
        <w:tab/>
        <w:t>(ii)</w:t>
      </w:r>
      <w:r w:rsidRPr="001C4BC1">
        <w:tab/>
        <w:t>is, for any reason, unable to perform the duties of the office.</w:t>
      </w:r>
    </w:p>
    <w:p w14:paraId="047643AD" w14:textId="2BD7F4ED" w:rsidR="00BC2B55" w:rsidRPr="001C4BC1" w:rsidRDefault="00BC2B55" w:rsidP="001C2B21">
      <w:pPr>
        <w:pStyle w:val="SubsectionHead"/>
      </w:pPr>
      <w:r w:rsidRPr="001C4BC1">
        <w:t>Acting appointments</w:t>
      </w:r>
      <w:r>
        <w:t xml:space="preserve"> </w:t>
      </w:r>
      <w:r w:rsidR="009B7B0C">
        <w:t>for a board member</w:t>
      </w:r>
    </w:p>
    <w:p w14:paraId="480EF69D" w14:textId="7C8EB4D5" w:rsidR="00BC2B55" w:rsidRPr="001C4BC1" w:rsidRDefault="00BC2B55" w:rsidP="001C2B21">
      <w:pPr>
        <w:pStyle w:val="subsection"/>
      </w:pPr>
      <w:r w:rsidRPr="001C4BC1">
        <w:tab/>
        <w:t>(</w:t>
      </w:r>
      <w:r w:rsidR="006E337B">
        <w:t>3</w:t>
      </w:r>
      <w:r w:rsidRPr="001C4BC1">
        <w:t>)</w:t>
      </w:r>
      <w:r w:rsidRPr="001C4BC1">
        <w:tab/>
        <w:t>The Governing Council may, by written instrument, appoint a person to act as a board member of a standard</w:t>
      </w:r>
      <w:r w:rsidR="001C2B21">
        <w:noBreakHyphen/>
      </w:r>
      <w:r w:rsidRPr="001C4BC1">
        <w:t>setting board:</w:t>
      </w:r>
    </w:p>
    <w:p w14:paraId="0117AE0F" w14:textId="77777777" w:rsidR="00BC2B55" w:rsidRPr="001C4BC1" w:rsidRDefault="00BC2B55" w:rsidP="001C2B21">
      <w:pPr>
        <w:pStyle w:val="paragraph"/>
      </w:pPr>
      <w:r w:rsidRPr="001C4BC1">
        <w:tab/>
        <w:t>(a)</w:t>
      </w:r>
      <w:r w:rsidRPr="001C4BC1">
        <w:tab/>
        <w:t>during a vacancy in the office of a board member of the board (</w:t>
      </w:r>
      <w:proofErr w:type="gramStart"/>
      <w:r w:rsidRPr="001C4BC1">
        <w:t>whether or not</w:t>
      </w:r>
      <w:proofErr w:type="gramEnd"/>
      <w:r w:rsidRPr="001C4BC1">
        <w:t xml:space="preserve"> an appointment has previously been made to the office); or</w:t>
      </w:r>
    </w:p>
    <w:p w14:paraId="047D161F" w14:textId="77777777" w:rsidR="00BC2B55" w:rsidRPr="001C4BC1" w:rsidRDefault="00BC2B55" w:rsidP="001C2B21">
      <w:pPr>
        <w:pStyle w:val="paragraph"/>
      </w:pPr>
      <w:r w:rsidRPr="001C4BC1">
        <w:tab/>
        <w:t>(b)</w:t>
      </w:r>
      <w:r w:rsidRPr="001C4BC1">
        <w:tab/>
        <w:t>during any period, or during all periods, when a board member of the board:</w:t>
      </w:r>
    </w:p>
    <w:p w14:paraId="4E19E0E5" w14:textId="3370E0AC" w:rsidR="00BC2B55" w:rsidRPr="001C4BC1" w:rsidRDefault="00BC2B55" w:rsidP="001C2B21">
      <w:pPr>
        <w:pStyle w:val="paragraphsub"/>
      </w:pPr>
      <w:r w:rsidRPr="001C4BC1">
        <w:tab/>
        <w:t>(i)</w:t>
      </w:r>
      <w:r w:rsidRPr="001C4BC1">
        <w:tab/>
        <w:t>is absent from duty; or</w:t>
      </w:r>
    </w:p>
    <w:p w14:paraId="51D59B84" w14:textId="0C67EF51" w:rsidR="00BC2B55" w:rsidRPr="001C4BC1" w:rsidRDefault="00BC2B55" w:rsidP="001C2B21">
      <w:pPr>
        <w:pStyle w:val="paragraphsub"/>
      </w:pPr>
      <w:r w:rsidRPr="001C4BC1">
        <w:tab/>
        <w:t>(ii)</w:t>
      </w:r>
      <w:r w:rsidRPr="001C4BC1">
        <w:tab/>
        <w:t>is, for any reason, unable to perform the duties of the office.</w:t>
      </w:r>
    </w:p>
    <w:p w14:paraId="0ABBE721" w14:textId="77777777" w:rsidR="00BC2B55" w:rsidRPr="001C4BC1" w:rsidRDefault="00BC2B55" w:rsidP="001C2B21">
      <w:pPr>
        <w:pStyle w:val="notetext"/>
      </w:pPr>
      <w:r w:rsidRPr="001C4BC1">
        <w:t>Note:</w:t>
      </w:r>
      <w:r w:rsidRPr="001C4BC1">
        <w:tab/>
        <w:t xml:space="preserve">For rules that apply to acting appointments, see sections 33AB and 33A of the </w:t>
      </w:r>
      <w:r w:rsidRPr="001C4BC1">
        <w:rPr>
          <w:i/>
          <w:iCs/>
        </w:rPr>
        <w:t>Acts Interpretation Act 1901</w:t>
      </w:r>
      <w:r w:rsidRPr="001C4BC1">
        <w:t>.</w:t>
      </w:r>
    </w:p>
    <w:p w14:paraId="4F4B8955" w14:textId="2E5244C4" w:rsidR="003A67E7" w:rsidRPr="001C4BC1" w:rsidRDefault="003A67E7" w:rsidP="001C2B21">
      <w:pPr>
        <w:pStyle w:val="SubsectionHead"/>
      </w:pPr>
      <w:r>
        <w:t>Eligibility</w:t>
      </w:r>
    </w:p>
    <w:p w14:paraId="659E9E19" w14:textId="4544FEEC" w:rsidR="00BC2B55" w:rsidRDefault="003A67E7" w:rsidP="001C2B21">
      <w:pPr>
        <w:pStyle w:val="subsection"/>
      </w:pPr>
      <w:r>
        <w:tab/>
      </w:r>
      <w:r w:rsidR="00BC2B55" w:rsidRPr="00BF4083">
        <w:t>(</w:t>
      </w:r>
      <w:r w:rsidR="00896F04">
        <w:t>4</w:t>
      </w:r>
      <w:r w:rsidR="00BC2B55" w:rsidRPr="00BF4083">
        <w:t>)</w:t>
      </w:r>
      <w:r w:rsidR="00BC2B55" w:rsidRPr="00BF4083">
        <w:tab/>
        <w:t>A person is not eligible for appointment</w:t>
      </w:r>
      <w:r w:rsidR="009D6848">
        <w:t xml:space="preserve"> as a board member</w:t>
      </w:r>
      <w:r w:rsidR="00BC2B55" w:rsidRPr="00BF4083">
        <w:t xml:space="preserve"> under </w:t>
      </w:r>
      <w:r w:rsidR="001C2B21">
        <w:t>subsection (</w:t>
      </w:r>
      <w:r w:rsidR="00BB425B">
        <w:t>3)</w:t>
      </w:r>
      <w:r w:rsidR="00BC2B55" w:rsidRPr="00BF4083">
        <w:t xml:space="preserve"> unless the </w:t>
      </w:r>
      <w:r w:rsidR="00BC2B55">
        <w:t>Governing Council</w:t>
      </w:r>
      <w:r w:rsidR="00BC2B55" w:rsidRPr="00BF4083">
        <w:t xml:space="preserve"> is satisfied that the person</w:t>
      </w:r>
      <w:r w:rsidR="00BC2B55">
        <w:t xml:space="preserve"> is eligible for appointment as a member of a standard</w:t>
      </w:r>
      <w:r w:rsidR="001C2B21">
        <w:noBreakHyphen/>
      </w:r>
      <w:r w:rsidR="00BC2B55">
        <w:t>setting board</w:t>
      </w:r>
      <w:r w:rsidR="00BC2B55" w:rsidRPr="00BF4083">
        <w:t>.</w:t>
      </w:r>
    </w:p>
    <w:p w14:paraId="69C2EA78" w14:textId="3CF2A776" w:rsidR="00172281" w:rsidRPr="00874A53" w:rsidRDefault="001E09C2" w:rsidP="001C2B21">
      <w:pPr>
        <w:pStyle w:val="ActHead5"/>
      </w:pPr>
      <w:r>
        <w:rPr>
          <w:rStyle w:val="CharSectno"/>
        </w:rPr>
        <w:t>230</w:t>
      </w:r>
      <w:proofErr w:type="gramStart"/>
      <w:r>
        <w:rPr>
          <w:rStyle w:val="CharSectno"/>
        </w:rPr>
        <w:t>D</w:t>
      </w:r>
      <w:r w:rsidR="00172281" w:rsidRPr="00874A53">
        <w:t xml:space="preserve">  Terms</w:t>
      </w:r>
      <w:proofErr w:type="gramEnd"/>
      <w:r w:rsidR="00172281" w:rsidRPr="00874A53">
        <w:t xml:space="preserve"> and conditions</w:t>
      </w:r>
      <w:r w:rsidR="003851F3" w:rsidRPr="00874A53">
        <w:t>—</w:t>
      </w:r>
      <w:r w:rsidR="00BC7281" w:rsidRPr="00874A53">
        <w:t>general</w:t>
      </w:r>
    </w:p>
    <w:p w14:paraId="431C17DD" w14:textId="44BE6184" w:rsidR="00172281" w:rsidRDefault="00172281" w:rsidP="001C2B21">
      <w:pPr>
        <w:pStyle w:val="subsection"/>
      </w:pPr>
      <w:r>
        <w:tab/>
      </w:r>
      <w:r>
        <w:tab/>
      </w:r>
      <w:r w:rsidR="00432058">
        <w:t>A</w:t>
      </w:r>
      <w:r w:rsidRPr="00172281">
        <w:t xml:space="preserve"> </w:t>
      </w:r>
      <w:r>
        <w:t>board member</w:t>
      </w:r>
      <w:r w:rsidRPr="00172281">
        <w:t xml:space="preserve"> holds office on the terms and conditions (if any) in relation to matters not covered by</w:t>
      </w:r>
      <w:r w:rsidR="00432058">
        <w:t xml:space="preserve"> this</w:t>
      </w:r>
      <w:r w:rsidRPr="00172281">
        <w:t xml:space="preserve"> </w:t>
      </w:r>
      <w:r>
        <w:t>Act</w:t>
      </w:r>
      <w:r w:rsidRPr="00172281">
        <w:t xml:space="preserve"> </w:t>
      </w:r>
      <w:r w:rsidR="001A63A4" w:rsidRPr="001C4BC1">
        <w:t>as the</w:t>
      </w:r>
      <w:r w:rsidR="001A63A4">
        <w:t xml:space="preserve"> Governing Council</w:t>
      </w:r>
      <w:r w:rsidR="001A63A4" w:rsidRPr="001C4BC1">
        <w:t xml:space="preserve"> determines in writing.</w:t>
      </w:r>
    </w:p>
    <w:p w14:paraId="11241F5E" w14:textId="440F2432" w:rsidR="00BC2B55" w:rsidRPr="001C4BC1" w:rsidRDefault="001E09C2" w:rsidP="001C2B21">
      <w:pPr>
        <w:pStyle w:val="ActHead5"/>
      </w:pPr>
      <w:r>
        <w:rPr>
          <w:rStyle w:val="CharSectno"/>
        </w:rPr>
        <w:lastRenderedPageBreak/>
        <w:t>230</w:t>
      </w:r>
      <w:proofErr w:type="gramStart"/>
      <w:r>
        <w:rPr>
          <w:rStyle w:val="CharSectno"/>
        </w:rPr>
        <w:t>E</w:t>
      </w:r>
      <w:r w:rsidR="00BC2B55" w:rsidRPr="001C4BC1">
        <w:t xml:space="preserve">  Remuneration</w:t>
      </w:r>
      <w:proofErr w:type="gramEnd"/>
    </w:p>
    <w:p w14:paraId="31D41D69" w14:textId="56B43DBD" w:rsidR="00BC2B55" w:rsidRPr="001C4BC1" w:rsidRDefault="00BC2B55" w:rsidP="001C2B21">
      <w:pPr>
        <w:pStyle w:val="subsection"/>
      </w:pPr>
      <w:r w:rsidRPr="001C4BC1">
        <w:tab/>
        <w:t>(1)</w:t>
      </w:r>
      <w:r w:rsidRPr="001C4BC1">
        <w:tab/>
        <w:t xml:space="preserve">A board member is to be paid the remuneration that is determined by the Remuneration Tribunal. If no determination of that remuneration by the Tribunal is in operation, the board member is to be paid the remuneration that is prescribed under </w:t>
      </w:r>
      <w:r w:rsidR="001C2B21">
        <w:t>subsection (</w:t>
      </w:r>
      <w:r w:rsidRPr="001C4BC1">
        <w:t>4).</w:t>
      </w:r>
    </w:p>
    <w:p w14:paraId="31790AD4" w14:textId="3CBCA616" w:rsidR="00BC2B55" w:rsidRPr="001C4BC1" w:rsidRDefault="00BC2B55" w:rsidP="001C2B21">
      <w:pPr>
        <w:pStyle w:val="subsection"/>
      </w:pPr>
      <w:r w:rsidRPr="001C4BC1">
        <w:tab/>
        <w:t>(2)</w:t>
      </w:r>
      <w:r w:rsidRPr="001C4BC1">
        <w:tab/>
        <w:t xml:space="preserve">The board member is to be paid the allowances that are prescribed under </w:t>
      </w:r>
      <w:r w:rsidR="001C2B21">
        <w:t>subsection (</w:t>
      </w:r>
      <w:r w:rsidRPr="001C4BC1">
        <w:t>4).</w:t>
      </w:r>
    </w:p>
    <w:p w14:paraId="0BA13E03" w14:textId="77777777" w:rsidR="00BC2B55" w:rsidRPr="001C4BC1" w:rsidRDefault="00BC2B55" w:rsidP="001C2B21">
      <w:pPr>
        <w:pStyle w:val="subsection"/>
      </w:pPr>
      <w:r w:rsidRPr="001C4BC1">
        <w:tab/>
        <w:t>(3)</w:t>
      </w:r>
      <w:r w:rsidRPr="001C4BC1">
        <w:tab/>
        <w:t xml:space="preserve">This section has effect subject to the </w:t>
      </w:r>
      <w:r w:rsidRPr="001C4BC1">
        <w:rPr>
          <w:i/>
          <w:iCs/>
        </w:rPr>
        <w:t>Remuneration Tribunal Act 1973</w:t>
      </w:r>
      <w:r w:rsidRPr="001C4BC1">
        <w:t>.</w:t>
      </w:r>
    </w:p>
    <w:p w14:paraId="43D4A825" w14:textId="77777777" w:rsidR="00BC2B55" w:rsidRPr="001C4BC1" w:rsidRDefault="00BC2B55" w:rsidP="001C2B21">
      <w:pPr>
        <w:pStyle w:val="subsection"/>
      </w:pPr>
      <w:r w:rsidRPr="001C4BC1">
        <w:tab/>
        <w:t>(4)</w:t>
      </w:r>
      <w:r w:rsidRPr="001C4BC1">
        <w:tab/>
        <w:t>The Governing Council may, by legislative instrument, prescribe:</w:t>
      </w:r>
    </w:p>
    <w:p w14:paraId="50436FFA" w14:textId="269BFF66" w:rsidR="00BC2B55" w:rsidRPr="001C4BC1" w:rsidRDefault="00BC2B55" w:rsidP="001C2B21">
      <w:pPr>
        <w:pStyle w:val="paragraph"/>
      </w:pPr>
      <w:r w:rsidRPr="001C4BC1">
        <w:tab/>
        <w:t>(a)</w:t>
      </w:r>
      <w:r w:rsidRPr="001C4BC1">
        <w:tab/>
        <w:t xml:space="preserve">remuneration for the purposes of </w:t>
      </w:r>
      <w:r w:rsidR="001C2B21">
        <w:t>subsection (</w:t>
      </w:r>
      <w:r w:rsidRPr="001C4BC1">
        <w:t>1); and</w:t>
      </w:r>
    </w:p>
    <w:p w14:paraId="462BB02C" w14:textId="59242E0F" w:rsidR="00BC2B55" w:rsidRPr="001C4BC1" w:rsidRDefault="00BC2B55" w:rsidP="001C2B21">
      <w:pPr>
        <w:pStyle w:val="paragraph"/>
      </w:pPr>
      <w:r w:rsidRPr="001C4BC1">
        <w:tab/>
        <w:t>(b)</w:t>
      </w:r>
      <w:r w:rsidRPr="001C4BC1">
        <w:tab/>
        <w:t xml:space="preserve">allowances for the purposes of </w:t>
      </w:r>
      <w:r w:rsidR="001C2B21">
        <w:t>subsection (</w:t>
      </w:r>
      <w:r w:rsidRPr="001C4BC1">
        <w:t>2).</w:t>
      </w:r>
    </w:p>
    <w:p w14:paraId="15126679" w14:textId="13EC7333" w:rsidR="00BC2B55" w:rsidRPr="001C4BC1" w:rsidRDefault="001E09C2" w:rsidP="001C2B21">
      <w:pPr>
        <w:pStyle w:val="ActHead5"/>
      </w:pPr>
      <w:r>
        <w:rPr>
          <w:rStyle w:val="CharSectno"/>
        </w:rPr>
        <w:t>230</w:t>
      </w:r>
      <w:proofErr w:type="gramStart"/>
      <w:r>
        <w:rPr>
          <w:rStyle w:val="CharSectno"/>
        </w:rPr>
        <w:t>F</w:t>
      </w:r>
      <w:r w:rsidR="00BC2B55" w:rsidRPr="001C4BC1">
        <w:t xml:space="preserve">  Leave</w:t>
      </w:r>
      <w:proofErr w:type="gramEnd"/>
      <w:r w:rsidR="00BC2B55" w:rsidRPr="001C4BC1">
        <w:t xml:space="preserve"> of absence</w:t>
      </w:r>
    </w:p>
    <w:p w14:paraId="7DF1E54D" w14:textId="77777777" w:rsidR="00BC2B55" w:rsidRPr="001C4BC1" w:rsidRDefault="00BC2B55" w:rsidP="001C2B21">
      <w:pPr>
        <w:pStyle w:val="subsection"/>
      </w:pPr>
      <w:r w:rsidRPr="001C4BC1">
        <w:tab/>
      </w:r>
      <w:r w:rsidRPr="001C4BC1">
        <w:tab/>
        <w:t xml:space="preserve">The Governing Council may grant leave of absence to any board member on the terms and conditions that the </w:t>
      </w:r>
      <w:r>
        <w:t>Governing Council</w:t>
      </w:r>
      <w:r w:rsidRPr="001C4BC1">
        <w:t xml:space="preserve"> determines.</w:t>
      </w:r>
    </w:p>
    <w:p w14:paraId="408919B5" w14:textId="710C279E" w:rsidR="00BC2B55" w:rsidRPr="001C4BC1" w:rsidRDefault="001E09C2" w:rsidP="001C2B21">
      <w:pPr>
        <w:pStyle w:val="ActHead5"/>
      </w:pPr>
      <w:r>
        <w:rPr>
          <w:rStyle w:val="CharSectno"/>
        </w:rPr>
        <w:t>230</w:t>
      </w:r>
      <w:proofErr w:type="gramStart"/>
      <w:r>
        <w:rPr>
          <w:rStyle w:val="CharSectno"/>
        </w:rPr>
        <w:t>G</w:t>
      </w:r>
      <w:r w:rsidR="00BC2B55" w:rsidRPr="001C4BC1">
        <w:t xml:space="preserve">  Disclosure</w:t>
      </w:r>
      <w:proofErr w:type="gramEnd"/>
      <w:r w:rsidR="00BC2B55" w:rsidRPr="001C4BC1">
        <w:t xml:space="preserve"> of interests</w:t>
      </w:r>
    </w:p>
    <w:p w14:paraId="66AC1795" w14:textId="18DA8E29" w:rsidR="00BC2B55" w:rsidRDefault="00BC2B55" w:rsidP="001C2B21">
      <w:pPr>
        <w:pStyle w:val="subsection"/>
      </w:pPr>
      <w:r w:rsidRPr="001C4BC1">
        <w:tab/>
        <w:t>(1)</w:t>
      </w:r>
      <w:r w:rsidRPr="001C4BC1">
        <w:tab/>
      </w:r>
      <w:r w:rsidRPr="00666292">
        <w:t xml:space="preserve">A disclosure by a </w:t>
      </w:r>
      <w:r w:rsidRPr="001C4BC1">
        <w:t>board member</w:t>
      </w:r>
      <w:r w:rsidRPr="00666292">
        <w:t xml:space="preserve"> (the </w:t>
      </w:r>
      <w:r w:rsidRPr="00666292">
        <w:rPr>
          <w:b/>
          <w:bCs/>
          <w:i/>
          <w:iCs/>
        </w:rPr>
        <w:t>relevant member</w:t>
      </w:r>
      <w:r w:rsidRPr="00666292">
        <w:t xml:space="preserve">) under </w:t>
      </w:r>
      <w:r w:rsidR="00874A53">
        <w:t>section 2</w:t>
      </w:r>
      <w:r w:rsidRPr="00666292">
        <w:t xml:space="preserve">9 of the </w:t>
      </w:r>
      <w:r w:rsidRPr="00666292">
        <w:rPr>
          <w:i/>
          <w:iCs/>
        </w:rPr>
        <w:t xml:space="preserve">Public Governance, Performance and Accountability Act 2013 </w:t>
      </w:r>
      <w:r w:rsidRPr="00666292">
        <w:t xml:space="preserve">(which deals with the duty to disclose interests) must be made to the </w:t>
      </w:r>
      <w:r w:rsidRPr="00732F18">
        <w:t>other board members of that standard</w:t>
      </w:r>
      <w:r w:rsidR="001C2B21">
        <w:noBreakHyphen/>
      </w:r>
      <w:r w:rsidRPr="00732F18">
        <w:t>setting board</w:t>
      </w:r>
      <w:r w:rsidRPr="00666292">
        <w:t xml:space="preserve"> as soon as practicable after the relevant member becomes aware of the interest, regardless of when the next meeting of </w:t>
      </w:r>
      <w:r>
        <w:t>that board</w:t>
      </w:r>
      <w:r w:rsidRPr="00666292">
        <w:t xml:space="preserve"> is to be held.</w:t>
      </w:r>
    </w:p>
    <w:p w14:paraId="73119F5E" w14:textId="338128A6" w:rsidR="00BC2B55" w:rsidRPr="00491BEB" w:rsidRDefault="00BC2B55" w:rsidP="001C2B21">
      <w:pPr>
        <w:pStyle w:val="subsection"/>
      </w:pPr>
      <w:r>
        <w:tab/>
        <w:t>(2)</w:t>
      </w:r>
      <w:r>
        <w:tab/>
      </w:r>
      <w:r w:rsidRPr="00491BEB">
        <w:t>The</w:t>
      </w:r>
      <w:r w:rsidR="00BB425B">
        <w:t xml:space="preserve"> </w:t>
      </w:r>
      <w:r>
        <w:t xml:space="preserve">board </w:t>
      </w:r>
      <w:r w:rsidRPr="00491BEB">
        <w:t xml:space="preserve">member presiding at the first meeting of </w:t>
      </w:r>
      <w:r>
        <w:t>that board</w:t>
      </w:r>
      <w:r w:rsidRPr="00491BEB">
        <w:t xml:space="preserve"> following the making of the disclosure must:</w:t>
      </w:r>
    </w:p>
    <w:p w14:paraId="061BDD1A" w14:textId="171E6C4A" w:rsidR="00BC2B55" w:rsidRPr="00E65D4E" w:rsidRDefault="00BC2B55" w:rsidP="001C2B21">
      <w:pPr>
        <w:pStyle w:val="paragraph"/>
      </w:pPr>
      <w:r>
        <w:tab/>
      </w:r>
      <w:r w:rsidRPr="00E65D4E">
        <w:t>(a)</w:t>
      </w:r>
      <w:r>
        <w:tab/>
      </w:r>
      <w:r w:rsidRPr="00E65D4E">
        <w:t>table the disclosure at that meeting;</w:t>
      </w:r>
      <w:r w:rsidR="008222BD">
        <w:t xml:space="preserve"> and</w:t>
      </w:r>
    </w:p>
    <w:p w14:paraId="75FDDCF9" w14:textId="77777777" w:rsidR="00BC2B55" w:rsidRPr="00732F18" w:rsidRDefault="00BC2B55" w:rsidP="001C2B21">
      <w:pPr>
        <w:pStyle w:val="paragraph"/>
      </w:pPr>
      <w:r>
        <w:tab/>
      </w:r>
      <w:r w:rsidRPr="00E65D4E">
        <w:t>(b)</w:t>
      </w:r>
      <w:r>
        <w:tab/>
      </w:r>
      <w:r w:rsidRPr="00E65D4E">
        <w:t>ensure that the interest disclosed is recorded in the minutes of that meeting.</w:t>
      </w:r>
    </w:p>
    <w:p w14:paraId="271334F2" w14:textId="5D62D214" w:rsidR="00BC2B55" w:rsidRPr="001C4BC1" w:rsidRDefault="00BC2B55" w:rsidP="001C2B21">
      <w:pPr>
        <w:pStyle w:val="subsection"/>
      </w:pPr>
      <w:r w:rsidRPr="001C4BC1">
        <w:tab/>
        <w:t>(</w:t>
      </w:r>
      <w:r>
        <w:t>3</w:t>
      </w:r>
      <w:r w:rsidRPr="001C4BC1">
        <w:t>)</w:t>
      </w:r>
      <w:r w:rsidRPr="001C4BC1">
        <w:tab/>
      </w:r>
      <w:r w:rsidR="003861E7">
        <w:t>Subsection (</w:t>
      </w:r>
      <w:r w:rsidRPr="001C4BC1">
        <w:t>1) applies in addition to any rules made for the purposes of that section.</w:t>
      </w:r>
    </w:p>
    <w:p w14:paraId="26E2DE64" w14:textId="348B05D4" w:rsidR="00BC2B55" w:rsidRDefault="00BC2B55" w:rsidP="001C2B21">
      <w:pPr>
        <w:pStyle w:val="subsection"/>
      </w:pPr>
      <w:r w:rsidRPr="001C4BC1">
        <w:tab/>
        <w:t>(</w:t>
      </w:r>
      <w:r>
        <w:t>4</w:t>
      </w:r>
      <w:r w:rsidRPr="001C4BC1">
        <w:t>)</w:t>
      </w:r>
      <w:r w:rsidRPr="001C4BC1">
        <w:tab/>
        <w:t xml:space="preserve">For the purposes of this Act and the </w:t>
      </w:r>
      <w:r w:rsidRPr="001C4BC1">
        <w:rPr>
          <w:i/>
          <w:iCs/>
        </w:rPr>
        <w:t>Public Governance, Performance and Accountability Act 2013</w:t>
      </w:r>
      <w:r w:rsidRPr="001C4BC1">
        <w:t xml:space="preserve">, the board member is </w:t>
      </w:r>
      <w:r w:rsidRPr="001C4BC1">
        <w:lastRenderedPageBreak/>
        <w:t xml:space="preserve">taken not to have complied with </w:t>
      </w:r>
      <w:r w:rsidR="00874A53">
        <w:t>section 2</w:t>
      </w:r>
      <w:r w:rsidRPr="001C4BC1">
        <w:t xml:space="preserve">9 of that Act if the board member does not comply with </w:t>
      </w:r>
      <w:r w:rsidR="001C2B21">
        <w:t>subsection (</w:t>
      </w:r>
      <w:r w:rsidRPr="001C4BC1">
        <w:t>1) of this section.</w:t>
      </w:r>
    </w:p>
    <w:p w14:paraId="687A57D3" w14:textId="7A58CC29" w:rsidR="00BC2B55" w:rsidRPr="001C4BC1" w:rsidRDefault="001E09C2" w:rsidP="001C2B21">
      <w:pPr>
        <w:pStyle w:val="ActHead5"/>
      </w:pPr>
      <w:r>
        <w:rPr>
          <w:rStyle w:val="CharSectno"/>
        </w:rPr>
        <w:t>230</w:t>
      </w:r>
      <w:proofErr w:type="gramStart"/>
      <w:r>
        <w:rPr>
          <w:rStyle w:val="CharSectno"/>
        </w:rPr>
        <w:t>H</w:t>
      </w:r>
      <w:r w:rsidR="00BC2B55" w:rsidRPr="001C4BC1">
        <w:t xml:space="preserve">  Resignation</w:t>
      </w:r>
      <w:proofErr w:type="gramEnd"/>
      <w:r w:rsidR="00BC2B55" w:rsidRPr="001C4BC1">
        <w:t xml:space="preserve"> of appointment</w:t>
      </w:r>
    </w:p>
    <w:p w14:paraId="38882E04" w14:textId="77777777" w:rsidR="00BC2B55" w:rsidRDefault="00BC2B55" w:rsidP="001C2B21">
      <w:pPr>
        <w:pStyle w:val="subsection"/>
      </w:pPr>
      <w:r w:rsidRPr="001C4BC1">
        <w:tab/>
        <w:t>(1)</w:t>
      </w:r>
      <w:r w:rsidRPr="001C4BC1">
        <w:tab/>
        <w:t>A board member may resign the member’s appointment by giving the Governing Council a written resignation.</w:t>
      </w:r>
    </w:p>
    <w:p w14:paraId="5B5A2CAA" w14:textId="0F924BBF" w:rsidR="00BC2B55" w:rsidRDefault="00BC2B55" w:rsidP="001C2B21">
      <w:pPr>
        <w:pStyle w:val="subsection"/>
      </w:pPr>
      <w:r>
        <w:tab/>
        <w:t>(2)</w:t>
      </w:r>
      <w:r>
        <w:tab/>
        <w:t>A Chair of a standard</w:t>
      </w:r>
      <w:r w:rsidR="001C2B21">
        <w:noBreakHyphen/>
      </w:r>
      <w:r>
        <w:t>setting board may resign the person’s appointment as the Chair of that board by giving the Governing Council a written resignation. The resignation does not affect the person’s appointment as a board member.</w:t>
      </w:r>
    </w:p>
    <w:p w14:paraId="2D704E1A" w14:textId="49C9D1C7" w:rsidR="00BC2B55" w:rsidRDefault="00BC2B55" w:rsidP="001C2B21">
      <w:pPr>
        <w:pStyle w:val="subsection"/>
      </w:pPr>
      <w:r>
        <w:tab/>
        <w:t>(3)</w:t>
      </w:r>
      <w:r>
        <w:tab/>
        <w:t>A Deputy Chair of a standard</w:t>
      </w:r>
      <w:r w:rsidR="001C2B21">
        <w:noBreakHyphen/>
      </w:r>
      <w:r>
        <w:t>setting board may resign the person’s appointment as the Deputy Chair of that board by giving the Governing Council a written resignation. The resignation does not affect the person’s appointment as a board member.</w:t>
      </w:r>
    </w:p>
    <w:p w14:paraId="4870F4D7" w14:textId="77777777" w:rsidR="00BC2B55" w:rsidRPr="001C4BC1" w:rsidRDefault="00BC2B55" w:rsidP="001C2B21">
      <w:pPr>
        <w:pStyle w:val="subsection"/>
      </w:pPr>
      <w:r w:rsidRPr="001C4BC1">
        <w:tab/>
        <w:t>(</w:t>
      </w:r>
      <w:r>
        <w:t>4</w:t>
      </w:r>
      <w:r w:rsidRPr="001C4BC1">
        <w:t>)</w:t>
      </w:r>
      <w:r w:rsidRPr="001C4BC1">
        <w:tab/>
      </w:r>
      <w:r>
        <w:t>A</w:t>
      </w:r>
      <w:r w:rsidRPr="001C4BC1">
        <w:t xml:space="preserve"> resignation </w:t>
      </w:r>
      <w:r>
        <w:t xml:space="preserve">given under this section </w:t>
      </w:r>
      <w:r w:rsidRPr="001C4BC1">
        <w:t>takes effect on the day it is received by the Governing Council or, if a later day is specified in the resignation, on that later day.</w:t>
      </w:r>
    </w:p>
    <w:p w14:paraId="306DBB31" w14:textId="3B9D3329" w:rsidR="00BC2B55" w:rsidRPr="001C4BC1" w:rsidRDefault="001E09C2" w:rsidP="001C2B21">
      <w:pPr>
        <w:pStyle w:val="ActHead5"/>
      </w:pPr>
      <w:r>
        <w:rPr>
          <w:rStyle w:val="CharSectno"/>
        </w:rPr>
        <w:t>230</w:t>
      </w:r>
      <w:proofErr w:type="gramStart"/>
      <w:r>
        <w:rPr>
          <w:rStyle w:val="CharSectno"/>
        </w:rPr>
        <w:t>J</w:t>
      </w:r>
      <w:r w:rsidR="00BC2B55" w:rsidRPr="001C4BC1">
        <w:t xml:space="preserve">  Termination</w:t>
      </w:r>
      <w:proofErr w:type="gramEnd"/>
      <w:r w:rsidR="00BC2B55" w:rsidRPr="001C4BC1">
        <w:t xml:space="preserve"> of appointment</w:t>
      </w:r>
    </w:p>
    <w:p w14:paraId="7CB30D88" w14:textId="77777777" w:rsidR="00BC2B55" w:rsidRPr="001C4BC1" w:rsidRDefault="00BC2B55" w:rsidP="001C2B21">
      <w:pPr>
        <w:pStyle w:val="subsection"/>
      </w:pPr>
      <w:r w:rsidRPr="001C4BC1">
        <w:tab/>
        <w:t>(</w:t>
      </w:r>
      <w:r>
        <w:t>1</w:t>
      </w:r>
      <w:r w:rsidRPr="001C4BC1">
        <w:t>)</w:t>
      </w:r>
      <w:r w:rsidRPr="001C4BC1">
        <w:tab/>
        <w:t>The Governing Council may terminate the appointment of a board member:</w:t>
      </w:r>
    </w:p>
    <w:p w14:paraId="7C1B063A" w14:textId="77777777" w:rsidR="00BC2B55" w:rsidRPr="001C4BC1" w:rsidRDefault="00BC2B55" w:rsidP="001C2B21">
      <w:pPr>
        <w:pStyle w:val="paragraph"/>
      </w:pPr>
      <w:r w:rsidRPr="001C4BC1">
        <w:tab/>
        <w:t>(a)</w:t>
      </w:r>
      <w:r w:rsidRPr="001C4BC1">
        <w:tab/>
        <w:t>for misbehaviour; or</w:t>
      </w:r>
    </w:p>
    <w:p w14:paraId="33CAC799" w14:textId="77777777" w:rsidR="00BC2B55" w:rsidRDefault="00BC2B55" w:rsidP="001C2B21">
      <w:pPr>
        <w:pStyle w:val="paragraph"/>
      </w:pPr>
      <w:r w:rsidRPr="001C4BC1">
        <w:tab/>
        <w:t>(b)</w:t>
      </w:r>
      <w:r w:rsidRPr="001C4BC1">
        <w:tab/>
        <w:t>if the member is unable to perform the duties of the member’s office because of physical or mental incapacity</w:t>
      </w:r>
      <w:r>
        <w:t>; or</w:t>
      </w:r>
    </w:p>
    <w:p w14:paraId="0557FB0C" w14:textId="18C085E3" w:rsidR="00BC2B55" w:rsidRDefault="00BC2B55" w:rsidP="001C2B21">
      <w:pPr>
        <w:pStyle w:val="paragraph"/>
      </w:pPr>
      <w:r>
        <w:tab/>
        <w:t>(c)</w:t>
      </w:r>
      <w:r>
        <w:tab/>
        <w:t xml:space="preserve">if the member makes </w:t>
      </w:r>
      <w:r w:rsidRPr="00165AC8">
        <w:t xml:space="preserve">a disclosure of information that is inconsistent with </w:t>
      </w:r>
      <w:r w:rsidR="0022083E" w:rsidRPr="0022083E">
        <w:t>External Reporting Australia</w:t>
      </w:r>
      <w:r w:rsidRPr="00165AC8">
        <w:t xml:space="preserve">’s obligation under section </w:t>
      </w:r>
      <w:r w:rsidR="001E09C2">
        <w:t>233B</w:t>
      </w:r>
      <w:r w:rsidRPr="00165AC8">
        <w:t xml:space="preserve"> (confidentiality)</w:t>
      </w:r>
      <w:r>
        <w:t>.</w:t>
      </w:r>
    </w:p>
    <w:p w14:paraId="1B46B342" w14:textId="2E802C25" w:rsidR="00BC2B55" w:rsidRPr="001C4BC1" w:rsidRDefault="00BC2B55" w:rsidP="001C2B21">
      <w:pPr>
        <w:pStyle w:val="subsection"/>
      </w:pPr>
      <w:r>
        <w:tab/>
      </w:r>
      <w:r w:rsidRPr="001C4BC1">
        <w:t>(</w:t>
      </w:r>
      <w:r>
        <w:t>2</w:t>
      </w:r>
      <w:r w:rsidRPr="001C4BC1">
        <w:t>)</w:t>
      </w:r>
      <w:r w:rsidRPr="001C4BC1">
        <w:tab/>
        <w:t xml:space="preserve">The Governing Council </w:t>
      </w:r>
      <w:r>
        <w:t>must</w:t>
      </w:r>
      <w:r w:rsidRPr="001C4BC1">
        <w:t xml:space="preserve"> terminate the appointment of a board member of a standard</w:t>
      </w:r>
      <w:r w:rsidR="001C2B21">
        <w:noBreakHyphen/>
      </w:r>
      <w:r w:rsidRPr="001C4BC1">
        <w:t>setting board if</w:t>
      </w:r>
      <w:r>
        <w:t xml:space="preserve"> the member</w:t>
      </w:r>
      <w:r w:rsidRPr="001C4BC1">
        <w:t>:</w:t>
      </w:r>
    </w:p>
    <w:p w14:paraId="0257B1CA" w14:textId="77777777" w:rsidR="00BC2B55" w:rsidRPr="00F83D53" w:rsidRDefault="00BC2B55" w:rsidP="001C2B21">
      <w:pPr>
        <w:pStyle w:val="paragraph"/>
      </w:pPr>
      <w:r w:rsidRPr="001C4BC1">
        <w:tab/>
      </w:r>
      <w:r w:rsidRPr="00F83D53">
        <w:t>(</w:t>
      </w:r>
      <w:r>
        <w:t>a</w:t>
      </w:r>
      <w:r w:rsidRPr="00F83D53">
        <w:t>)</w:t>
      </w:r>
      <w:r w:rsidRPr="00F83D53">
        <w:tab/>
        <w:t>becomes bankrupt; or</w:t>
      </w:r>
    </w:p>
    <w:p w14:paraId="794C3871" w14:textId="77777777" w:rsidR="00BC2B55" w:rsidRPr="00F83D53" w:rsidRDefault="00BC2B55" w:rsidP="001C2B21">
      <w:pPr>
        <w:pStyle w:val="paragraph"/>
      </w:pPr>
      <w:r w:rsidRPr="00F83D53">
        <w:tab/>
        <w:t>(</w:t>
      </w:r>
      <w:r>
        <w:t>b</w:t>
      </w:r>
      <w:r w:rsidRPr="00F83D53">
        <w:t>)</w:t>
      </w:r>
      <w:r w:rsidRPr="00F83D53">
        <w:tab/>
        <w:t>applies to take the benefit of any law for the relief of bankrupt or insolvent debtors; or</w:t>
      </w:r>
    </w:p>
    <w:p w14:paraId="7C1E51BE" w14:textId="77777777" w:rsidR="00BC2B55" w:rsidRPr="00F83D53" w:rsidRDefault="00BC2B55" w:rsidP="001C2B21">
      <w:pPr>
        <w:pStyle w:val="paragraph"/>
      </w:pPr>
      <w:r w:rsidRPr="00F83D53">
        <w:tab/>
        <w:t>(</w:t>
      </w:r>
      <w:r>
        <w:t>c</w:t>
      </w:r>
      <w:r w:rsidRPr="00F83D53">
        <w:t>)</w:t>
      </w:r>
      <w:r w:rsidRPr="00F83D53">
        <w:tab/>
        <w:t>compounds with the member’s creditors; or</w:t>
      </w:r>
    </w:p>
    <w:p w14:paraId="3232DF2F" w14:textId="77777777" w:rsidR="00BC2B55" w:rsidRDefault="00BC2B55" w:rsidP="001C2B21">
      <w:pPr>
        <w:pStyle w:val="paragraph"/>
      </w:pPr>
      <w:r w:rsidRPr="00F83D53">
        <w:tab/>
        <w:t>(</w:t>
      </w:r>
      <w:r>
        <w:t>d</w:t>
      </w:r>
      <w:r w:rsidRPr="00F83D53">
        <w:t>)</w:t>
      </w:r>
      <w:r w:rsidRPr="00F83D53">
        <w:tab/>
        <w:t>makes an assignment of the member’s remuneration for the benefit of the member’s creditors.</w:t>
      </w:r>
    </w:p>
    <w:p w14:paraId="64A8DCF9" w14:textId="1EE386DF" w:rsidR="00BC2B55" w:rsidRPr="001C4BC1" w:rsidRDefault="00BC2B55" w:rsidP="001C2B21">
      <w:pPr>
        <w:pStyle w:val="subsection"/>
      </w:pPr>
      <w:r w:rsidRPr="001C4BC1">
        <w:tab/>
        <w:t>(</w:t>
      </w:r>
      <w:r>
        <w:t>3</w:t>
      </w:r>
      <w:r w:rsidRPr="001C4BC1">
        <w:t>)</w:t>
      </w:r>
      <w:r w:rsidRPr="001C4BC1">
        <w:tab/>
        <w:t xml:space="preserve">The Governing Council </w:t>
      </w:r>
      <w:r>
        <w:t>may</w:t>
      </w:r>
      <w:r w:rsidRPr="001C4BC1">
        <w:t xml:space="preserve"> terminate the appointment of a board member of a standard</w:t>
      </w:r>
      <w:r w:rsidR="001C2B21">
        <w:noBreakHyphen/>
      </w:r>
      <w:r w:rsidRPr="001C4BC1">
        <w:t>setting board if:</w:t>
      </w:r>
    </w:p>
    <w:p w14:paraId="3D322090" w14:textId="0939D9D3" w:rsidR="00BC2B55" w:rsidRDefault="00BC2B55" w:rsidP="001C2B21">
      <w:pPr>
        <w:pStyle w:val="paragraph"/>
      </w:pPr>
      <w:r w:rsidRPr="001C4BC1">
        <w:lastRenderedPageBreak/>
        <w:tab/>
        <w:t>(</w:t>
      </w:r>
      <w:r>
        <w:t>a</w:t>
      </w:r>
      <w:r w:rsidRPr="001C4BC1">
        <w:t>)</w:t>
      </w:r>
      <w:r w:rsidRPr="001C4BC1">
        <w:tab/>
        <w:t>the member is absent, except on leave of absence, from 3 consecutive meetings of the standard</w:t>
      </w:r>
      <w:r w:rsidR="001C2B21">
        <w:noBreakHyphen/>
      </w:r>
      <w:r w:rsidRPr="001C4BC1">
        <w:t xml:space="preserve">setting </w:t>
      </w:r>
      <w:proofErr w:type="gramStart"/>
      <w:r w:rsidRPr="001C4BC1">
        <w:t>board;</w:t>
      </w:r>
      <w:proofErr w:type="gramEnd"/>
      <w:r>
        <w:t xml:space="preserve"> or</w:t>
      </w:r>
    </w:p>
    <w:p w14:paraId="7F00D590" w14:textId="2E3160E7" w:rsidR="00BC2B55" w:rsidRPr="001C4BC1" w:rsidRDefault="00BC2B55" w:rsidP="001C2B21">
      <w:pPr>
        <w:pStyle w:val="paragraph"/>
      </w:pPr>
      <w:r w:rsidRPr="001C4BC1">
        <w:tab/>
        <w:t>(</w:t>
      </w:r>
      <w:r w:rsidR="002A1E1A">
        <w:t>b</w:t>
      </w:r>
      <w:r w:rsidRPr="001C4BC1">
        <w:t>)</w:t>
      </w:r>
      <w:r w:rsidRPr="001C4BC1">
        <w:tab/>
        <w:t xml:space="preserve">the member fails, without reasonable excuse, to comply with </w:t>
      </w:r>
      <w:r w:rsidR="00874A53">
        <w:t>section 2</w:t>
      </w:r>
      <w:r w:rsidRPr="001C4BC1">
        <w:t xml:space="preserve">9 of the </w:t>
      </w:r>
      <w:r w:rsidRPr="001C4BC1">
        <w:rPr>
          <w:i/>
          <w:iCs/>
        </w:rPr>
        <w:t>Public Governance, Performance and Accountability Act 2013</w:t>
      </w:r>
      <w:r w:rsidRPr="001C4BC1">
        <w:t xml:space="preserve"> (which deals with the duty to disclose interests) or rules made for the purposes of that section.</w:t>
      </w:r>
    </w:p>
    <w:p w14:paraId="71901D12" w14:textId="242832AC" w:rsidR="00145EDB" w:rsidRPr="00145EDB" w:rsidRDefault="003234FC" w:rsidP="001C2B21">
      <w:pPr>
        <w:pStyle w:val="ActHead3"/>
        <w:pageBreakBefore/>
      </w:pPr>
      <w:r w:rsidRPr="001C2B21">
        <w:rPr>
          <w:rStyle w:val="CharDivNo"/>
        </w:rPr>
        <w:lastRenderedPageBreak/>
        <w:t>Division </w:t>
      </w:r>
      <w:r w:rsidR="00860EE1" w:rsidRPr="001C2B21">
        <w:rPr>
          <w:rStyle w:val="CharDivNo"/>
        </w:rPr>
        <w:t>4</w:t>
      </w:r>
      <w:r w:rsidR="00145EDB" w:rsidRPr="00145EDB">
        <w:t>—</w:t>
      </w:r>
      <w:r w:rsidR="00145EDB" w:rsidRPr="001C2B21">
        <w:rPr>
          <w:rStyle w:val="CharDivText"/>
        </w:rPr>
        <w:t>Staff etc.</w:t>
      </w:r>
      <w:r w:rsidR="00D03E6D" w:rsidRPr="001C2B21">
        <w:rPr>
          <w:rStyle w:val="CharDivText"/>
        </w:rPr>
        <w:t xml:space="preserve"> of </w:t>
      </w:r>
      <w:r w:rsidR="0022083E" w:rsidRPr="0022083E">
        <w:t>External Reporting Australia</w:t>
      </w:r>
    </w:p>
    <w:p w14:paraId="76829493" w14:textId="2CDD0EB6" w:rsidR="00145EDB" w:rsidRPr="001C4BC1" w:rsidRDefault="001E09C2" w:rsidP="001C2B21">
      <w:pPr>
        <w:pStyle w:val="ActHead5"/>
      </w:pPr>
      <w:proofErr w:type="gramStart"/>
      <w:r>
        <w:rPr>
          <w:rStyle w:val="CharSectno"/>
        </w:rPr>
        <w:t>231</w:t>
      </w:r>
      <w:r w:rsidR="00145EDB" w:rsidRPr="001C4BC1">
        <w:t xml:space="preserve">  Staff</w:t>
      </w:r>
      <w:proofErr w:type="gramEnd"/>
    </w:p>
    <w:p w14:paraId="0A8ACAA2" w14:textId="07A0440E" w:rsidR="00145EDB" w:rsidRPr="001C4BC1" w:rsidRDefault="00145EDB" w:rsidP="001C2B21">
      <w:pPr>
        <w:pStyle w:val="subsection"/>
      </w:pPr>
      <w:r w:rsidRPr="001C4BC1">
        <w:tab/>
        <w:t>(1)</w:t>
      </w:r>
      <w:r w:rsidRPr="001C4BC1">
        <w:tab/>
        <w:t xml:space="preserve">The staff of </w:t>
      </w:r>
      <w:r w:rsidR="0022083E" w:rsidRPr="0022083E">
        <w:t>External Reporting Australia</w:t>
      </w:r>
      <w:r w:rsidRPr="001C4BC1">
        <w:t xml:space="preserve"> comprises:</w:t>
      </w:r>
    </w:p>
    <w:p w14:paraId="098C6CD1" w14:textId="6AF0286F" w:rsidR="00145EDB" w:rsidRPr="001C4BC1" w:rsidRDefault="00145EDB" w:rsidP="001C2B21">
      <w:pPr>
        <w:pStyle w:val="paragraph"/>
      </w:pPr>
      <w:r w:rsidRPr="001C4BC1">
        <w:tab/>
        <w:t>(a)</w:t>
      </w:r>
      <w:r w:rsidRPr="001C4BC1">
        <w:tab/>
        <w:t xml:space="preserve">persons engaged under the </w:t>
      </w:r>
      <w:r w:rsidRPr="001C4BC1">
        <w:rPr>
          <w:i/>
          <w:iCs/>
        </w:rPr>
        <w:t xml:space="preserve">Public Service Act 1999 </w:t>
      </w:r>
      <w:r w:rsidRPr="001C4BC1">
        <w:t xml:space="preserve">for the purposes of </w:t>
      </w:r>
      <w:r w:rsidR="0022083E" w:rsidRPr="0022083E">
        <w:t>External Reporting Australia</w:t>
      </w:r>
      <w:r w:rsidRPr="001C4BC1">
        <w:t>; and</w:t>
      </w:r>
    </w:p>
    <w:p w14:paraId="6B3737BC" w14:textId="48DACFCE" w:rsidR="00145EDB" w:rsidRPr="001C4BC1" w:rsidRDefault="00145EDB" w:rsidP="001C2B21">
      <w:pPr>
        <w:pStyle w:val="paragraph"/>
      </w:pPr>
      <w:r w:rsidRPr="001C4BC1">
        <w:tab/>
        <w:t>(b)</w:t>
      </w:r>
      <w:r w:rsidRPr="001C4BC1">
        <w:tab/>
        <w:t xml:space="preserve">such other persons (if any) as </w:t>
      </w:r>
      <w:r w:rsidR="0022083E" w:rsidRPr="0022083E">
        <w:t>External Reporting Australia</w:t>
      </w:r>
      <w:r w:rsidRPr="001C4BC1">
        <w:t xml:space="preserve"> thinks necessary to employ to assist </w:t>
      </w:r>
      <w:r w:rsidR="0022083E" w:rsidRPr="0022083E">
        <w:t>External Reporting Australia</w:t>
      </w:r>
      <w:r w:rsidRPr="001C4BC1">
        <w:t xml:space="preserve"> in the performance of its functions and the exercise of its powers.</w:t>
      </w:r>
    </w:p>
    <w:p w14:paraId="40620EC6" w14:textId="77777777" w:rsidR="00145EDB" w:rsidRPr="001C4BC1" w:rsidRDefault="00145EDB" w:rsidP="001C2B21">
      <w:pPr>
        <w:pStyle w:val="subsection"/>
      </w:pPr>
      <w:r w:rsidRPr="001C4BC1">
        <w:tab/>
        <w:t>(2)</w:t>
      </w:r>
      <w:r w:rsidRPr="001C4BC1">
        <w:tab/>
        <w:t xml:space="preserve">For the purposes of the </w:t>
      </w:r>
      <w:r w:rsidRPr="001C4BC1">
        <w:rPr>
          <w:i/>
          <w:iCs/>
        </w:rPr>
        <w:t>Public Service Act 1999</w:t>
      </w:r>
      <w:r w:rsidRPr="001C4BC1">
        <w:t>:</w:t>
      </w:r>
    </w:p>
    <w:p w14:paraId="0CDD95EE" w14:textId="77777777" w:rsidR="00145EDB" w:rsidRPr="001C4BC1" w:rsidRDefault="00145EDB" w:rsidP="001C2B21">
      <w:pPr>
        <w:pStyle w:val="paragraph"/>
      </w:pPr>
      <w:r w:rsidRPr="001C4BC1">
        <w:tab/>
        <w:t>(a)</w:t>
      </w:r>
      <w:r w:rsidRPr="001C4BC1">
        <w:tab/>
        <w:t>the Council Chair and the APS employees assisting the Council Chair together constitute a Statutory Agency; and</w:t>
      </w:r>
    </w:p>
    <w:p w14:paraId="2BCD7054" w14:textId="77777777" w:rsidR="00145EDB" w:rsidRPr="001C4BC1" w:rsidRDefault="00145EDB" w:rsidP="001C2B21">
      <w:pPr>
        <w:pStyle w:val="paragraph"/>
      </w:pPr>
      <w:r w:rsidRPr="001C4BC1">
        <w:tab/>
        <w:t>(b)</w:t>
      </w:r>
      <w:r w:rsidRPr="001C4BC1">
        <w:tab/>
        <w:t>the Council Chair is the Head of that Statutory Agency.</w:t>
      </w:r>
    </w:p>
    <w:p w14:paraId="035B0815" w14:textId="44DE5E26" w:rsidR="00145EDB" w:rsidRDefault="00145EDB" w:rsidP="001C2B21">
      <w:pPr>
        <w:pStyle w:val="subsection"/>
      </w:pPr>
      <w:r w:rsidRPr="001C4BC1">
        <w:tab/>
        <w:t>(3)</w:t>
      </w:r>
      <w:r w:rsidRPr="001C4BC1">
        <w:tab/>
        <w:t xml:space="preserve">A person employed under </w:t>
      </w:r>
      <w:r w:rsidR="003861E7">
        <w:t>paragraph (</w:t>
      </w:r>
      <w:r w:rsidRPr="001C4BC1">
        <w:t xml:space="preserve">1)(b) is to be employed on the terms and conditions that </w:t>
      </w:r>
      <w:r w:rsidR="0022083E" w:rsidRPr="0022083E">
        <w:t>External Reporting Australia</w:t>
      </w:r>
      <w:r w:rsidRPr="001C4BC1">
        <w:t xml:space="preserve"> determines in writing.</w:t>
      </w:r>
    </w:p>
    <w:p w14:paraId="47ECCF3F" w14:textId="378A2D44" w:rsidR="00145EDB" w:rsidRPr="001C4BC1" w:rsidRDefault="001E09C2" w:rsidP="001C2B21">
      <w:pPr>
        <w:pStyle w:val="ActHead5"/>
      </w:pPr>
      <w:r>
        <w:rPr>
          <w:rStyle w:val="CharSectno"/>
        </w:rPr>
        <w:t>231</w:t>
      </w:r>
      <w:proofErr w:type="gramStart"/>
      <w:r>
        <w:rPr>
          <w:rStyle w:val="CharSectno"/>
        </w:rPr>
        <w:t>A</w:t>
      </w:r>
      <w:r w:rsidR="00145EDB" w:rsidRPr="001C4BC1">
        <w:t xml:space="preserve">  Consultants</w:t>
      </w:r>
      <w:proofErr w:type="gramEnd"/>
    </w:p>
    <w:p w14:paraId="62D779C1" w14:textId="52BFD322" w:rsidR="00145EDB" w:rsidRDefault="00145EDB" w:rsidP="001C2B21">
      <w:pPr>
        <w:pStyle w:val="subsection"/>
      </w:pPr>
      <w:r w:rsidRPr="001C4BC1">
        <w:tab/>
      </w:r>
      <w:r>
        <w:tab/>
      </w:r>
      <w:r w:rsidR="0022083E" w:rsidRPr="0022083E">
        <w:t>External Reporting Australia</w:t>
      </w:r>
      <w:r w:rsidRPr="001C4BC1">
        <w:t xml:space="preserve"> may, on behalf of the Commonwealth, engage consultants to assist in the performance of </w:t>
      </w:r>
      <w:r w:rsidR="0022083E" w:rsidRPr="0022083E">
        <w:t>External Reporting Australia</w:t>
      </w:r>
      <w:r w:rsidRPr="001C4BC1">
        <w:t>’s functions.</w:t>
      </w:r>
    </w:p>
    <w:p w14:paraId="7F66C118" w14:textId="4AF758AD" w:rsidR="00145EDB" w:rsidRPr="00731C90" w:rsidRDefault="001E09C2" w:rsidP="001C2B21">
      <w:pPr>
        <w:pStyle w:val="ActHead5"/>
      </w:pPr>
      <w:r>
        <w:rPr>
          <w:rStyle w:val="CharSectno"/>
        </w:rPr>
        <w:t>231</w:t>
      </w:r>
      <w:proofErr w:type="gramStart"/>
      <w:r>
        <w:rPr>
          <w:rStyle w:val="CharSectno"/>
        </w:rPr>
        <w:t>B</w:t>
      </w:r>
      <w:r w:rsidR="00145EDB">
        <w:t xml:space="preserve">  Persons</w:t>
      </w:r>
      <w:proofErr w:type="gramEnd"/>
      <w:r w:rsidR="00145EDB">
        <w:t xml:space="preserve"> assisting </w:t>
      </w:r>
      <w:r w:rsidR="003F5783" w:rsidRPr="0022083E">
        <w:t>External Reporting Australia</w:t>
      </w:r>
    </w:p>
    <w:p w14:paraId="240AA9B6" w14:textId="75AD48A8" w:rsidR="00145EDB" w:rsidRDefault="00145EDB" w:rsidP="001C2B21">
      <w:pPr>
        <w:pStyle w:val="subsection"/>
      </w:pPr>
      <w:r>
        <w:tab/>
      </w:r>
      <w:r>
        <w:tab/>
      </w:r>
      <w:r w:rsidR="0022083E" w:rsidRPr="0022083E">
        <w:t>External Reporting Australia</w:t>
      </w:r>
      <w:r>
        <w:t xml:space="preserve"> may also be assisted by </w:t>
      </w:r>
      <w:r w:rsidRPr="000D6D7D">
        <w:t xml:space="preserve">officers and employees of Agencies (within the meaning of the </w:t>
      </w:r>
      <w:r w:rsidRPr="000D6D7D">
        <w:rPr>
          <w:i/>
          <w:iCs/>
        </w:rPr>
        <w:t>Public Service Act 1999</w:t>
      </w:r>
      <w:r w:rsidRPr="000D6D7D">
        <w:t xml:space="preserve">), and of authorities of the Commonwealth, whose services are made available to </w:t>
      </w:r>
      <w:r w:rsidR="003F5783" w:rsidRPr="0022083E">
        <w:t>External Reporting Australia</w:t>
      </w:r>
      <w:r>
        <w:t xml:space="preserve"> </w:t>
      </w:r>
      <w:r w:rsidRPr="000D6D7D">
        <w:t>in connection with the performance or exercise of any of its functions or powers.</w:t>
      </w:r>
    </w:p>
    <w:p w14:paraId="0B544636" w14:textId="4A3C6A32" w:rsidR="00BC2B55" w:rsidRPr="001C4BC1" w:rsidRDefault="00BC2B55" w:rsidP="001C2B21">
      <w:pPr>
        <w:pStyle w:val="ActHead3"/>
        <w:pageBreakBefore/>
      </w:pPr>
      <w:r w:rsidRPr="001C2B21">
        <w:rPr>
          <w:rStyle w:val="CharDivNo"/>
        </w:rPr>
        <w:lastRenderedPageBreak/>
        <w:t>Division </w:t>
      </w:r>
      <w:r w:rsidR="00860EE1" w:rsidRPr="001C2B21">
        <w:rPr>
          <w:rStyle w:val="CharDivNo"/>
        </w:rPr>
        <w:t>5</w:t>
      </w:r>
      <w:r w:rsidRPr="001C4BC1">
        <w:t>—</w:t>
      </w:r>
      <w:r w:rsidRPr="001C2B21">
        <w:rPr>
          <w:rStyle w:val="CharDivText"/>
        </w:rPr>
        <w:t xml:space="preserve">Standards issued by </w:t>
      </w:r>
      <w:r w:rsidR="003F5783" w:rsidRPr="0022083E">
        <w:t>External Reporting Australia</w:t>
      </w:r>
    </w:p>
    <w:p w14:paraId="3B163918" w14:textId="0E11CFEC" w:rsidR="00BC2B55" w:rsidRPr="001C4BC1" w:rsidRDefault="001E09C2" w:rsidP="001C2B21">
      <w:pPr>
        <w:pStyle w:val="ActHead5"/>
      </w:pPr>
      <w:proofErr w:type="gramStart"/>
      <w:r>
        <w:rPr>
          <w:rStyle w:val="CharSectno"/>
        </w:rPr>
        <w:t>232</w:t>
      </w:r>
      <w:r w:rsidR="00BC2B55" w:rsidRPr="001C4BC1">
        <w:t xml:space="preserve">  Interpretation</w:t>
      </w:r>
      <w:proofErr w:type="gramEnd"/>
      <w:r w:rsidR="00BC2B55" w:rsidRPr="001C4BC1">
        <w:t xml:space="preserve"> of standards</w:t>
      </w:r>
    </w:p>
    <w:p w14:paraId="5E991F64" w14:textId="77777777" w:rsidR="00BC2B55" w:rsidRPr="001C4BC1" w:rsidRDefault="00BC2B55" w:rsidP="001C2B21">
      <w:pPr>
        <w:pStyle w:val="SubsectionHead"/>
      </w:pPr>
      <w:r w:rsidRPr="001C4BC1">
        <w:t>Objects of this Part</w:t>
      </w:r>
    </w:p>
    <w:p w14:paraId="335618B8" w14:textId="7CCFDD30" w:rsidR="00BC2B55" w:rsidRPr="001C4BC1" w:rsidRDefault="00BC2B55" w:rsidP="001C2B21">
      <w:pPr>
        <w:pStyle w:val="subsection"/>
      </w:pPr>
      <w:r w:rsidRPr="001C4BC1">
        <w:rPr>
          <w:b/>
          <w:bCs/>
        </w:rPr>
        <w:tab/>
      </w:r>
      <w:r w:rsidRPr="001C4BC1">
        <w:t>(1)</w:t>
      </w:r>
      <w:r w:rsidRPr="001C4BC1">
        <w:tab/>
        <w:t xml:space="preserve">In interpreting a standard made or formulated by </w:t>
      </w:r>
      <w:r w:rsidR="0022083E" w:rsidRPr="0022083E">
        <w:t>External Reporting Australia</w:t>
      </w:r>
      <w:r w:rsidRPr="001C4BC1">
        <w:t>, a construction that would promote the objects of this Part is to be preferred to a construction that would not promote those objects.</w:t>
      </w:r>
    </w:p>
    <w:p w14:paraId="08FF1913" w14:textId="77777777" w:rsidR="00BC2B55" w:rsidRPr="001C4BC1" w:rsidRDefault="00BC2B55" w:rsidP="001C2B21">
      <w:pPr>
        <w:pStyle w:val="SubsectionHead"/>
      </w:pPr>
      <w:r w:rsidRPr="001C4BC1">
        <w:t xml:space="preserve">Purposes or objects of </w:t>
      </w:r>
      <w:proofErr w:type="gramStart"/>
      <w:r w:rsidRPr="001C4BC1">
        <w:t>particular standard</w:t>
      </w:r>
      <w:proofErr w:type="gramEnd"/>
    </w:p>
    <w:p w14:paraId="3D71934B" w14:textId="190F0633" w:rsidR="00BC2B55" w:rsidRDefault="00BC2B55" w:rsidP="001C2B21">
      <w:pPr>
        <w:pStyle w:val="subsection"/>
      </w:pPr>
      <w:r w:rsidRPr="001C4BC1">
        <w:tab/>
        <w:t>(2)</w:t>
      </w:r>
      <w:r w:rsidRPr="001C4BC1">
        <w:tab/>
        <w:t xml:space="preserve">In interpreting a standard made or formulated by </w:t>
      </w:r>
      <w:r w:rsidR="0022083E" w:rsidRPr="0022083E">
        <w:t>External Reporting Australia</w:t>
      </w:r>
      <w:r w:rsidRPr="001C4BC1">
        <w:t>, a construction that would promote a purpose or object of the standard (to the extent to which it is not inconsistent with the objects of this Part) is to be preferred to a construction that would not promote that purpose or object. This is so even if the purpose or object is not expressly stated in the standard.</w:t>
      </w:r>
    </w:p>
    <w:p w14:paraId="492C7039" w14:textId="77777777" w:rsidR="00BC2B55" w:rsidRPr="001C4BC1" w:rsidRDefault="00BC2B55" w:rsidP="001C2B21">
      <w:pPr>
        <w:pStyle w:val="SubsectionHead"/>
      </w:pPr>
      <w:r>
        <w:t>Other matters relating to interpretation</w:t>
      </w:r>
    </w:p>
    <w:p w14:paraId="48DA1B97" w14:textId="5C6259DD" w:rsidR="00BC2B55" w:rsidRDefault="00BC2B55" w:rsidP="001C2B21">
      <w:pPr>
        <w:pStyle w:val="subsection"/>
      </w:pPr>
      <w:r>
        <w:tab/>
        <w:t>(3)</w:t>
      </w:r>
      <w:r>
        <w:tab/>
        <w:t xml:space="preserve">The Minister may, by legislative instrument, determine matters relating to the interpretation of </w:t>
      </w:r>
      <w:r w:rsidR="003D47BF">
        <w:t>standards of a specified kind</w:t>
      </w:r>
      <w:r w:rsidR="00F06949">
        <w:t xml:space="preserve"> that </w:t>
      </w:r>
      <w:r w:rsidR="003D47BF">
        <w:t>are</w:t>
      </w:r>
      <w:r w:rsidR="00F06949">
        <w:t xml:space="preserve"> made </w:t>
      </w:r>
      <w:r w:rsidR="000D0FAA">
        <w:t>or formulated in the performance of a function</w:t>
      </w:r>
      <w:r w:rsidRPr="008C56C4">
        <w:t xml:space="preserve"> under </w:t>
      </w:r>
      <w:r w:rsidR="0032505C">
        <w:t>paragraph</w:t>
      </w:r>
      <w:r w:rsidR="003234FC">
        <w:t> </w:t>
      </w:r>
      <w:r w:rsidR="001E09C2">
        <w:t>225A</w:t>
      </w:r>
      <w:r w:rsidR="009D6848">
        <w:t>(1)</w:t>
      </w:r>
      <w:r>
        <w:t>(</w:t>
      </w:r>
      <w:r w:rsidR="009D6848">
        <w:t>i</w:t>
      </w:r>
      <w:r>
        <w:t>)</w:t>
      </w:r>
      <w:r w:rsidRPr="008C56C4">
        <w:t>.</w:t>
      </w:r>
      <w:r>
        <w:t xml:space="preserve"> </w:t>
      </w:r>
      <w:r w:rsidRPr="006D5561">
        <w:t>The determination has effect accordingly.</w:t>
      </w:r>
    </w:p>
    <w:p w14:paraId="1888EC85" w14:textId="441E57EA" w:rsidR="00BC2B55" w:rsidRPr="001C4BC1" w:rsidRDefault="001E09C2" w:rsidP="001C2B21">
      <w:pPr>
        <w:pStyle w:val="ActHead5"/>
      </w:pPr>
      <w:r>
        <w:rPr>
          <w:rStyle w:val="CharSectno"/>
        </w:rPr>
        <w:t>232</w:t>
      </w:r>
      <w:proofErr w:type="gramStart"/>
      <w:r>
        <w:rPr>
          <w:rStyle w:val="CharSectno"/>
        </w:rPr>
        <w:t>A</w:t>
      </w:r>
      <w:r w:rsidR="00BC2B55" w:rsidRPr="001C4BC1">
        <w:t xml:space="preserve">  Generic</w:t>
      </w:r>
      <w:proofErr w:type="gramEnd"/>
      <w:r w:rsidR="00BC2B55" w:rsidRPr="001C4BC1">
        <w:t xml:space="preserve"> and specific standards</w:t>
      </w:r>
    </w:p>
    <w:p w14:paraId="57E67578" w14:textId="283FDE33" w:rsidR="00BC2B55" w:rsidRPr="001C4BC1" w:rsidRDefault="00BC2B55" w:rsidP="001C2B21">
      <w:pPr>
        <w:pStyle w:val="subsection"/>
      </w:pPr>
      <w:r w:rsidRPr="001C4BC1">
        <w:tab/>
      </w:r>
      <w:r w:rsidRPr="001C4BC1">
        <w:tab/>
        <w:t xml:space="preserve">A standard made or formulated by </w:t>
      </w:r>
      <w:r w:rsidR="0022083E" w:rsidRPr="0022083E">
        <w:t>External Reporting Australia</w:t>
      </w:r>
      <w:r w:rsidRPr="001C4BC1">
        <w:t xml:space="preserve"> may:</w:t>
      </w:r>
    </w:p>
    <w:p w14:paraId="3F355D8D" w14:textId="77777777" w:rsidR="00BC2B55" w:rsidRDefault="00BC2B55" w:rsidP="001C2B21">
      <w:pPr>
        <w:pStyle w:val="paragraph"/>
      </w:pPr>
      <w:r w:rsidRPr="001C4BC1">
        <w:tab/>
        <w:t>(a)</w:t>
      </w:r>
      <w:r w:rsidRPr="001C4BC1">
        <w:tab/>
      </w:r>
      <w:r>
        <w:t>in relation to accounting standards or sustainability standards—</w:t>
      </w:r>
      <w:r w:rsidRPr="001C4BC1">
        <w:t>be of general or limited application (including a limitation to specified bodies or undertakings</w:t>
      </w:r>
      <w:r>
        <w:t>); and</w:t>
      </w:r>
    </w:p>
    <w:p w14:paraId="7D52C5B5" w14:textId="77777777" w:rsidR="00BC2B55" w:rsidRDefault="00BC2B55" w:rsidP="001C2B21">
      <w:pPr>
        <w:pStyle w:val="paragraph"/>
      </w:pPr>
      <w:r>
        <w:tab/>
        <w:t>(b)</w:t>
      </w:r>
      <w:r>
        <w:tab/>
        <w:t>in relation to auditing standards—</w:t>
      </w:r>
      <w:r w:rsidRPr="001C4BC1">
        <w:t>be of general or limited application</w:t>
      </w:r>
      <w:r>
        <w:t xml:space="preserve"> (including a limitation to different types of audit and </w:t>
      </w:r>
      <w:r w:rsidRPr="00427BD3">
        <w:t>specified industries, bodies or undertakings</w:t>
      </w:r>
      <w:r w:rsidRPr="001C4BC1">
        <w:t>);</w:t>
      </w:r>
      <w:r>
        <w:t xml:space="preserve"> and</w:t>
      </w:r>
    </w:p>
    <w:p w14:paraId="6B77A8A3" w14:textId="77777777" w:rsidR="00BC2B55" w:rsidRPr="001C4BC1" w:rsidRDefault="00BC2B55" w:rsidP="001C2B21">
      <w:pPr>
        <w:pStyle w:val="paragraph"/>
      </w:pPr>
      <w:r>
        <w:tab/>
        <w:t>(c)</w:t>
      </w:r>
      <w:r>
        <w:tab/>
        <w:t xml:space="preserve">in relation to a </w:t>
      </w:r>
      <w:r w:rsidRPr="008C56C4">
        <w:t xml:space="preserve">standard </w:t>
      </w:r>
      <w:r>
        <w:t>of any other kind—</w:t>
      </w:r>
      <w:r w:rsidRPr="001C4BC1">
        <w:t>be of general or limited application</w:t>
      </w:r>
      <w:r>
        <w:t xml:space="preserve"> (including a limitation to different types of </w:t>
      </w:r>
      <w:r w:rsidRPr="00427BD3">
        <w:t>specified industries, bodies or undertakings</w:t>
      </w:r>
      <w:r w:rsidRPr="001C4BC1">
        <w:t>)</w:t>
      </w:r>
      <w:r>
        <w:t>; and</w:t>
      </w:r>
    </w:p>
    <w:p w14:paraId="688D6707" w14:textId="77777777" w:rsidR="00BC2B55" w:rsidRDefault="00BC2B55" w:rsidP="001C2B21">
      <w:pPr>
        <w:pStyle w:val="paragraph"/>
      </w:pPr>
      <w:r w:rsidRPr="001C4BC1">
        <w:lastRenderedPageBreak/>
        <w:tab/>
        <w:t>(</w:t>
      </w:r>
      <w:r>
        <w:t>d</w:t>
      </w:r>
      <w:r w:rsidRPr="001C4BC1">
        <w:t>)</w:t>
      </w:r>
      <w:r w:rsidRPr="001C4BC1">
        <w:tab/>
        <w:t>differ according to differences in time, place or circumstance.</w:t>
      </w:r>
    </w:p>
    <w:p w14:paraId="599E31BF" w14:textId="5B1F83AC" w:rsidR="00BC2B55" w:rsidRPr="001C4BC1" w:rsidRDefault="001E09C2" w:rsidP="001C2B21">
      <w:pPr>
        <w:pStyle w:val="ActHead5"/>
      </w:pPr>
      <w:r>
        <w:rPr>
          <w:rStyle w:val="CharSectno"/>
        </w:rPr>
        <w:t>232</w:t>
      </w:r>
      <w:proofErr w:type="gramStart"/>
      <w:r>
        <w:rPr>
          <w:rStyle w:val="CharSectno"/>
        </w:rPr>
        <w:t>B</w:t>
      </w:r>
      <w:r w:rsidR="00BC2B55" w:rsidRPr="001C4BC1">
        <w:t xml:space="preserve">  Additional</w:t>
      </w:r>
      <w:proofErr w:type="gramEnd"/>
      <w:r w:rsidR="00BC2B55" w:rsidRPr="001C4BC1">
        <w:t xml:space="preserve"> considerations</w:t>
      </w:r>
    </w:p>
    <w:p w14:paraId="24E761A7" w14:textId="342F6293" w:rsidR="00BC2B55" w:rsidRPr="001C4BC1" w:rsidRDefault="00BC2B55" w:rsidP="001C2B21">
      <w:pPr>
        <w:pStyle w:val="subsection"/>
      </w:pPr>
      <w:r w:rsidRPr="001C4BC1">
        <w:tab/>
        <w:t>(1)</w:t>
      </w:r>
      <w:r w:rsidRPr="001C4BC1">
        <w:tab/>
        <w:t xml:space="preserve">In making or formulating accounting standards, </w:t>
      </w:r>
      <w:r w:rsidR="0022083E" w:rsidRPr="0022083E">
        <w:t>External Reporting Australia</w:t>
      </w:r>
      <w:r w:rsidRPr="001C4BC1">
        <w:t>:</w:t>
      </w:r>
    </w:p>
    <w:p w14:paraId="5B9A0168" w14:textId="77777777" w:rsidR="00BC2B55" w:rsidRPr="001C4BC1" w:rsidRDefault="00BC2B55" w:rsidP="001C2B21">
      <w:pPr>
        <w:pStyle w:val="paragraph"/>
      </w:pPr>
      <w:r w:rsidRPr="001C4BC1">
        <w:tab/>
        <w:t>(a)</w:t>
      </w:r>
      <w:r w:rsidRPr="001C4BC1">
        <w:tab/>
        <w:t>must have regard to the suitability of a proposed standard for different types of entities; and</w:t>
      </w:r>
    </w:p>
    <w:p w14:paraId="3E34E665" w14:textId="77777777" w:rsidR="00BC2B55" w:rsidRPr="001C4BC1" w:rsidRDefault="00BC2B55" w:rsidP="001C2B21">
      <w:pPr>
        <w:pStyle w:val="paragraph"/>
      </w:pPr>
      <w:r w:rsidRPr="001C4BC1">
        <w:tab/>
        <w:t>(b)</w:t>
      </w:r>
      <w:r w:rsidRPr="001C4BC1">
        <w:tab/>
        <w:t>may apply different accounting requirements to different types of entities; and</w:t>
      </w:r>
    </w:p>
    <w:p w14:paraId="0E7794F3" w14:textId="3A5F6558" w:rsidR="00BC2B55" w:rsidRPr="001C4BC1" w:rsidRDefault="00BC2B55" w:rsidP="001C2B21">
      <w:pPr>
        <w:pStyle w:val="paragraph"/>
      </w:pPr>
      <w:r w:rsidRPr="001C4BC1">
        <w:tab/>
        <w:t>(c)</w:t>
      </w:r>
      <w:r w:rsidRPr="001C4BC1">
        <w:tab/>
        <w:t>must ensure that there are appropriate accounting standards for each type of entity that must comply with accounting standards</w:t>
      </w:r>
      <w:r w:rsidR="00BB425B">
        <w:t>.</w:t>
      </w:r>
    </w:p>
    <w:p w14:paraId="1C99E31B" w14:textId="77777777" w:rsidR="00BC2B55" w:rsidRPr="007A02A2" w:rsidRDefault="00BC2B55" w:rsidP="001C2B21">
      <w:pPr>
        <w:pStyle w:val="subsection"/>
      </w:pPr>
      <w:r w:rsidRPr="001C4BC1">
        <w:tab/>
      </w:r>
      <w:r w:rsidRPr="007A02A2">
        <w:t>(2)</w:t>
      </w:r>
      <w:r w:rsidRPr="007A02A2">
        <w:tab/>
        <w:t>The accounting standards may require, for the preparation of financial reports for a period, the inclusion of comparative amounts for earlier periods.</w:t>
      </w:r>
    </w:p>
    <w:p w14:paraId="56AA3875" w14:textId="41A75E4C" w:rsidR="00BC2B55" w:rsidRPr="001C4BC1" w:rsidRDefault="00BC2B55" w:rsidP="001C2B21">
      <w:pPr>
        <w:pStyle w:val="subsection"/>
      </w:pPr>
      <w:r w:rsidRPr="001C4BC1">
        <w:tab/>
        <w:t>(</w:t>
      </w:r>
      <w:r>
        <w:t>3</w:t>
      </w:r>
      <w:r w:rsidRPr="001C4BC1">
        <w:t>)</w:t>
      </w:r>
      <w:r w:rsidRPr="001C4BC1">
        <w:tab/>
        <w:t xml:space="preserve">In making or formulating sustainability standards, </w:t>
      </w:r>
      <w:r w:rsidR="0022083E" w:rsidRPr="0022083E">
        <w:t>External Reporting Australia</w:t>
      </w:r>
      <w:r w:rsidRPr="001C4BC1">
        <w:t>:</w:t>
      </w:r>
    </w:p>
    <w:p w14:paraId="5B44BC71" w14:textId="77777777" w:rsidR="00BC2B55" w:rsidRPr="001C4BC1" w:rsidRDefault="00BC2B55" w:rsidP="001C2B21">
      <w:pPr>
        <w:pStyle w:val="paragraph"/>
      </w:pPr>
      <w:r w:rsidRPr="001C4BC1">
        <w:tab/>
        <w:t>(a)</w:t>
      </w:r>
      <w:r w:rsidRPr="001C4BC1">
        <w:tab/>
        <w:t>must have regard to the suitability of a proposed standard for different types of entities; and</w:t>
      </w:r>
    </w:p>
    <w:p w14:paraId="76FE1004" w14:textId="77777777" w:rsidR="00BC2B55" w:rsidRPr="001C4BC1" w:rsidRDefault="00BC2B55" w:rsidP="001C2B21">
      <w:pPr>
        <w:pStyle w:val="paragraph"/>
      </w:pPr>
      <w:r w:rsidRPr="001C4BC1">
        <w:tab/>
        <w:t>(b)</w:t>
      </w:r>
      <w:r w:rsidRPr="001C4BC1">
        <w:tab/>
        <w:t>may apply different sustainability requirements to different types of entities.</w:t>
      </w:r>
    </w:p>
    <w:p w14:paraId="0BB968E9" w14:textId="630B4B41" w:rsidR="00BC2B55" w:rsidRPr="001C4BC1" w:rsidRDefault="001E09C2" w:rsidP="001C2B21">
      <w:pPr>
        <w:pStyle w:val="ActHead5"/>
      </w:pPr>
      <w:r>
        <w:rPr>
          <w:rStyle w:val="CharSectno"/>
        </w:rPr>
        <w:t>232</w:t>
      </w:r>
      <w:proofErr w:type="gramStart"/>
      <w:r>
        <w:rPr>
          <w:rStyle w:val="CharSectno"/>
        </w:rPr>
        <w:t>C</w:t>
      </w:r>
      <w:r w:rsidR="00BC2B55" w:rsidRPr="001C4BC1">
        <w:t xml:space="preserve">  Cost</w:t>
      </w:r>
      <w:proofErr w:type="gramEnd"/>
      <w:r w:rsidR="00BC2B55" w:rsidRPr="001C4BC1">
        <w:t>/benefit analysis</w:t>
      </w:r>
    </w:p>
    <w:p w14:paraId="62FA6512" w14:textId="2866C430" w:rsidR="00BC2B55" w:rsidRPr="001C4BC1" w:rsidRDefault="00BC2B55" w:rsidP="001C2B21">
      <w:pPr>
        <w:pStyle w:val="subsection"/>
      </w:pPr>
      <w:r w:rsidRPr="001C4BC1">
        <w:tab/>
        <w:t>(1)</w:t>
      </w:r>
      <w:r w:rsidRPr="001C4BC1">
        <w:tab/>
      </w:r>
      <w:r w:rsidR="0022083E" w:rsidRPr="0022083E">
        <w:t>External Reporting Australia</w:t>
      </w:r>
      <w:r w:rsidRPr="001C4BC1">
        <w:t xml:space="preserve"> must carry out a cost/benefit analysis of the impact of a proposed accounting standard or proposed sustainability standard before making or formulating the standard.</w:t>
      </w:r>
    </w:p>
    <w:p w14:paraId="3B0446BF" w14:textId="21312128" w:rsidR="00BC2B55" w:rsidRPr="001C4BC1" w:rsidRDefault="00BC2B55" w:rsidP="001C2B21">
      <w:pPr>
        <w:pStyle w:val="subsection"/>
      </w:pPr>
      <w:r w:rsidRPr="001C4BC1">
        <w:tab/>
        <w:t>(2)</w:t>
      </w:r>
      <w:r w:rsidRPr="001C4BC1">
        <w:tab/>
      </w:r>
      <w:r w:rsidR="003861E7">
        <w:t>Subsection (</w:t>
      </w:r>
      <w:r w:rsidRPr="001C4BC1">
        <w:t>1) does not apply if the standard is being made or formulated by issuing the text of an international standard (</w:t>
      </w:r>
      <w:proofErr w:type="gramStart"/>
      <w:r w:rsidRPr="001C4BC1">
        <w:t>whether or not</w:t>
      </w:r>
      <w:proofErr w:type="gramEnd"/>
      <w:r w:rsidRPr="001C4BC1">
        <w:t xml:space="preserve"> modified to take account of the Australian legal or institutional environment).</w:t>
      </w:r>
    </w:p>
    <w:p w14:paraId="2E1AD3BF" w14:textId="4352DA6C" w:rsidR="00BC2B55" w:rsidRPr="001C4BC1" w:rsidRDefault="00BC2B55" w:rsidP="001C2B21">
      <w:pPr>
        <w:pStyle w:val="notetext"/>
      </w:pPr>
      <w:r w:rsidRPr="001C4BC1">
        <w:t>Note:</w:t>
      </w:r>
      <w:r w:rsidRPr="001C4BC1">
        <w:tab/>
        <w:t>Sub</w:t>
      </w:r>
      <w:r>
        <w:t>section </w:t>
      </w:r>
      <w:r w:rsidR="001E09C2">
        <w:t>225</w:t>
      </w:r>
      <w:proofErr w:type="gramStart"/>
      <w:r w:rsidR="001E09C2">
        <w:t>A</w:t>
      </w:r>
      <w:r w:rsidRPr="001C4BC1">
        <w:t>(</w:t>
      </w:r>
      <w:proofErr w:type="gramEnd"/>
      <w:r w:rsidR="00B71859">
        <w:t>6</w:t>
      </w:r>
      <w:r w:rsidRPr="001C4BC1">
        <w:t xml:space="preserve">) allows </w:t>
      </w:r>
      <w:r w:rsidR="003F5783" w:rsidRPr="0022083E">
        <w:t>External Reporting Australia</w:t>
      </w:r>
      <w:r w:rsidRPr="001C4BC1">
        <w:t xml:space="preserve"> to make or formulate a standard by issuing the text of an international standard. Under </w:t>
      </w:r>
      <w:r w:rsidR="001C2B21">
        <w:t>subsection (</w:t>
      </w:r>
      <w:r w:rsidR="00552495">
        <w:t>3</w:t>
      </w:r>
      <w:r w:rsidRPr="001C4BC1">
        <w:t xml:space="preserve">) of this section, </w:t>
      </w:r>
      <w:r w:rsidR="003F5783" w:rsidRPr="0022083E">
        <w:t>External Reporting Australia</w:t>
      </w:r>
      <w:r w:rsidRPr="001C4BC1">
        <w:t xml:space="preserve"> will have done a cost/benefit analysis of the international standard used in that way.</w:t>
      </w:r>
    </w:p>
    <w:p w14:paraId="563A0F5E" w14:textId="20A33457" w:rsidR="00BC2B55" w:rsidRPr="001C4BC1" w:rsidRDefault="00BC2B55" w:rsidP="001C2B21">
      <w:pPr>
        <w:pStyle w:val="subsection"/>
      </w:pPr>
      <w:r w:rsidRPr="001C4BC1">
        <w:tab/>
        <w:t>(3)</w:t>
      </w:r>
      <w:r w:rsidRPr="001C4BC1">
        <w:tab/>
      </w:r>
      <w:r w:rsidR="0022083E" w:rsidRPr="0022083E">
        <w:t>External Reporting Australia</w:t>
      </w:r>
      <w:r w:rsidRPr="001C4BC1">
        <w:t xml:space="preserve"> must carry out a cost/benefit analysis of the impact of a proposed international accounting standard or international sustainability standard before:</w:t>
      </w:r>
    </w:p>
    <w:p w14:paraId="0C6C5FD8" w14:textId="77777777" w:rsidR="00BC2B55" w:rsidRPr="001C4BC1" w:rsidRDefault="00BC2B55" w:rsidP="001C2B21">
      <w:pPr>
        <w:pStyle w:val="paragraph"/>
      </w:pPr>
      <w:r w:rsidRPr="001C4BC1">
        <w:lastRenderedPageBreak/>
        <w:tab/>
        <w:t>(a)</w:t>
      </w:r>
      <w:r w:rsidRPr="001C4BC1">
        <w:tab/>
        <w:t>providing comments on a draft of the standard; or</w:t>
      </w:r>
    </w:p>
    <w:p w14:paraId="34A59B04" w14:textId="77777777" w:rsidR="00BC2B55" w:rsidRPr="001C4BC1" w:rsidRDefault="00BC2B55" w:rsidP="001C2B21">
      <w:pPr>
        <w:pStyle w:val="paragraph"/>
      </w:pPr>
      <w:r w:rsidRPr="001C4BC1">
        <w:tab/>
        <w:t>(b)</w:t>
      </w:r>
      <w:r w:rsidRPr="001C4BC1">
        <w:tab/>
        <w:t>proposing the standard for adoption as an international standard.</w:t>
      </w:r>
    </w:p>
    <w:p w14:paraId="5038AF1C" w14:textId="1BDF53C0" w:rsidR="00BC2B55" w:rsidRPr="001C4BC1" w:rsidRDefault="00BC2B55" w:rsidP="001C2B21">
      <w:pPr>
        <w:pStyle w:val="subsection"/>
      </w:pPr>
      <w:r w:rsidRPr="001C4BC1">
        <w:tab/>
        <w:t>(4)</w:t>
      </w:r>
      <w:r w:rsidRPr="001C4BC1">
        <w:tab/>
      </w:r>
      <w:r w:rsidR="0022083E" w:rsidRPr="0022083E">
        <w:t>External Reporting Australia</w:t>
      </w:r>
      <w:r w:rsidRPr="001C4BC1">
        <w:t xml:space="preserve"> </w:t>
      </w:r>
      <w:proofErr w:type="gramStart"/>
      <w:r w:rsidRPr="001C4BC1">
        <w:t>has to</w:t>
      </w:r>
      <w:proofErr w:type="gramEnd"/>
      <w:r w:rsidRPr="001C4BC1">
        <w:t xml:space="preserve"> comply with subsectio</w:t>
      </w:r>
      <w:r w:rsidRPr="00EC6018">
        <w:t>ns (1) and (</w:t>
      </w:r>
      <w:r w:rsidR="00BB425B" w:rsidRPr="00EC6018">
        <w:t>3</w:t>
      </w:r>
      <w:r w:rsidRPr="00EC6018">
        <w:t>) only</w:t>
      </w:r>
      <w:r w:rsidRPr="001C4BC1">
        <w:t xml:space="preserve"> to the extent to which it is reasonably practicable to do so in the circumstances.</w:t>
      </w:r>
    </w:p>
    <w:p w14:paraId="29A2AA07" w14:textId="2CC504E7" w:rsidR="00BC2B55" w:rsidRPr="001C4BC1" w:rsidRDefault="00BC2B55" w:rsidP="001C2B21">
      <w:pPr>
        <w:pStyle w:val="subsection"/>
      </w:pPr>
      <w:r w:rsidRPr="001C4BC1">
        <w:tab/>
        <w:t>(5)</w:t>
      </w:r>
      <w:r w:rsidRPr="001C4BC1">
        <w:tab/>
        <w:t xml:space="preserve">The Minister </w:t>
      </w:r>
      <w:r w:rsidR="00BB425B">
        <w:t>may</w:t>
      </w:r>
      <w:r w:rsidR="005852AC">
        <w:t>,</w:t>
      </w:r>
      <w:r w:rsidR="00BB425B">
        <w:t xml:space="preserve"> </w:t>
      </w:r>
      <w:r w:rsidRPr="001C4BC1">
        <w:t xml:space="preserve">by </w:t>
      </w:r>
      <w:r w:rsidR="00956CCA">
        <w:t>notifiable instrument</w:t>
      </w:r>
      <w:r w:rsidRPr="001C4BC1">
        <w:t xml:space="preserve">, give </w:t>
      </w:r>
      <w:r w:rsidR="00BB425B">
        <w:t xml:space="preserve">a </w:t>
      </w:r>
      <w:r w:rsidRPr="001C4BC1">
        <w:t xml:space="preserve">written direction to </w:t>
      </w:r>
      <w:r w:rsidR="0022083E" w:rsidRPr="0022083E">
        <w:t>External Reporting Australia</w:t>
      </w:r>
      <w:r w:rsidRPr="001C4BC1">
        <w:t xml:space="preserve"> to give the Minister details of a cost/benefit analysis carried out under this section. </w:t>
      </w:r>
      <w:r w:rsidR="0022083E" w:rsidRPr="0022083E">
        <w:t>External Reporting Australia</w:t>
      </w:r>
      <w:r w:rsidRPr="001C4BC1">
        <w:t xml:space="preserve"> must comply with the direction.</w:t>
      </w:r>
    </w:p>
    <w:p w14:paraId="1A946B29" w14:textId="5C924AF5" w:rsidR="00BC2B55" w:rsidRPr="001C4BC1" w:rsidRDefault="001E09C2" w:rsidP="001C2B21">
      <w:pPr>
        <w:pStyle w:val="ActHead5"/>
      </w:pPr>
      <w:r>
        <w:rPr>
          <w:rStyle w:val="CharSectno"/>
        </w:rPr>
        <w:t>232</w:t>
      </w:r>
      <w:proofErr w:type="gramStart"/>
      <w:r>
        <w:rPr>
          <w:rStyle w:val="CharSectno"/>
        </w:rPr>
        <w:t>D</w:t>
      </w:r>
      <w:r w:rsidR="00BC2B55" w:rsidRPr="001C4BC1">
        <w:t xml:space="preserve">  Governing</w:t>
      </w:r>
      <w:proofErr w:type="gramEnd"/>
      <w:r w:rsidR="00BC2B55" w:rsidRPr="001C4BC1">
        <w:t xml:space="preserve"> Council involvement in standard</w:t>
      </w:r>
      <w:r w:rsidR="00BC2B55">
        <w:t xml:space="preserve"> </w:t>
      </w:r>
      <w:r w:rsidR="00BC2B55" w:rsidRPr="001C4BC1">
        <w:t>setting</w:t>
      </w:r>
    </w:p>
    <w:p w14:paraId="4ADFBC77" w14:textId="7E391CCB" w:rsidR="00BC2B55" w:rsidRPr="0008596C" w:rsidRDefault="00BC2B55" w:rsidP="001C2B21">
      <w:pPr>
        <w:pStyle w:val="subsection"/>
      </w:pPr>
      <w:r w:rsidRPr="001C4BC1">
        <w:tab/>
      </w:r>
      <w:r w:rsidRPr="0008596C">
        <w:t>(1)</w:t>
      </w:r>
      <w:r w:rsidRPr="0008596C">
        <w:tab/>
        <w:t xml:space="preserve">The Governing Council may, by </w:t>
      </w:r>
      <w:r w:rsidR="00956CCA">
        <w:t>notifiable instrument</w:t>
      </w:r>
      <w:r w:rsidRPr="0008596C">
        <w:t>, give written directions to a standard</w:t>
      </w:r>
      <w:r w:rsidR="001C2B21">
        <w:noBreakHyphen/>
      </w:r>
      <w:r w:rsidRPr="0008596C">
        <w:t xml:space="preserve">setting board in relation to a particular standard (including a proposed standard) if </w:t>
      </w:r>
      <w:r w:rsidR="001C2B21">
        <w:t>subsection (</w:t>
      </w:r>
      <w:r>
        <w:t>4</w:t>
      </w:r>
      <w:r w:rsidRPr="0008596C">
        <w:t>) is satisfied.</w:t>
      </w:r>
    </w:p>
    <w:p w14:paraId="044E0065" w14:textId="10D57FA3" w:rsidR="00BC2B55" w:rsidRPr="001C4BC1" w:rsidRDefault="00BC2B55" w:rsidP="001C2B21">
      <w:pPr>
        <w:pStyle w:val="subsection"/>
      </w:pPr>
      <w:r w:rsidRPr="001C4BC1">
        <w:tab/>
        <w:t>(2)</w:t>
      </w:r>
      <w:r w:rsidRPr="001C4BC1">
        <w:tab/>
        <w:t>A standard</w:t>
      </w:r>
      <w:r w:rsidR="001C2B21">
        <w:noBreakHyphen/>
      </w:r>
      <w:r w:rsidRPr="001C4BC1">
        <w:t xml:space="preserve">setting board must comply with a direction given to it under </w:t>
      </w:r>
      <w:r w:rsidR="001C2B21">
        <w:t>subsection (</w:t>
      </w:r>
      <w:r w:rsidRPr="001C4BC1">
        <w:t>1).</w:t>
      </w:r>
    </w:p>
    <w:p w14:paraId="3F71CA07" w14:textId="55A5703D" w:rsidR="00BC2B55" w:rsidRDefault="00BC2B55" w:rsidP="001C2B21">
      <w:pPr>
        <w:pStyle w:val="subsection"/>
      </w:pPr>
      <w:r w:rsidRPr="001C4BC1">
        <w:tab/>
        <w:t>(3)</w:t>
      </w:r>
      <w:r w:rsidRPr="001C4BC1">
        <w:tab/>
      </w:r>
      <w:r w:rsidRPr="00AE736A">
        <w:t xml:space="preserve">Unless </w:t>
      </w:r>
      <w:r w:rsidR="001C2B21">
        <w:t>subsection (</w:t>
      </w:r>
      <w:r w:rsidRPr="00AE736A">
        <w:t xml:space="preserve">4) is satisfied, the Governing Council must not make, formulate, vary or revoke a particular standard in the performance of </w:t>
      </w:r>
      <w:r w:rsidR="0022083E" w:rsidRPr="0022083E">
        <w:t>External Reporting Australia</w:t>
      </w:r>
      <w:r w:rsidRPr="00AE736A">
        <w:t>’s functions if doing so would be directly inconsistent with a decision of a standard</w:t>
      </w:r>
      <w:r w:rsidR="001C2B21">
        <w:noBreakHyphen/>
      </w:r>
      <w:r w:rsidRPr="00AE736A">
        <w:t>setting board.</w:t>
      </w:r>
    </w:p>
    <w:p w14:paraId="0B60563F" w14:textId="5F1B8A9F" w:rsidR="00BC2B55" w:rsidRDefault="00BC2B55" w:rsidP="001C2B21">
      <w:pPr>
        <w:pStyle w:val="subsection"/>
      </w:pPr>
      <w:r w:rsidRPr="001C4BC1">
        <w:tab/>
        <w:t>(</w:t>
      </w:r>
      <w:r>
        <w:t>4</w:t>
      </w:r>
      <w:r w:rsidRPr="001C4BC1">
        <w:t>)</w:t>
      </w:r>
      <w:r w:rsidRPr="001C4BC1">
        <w:tab/>
        <w:t xml:space="preserve">In addition to any requirements applying under Subdivision C of Division 2, </w:t>
      </w:r>
      <w:r w:rsidR="00BB425B">
        <w:t>the following</w:t>
      </w:r>
      <w:r w:rsidRPr="001C4BC1">
        <w:t xml:space="preserve"> requirement</w:t>
      </w:r>
      <w:r w:rsidR="00BB425B">
        <w:t>s apply</w:t>
      </w:r>
      <w:r w:rsidRPr="001C4BC1">
        <w:t xml:space="preserve"> in relation to a decision by the Governing Council to give a direction mentioned in </w:t>
      </w:r>
      <w:r w:rsidR="001C2B21">
        <w:t>subsection (</w:t>
      </w:r>
      <w:r w:rsidRPr="001C4BC1">
        <w:t xml:space="preserve">1), or to do an act mentioned in </w:t>
      </w:r>
      <w:r w:rsidR="001C2B21">
        <w:t>subsection (</w:t>
      </w:r>
      <w:r w:rsidRPr="001C4BC1">
        <w:t>3):</w:t>
      </w:r>
    </w:p>
    <w:p w14:paraId="09D9715A" w14:textId="73527E27" w:rsidR="00BC2B55" w:rsidRDefault="00BC2B55" w:rsidP="001C2B21">
      <w:pPr>
        <w:pStyle w:val="paragraph"/>
      </w:pPr>
      <w:r>
        <w:tab/>
      </w:r>
      <w:r w:rsidRPr="00E86574">
        <w:t>(a)</w:t>
      </w:r>
      <w:r>
        <w:tab/>
        <w:t xml:space="preserve">the decision </w:t>
      </w:r>
      <w:r w:rsidRPr="00E86574">
        <w:t xml:space="preserve">is made at a meeting of the Governing Council (disregarding the effect of subsection </w:t>
      </w:r>
      <w:r w:rsidR="001E09C2">
        <w:t>228</w:t>
      </w:r>
      <w:proofErr w:type="gramStart"/>
      <w:r w:rsidR="001E09C2">
        <w:t>F</w:t>
      </w:r>
      <w:r w:rsidRPr="00E86574">
        <w:t>(</w:t>
      </w:r>
      <w:proofErr w:type="gramEnd"/>
      <w:r w:rsidRPr="00E86574">
        <w:t>1));</w:t>
      </w:r>
    </w:p>
    <w:p w14:paraId="75DE4197" w14:textId="3EBEA69D" w:rsidR="00BC2B55" w:rsidRDefault="00BC2B55" w:rsidP="001C2B21">
      <w:pPr>
        <w:pStyle w:val="paragraph"/>
      </w:pPr>
      <w:r>
        <w:tab/>
      </w:r>
      <w:r w:rsidRPr="00E86574">
        <w:t>(b)</w:t>
      </w:r>
      <w:r>
        <w:tab/>
      </w:r>
      <w:r w:rsidRPr="00E86574">
        <w:t xml:space="preserve">the membership of the Governing Council complies with section </w:t>
      </w:r>
      <w:r w:rsidR="001E09C2">
        <w:t>227</w:t>
      </w:r>
      <w:r w:rsidRPr="00E86574">
        <w:t xml:space="preserve"> when the decision is </w:t>
      </w:r>
      <w:proofErr w:type="gramStart"/>
      <w:r w:rsidRPr="00E86574">
        <w:t>made;</w:t>
      </w:r>
      <w:proofErr w:type="gramEnd"/>
    </w:p>
    <w:p w14:paraId="6A872B06" w14:textId="77777777" w:rsidR="00BC2B55" w:rsidRPr="00E86574" w:rsidRDefault="00BC2B55" w:rsidP="001C2B21">
      <w:pPr>
        <w:pStyle w:val="paragraph"/>
      </w:pPr>
      <w:r>
        <w:tab/>
      </w:r>
      <w:r w:rsidRPr="00E86574">
        <w:t>(c)</w:t>
      </w:r>
      <w:r>
        <w:tab/>
      </w:r>
      <w:r w:rsidRPr="00E86574">
        <w:t>one or more of the following apply:</w:t>
      </w:r>
    </w:p>
    <w:p w14:paraId="5E8A780B" w14:textId="77777777" w:rsidR="00BC2B55" w:rsidRDefault="00BC2B55" w:rsidP="001C2B21">
      <w:pPr>
        <w:pStyle w:val="paragraphsub"/>
      </w:pPr>
      <w:r>
        <w:tab/>
      </w:r>
      <w:r w:rsidRPr="00E86574">
        <w:t>(i)</w:t>
      </w:r>
      <w:r>
        <w:tab/>
      </w:r>
      <w:r w:rsidRPr="00E86574">
        <w:t xml:space="preserve">the decision is made with the agreement of at least 75 percent of Council members present at the meeting, with the number of members agreeing </w:t>
      </w:r>
      <w:proofErr w:type="gramStart"/>
      <w:r w:rsidRPr="00E86574">
        <w:t>representing</w:t>
      </w:r>
      <w:proofErr w:type="gramEnd"/>
      <w:r w:rsidRPr="00E86574">
        <w:t xml:space="preserve"> a majority of all Council members entitled to vote on the proposed decision (regardless of who is present at that meeting);</w:t>
      </w:r>
    </w:p>
    <w:p w14:paraId="012C294C" w14:textId="330AA609" w:rsidR="00BC2B55" w:rsidRDefault="00BC2B55" w:rsidP="001C2B21">
      <w:pPr>
        <w:pStyle w:val="paragraphsub"/>
      </w:pPr>
      <w:r>
        <w:lastRenderedPageBreak/>
        <w:tab/>
      </w:r>
      <w:r w:rsidRPr="00E86574">
        <w:t>(ii) </w:t>
      </w:r>
      <w:r>
        <w:tab/>
      </w:r>
      <w:r w:rsidRPr="00E86574">
        <w:t>the Governing Council considers that the decision is required because the standard</w:t>
      </w:r>
      <w:r w:rsidR="001C2B21">
        <w:noBreakHyphen/>
      </w:r>
      <w:r w:rsidRPr="00E86574">
        <w:t xml:space="preserve">setting board has failed to comply with any applicable requirements of a determination under section </w:t>
      </w:r>
      <w:proofErr w:type="gramStart"/>
      <w:r w:rsidR="001E09C2">
        <w:t>229</w:t>
      </w:r>
      <w:r w:rsidRPr="00E86574">
        <w:t>;</w:t>
      </w:r>
      <w:proofErr w:type="gramEnd"/>
    </w:p>
    <w:p w14:paraId="0C6D9B01" w14:textId="4DC3FF61" w:rsidR="003D0FD7" w:rsidRDefault="00BC2B55" w:rsidP="001C2B21">
      <w:pPr>
        <w:pStyle w:val="paragraphsub"/>
      </w:pPr>
      <w:r>
        <w:tab/>
      </w:r>
      <w:r w:rsidRPr="00E86574">
        <w:t>(iii)</w:t>
      </w:r>
      <w:r>
        <w:tab/>
      </w:r>
      <w:r w:rsidRPr="00E86574">
        <w:t xml:space="preserve">the Governing Council considers that the decision is required to comply with its obligations as accountable authority of </w:t>
      </w:r>
      <w:r w:rsidR="0022083E" w:rsidRPr="0022083E">
        <w:t>External Reporting Australia</w:t>
      </w:r>
      <w:r w:rsidRPr="00E86574">
        <w:t xml:space="preserve"> for the purposes of the finance law (within the meaning of the </w:t>
      </w:r>
      <w:r w:rsidRPr="00E86574">
        <w:rPr>
          <w:i/>
          <w:iCs/>
        </w:rPr>
        <w:t>Public Governance, Performance and Accountability Act 2013</w:t>
      </w:r>
      <w:r w:rsidRPr="00E86574">
        <w:t>).</w:t>
      </w:r>
    </w:p>
    <w:p w14:paraId="256FEB27" w14:textId="3A90684F" w:rsidR="00860EE1" w:rsidRPr="001C4BC1" w:rsidRDefault="001E09C2" w:rsidP="001C2B21">
      <w:pPr>
        <w:pStyle w:val="ActHead5"/>
      </w:pPr>
      <w:r>
        <w:rPr>
          <w:rStyle w:val="CharSectno"/>
        </w:rPr>
        <w:t>232</w:t>
      </w:r>
      <w:proofErr w:type="gramStart"/>
      <w:r>
        <w:rPr>
          <w:rStyle w:val="CharSectno"/>
        </w:rPr>
        <w:t>E</w:t>
      </w:r>
      <w:r w:rsidR="00860EE1" w:rsidRPr="001C4BC1">
        <w:t xml:space="preserve">  </w:t>
      </w:r>
      <w:r w:rsidR="00860EE1">
        <w:t>Meetings</w:t>
      </w:r>
      <w:proofErr w:type="gramEnd"/>
      <w:r w:rsidR="00860EE1">
        <w:t xml:space="preserve"> relating to contents of certain standards to be held in public</w:t>
      </w:r>
    </w:p>
    <w:p w14:paraId="519CFAC1" w14:textId="2FC5D3DB" w:rsidR="00860EE1" w:rsidRDefault="00860EE1" w:rsidP="001C2B21">
      <w:pPr>
        <w:pStyle w:val="subsection"/>
      </w:pPr>
      <w:r w:rsidRPr="001C4BC1">
        <w:tab/>
      </w:r>
      <w:r>
        <w:tab/>
      </w:r>
      <w:r w:rsidRPr="001C4BC1">
        <w:t xml:space="preserve">A meeting of </w:t>
      </w:r>
      <w:r>
        <w:t xml:space="preserve">the Governing Council or </w:t>
      </w:r>
      <w:r w:rsidRPr="001C4BC1">
        <w:t>a standard</w:t>
      </w:r>
      <w:r w:rsidR="001C2B21">
        <w:noBreakHyphen/>
      </w:r>
      <w:r w:rsidRPr="001C4BC1">
        <w:t>setting board, or a part of one of its meetings, must be held in public if the meeting or that part of it relates to the contents of</w:t>
      </w:r>
      <w:r>
        <w:t>:</w:t>
      </w:r>
    </w:p>
    <w:p w14:paraId="0E4C91D0" w14:textId="77777777" w:rsidR="00860EE1" w:rsidRPr="001C4BC1" w:rsidRDefault="00860EE1" w:rsidP="001C2B21">
      <w:pPr>
        <w:pStyle w:val="paragraph"/>
      </w:pPr>
      <w:r w:rsidRPr="001C4BC1">
        <w:tab/>
        <w:t>(a)</w:t>
      </w:r>
      <w:r w:rsidRPr="001C4BC1">
        <w:tab/>
        <w:t>accounting standards;</w:t>
      </w:r>
      <w:r>
        <w:t xml:space="preserve"> or</w:t>
      </w:r>
    </w:p>
    <w:p w14:paraId="2A8287EB" w14:textId="77777777" w:rsidR="00860EE1" w:rsidRPr="001C4BC1" w:rsidRDefault="00860EE1" w:rsidP="001C2B21">
      <w:pPr>
        <w:pStyle w:val="paragraph"/>
      </w:pPr>
      <w:r w:rsidRPr="001C4BC1">
        <w:tab/>
        <w:t>(b)</w:t>
      </w:r>
      <w:r w:rsidRPr="001C4BC1">
        <w:tab/>
        <w:t>auditing and assurance standards;</w:t>
      </w:r>
      <w:r>
        <w:t xml:space="preserve"> or</w:t>
      </w:r>
    </w:p>
    <w:p w14:paraId="6CA5146A" w14:textId="77777777" w:rsidR="00860EE1" w:rsidRDefault="00860EE1" w:rsidP="001C2B21">
      <w:pPr>
        <w:pStyle w:val="paragraph"/>
      </w:pPr>
      <w:r w:rsidRPr="001C4BC1">
        <w:tab/>
        <w:t>(c)</w:t>
      </w:r>
      <w:r w:rsidRPr="001C4BC1">
        <w:tab/>
        <w:t>sustainability standards</w:t>
      </w:r>
      <w:r>
        <w:t>.</w:t>
      </w:r>
    </w:p>
    <w:p w14:paraId="140D22BE" w14:textId="50FE6BA6" w:rsidR="00860EE1" w:rsidRDefault="00860EE1" w:rsidP="001C2B21">
      <w:pPr>
        <w:pStyle w:val="notetext"/>
      </w:pPr>
      <w:r>
        <w:t>Note:</w:t>
      </w:r>
      <w:r>
        <w:tab/>
        <w:t>For standards relating to functions specified in an instrument made by the Minister under subsection</w:t>
      </w:r>
      <w:r w:rsidR="001E09C2">
        <w:t>225</w:t>
      </w:r>
      <w:proofErr w:type="gramStart"/>
      <w:r w:rsidR="001E09C2">
        <w:t>A</w:t>
      </w:r>
      <w:r>
        <w:t>(</w:t>
      </w:r>
      <w:proofErr w:type="gramEnd"/>
      <w:r>
        <w:t>2), the instrument may specify procedural requirements, for example, dealing with whether a meeting of the Governing Council or a standard</w:t>
      </w:r>
      <w:r w:rsidR="001C2B21">
        <w:noBreakHyphen/>
      </w:r>
      <w:r>
        <w:t>setting board relating to those standards is to be held in public.</w:t>
      </w:r>
    </w:p>
    <w:p w14:paraId="7C7FED86" w14:textId="4B74AE0C" w:rsidR="00BC2B55" w:rsidRPr="001C4BC1" w:rsidRDefault="001E09C2" w:rsidP="001C2B21">
      <w:pPr>
        <w:pStyle w:val="ActHead5"/>
      </w:pPr>
      <w:r>
        <w:rPr>
          <w:rStyle w:val="CharSectno"/>
        </w:rPr>
        <w:t>232</w:t>
      </w:r>
      <w:proofErr w:type="gramStart"/>
      <w:r>
        <w:rPr>
          <w:rStyle w:val="CharSectno"/>
        </w:rPr>
        <w:t>F</w:t>
      </w:r>
      <w:r w:rsidR="00BC2B55" w:rsidRPr="001C4BC1">
        <w:t xml:space="preserve">  Validity</w:t>
      </w:r>
      <w:proofErr w:type="gramEnd"/>
      <w:r w:rsidR="00BC2B55" w:rsidRPr="001C4BC1">
        <w:t xml:space="preserve"> of standards</w:t>
      </w:r>
    </w:p>
    <w:p w14:paraId="52C81F88" w14:textId="5645EE08" w:rsidR="00BC2B55" w:rsidRPr="001C4BC1" w:rsidRDefault="00BC2B55" w:rsidP="001C2B21">
      <w:pPr>
        <w:pStyle w:val="subsection"/>
      </w:pPr>
      <w:r w:rsidRPr="001C4BC1">
        <w:tab/>
      </w:r>
      <w:r w:rsidRPr="001C4BC1">
        <w:tab/>
      </w:r>
      <w:r w:rsidRPr="00B87C2B">
        <w:t>A failure to comply with this Division</w:t>
      </w:r>
      <w:r w:rsidR="00C94033">
        <w:t xml:space="preserve">, or procedural requirements specified under subsection </w:t>
      </w:r>
      <w:r w:rsidR="001E09C2">
        <w:t>225</w:t>
      </w:r>
      <w:proofErr w:type="gramStart"/>
      <w:r w:rsidR="001E09C2">
        <w:t>A</w:t>
      </w:r>
      <w:r w:rsidR="00C94033">
        <w:t>(</w:t>
      </w:r>
      <w:proofErr w:type="gramEnd"/>
      <w:r w:rsidR="00C94033">
        <w:t>2),</w:t>
      </w:r>
      <w:r w:rsidRPr="00B87C2B">
        <w:t xml:space="preserve"> in relation to the making, or formulating, varying or revoking of a standard does not affect the validity of the standard or, in the case of varying or revoking, the variation or revocation</w:t>
      </w:r>
      <w:r>
        <w:t>.</w:t>
      </w:r>
    </w:p>
    <w:p w14:paraId="46D3A731" w14:textId="1C1A4C02" w:rsidR="00BC2B55" w:rsidRPr="001C4BC1" w:rsidRDefault="00BC2B55" w:rsidP="001C2B21">
      <w:pPr>
        <w:pStyle w:val="ActHead3"/>
        <w:pageBreakBefore/>
      </w:pPr>
      <w:r w:rsidRPr="001C2B21">
        <w:rPr>
          <w:rStyle w:val="CharDivNo"/>
        </w:rPr>
        <w:lastRenderedPageBreak/>
        <w:t>Division </w:t>
      </w:r>
      <w:r w:rsidR="00860EE1" w:rsidRPr="001C2B21">
        <w:rPr>
          <w:rStyle w:val="CharDivNo"/>
        </w:rPr>
        <w:t>6</w:t>
      </w:r>
      <w:r w:rsidRPr="001C4BC1">
        <w:t>—</w:t>
      </w:r>
      <w:r w:rsidRPr="001C2B21">
        <w:rPr>
          <w:rStyle w:val="CharDivText"/>
        </w:rPr>
        <w:t>Miscellaneous</w:t>
      </w:r>
    </w:p>
    <w:p w14:paraId="69CCBF24" w14:textId="53C9836B" w:rsidR="00BC2B55" w:rsidRPr="001C4BC1" w:rsidRDefault="001E09C2" w:rsidP="001C2B21">
      <w:pPr>
        <w:pStyle w:val="ActHead5"/>
      </w:pPr>
      <w:proofErr w:type="gramStart"/>
      <w:r>
        <w:rPr>
          <w:rStyle w:val="CharSectno"/>
        </w:rPr>
        <w:t>233</w:t>
      </w:r>
      <w:r w:rsidR="00BC2B55" w:rsidRPr="001C4BC1">
        <w:t xml:space="preserve">  Delegation</w:t>
      </w:r>
      <w:proofErr w:type="gramEnd"/>
    </w:p>
    <w:p w14:paraId="6ECDC654" w14:textId="3C88F206" w:rsidR="00BC2B55" w:rsidRPr="001C4BC1" w:rsidRDefault="00BC2B55" w:rsidP="001C2B21">
      <w:pPr>
        <w:pStyle w:val="subsection"/>
      </w:pPr>
      <w:r w:rsidRPr="001C4BC1">
        <w:tab/>
        <w:t>(1)</w:t>
      </w:r>
      <w:r w:rsidRPr="001C4BC1">
        <w:tab/>
        <w:t xml:space="preserve">Subject to </w:t>
      </w:r>
      <w:r w:rsidR="001C2B21">
        <w:t>subsection (</w:t>
      </w:r>
      <w:r w:rsidRPr="001C4BC1">
        <w:t xml:space="preserve">2), the Governing Council may, in writing, delegate all or any of </w:t>
      </w:r>
      <w:r w:rsidR="0022083E" w:rsidRPr="0022083E">
        <w:t>External Reporting Australia</w:t>
      </w:r>
      <w:r w:rsidRPr="001C4BC1">
        <w:t>’s function</w:t>
      </w:r>
      <w:r w:rsidR="00BB425B">
        <w:t>s</w:t>
      </w:r>
      <w:r w:rsidRPr="001C4BC1">
        <w:t xml:space="preserve"> or power</w:t>
      </w:r>
      <w:r w:rsidR="00BB425B">
        <w:t>s</w:t>
      </w:r>
      <w:r w:rsidRPr="001C4BC1">
        <w:t xml:space="preserve"> to any of the following persons:</w:t>
      </w:r>
    </w:p>
    <w:p w14:paraId="673E8730" w14:textId="77777777" w:rsidR="00BC2B55" w:rsidRPr="001C4BC1" w:rsidRDefault="00BC2B55" w:rsidP="001C2B21">
      <w:pPr>
        <w:pStyle w:val="paragraph"/>
      </w:pPr>
      <w:r w:rsidRPr="001C4BC1">
        <w:tab/>
        <w:t>(a)</w:t>
      </w:r>
      <w:r w:rsidRPr="001C4BC1">
        <w:tab/>
        <w:t xml:space="preserve">a Council </w:t>
      </w:r>
      <w:proofErr w:type="gramStart"/>
      <w:r w:rsidRPr="001C4BC1">
        <w:t>member;</w:t>
      </w:r>
      <w:proofErr w:type="gramEnd"/>
    </w:p>
    <w:p w14:paraId="64D5343F" w14:textId="77777777" w:rsidR="00BC2B55" w:rsidRPr="001C4BC1" w:rsidRDefault="00BC2B55" w:rsidP="001C2B21">
      <w:pPr>
        <w:pStyle w:val="paragraph"/>
      </w:pPr>
      <w:r w:rsidRPr="001C4BC1">
        <w:tab/>
        <w:t>(b)</w:t>
      </w:r>
      <w:r w:rsidRPr="001C4BC1">
        <w:tab/>
        <w:t xml:space="preserve">a board </w:t>
      </w:r>
      <w:proofErr w:type="gramStart"/>
      <w:r w:rsidRPr="001C4BC1">
        <w:t>member;</w:t>
      </w:r>
      <w:proofErr w:type="gramEnd"/>
    </w:p>
    <w:p w14:paraId="62423FBC" w14:textId="74C389E4" w:rsidR="00BC2B55" w:rsidRPr="001C4BC1" w:rsidRDefault="00BC2B55" w:rsidP="001C2B21">
      <w:pPr>
        <w:pStyle w:val="paragraph"/>
      </w:pPr>
      <w:r w:rsidRPr="001C4BC1">
        <w:tab/>
        <w:t>(c)</w:t>
      </w:r>
      <w:r w:rsidRPr="001C4BC1">
        <w:tab/>
        <w:t>a member of the staff referred to in section </w:t>
      </w:r>
      <w:r w:rsidR="001E09C2">
        <w:t>231</w:t>
      </w:r>
      <w:r>
        <w:t xml:space="preserve"> </w:t>
      </w:r>
      <w:r w:rsidRPr="001C4BC1">
        <w:t>who:</w:t>
      </w:r>
    </w:p>
    <w:p w14:paraId="2293E9E3" w14:textId="77777777" w:rsidR="00BC2B55" w:rsidRPr="001C4BC1" w:rsidRDefault="00BC2B55" w:rsidP="001C2B21">
      <w:pPr>
        <w:pStyle w:val="paragraphsub"/>
      </w:pPr>
      <w:r w:rsidRPr="001C4BC1">
        <w:tab/>
        <w:t>(i)</w:t>
      </w:r>
      <w:r w:rsidRPr="001C4BC1">
        <w:tab/>
        <w:t>is an SES employee or acting SES employee; or</w:t>
      </w:r>
    </w:p>
    <w:p w14:paraId="1F807419" w14:textId="77777777" w:rsidR="00BC2B55" w:rsidRPr="001C4BC1" w:rsidRDefault="00BC2B55" w:rsidP="001C2B21">
      <w:pPr>
        <w:pStyle w:val="paragraphsub"/>
      </w:pPr>
      <w:r w:rsidRPr="001C4BC1">
        <w:tab/>
        <w:t>(ii)</w:t>
      </w:r>
      <w:r w:rsidRPr="001C4BC1">
        <w:tab/>
      </w:r>
      <w:proofErr w:type="gramStart"/>
      <w:r w:rsidRPr="001C4BC1">
        <w:t>holds, or</w:t>
      </w:r>
      <w:proofErr w:type="gramEnd"/>
      <w:r w:rsidRPr="001C4BC1">
        <w:t xml:space="preserve"> is acting in a position that is equivalent to, or higher than, a position occupied by an SES employee.</w:t>
      </w:r>
    </w:p>
    <w:p w14:paraId="1DF29343" w14:textId="0C8DF0DC" w:rsidR="00BC2B55" w:rsidRPr="001C4BC1" w:rsidRDefault="00BC2B55" w:rsidP="001C2B21">
      <w:pPr>
        <w:pStyle w:val="subsection"/>
      </w:pPr>
      <w:r w:rsidRPr="001C4BC1">
        <w:tab/>
        <w:t>(2)</w:t>
      </w:r>
      <w:r w:rsidRPr="001C4BC1">
        <w:tab/>
        <w:t xml:space="preserve">The Governing Council must not delegate under </w:t>
      </w:r>
      <w:r w:rsidR="001C2B21">
        <w:t>subsection (</w:t>
      </w:r>
      <w:r w:rsidRPr="001C4BC1">
        <w:t>1) any of</w:t>
      </w:r>
      <w:r w:rsidR="0022083E">
        <w:t xml:space="preserve"> </w:t>
      </w:r>
      <w:r w:rsidR="0022083E" w:rsidRPr="0022083E">
        <w:t>External Reporting Australia</w:t>
      </w:r>
      <w:r w:rsidRPr="001C4BC1">
        <w:t xml:space="preserve">’s functions or powers under subsection </w:t>
      </w:r>
      <w:r w:rsidR="001E09C2">
        <w:t>225</w:t>
      </w:r>
      <w:proofErr w:type="gramStart"/>
      <w:r w:rsidR="001E09C2">
        <w:t>A</w:t>
      </w:r>
      <w:r w:rsidRPr="001C4BC1">
        <w:t>(</w:t>
      </w:r>
      <w:proofErr w:type="gramEnd"/>
      <w:r w:rsidRPr="001C4BC1">
        <w:t>1).</w:t>
      </w:r>
    </w:p>
    <w:p w14:paraId="7E08434F" w14:textId="5AB60D39" w:rsidR="00BC2B55" w:rsidRPr="001C4BC1" w:rsidRDefault="00BC2B55" w:rsidP="001C2B21">
      <w:pPr>
        <w:pStyle w:val="subsection"/>
      </w:pPr>
      <w:r w:rsidRPr="001C4BC1">
        <w:tab/>
        <w:t>(3)</w:t>
      </w:r>
      <w:r w:rsidRPr="001C4BC1">
        <w:tab/>
        <w:t xml:space="preserve">A delegation under </w:t>
      </w:r>
      <w:r w:rsidR="001C2B21">
        <w:t>subsection (</w:t>
      </w:r>
      <w:r w:rsidRPr="001C4BC1">
        <w:t>1) continues in force despite a change in the membership of the Governing Council.</w:t>
      </w:r>
    </w:p>
    <w:p w14:paraId="1E0B22F7" w14:textId="77777777" w:rsidR="00BC2B55" w:rsidRDefault="00BC2B55" w:rsidP="001C2B21">
      <w:pPr>
        <w:pStyle w:val="subsection"/>
      </w:pPr>
      <w:r w:rsidRPr="001C4BC1">
        <w:tab/>
        <w:t>(4)</w:t>
      </w:r>
      <w:r w:rsidRPr="001C4BC1">
        <w:tab/>
        <w:t>The delegation may be varied or revoked by the Governing Council (</w:t>
      </w:r>
      <w:proofErr w:type="gramStart"/>
      <w:r w:rsidRPr="001C4BC1">
        <w:t>whether or not</w:t>
      </w:r>
      <w:proofErr w:type="gramEnd"/>
      <w:r w:rsidRPr="001C4BC1">
        <w:t xml:space="preserve"> there has been a change in the membership of the Governing Council).</w:t>
      </w:r>
    </w:p>
    <w:p w14:paraId="190BF5DB" w14:textId="3C5DD34E" w:rsidR="00363019" w:rsidRPr="00514556" w:rsidRDefault="001E09C2" w:rsidP="001C2B21">
      <w:pPr>
        <w:pStyle w:val="ActHead5"/>
      </w:pPr>
      <w:r>
        <w:rPr>
          <w:rStyle w:val="CharSectno"/>
        </w:rPr>
        <w:t>233</w:t>
      </w:r>
      <w:proofErr w:type="gramStart"/>
      <w:r>
        <w:rPr>
          <w:rStyle w:val="CharSectno"/>
        </w:rPr>
        <w:t>A</w:t>
      </w:r>
      <w:r w:rsidR="00363019" w:rsidRPr="00514556">
        <w:t xml:space="preserve">  Code</w:t>
      </w:r>
      <w:proofErr w:type="gramEnd"/>
      <w:r w:rsidR="00363019" w:rsidRPr="00514556">
        <w:t xml:space="preserve"> of conduct</w:t>
      </w:r>
    </w:p>
    <w:p w14:paraId="7AE39DDC" w14:textId="7189DA4C" w:rsidR="00363019" w:rsidRPr="00514556" w:rsidRDefault="00363019" w:rsidP="001C2B21">
      <w:pPr>
        <w:pStyle w:val="subsection"/>
      </w:pPr>
      <w:r w:rsidRPr="00514556">
        <w:tab/>
        <w:t>(1)</w:t>
      </w:r>
      <w:r w:rsidRPr="00514556">
        <w:tab/>
        <w:t xml:space="preserve">The Council Chair must determine, in writing, the </w:t>
      </w:r>
      <w:r w:rsidR="0022083E" w:rsidRPr="0022083E">
        <w:t>External Reporting Australia</w:t>
      </w:r>
      <w:r w:rsidRPr="00514556">
        <w:t xml:space="preserve"> Code of Conduct.</w:t>
      </w:r>
    </w:p>
    <w:p w14:paraId="092BEFD2" w14:textId="77777777" w:rsidR="00363019" w:rsidRPr="00514556" w:rsidRDefault="00363019" w:rsidP="001C2B21">
      <w:pPr>
        <w:pStyle w:val="notetext"/>
      </w:pPr>
      <w:r w:rsidRPr="00514556">
        <w:t>Note:</w:t>
      </w:r>
      <w:r w:rsidRPr="00514556">
        <w:tab/>
        <w:t xml:space="preserve">Subsection 33(3) of the </w:t>
      </w:r>
      <w:r w:rsidRPr="00514556">
        <w:rPr>
          <w:i/>
          <w:iCs/>
        </w:rPr>
        <w:t>Acts Interpretation Act 1901</w:t>
      </w:r>
      <w:r w:rsidRPr="00514556">
        <w:t xml:space="preserve"> provides for the repeal, variation etc. of instruments.</w:t>
      </w:r>
    </w:p>
    <w:p w14:paraId="759BF82B" w14:textId="4694842F" w:rsidR="00363019" w:rsidRPr="00514556" w:rsidRDefault="00363019" w:rsidP="001C2B21">
      <w:pPr>
        <w:pStyle w:val="subsection"/>
      </w:pPr>
      <w:r w:rsidRPr="00514556">
        <w:tab/>
        <w:t>(2)</w:t>
      </w:r>
      <w:r w:rsidRPr="00514556">
        <w:tab/>
        <w:t xml:space="preserve">The </w:t>
      </w:r>
      <w:r w:rsidR="0022083E" w:rsidRPr="0022083E">
        <w:t>External Reporting Australia</w:t>
      </w:r>
      <w:r w:rsidRPr="00514556">
        <w:t xml:space="preserve"> Code of Conduct applies to:</w:t>
      </w:r>
    </w:p>
    <w:p w14:paraId="7B8C8241" w14:textId="77777777" w:rsidR="00363019" w:rsidRDefault="00363019" w:rsidP="001C2B21">
      <w:pPr>
        <w:pStyle w:val="paragraph"/>
      </w:pPr>
      <w:r w:rsidRPr="00514556">
        <w:tab/>
        <w:t>(a)</w:t>
      </w:r>
      <w:r w:rsidRPr="00514556">
        <w:tab/>
      </w:r>
      <w:r>
        <w:t>Council members; and</w:t>
      </w:r>
    </w:p>
    <w:p w14:paraId="586DE289" w14:textId="77777777" w:rsidR="00363019" w:rsidRDefault="00363019" w:rsidP="001C2B21">
      <w:pPr>
        <w:pStyle w:val="paragraph"/>
      </w:pPr>
      <w:r>
        <w:tab/>
        <w:t>(b)</w:t>
      </w:r>
      <w:r>
        <w:tab/>
        <w:t>board members; and</w:t>
      </w:r>
    </w:p>
    <w:p w14:paraId="0A988368" w14:textId="768037B1" w:rsidR="00363019" w:rsidRDefault="00363019" w:rsidP="001C2B21">
      <w:pPr>
        <w:pStyle w:val="paragraph"/>
      </w:pPr>
      <w:r>
        <w:tab/>
        <w:t>(c)</w:t>
      </w:r>
      <w:r>
        <w:tab/>
      </w:r>
      <w:r w:rsidRPr="00514556">
        <w:t>staff engaged under section </w:t>
      </w:r>
      <w:r w:rsidR="001E09C2">
        <w:t>231</w:t>
      </w:r>
      <w:r>
        <w:t>;</w:t>
      </w:r>
      <w:r w:rsidRPr="00514556">
        <w:t xml:space="preserve"> and</w:t>
      </w:r>
    </w:p>
    <w:p w14:paraId="0EEC447C" w14:textId="2FE571C5" w:rsidR="00363019" w:rsidRDefault="00363019" w:rsidP="001C2B21">
      <w:pPr>
        <w:pStyle w:val="paragraph"/>
      </w:pPr>
      <w:r>
        <w:tab/>
        <w:t>(d)</w:t>
      </w:r>
      <w:r>
        <w:tab/>
      </w:r>
      <w:r w:rsidRPr="00514556">
        <w:t xml:space="preserve">persons whose services are made available to </w:t>
      </w:r>
      <w:r w:rsidR="003F5783" w:rsidRPr="0022083E">
        <w:t>External Reporting Australia</w:t>
      </w:r>
      <w:r w:rsidRPr="00514556">
        <w:t xml:space="preserve"> under section </w:t>
      </w:r>
      <w:r w:rsidR="001E09C2">
        <w:t>231B</w:t>
      </w:r>
      <w:r w:rsidRPr="00514556">
        <w:t>.</w:t>
      </w:r>
    </w:p>
    <w:p w14:paraId="0BB29E15" w14:textId="104A5EC6" w:rsidR="00BC2B55" w:rsidRPr="001C4BC1" w:rsidRDefault="001E09C2" w:rsidP="001C2B21">
      <w:pPr>
        <w:pStyle w:val="ActHead5"/>
      </w:pPr>
      <w:r>
        <w:rPr>
          <w:rStyle w:val="CharSectno"/>
        </w:rPr>
        <w:lastRenderedPageBreak/>
        <w:t>233</w:t>
      </w:r>
      <w:proofErr w:type="gramStart"/>
      <w:r>
        <w:rPr>
          <w:rStyle w:val="CharSectno"/>
        </w:rPr>
        <w:t>B</w:t>
      </w:r>
      <w:r w:rsidR="00BC2B55" w:rsidRPr="001C4BC1">
        <w:t xml:space="preserve">  Confidentiality</w:t>
      </w:r>
      <w:proofErr w:type="gramEnd"/>
    </w:p>
    <w:p w14:paraId="5E674566" w14:textId="2BD90585" w:rsidR="00BC2B55" w:rsidRPr="001C4BC1" w:rsidRDefault="00BC2B55" w:rsidP="001C2B21">
      <w:pPr>
        <w:pStyle w:val="subsection"/>
      </w:pPr>
      <w:r w:rsidRPr="001C4BC1">
        <w:tab/>
        <w:t>(1)</w:t>
      </w:r>
      <w:r w:rsidRPr="001C4BC1">
        <w:tab/>
      </w:r>
      <w:r w:rsidR="0022083E" w:rsidRPr="0022083E">
        <w:t>External Reporting Australia</w:t>
      </w:r>
      <w:r w:rsidRPr="001C4BC1">
        <w:t xml:space="preserve"> must take all reasonable measures to protect</w:t>
      </w:r>
      <w:r w:rsidR="00552495">
        <w:t>,</w:t>
      </w:r>
      <w:r w:rsidRPr="001C4BC1">
        <w:t xml:space="preserve"> from unauthorised use or disclosure</w:t>
      </w:r>
      <w:r w:rsidR="00552495">
        <w:t>,</w:t>
      </w:r>
      <w:r w:rsidRPr="001C4BC1">
        <w:t xml:space="preserve"> information given to it in confidence.</w:t>
      </w:r>
    </w:p>
    <w:p w14:paraId="3ADE359E" w14:textId="73E36309" w:rsidR="00BC2B55" w:rsidRPr="001C4BC1" w:rsidRDefault="00BC2B55" w:rsidP="001C2B21">
      <w:pPr>
        <w:pStyle w:val="subsection"/>
      </w:pPr>
      <w:r w:rsidRPr="001C4BC1">
        <w:tab/>
        <w:t>(2)</w:t>
      </w:r>
      <w:r w:rsidRPr="001C4BC1">
        <w:tab/>
        <w:t xml:space="preserve">For the purposes of </w:t>
      </w:r>
      <w:r w:rsidR="001C2B21">
        <w:t>subsection (</w:t>
      </w:r>
      <w:r w:rsidRPr="001C4BC1">
        <w:t>1), the disclosure of information is taken to be authorised if the disclosure:</w:t>
      </w:r>
    </w:p>
    <w:p w14:paraId="79BBC6E3" w14:textId="77777777" w:rsidR="00BC2B55" w:rsidRPr="001C4BC1" w:rsidRDefault="00BC2B55" w:rsidP="001C2B21">
      <w:pPr>
        <w:pStyle w:val="paragraph"/>
      </w:pPr>
      <w:r w:rsidRPr="001C4BC1">
        <w:tab/>
        <w:t>(a)</w:t>
      </w:r>
      <w:r w:rsidRPr="001C4BC1">
        <w:tab/>
        <w:t>is required or permitted by a law of the Commonwealth or a prescribed law of a State or Territory; or</w:t>
      </w:r>
    </w:p>
    <w:p w14:paraId="33C9E029" w14:textId="5E77577D" w:rsidR="00BC2B55" w:rsidRPr="001C4BC1" w:rsidRDefault="00BC2B55" w:rsidP="001C2B21">
      <w:pPr>
        <w:pStyle w:val="paragraph"/>
      </w:pPr>
      <w:r w:rsidRPr="001C4BC1">
        <w:tab/>
        <w:t>(b)</w:t>
      </w:r>
      <w:r w:rsidRPr="001C4BC1">
        <w:tab/>
        <w:t xml:space="preserve">is made </w:t>
      </w:r>
      <w:proofErr w:type="gramStart"/>
      <w:r w:rsidRPr="001C4BC1">
        <w:t>in order to</w:t>
      </w:r>
      <w:proofErr w:type="gramEnd"/>
      <w:r w:rsidRPr="001C4BC1">
        <w:t xml:space="preserve"> enable an authority or person in a country outside Australia and the external Territories to perform or exercise a function or power that corresponds, or is analogous, to any of </w:t>
      </w:r>
      <w:r w:rsidR="0022083E" w:rsidRPr="0022083E">
        <w:t>External Reporting Australia</w:t>
      </w:r>
      <w:r w:rsidRPr="001C4BC1">
        <w:t>’s functions or powers; or</w:t>
      </w:r>
    </w:p>
    <w:p w14:paraId="62A95BBC" w14:textId="77777777" w:rsidR="00BC2B55" w:rsidRPr="001C4BC1" w:rsidRDefault="00BC2B55" w:rsidP="001C2B21">
      <w:pPr>
        <w:pStyle w:val="paragraph"/>
      </w:pPr>
      <w:r w:rsidRPr="001C4BC1">
        <w:tab/>
        <w:t>(c)</w:t>
      </w:r>
      <w:r w:rsidRPr="001C4BC1">
        <w:tab/>
        <w:t>is made to bodies that set international accounting standards, international auditing standards or international sustainability standards; or</w:t>
      </w:r>
    </w:p>
    <w:p w14:paraId="16312925" w14:textId="24771AF0" w:rsidR="00BC2B55" w:rsidRPr="001C4BC1" w:rsidRDefault="00BC2B55" w:rsidP="001C2B21">
      <w:pPr>
        <w:pStyle w:val="paragraph"/>
      </w:pPr>
      <w:r w:rsidRPr="001C4BC1">
        <w:tab/>
        <w:t>(d)</w:t>
      </w:r>
      <w:r w:rsidRPr="001C4BC1">
        <w:tab/>
        <w:t>is made to the Minister</w:t>
      </w:r>
      <w:r w:rsidR="00552495">
        <w:t>; or</w:t>
      </w:r>
    </w:p>
    <w:p w14:paraId="77042EDB" w14:textId="77777777" w:rsidR="00BC2B55" w:rsidRPr="001C4BC1" w:rsidRDefault="00BC2B55" w:rsidP="001C2B21">
      <w:pPr>
        <w:pStyle w:val="paragraph"/>
      </w:pPr>
      <w:r w:rsidRPr="001C4BC1">
        <w:tab/>
        <w:t>(e)</w:t>
      </w:r>
      <w:r w:rsidRPr="001C4BC1">
        <w:tab/>
        <w:t>is made to the Secretary of the Department for the purpose of advising the Minister, or an officer authorised for that purpose; or</w:t>
      </w:r>
    </w:p>
    <w:p w14:paraId="76866D29" w14:textId="77777777" w:rsidR="00BC2B55" w:rsidRPr="001C4BC1" w:rsidRDefault="00BC2B55" w:rsidP="001C2B21">
      <w:pPr>
        <w:pStyle w:val="paragraph"/>
      </w:pPr>
      <w:r w:rsidRPr="001C4BC1">
        <w:tab/>
        <w:t>(f)</w:t>
      </w:r>
      <w:r w:rsidRPr="001C4BC1">
        <w:tab/>
        <w:t xml:space="preserve">is made to ASIC for the purposes of its performance of its functions under the </w:t>
      </w:r>
      <w:proofErr w:type="gramStart"/>
      <w:r w:rsidRPr="001C4BC1">
        <w:t>corporations</w:t>
      </w:r>
      <w:proofErr w:type="gramEnd"/>
      <w:r w:rsidRPr="001C4BC1">
        <w:t xml:space="preserve"> legislation (other than the excluded provisions); or</w:t>
      </w:r>
    </w:p>
    <w:p w14:paraId="1E16A36D" w14:textId="77777777" w:rsidR="00BC2B55" w:rsidRPr="001C4BC1" w:rsidRDefault="00BC2B55" w:rsidP="001C2B21">
      <w:pPr>
        <w:pStyle w:val="paragraph"/>
      </w:pPr>
      <w:r w:rsidRPr="001C4BC1">
        <w:tab/>
        <w:t>(g)</w:t>
      </w:r>
      <w:r w:rsidRPr="001C4BC1">
        <w:tab/>
        <w:t>is made to APRA for the purposes of its performance of its functions; or</w:t>
      </w:r>
    </w:p>
    <w:p w14:paraId="658844DE" w14:textId="4582B862" w:rsidR="00BC2B55" w:rsidRPr="001C4BC1" w:rsidRDefault="00BC2B55" w:rsidP="001C2B21">
      <w:pPr>
        <w:pStyle w:val="paragraph"/>
      </w:pPr>
      <w:r w:rsidRPr="001C4BC1">
        <w:tab/>
        <w:t>(h)</w:t>
      </w:r>
      <w:r w:rsidRPr="001C4BC1">
        <w:tab/>
        <w:t xml:space="preserve">is made to any other agency within the meaning of the </w:t>
      </w:r>
      <w:r w:rsidRPr="001C4BC1">
        <w:rPr>
          <w:i/>
          <w:iCs/>
        </w:rPr>
        <w:t>Freedom of Information Act 1982</w:t>
      </w:r>
      <w:r w:rsidRPr="001C4BC1">
        <w:t xml:space="preserve">, </w:t>
      </w:r>
      <w:r w:rsidR="008B7E4B">
        <w:t>for the purposes of the</w:t>
      </w:r>
      <w:r w:rsidRPr="001C4BC1">
        <w:t xml:space="preserve"> perform</w:t>
      </w:r>
      <w:r w:rsidR="008B7E4B">
        <w:t>ance</w:t>
      </w:r>
      <w:r w:rsidRPr="001C4BC1">
        <w:t xml:space="preserve"> or exercise</w:t>
      </w:r>
      <w:r w:rsidR="008B7E4B">
        <w:t xml:space="preserve"> of</w:t>
      </w:r>
      <w:r w:rsidRPr="001C4BC1">
        <w:t xml:space="preserve"> any of the agency’s functions or powers; or</w:t>
      </w:r>
    </w:p>
    <w:p w14:paraId="37C6E24C" w14:textId="77777777" w:rsidR="00BC2B55" w:rsidRPr="001C4BC1" w:rsidRDefault="00BC2B55" w:rsidP="001C2B21">
      <w:pPr>
        <w:pStyle w:val="paragraph"/>
      </w:pPr>
      <w:r w:rsidRPr="001C4BC1">
        <w:tab/>
        <w:t>(i)</w:t>
      </w:r>
      <w:r w:rsidRPr="001C4BC1">
        <w:tab/>
        <w:t xml:space="preserve">is made to a member of a committee convened under </w:t>
      </w:r>
      <w:r>
        <w:t>Part 2</w:t>
      </w:r>
      <w:r w:rsidRPr="001C4BC1">
        <w:t xml:space="preserve"> of Schedule 2 to the Corporations Act for the purposes of the performance of the committee’s functions under the </w:t>
      </w:r>
      <w:proofErr w:type="gramStart"/>
      <w:r w:rsidRPr="001C4BC1">
        <w:t>corporations</w:t>
      </w:r>
      <w:proofErr w:type="gramEnd"/>
      <w:r w:rsidRPr="001C4BC1">
        <w:t xml:space="preserve"> legislation; or</w:t>
      </w:r>
    </w:p>
    <w:p w14:paraId="63E45BCB" w14:textId="77777777" w:rsidR="00BC2B55" w:rsidRDefault="00BC2B55" w:rsidP="001C2B21">
      <w:pPr>
        <w:pStyle w:val="paragraph"/>
      </w:pPr>
      <w:r w:rsidRPr="001C4BC1">
        <w:tab/>
        <w:t>(j)</w:t>
      </w:r>
      <w:r w:rsidRPr="001C4BC1">
        <w:tab/>
        <w:t xml:space="preserve">is made to the Disciplinary Board for the purposes of its performance of its functions under the </w:t>
      </w:r>
      <w:proofErr w:type="gramStart"/>
      <w:r w:rsidRPr="001C4BC1">
        <w:t>corporations</w:t>
      </w:r>
      <w:proofErr w:type="gramEnd"/>
      <w:r w:rsidRPr="001C4BC1">
        <w:t xml:space="preserve"> legislation; </w:t>
      </w:r>
      <w:r>
        <w:t>or</w:t>
      </w:r>
    </w:p>
    <w:p w14:paraId="4AA260F3" w14:textId="77777777" w:rsidR="00BC2B55" w:rsidRPr="001C4BC1" w:rsidRDefault="00BC2B55" w:rsidP="001C2B21">
      <w:pPr>
        <w:pStyle w:val="paragraph"/>
      </w:pPr>
      <w:r>
        <w:tab/>
      </w:r>
      <w:r w:rsidRPr="001C4BC1">
        <w:t>(k)</w:t>
      </w:r>
      <w:r w:rsidRPr="001C4BC1">
        <w:tab/>
        <w:t>is in accordance with the consent of the person who gave the information</w:t>
      </w:r>
      <w:r>
        <w:t xml:space="preserve">; </w:t>
      </w:r>
      <w:r w:rsidRPr="001C4BC1">
        <w:t>or</w:t>
      </w:r>
    </w:p>
    <w:p w14:paraId="526E1AD3" w14:textId="77777777" w:rsidR="00BC2B55" w:rsidRDefault="00BC2B55" w:rsidP="001C2B21">
      <w:pPr>
        <w:pStyle w:val="paragraph"/>
      </w:pPr>
      <w:r w:rsidRPr="001C4BC1">
        <w:tab/>
        <w:t>(</w:t>
      </w:r>
      <w:r>
        <w:t>l</w:t>
      </w:r>
      <w:r w:rsidRPr="001C4BC1">
        <w:t>)</w:t>
      </w:r>
      <w:r w:rsidRPr="001C4BC1">
        <w:tab/>
        <w:t>is in accordance with the con</w:t>
      </w:r>
      <w:r w:rsidRPr="000A453D">
        <w:t>sent of</w:t>
      </w:r>
      <w:r>
        <w:t xml:space="preserve"> the person to whom the information relates</w:t>
      </w:r>
      <w:r w:rsidRPr="001C4BC1">
        <w:t>.</w:t>
      </w:r>
    </w:p>
    <w:p w14:paraId="6507F49B" w14:textId="77777777" w:rsidR="00BC2B55" w:rsidRDefault="00BC2B55" w:rsidP="001C2B21">
      <w:pPr>
        <w:pStyle w:val="ItemHead"/>
      </w:pPr>
      <w:proofErr w:type="gramStart"/>
      <w:r>
        <w:lastRenderedPageBreak/>
        <w:t>11  Paragraphs</w:t>
      </w:r>
      <w:proofErr w:type="gramEnd"/>
      <w:r>
        <w:t xml:space="preserve"> 246(1)(i) and (j)</w:t>
      </w:r>
    </w:p>
    <w:p w14:paraId="7D3FC3FC" w14:textId="77777777" w:rsidR="00BC2B55" w:rsidRDefault="00BC2B55" w:rsidP="001C2B21">
      <w:pPr>
        <w:pStyle w:val="Item"/>
      </w:pPr>
      <w:r>
        <w:t>Repeal the paragraphs, substitute:</w:t>
      </w:r>
    </w:p>
    <w:p w14:paraId="124E870C" w14:textId="77777777" w:rsidR="00BC2B55" w:rsidRDefault="00BC2B55" w:rsidP="001C2B21">
      <w:pPr>
        <w:pStyle w:val="paragraph"/>
      </w:pPr>
      <w:r>
        <w:tab/>
        <w:t>(i)</w:t>
      </w:r>
      <w:r>
        <w:tab/>
        <w:t>a person who is:</w:t>
      </w:r>
    </w:p>
    <w:p w14:paraId="699F8B6F" w14:textId="10227AFE" w:rsidR="00BC2B55" w:rsidRDefault="00BC2B55" w:rsidP="001C2B21">
      <w:pPr>
        <w:pStyle w:val="paragraphsub"/>
      </w:pPr>
      <w:r>
        <w:tab/>
      </w:r>
      <w:r w:rsidRPr="00916549">
        <w:t>(i)</w:t>
      </w:r>
      <w:r w:rsidRPr="00916549">
        <w:tab/>
      </w:r>
      <w:r>
        <w:t xml:space="preserve">a member of staff of </w:t>
      </w:r>
      <w:r w:rsidR="0022083E" w:rsidRPr="0022083E">
        <w:t>External Reporting Australia</w:t>
      </w:r>
      <w:r>
        <w:t xml:space="preserve"> engaged under section </w:t>
      </w:r>
      <w:r w:rsidR="001E09C2">
        <w:t>231</w:t>
      </w:r>
      <w:r>
        <w:t>; or</w:t>
      </w:r>
    </w:p>
    <w:p w14:paraId="28B50462" w14:textId="15D52A6F" w:rsidR="00BC2B55" w:rsidRDefault="00BC2B55" w:rsidP="001C2B21">
      <w:pPr>
        <w:pStyle w:val="paragraphsub"/>
      </w:pPr>
      <w:r>
        <w:tab/>
        <w:t>(ii)</w:t>
      </w:r>
      <w:r>
        <w:tab/>
        <w:t xml:space="preserve">a consultant to </w:t>
      </w:r>
      <w:r w:rsidR="0022083E" w:rsidRPr="0022083E">
        <w:t>External Reporting Australia</w:t>
      </w:r>
      <w:r>
        <w:t xml:space="preserve"> engaged under section </w:t>
      </w:r>
      <w:r w:rsidR="001E09C2">
        <w:t>231A</w:t>
      </w:r>
      <w:r w:rsidR="0071357E">
        <w:t>; or</w:t>
      </w:r>
    </w:p>
    <w:p w14:paraId="2240D063" w14:textId="2DC994BB" w:rsidR="0071357E" w:rsidRDefault="0071357E" w:rsidP="001C2B21">
      <w:pPr>
        <w:pStyle w:val="paragraphsub"/>
      </w:pPr>
      <w:r>
        <w:tab/>
        <w:t>(iii)</w:t>
      </w:r>
      <w:r>
        <w:tab/>
        <w:t>a</w:t>
      </w:r>
      <w:r w:rsidRPr="0071357E">
        <w:t xml:space="preserve"> person</w:t>
      </w:r>
      <w:r w:rsidR="0089071C">
        <w:t xml:space="preserve"> whose services are made available to </w:t>
      </w:r>
      <w:r w:rsidR="0022083E" w:rsidRPr="0022083E">
        <w:t>External Reporting Australia</w:t>
      </w:r>
      <w:r w:rsidR="0089071C">
        <w:t xml:space="preserve"> under </w:t>
      </w:r>
      <w:r w:rsidR="001E09C2">
        <w:t>231B</w:t>
      </w:r>
      <w:r w:rsidR="005B7B36">
        <w:t>.</w:t>
      </w:r>
    </w:p>
    <w:p w14:paraId="1B86A368" w14:textId="77777777" w:rsidR="00BC2B55" w:rsidRDefault="00BC2B55" w:rsidP="001C2B21">
      <w:pPr>
        <w:pStyle w:val="ItemHead"/>
      </w:pPr>
      <w:proofErr w:type="gramStart"/>
      <w:r>
        <w:t>12  Paragraph</w:t>
      </w:r>
      <w:proofErr w:type="gramEnd"/>
      <w:r>
        <w:t> 246(1)(k)</w:t>
      </w:r>
    </w:p>
    <w:p w14:paraId="17377C5D" w14:textId="28ECB272" w:rsidR="00BC2B55" w:rsidRDefault="00BC2B55" w:rsidP="001C2B21">
      <w:pPr>
        <w:pStyle w:val="Item"/>
      </w:pPr>
      <w:r>
        <w:t>Omit “</w:t>
      </w:r>
      <w:r w:rsidR="0022083E">
        <w:t xml:space="preserve">the </w:t>
      </w:r>
      <w:r>
        <w:t>FRC”, substitute “</w:t>
      </w:r>
      <w:r w:rsidR="0022083E" w:rsidRPr="0022083E">
        <w:t>External Reporting Australia</w:t>
      </w:r>
      <w:r>
        <w:t>”.</w:t>
      </w:r>
    </w:p>
    <w:p w14:paraId="46AABC60" w14:textId="77777777" w:rsidR="00BC2B55" w:rsidRDefault="00BC2B55" w:rsidP="001C2B21">
      <w:pPr>
        <w:pStyle w:val="ItemHead"/>
      </w:pPr>
      <w:proofErr w:type="gramStart"/>
      <w:r>
        <w:t>13  Paragraph</w:t>
      </w:r>
      <w:proofErr w:type="gramEnd"/>
      <w:r>
        <w:t> 246(1)(l)</w:t>
      </w:r>
    </w:p>
    <w:p w14:paraId="1F097862" w14:textId="6AE99F56" w:rsidR="00BC2B55" w:rsidRDefault="00BC2B55" w:rsidP="001C2B21">
      <w:pPr>
        <w:pStyle w:val="Item"/>
      </w:pPr>
      <w:r>
        <w:t>Omit “</w:t>
      </w:r>
      <w:r w:rsidR="0022083E">
        <w:t xml:space="preserve">the </w:t>
      </w:r>
      <w:r>
        <w:t>FRC”, substitute “</w:t>
      </w:r>
      <w:r w:rsidR="0022083E" w:rsidRPr="0022083E">
        <w:t>External Reporting Australia</w:t>
      </w:r>
      <w:r>
        <w:t>”.</w:t>
      </w:r>
    </w:p>
    <w:p w14:paraId="69D2D364" w14:textId="77777777" w:rsidR="00BC2B55" w:rsidRDefault="00BC2B55" w:rsidP="001C2B21">
      <w:pPr>
        <w:pStyle w:val="ItemHead"/>
      </w:pPr>
      <w:proofErr w:type="gramStart"/>
      <w:r>
        <w:t>14  Paragraphs</w:t>
      </w:r>
      <w:proofErr w:type="gramEnd"/>
      <w:r>
        <w:t xml:space="preserve"> 246(2)(b), (c) and (d)</w:t>
      </w:r>
    </w:p>
    <w:p w14:paraId="580492F8" w14:textId="77777777" w:rsidR="00BC2B55" w:rsidRDefault="00BC2B55" w:rsidP="001C2B21">
      <w:pPr>
        <w:pStyle w:val="Item"/>
      </w:pPr>
      <w:r>
        <w:t>Repeal the paragraphs, substitute:</w:t>
      </w:r>
    </w:p>
    <w:p w14:paraId="428726A9" w14:textId="75801379" w:rsidR="00BC2B55" w:rsidRDefault="00BC2B55" w:rsidP="001C2B21">
      <w:pPr>
        <w:pStyle w:val="paragraph"/>
      </w:pPr>
      <w:r>
        <w:tab/>
        <w:t>(b)</w:t>
      </w:r>
      <w:r>
        <w:tab/>
        <w:t xml:space="preserve">a </w:t>
      </w:r>
      <w:r w:rsidR="001E6F41">
        <w:t>Council member</w:t>
      </w:r>
      <w:r>
        <w:t xml:space="preserve"> or </w:t>
      </w:r>
      <w:r w:rsidR="007C3896">
        <w:t xml:space="preserve">member of a </w:t>
      </w:r>
      <w:r w:rsidR="0032505C">
        <w:t xml:space="preserve">committee or </w:t>
      </w:r>
      <w:r w:rsidR="00956CCA">
        <w:t>consultative</w:t>
      </w:r>
      <w:r>
        <w:t xml:space="preserve"> group established by </w:t>
      </w:r>
      <w:r w:rsidR="003F5783" w:rsidRPr="0022083E">
        <w:t>External Reporting Australia</w:t>
      </w:r>
      <w:r>
        <w:t>; or</w:t>
      </w:r>
    </w:p>
    <w:p w14:paraId="55E2F0D1" w14:textId="0AF1C1BF" w:rsidR="00BC2B55" w:rsidRDefault="00BC2B55" w:rsidP="001C2B21">
      <w:pPr>
        <w:pStyle w:val="paragraph"/>
      </w:pPr>
      <w:r>
        <w:tab/>
        <w:t>(c)</w:t>
      </w:r>
      <w:r>
        <w:tab/>
        <w:t xml:space="preserve">a </w:t>
      </w:r>
      <w:r w:rsidR="001E6F41">
        <w:t>board member</w:t>
      </w:r>
      <w:r>
        <w:t>.</w:t>
      </w:r>
    </w:p>
    <w:p w14:paraId="160F9C2F" w14:textId="77777777" w:rsidR="00BC2B55" w:rsidRDefault="00BC2B55" w:rsidP="001C2B21">
      <w:pPr>
        <w:pStyle w:val="ActHead7"/>
        <w:pageBreakBefore/>
      </w:pPr>
      <w:r w:rsidRPr="001C2B21">
        <w:rPr>
          <w:rStyle w:val="CharAmPartNo"/>
        </w:rPr>
        <w:lastRenderedPageBreak/>
        <w:t>Part 2</w:t>
      </w:r>
      <w:r>
        <w:t>—</w:t>
      </w:r>
      <w:r w:rsidRPr="001C2B21">
        <w:rPr>
          <w:rStyle w:val="CharAmPartText"/>
        </w:rPr>
        <w:t>Transitional provisions</w:t>
      </w:r>
    </w:p>
    <w:p w14:paraId="6FE777BC" w14:textId="77777777" w:rsidR="00BC2B55" w:rsidRDefault="00BC2B55" w:rsidP="001C2B21">
      <w:pPr>
        <w:pStyle w:val="ActHead9"/>
      </w:pPr>
      <w:r w:rsidRPr="005171E9">
        <w:t>Australian Securities and Investments Commission Act 2001</w:t>
      </w:r>
    </w:p>
    <w:p w14:paraId="1DE95E23" w14:textId="459E0013" w:rsidR="00BC2B55" w:rsidRPr="005171E9" w:rsidRDefault="00BC2B55" w:rsidP="001C2B21">
      <w:pPr>
        <w:pStyle w:val="Transitional"/>
      </w:pPr>
      <w:proofErr w:type="gramStart"/>
      <w:r>
        <w:t>1</w:t>
      </w:r>
      <w:r w:rsidR="005D6C7A">
        <w:t>5</w:t>
      </w:r>
      <w:r w:rsidRPr="005171E9">
        <w:t xml:space="preserve">  </w:t>
      </w:r>
      <w:r>
        <w:t>In</w:t>
      </w:r>
      <w:proofErr w:type="gramEnd"/>
      <w:r>
        <w:t xml:space="preserve"> the appropriate position</w:t>
      </w:r>
    </w:p>
    <w:p w14:paraId="1CCD1B7D" w14:textId="77777777" w:rsidR="00BC2B55" w:rsidRDefault="00BC2B55" w:rsidP="001C2B21">
      <w:pPr>
        <w:pStyle w:val="Item"/>
      </w:pPr>
      <w:r>
        <w:t>Insert:</w:t>
      </w:r>
    </w:p>
    <w:p w14:paraId="03A45BC9" w14:textId="77777777" w:rsidR="00BC2B55" w:rsidRPr="003861E7" w:rsidRDefault="00BC2B55" w:rsidP="001C2B21">
      <w:pPr>
        <w:pStyle w:val="ActHead2"/>
      </w:pPr>
      <w:r w:rsidRPr="001C2B21">
        <w:rPr>
          <w:rStyle w:val="CharPartNo"/>
        </w:rPr>
        <w:t>Part 43</w:t>
      </w:r>
      <w:r w:rsidRPr="003861E7">
        <w:t>—</w:t>
      </w:r>
      <w:r w:rsidRPr="001C2B21">
        <w:rPr>
          <w:rStyle w:val="CharPartText"/>
        </w:rPr>
        <w:t>Transitional provisions relating to Schedule [#] to the Treasury Laws Amendment Act 2025</w:t>
      </w:r>
    </w:p>
    <w:p w14:paraId="5361EB89" w14:textId="77777777" w:rsidR="00BC2B55" w:rsidRPr="00DE3C96" w:rsidRDefault="00BC2B55" w:rsidP="001C2B21">
      <w:pPr>
        <w:pStyle w:val="ActHead3"/>
        <w:pageBreakBefore/>
      </w:pPr>
      <w:r w:rsidRPr="001C2B21">
        <w:rPr>
          <w:rStyle w:val="CharDivNo"/>
        </w:rPr>
        <w:lastRenderedPageBreak/>
        <w:t>Division 1</w:t>
      </w:r>
      <w:r w:rsidRPr="00502188">
        <w:t>—</w:t>
      </w:r>
      <w:r w:rsidRPr="001C2B21">
        <w:rPr>
          <w:rStyle w:val="CharDivText"/>
        </w:rPr>
        <w:t>Preliminary</w:t>
      </w:r>
    </w:p>
    <w:p w14:paraId="6E95C57A" w14:textId="295B8A73" w:rsidR="00BC2B55" w:rsidRDefault="001E09C2" w:rsidP="001C2B21">
      <w:pPr>
        <w:pStyle w:val="ActHead5"/>
      </w:pPr>
      <w:proofErr w:type="gramStart"/>
      <w:r>
        <w:rPr>
          <w:rStyle w:val="CharSectno"/>
        </w:rPr>
        <w:t>348</w:t>
      </w:r>
      <w:r w:rsidR="00BC2B55">
        <w:t xml:space="preserve"> </w:t>
      </w:r>
      <w:r w:rsidR="00BC2B55" w:rsidRPr="00826AA3">
        <w:t xml:space="preserve"> Definitions</w:t>
      </w:r>
      <w:proofErr w:type="gramEnd"/>
    </w:p>
    <w:p w14:paraId="02C5C9F1" w14:textId="77777777" w:rsidR="00BC2B55" w:rsidRPr="00826AA3" w:rsidRDefault="00BC2B55" w:rsidP="001C2B21">
      <w:pPr>
        <w:pStyle w:val="subsection"/>
      </w:pPr>
      <w:r>
        <w:tab/>
      </w:r>
      <w:r>
        <w:tab/>
        <w:t>In this Part:</w:t>
      </w:r>
    </w:p>
    <w:p w14:paraId="78E0D653" w14:textId="082132C7" w:rsidR="00BC2B55" w:rsidRDefault="00BC2B55" w:rsidP="001C2B21">
      <w:pPr>
        <w:pStyle w:val="Definition"/>
      </w:pPr>
      <w:r>
        <w:rPr>
          <w:b/>
          <w:bCs/>
          <w:i/>
          <w:iCs/>
        </w:rPr>
        <w:t>amended</w:t>
      </w:r>
      <w:r w:rsidRPr="0046473F">
        <w:rPr>
          <w:b/>
          <w:bCs/>
          <w:i/>
          <w:iCs/>
        </w:rPr>
        <w:t xml:space="preserve"> Act</w:t>
      </w:r>
      <w:r w:rsidRPr="0046473F">
        <w:t xml:space="preserve"> means </w:t>
      </w:r>
      <w:r>
        <w:t xml:space="preserve">this Act </w:t>
      </w:r>
      <w:r w:rsidRPr="000A5F65">
        <w:t xml:space="preserve">as in force </w:t>
      </w:r>
      <w:r>
        <w:t xml:space="preserve">immediately after the start of the </w:t>
      </w:r>
      <w:r w:rsidR="0022083E" w:rsidRPr="0022083E">
        <w:t>External Reporting Australia</w:t>
      </w:r>
      <w:r>
        <w:t xml:space="preserve"> start day.</w:t>
      </w:r>
    </w:p>
    <w:p w14:paraId="56431F45" w14:textId="031426C6" w:rsidR="0022083E" w:rsidRPr="0022083E" w:rsidRDefault="0022083E" w:rsidP="001C2B21">
      <w:pPr>
        <w:pStyle w:val="Definition"/>
      </w:pPr>
      <w:r w:rsidRPr="0022083E">
        <w:rPr>
          <w:b/>
          <w:bCs/>
          <w:i/>
          <w:iCs/>
        </w:rPr>
        <w:t>External Reporting Australia</w:t>
      </w:r>
      <w:r w:rsidRPr="00DE71EE">
        <w:rPr>
          <w:b/>
          <w:bCs/>
          <w:i/>
          <w:iCs/>
        </w:rPr>
        <w:t xml:space="preserve"> start day</w:t>
      </w:r>
      <w:r>
        <w:t xml:space="preserve"> means </w:t>
      </w:r>
      <w:r w:rsidRPr="000A5F65">
        <w:t xml:space="preserve">the </w:t>
      </w:r>
      <w:r>
        <w:t>day on which Part 1</w:t>
      </w:r>
      <w:r w:rsidRPr="0006267A">
        <w:t xml:space="preserve"> of the Schedule [#] to the </w:t>
      </w:r>
      <w:r w:rsidRPr="00B64761">
        <w:rPr>
          <w:i/>
          <w:iCs/>
        </w:rPr>
        <w:t>Treasury Laws Amendment Act 2025</w:t>
      </w:r>
      <w:r>
        <w:t xml:space="preserve"> commences.</w:t>
      </w:r>
    </w:p>
    <w:p w14:paraId="47B28203" w14:textId="143EDA2C" w:rsidR="00BC2B55" w:rsidRDefault="00BC2B55" w:rsidP="001C2B21">
      <w:pPr>
        <w:pStyle w:val="Definition"/>
      </w:pPr>
      <w:r>
        <w:rPr>
          <w:b/>
          <w:bCs/>
          <w:i/>
          <w:iCs/>
        </w:rPr>
        <w:t xml:space="preserve">old Act </w:t>
      </w:r>
      <w:r w:rsidRPr="0046473F">
        <w:t>means</w:t>
      </w:r>
      <w:r>
        <w:t xml:space="preserve"> this Act</w:t>
      </w:r>
      <w:r w:rsidRPr="0046473F">
        <w:t xml:space="preserve"> </w:t>
      </w:r>
      <w:r w:rsidRPr="000A5F65">
        <w:t xml:space="preserve">as in force immediately </w:t>
      </w:r>
      <w:r>
        <w:t xml:space="preserve">before </w:t>
      </w:r>
      <w:r w:rsidRPr="000A5F65">
        <w:t xml:space="preserve">the </w:t>
      </w:r>
      <w:r w:rsidR="0022083E" w:rsidRPr="0022083E">
        <w:t>External Reporting Australia</w:t>
      </w:r>
      <w:r>
        <w:t xml:space="preserve"> start day.</w:t>
      </w:r>
    </w:p>
    <w:p w14:paraId="26327AB8" w14:textId="37DB2051" w:rsidR="00BC2B55" w:rsidRDefault="00BC2B55" w:rsidP="001C2B21">
      <w:pPr>
        <w:pStyle w:val="Definition"/>
      </w:pPr>
      <w:r w:rsidRPr="00F84EC2">
        <w:rPr>
          <w:b/>
          <w:bCs/>
          <w:i/>
          <w:iCs/>
        </w:rPr>
        <w:t>rule</w:t>
      </w:r>
      <w:r>
        <w:rPr>
          <w:b/>
          <w:bCs/>
          <w:i/>
          <w:iCs/>
        </w:rPr>
        <w:t>s</w:t>
      </w:r>
      <w:r w:rsidRPr="00F84EC2">
        <w:rPr>
          <w:b/>
          <w:bCs/>
          <w:i/>
          <w:iCs/>
        </w:rPr>
        <w:t xml:space="preserve"> </w:t>
      </w:r>
      <w:proofErr w:type="gramStart"/>
      <w:r w:rsidRPr="00F84EC2">
        <w:t>means</w:t>
      </w:r>
      <w:proofErr w:type="gramEnd"/>
      <w:r w:rsidRPr="00F84EC2">
        <w:t xml:space="preserve"> </w:t>
      </w:r>
      <w:r>
        <w:t>the rules</w:t>
      </w:r>
      <w:r w:rsidRPr="00F84EC2">
        <w:t xml:space="preserve"> made under subsection </w:t>
      </w:r>
      <w:r w:rsidR="001E09C2">
        <w:t>362</w:t>
      </w:r>
      <w:r w:rsidRPr="00F84EC2">
        <w:t>(</w:t>
      </w:r>
      <w:r>
        <w:t>1</w:t>
      </w:r>
      <w:r w:rsidRPr="00F84EC2">
        <w:t>).</w:t>
      </w:r>
    </w:p>
    <w:p w14:paraId="799A9F36" w14:textId="77777777" w:rsidR="00BC2B55" w:rsidRDefault="00BC2B55" w:rsidP="001C2B21">
      <w:pPr>
        <w:pStyle w:val="Definition"/>
      </w:pPr>
      <w:r>
        <w:rPr>
          <w:b/>
          <w:bCs/>
          <w:i/>
          <w:iCs/>
        </w:rPr>
        <w:t xml:space="preserve">transition period </w:t>
      </w:r>
      <w:r>
        <w:t xml:space="preserve">means </w:t>
      </w:r>
      <w:r w:rsidRPr="000A5F65">
        <w:t>the period</w:t>
      </w:r>
      <w:r>
        <w:t>:</w:t>
      </w:r>
    </w:p>
    <w:p w14:paraId="3BDAC790" w14:textId="77777777" w:rsidR="00BC2B55" w:rsidRDefault="00BC2B55" w:rsidP="001C2B21">
      <w:pPr>
        <w:pStyle w:val="paragraph"/>
      </w:pPr>
      <w:r>
        <w:tab/>
        <w:t>(a)</w:t>
      </w:r>
      <w:r>
        <w:tab/>
      </w:r>
      <w:r w:rsidRPr="000A5F65">
        <w:t>starting on the day</w:t>
      </w:r>
      <w:r>
        <w:t xml:space="preserve"> this Part c</w:t>
      </w:r>
      <w:r w:rsidRPr="000A5F65">
        <w:t>ommences</w:t>
      </w:r>
      <w:r>
        <w:t xml:space="preserve">; </w:t>
      </w:r>
      <w:r w:rsidRPr="000A5F65">
        <w:t>and</w:t>
      </w:r>
    </w:p>
    <w:p w14:paraId="5326BD59" w14:textId="3A12EDB9" w:rsidR="00BC2B55" w:rsidRDefault="00BC2B55" w:rsidP="001C2B21">
      <w:pPr>
        <w:pStyle w:val="paragraph"/>
      </w:pPr>
      <w:r>
        <w:tab/>
        <w:t>(b)</w:t>
      </w:r>
      <w:r>
        <w:tab/>
      </w:r>
      <w:r w:rsidRPr="000A5F65">
        <w:t xml:space="preserve">ending on the day before the </w:t>
      </w:r>
      <w:r w:rsidR="0022083E" w:rsidRPr="0022083E">
        <w:t>External Reporting Australia</w:t>
      </w:r>
      <w:r>
        <w:t xml:space="preserve"> start day</w:t>
      </w:r>
      <w:r w:rsidRPr="000A5F65">
        <w:t>.</w:t>
      </w:r>
    </w:p>
    <w:p w14:paraId="103AD79A" w14:textId="77777777" w:rsidR="00BC2B55" w:rsidRPr="00E530E2" w:rsidRDefault="00BC2B55" w:rsidP="001C2B21">
      <w:pPr>
        <w:pStyle w:val="ActHead3"/>
        <w:pageBreakBefore/>
      </w:pPr>
      <w:r w:rsidRPr="001C2B21">
        <w:rPr>
          <w:rStyle w:val="CharDivNo"/>
        </w:rPr>
        <w:lastRenderedPageBreak/>
        <w:t>Division 2</w:t>
      </w:r>
      <w:r w:rsidRPr="00502188">
        <w:t>—</w:t>
      </w:r>
      <w:r w:rsidRPr="001C2B21">
        <w:rPr>
          <w:rStyle w:val="CharDivText"/>
        </w:rPr>
        <w:t>Matters relating to the transition period</w:t>
      </w:r>
    </w:p>
    <w:p w14:paraId="3C6DE15F" w14:textId="6C73824A" w:rsidR="00BC2B55" w:rsidRPr="00826AA3" w:rsidRDefault="001E09C2" w:rsidP="001C2B21">
      <w:pPr>
        <w:pStyle w:val="ActHead5"/>
      </w:pPr>
      <w:bookmarkStart w:id="5" w:name="_Hlk208928047"/>
      <w:proofErr w:type="gramStart"/>
      <w:r>
        <w:rPr>
          <w:rStyle w:val="CharSectno"/>
        </w:rPr>
        <w:t>349</w:t>
      </w:r>
      <w:r w:rsidR="00BC2B55" w:rsidRPr="00826AA3">
        <w:t xml:space="preserve">  Exercise</w:t>
      </w:r>
      <w:proofErr w:type="gramEnd"/>
      <w:r w:rsidR="00BC2B55" w:rsidRPr="00826AA3">
        <w:t xml:space="preserve"> of certain powers by</w:t>
      </w:r>
      <w:r w:rsidR="00BC2B55">
        <w:t xml:space="preserve"> the</w:t>
      </w:r>
      <w:r w:rsidR="00BC2B55" w:rsidRPr="00826AA3">
        <w:t xml:space="preserve"> </w:t>
      </w:r>
      <w:r w:rsidR="00BC2B55" w:rsidRPr="00DE71EE">
        <w:t xml:space="preserve">Financial Reporting Council </w:t>
      </w:r>
      <w:r w:rsidR="00BC2B55" w:rsidRPr="00826AA3">
        <w:t xml:space="preserve">during </w:t>
      </w:r>
      <w:r w:rsidR="00BC2B55">
        <w:t xml:space="preserve">the </w:t>
      </w:r>
      <w:r w:rsidR="00BC2B55" w:rsidRPr="00826AA3">
        <w:t>transition period</w:t>
      </w:r>
    </w:p>
    <w:p w14:paraId="10690B6A" w14:textId="20256706" w:rsidR="00213E22" w:rsidRDefault="00BC2B55" w:rsidP="001C2B21">
      <w:pPr>
        <w:pStyle w:val="subsection"/>
      </w:pPr>
      <w:r>
        <w:tab/>
      </w:r>
      <w:r w:rsidRPr="00CC657C">
        <w:t>(1)</w:t>
      </w:r>
      <w:r w:rsidRPr="00CC657C">
        <w:tab/>
      </w:r>
      <w:r w:rsidR="00892052" w:rsidRPr="00892052">
        <w:t>This section applies to the following powers:</w:t>
      </w:r>
    </w:p>
    <w:p w14:paraId="3DC6E7DE" w14:textId="607E8655" w:rsidR="00213E22" w:rsidRDefault="00213E22" w:rsidP="001C2B21">
      <w:pPr>
        <w:pStyle w:val="paragraph"/>
      </w:pPr>
      <w:r>
        <w:tab/>
        <w:t>(a)</w:t>
      </w:r>
      <w:r>
        <w:tab/>
      </w:r>
      <w:r w:rsidRPr="00213E22">
        <w:t xml:space="preserve">a power to make an instrument that will be conferred on the </w:t>
      </w:r>
      <w:r>
        <w:t xml:space="preserve">Governing Council </w:t>
      </w:r>
      <w:r w:rsidR="001F4052">
        <w:t xml:space="preserve">of </w:t>
      </w:r>
      <w:r w:rsidR="0022083E" w:rsidRPr="0022083E">
        <w:t>External Reporting Australia</w:t>
      </w:r>
      <w:r w:rsidR="001F4052">
        <w:t xml:space="preserve"> </w:t>
      </w:r>
      <w:r w:rsidRPr="00213E22">
        <w:t xml:space="preserve">under the following provisions of the amended </w:t>
      </w:r>
      <w:r>
        <w:t>Act</w:t>
      </w:r>
      <w:r w:rsidRPr="00213E22">
        <w:t>:</w:t>
      </w:r>
    </w:p>
    <w:p w14:paraId="7CCACA67" w14:textId="265A39EF" w:rsidR="00213E22" w:rsidRPr="00213E22" w:rsidRDefault="00213E22" w:rsidP="001C2B21">
      <w:pPr>
        <w:pStyle w:val="paragraphsub"/>
      </w:pPr>
      <w:r>
        <w:tab/>
      </w:r>
      <w:r w:rsidRPr="00213E22">
        <w:t>(i)</w:t>
      </w:r>
      <w:r w:rsidRPr="00213E22">
        <w:tab/>
        <w:t xml:space="preserve">section </w:t>
      </w:r>
      <w:r w:rsidR="001E09C2">
        <w:t>229</w:t>
      </w:r>
      <w:r w:rsidRPr="00213E22">
        <w:t xml:space="preserve"> (establishment of standard</w:t>
      </w:r>
      <w:r w:rsidR="001C2B21">
        <w:noBreakHyphen/>
      </w:r>
      <w:r w:rsidRPr="00213E22">
        <w:t>setting board</w:t>
      </w:r>
      <w:proofErr w:type="gramStart"/>
      <w:r w:rsidRPr="00213E22">
        <w:t>);</w:t>
      </w:r>
      <w:proofErr w:type="gramEnd"/>
    </w:p>
    <w:p w14:paraId="0AC3D2F9" w14:textId="6E6D52C6" w:rsidR="00213E22" w:rsidRDefault="00213E22" w:rsidP="001C2B21">
      <w:pPr>
        <w:pStyle w:val="paragraphsub"/>
      </w:pPr>
      <w:r w:rsidRPr="00213E22">
        <w:tab/>
        <w:t>(ii)</w:t>
      </w:r>
      <w:r w:rsidRPr="00213E22">
        <w:tab/>
        <w:t xml:space="preserve">section </w:t>
      </w:r>
      <w:r w:rsidR="001E09C2">
        <w:t>230</w:t>
      </w:r>
      <w:r w:rsidRPr="00213E22">
        <w:t xml:space="preserve"> (appointments to standard</w:t>
      </w:r>
      <w:r w:rsidR="001C2B21">
        <w:noBreakHyphen/>
      </w:r>
      <w:r w:rsidRPr="00213E22">
        <w:t>setting board</w:t>
      </w:r>
      <w:proofErr w:type="gramStart"/>
      <w:r w:rsidRPr="00213E22">
        <w:t>)</w:t>
      </w:r>
      <w:r w:rsidR="001D5299">
        <w:t>;</w:t>
      </w:r>
      <w:proofErr w:type="gramEnd"/>
    </w:p>
    <w:p w14:paraId="71819E08" w14:textId="730D64AC" w:rsidR="00D16C51" w:rsidRDefault="00D16C51" w:rsidP="001C2B21">
      <w:pPr>
        <w:pStyle w:val="paragraphsub"/>
      </w:pPr>
      <w:r>
        <w:tab/>
        <w:t>(iii)</w:t>
      </w:r>
      <w:r>
        <w:tab/>
        <w:t xml:space="preserve">section </w:t>
      </w:r>
      <w:r w:rsidR="001E09C2">
        <w:t>230A</w:t>
      </w:r>
      <w:r>
        <w:t xml:space="preserve"> (Chair of a standard</w:t>
      </w:r>
      <w:r w:rsidR="001C2B21">
        <w:noBreakHyphen/>
      </w:r>
      <w:r>
        <w:t>setting board</w:t>
      </w:r>
      <w:proofErr w:type="gramStart"/>
      <w:r>
        <w:t>);</w:t>
      </w:r>
      <w:proofErr w:type="gramEnd"/>
    </w:p>
    <w:p w14:paraId="060B7240" w14:textId="63DC064E" w:rsidR="00D16C51" w:rsidRDefault="00D16C51" w:rsidP="001C2B21">
      <w:pPr>
        <w:pStyle w:val="paragraphsub"/>
      </w:pPr>
      <w:r>
        <w:tab/>
        <w:t>(iv)</w:t>
      </w:r>
      <w:r>
        <w:tab/>
        <w:t xml:space="preserve">section </w:t>
      </w:r>
      <w:r w:rsidR="001E09C2">
        <w:t>230B</w:t>
      </w:r>
      <w:r w:rsidR="00965DA6">
        <w:t xml:space="preserve"> (Deputy Chair of a standard</w:t>
      </w:r>
      <w:r w:rsidR="001C2B21">
        <w:noBreakHyphen/>
      </w:r>
      <w:r w:rsidR="00965DA6">
        <w:t>setting board</w:t>
      </w:r>
      <w:proofErr w:type="gramStart"/>
      <w:r w:rsidR="00965DA6">
        <w:t>);</w:t>
      </w:r>
      <w:proofErr w:type="gramEnd"/>
    </w:p>
    <w:p w14:paraId="253A0E33" w14:textId="301E22D4" w:rsidR="001D5299" w:rsidRDefault="001D5299" w:rsidP="001C2B21">
      <w:pPr>
        <w:pStyle w:val="paragraph"/>
      </w:pPr>
      <w:r>
        <w:tab/>
        <w:t>(b)</w:t>
      </w:r>
      <w:r>
        <w:tab/>
      </w:r>
      <w:r w:rsidRPr="001D5299">
        <w:t>a</w:t>
      </w:r>
      <w:r w:rsidR="00351B37">
        <w:t>ny</w:t>
      </w:r>
      <w:r w:rsidRPr="001D5299">
        <w:t xml:space="preserve"> power to vary or revoke an instrument mentioned in </w:t>
      </w:r>
      <w:r w:rsidR="003861E7">
        <w:t>paragraph (</w:t>
      </w:r>
      <w:r w:rsidR="00FE4A42">
        <w:t>a)</w:t>
      </w:r>
      <w:r w:rsidRPr="001D5299">
        <w:t xml:space="preserve"> </w:t>
      </w:r>
      <w:proofErr w:type="gramStart"/>
      <w:r w:rsidRPr="001D5299">
        <w:t>as a result of</w:t>
      </w:r>
      <w:proofErr w:type="gramEnd"/>
      <w:r w:rsidRPr="001D5299">
        <w:t xml:space="preserve"> the operation of sub</w:t>
      </w:r>
      <w:r w:rsidR="003861E7">
        <w:t>section 3</w:t>
      </w:r>
      <w:r w:rsidRPr="001D5299">
        <w:t xml:space="preserve">3(3) of the </w:t>
      </w:r>
      <w:r w:rsidRPr="001D5299">
        <w:rPr>
          <w:i/>
          <w:iCs/>
        </w:rPr>
        <w:t>Acts Interpretation Act 1901</w:t>
      </w:r>
      <w:r w:rsidRPr="001D5299">
        <w:t>.</w:t>
      </w:r>
    </w:p>
    <w:p w14:paraId="5E6BDCB7" w14:textId="4905FC54" w:rsidR="00BC2B55" w:rsidRPr="00CC657C" w:rsidRDefault="001D5299" w:rsidP="001C2B21">
      <w:pPr>
        <w:pStyle w:val="subsection"/>
      </w:pPr>
      <w:r>
        <w:tab/>
        <w:t>(2)</w:t>
      </w:r>
      <w:r>
        <w:tab/>
      </w:r>
      <w:r w:rsidR="00BC2B55" w:rsidRPr="00CC657C">
        <w:t xml:space="preserve">For the purposes of the application of </w:t>
      </w:r>
      <w:r w:rsidR="003234FC">
        <w:t>section 4</w:t>
      </w:r>
      <w:r w:rsidR="00BC2B55" w:rsidRPr="00CC657C">
        <w:t xml:space="preserve"> of the </w:t>
      </w:r>
      <w:r w:rsidR="00BC2B55" w:rsidRPr="00CC657C">
        <w:rPr>
          <w:i/>
          <w:iCs/>
        </w:rPr>
        <w:t>Acts Interpretation Act 1901</w:t>
      </w:r>
      <w:r w:rsidR="00BC2B55" w:rsidRPr="00CC657C">
        <w:t xml:space="preserve"> to </w:t>
      </w:r>
      <w:r w:rsidR="000A3B48">
        <w:t xml:space="preserve">the exercise of a </w:t>
      </w:r>
      <w:r w:rsidR="00BC2B55" w:rsidRPr="00CC657C">
        <w:t xml:space="preserve">power </w:t>
      </w:r>
      <w:r w:rsidR="00E02465">
        <w:t xml:space="preserve">mentioned in </w:t>
      </w:r>
      <w:r w:rsidR="001C2B21">
        <w:t>subsection (</w:t>
      </w:r>
      <w:r w:rsidR="00E02465">
        <w:t xml:space="preserve">1) </w:t>
      </w:r>
      <w:r w:rsidR="00BC2B55" w:rsidRPr="00CC657C">
        <w:t>during the transition period</w:t>
      </w:r>
      <w:r w:rsidR="00A94757">
        <w:t>,</w:t>
      </w:r>
      <w:r w:rsidR="00552495">
        <w:t xml:space="preserve"> the power may be exercised by the Financial Reporting Council as if it were a power conferred on the Financial Reporting Council by this Act.</w:t>
      </w:r>
    </w:p>
    <w:p w14:paraId="5D33FA0A" w14:textId="01F141DB" w:rsidR="00BC2B55" w:rsidRDefault="00BC2B55" w:rsidP="001C2B21">
      <w:pPr>
        <w:pStyle w:val="subsection"/>
      </w:pPr>
      <w:r>
        <w:tab/>
        <w:t>(3)</w:t>
      </w:r>
      <w:r>
        <w:tab/>
      </w:r>
      <w:r w:rsidRPr="004D0DC1">
        <w:t xml:space="preserve">An instrument made by the </w:t>
      </w:r>
      <w:r w:rsidRPr="00DE71EE">
        <w:t xml:space="preserve">Financial Reporting Council </w:t>
      </w:r>
      <w:r w:rsidRPr="004D0DC1">
        <w:t xml:space="preserve">in reliance on this section and </w:t>
      </w:r>
      <w:r w:rsidR="003234FC">
        <w:t>section 4</w:t>
      </w:r>
      <w:r w:rsidRPr="004D0DC1">
        <w:t xml:space="preserve"> of the </w:t>
      </w:r>
      <w:r w:rsidRPr="004D0DC1">
        <w:rPr>
          <w:i/>
          <w:iCs/>
        </w:rPr>
        <w:t>Acts Interpretation Act 1901</w:t>
      </w:r>
      <w:r>
        <w:t xml:space="preserve"> is, after the end of the transition period, taken to have been (and may be dealt with as if it had been) made by the Governing Council of </w:t>
      </w:r>
      <w:r w:rsidR="0022083E" w:rsidRPr="0022083E">
        <w:t>External Reporting Australia</w:t>
      </w:r>
      <w:r>
        <w:t>.</w:t>
      </w:r>
    </w:p>
    <w:bookmarkEnd w:id="5"/>
    <w:p w14:paraId="765DFE17" w14:textId="3CF4031E" w:rsidR="00BC2B55" w:rsidRPr="008E3378" w:rsidRDefault="001E09C2" w:rsidP="001C2B21">
      <w:pPr>
        <w:pStyle w:val="ActHead5"/>
      </w:pPr>
      <w:proofErr w:type="gramStart"/>
      <w:r>
        <w:rPr>
          <w:rStyle w:val="CharSectno"/>
        </w:rPr>
        <w:t>350</w:t>
      </w:r>
      <w:r w:rsidR="00BC2B55">
        <w:t xml:space="preserve"> </w:t>
      </w:r>
      <w:r w:rsidR="00BC2B55" w:rsidRPr="008E3378">
        <w:t xml:space="preserve"> Ensuring</w:t>
      </w:r>
      <w:proofErr w:type="gramEnd"/>
      <w:r w:rsidR="00BC2B55" w:rsidRPr="008E3378">
        <w:t xml:space="preserve"> appropriate standard</w:t>
      </w:r>
      <w:r w:rsidR="001C2B21">
        <w:noBreakHyphen/>
      </w:r>
      <w:r w:rsidR="00BC2B55" w:rsidRPr="008E3378">
        <w:t>setting boards are established etc.</w:t>
      </w:r>
    </w:p>
    <w:p w14:paraId="0EE9BE2E" w14:textId="4139C402" w:rsidR="00BC2B55" w:rsidRPr="008E3378" w:rsidRDefault="00BC2B55" w:rsidP="001C2B21">
      <w:pPr>
        <w:pStyle w:val="subsection"/>
      </w:pPr>
      <w:r>
        <w:tab/>
      </w:r>
      <w:r w:rsidRPr="008E3378">
        <w:t>(1)</w:t>
      </w:r>
      <w:r>
        <w:tab/>
      </w:r>
      <w:r w:rsidRPr="008E3378">
        <w:t xml:space="preserve">The Financial Reporting Council must take all reasonable steps to ensure that, through the exercise of powers mentioned in section </w:t>
      </w:r>
      <w:r w:rsidR="001E09C2">
        <w:t>349</w:t>
      </w:r>
      <w:r w:rsidRPr="008E3378">
        <w:t>, standard</w:t>
      </w:r>
      <w:r w:rsidR="001C2B21">
        <w:noBreakHyphen/>
      </w:r>
      <w:r w:rsidRPr="008E3378">
        <w:t xml:space="preserve">setting boards are to be established on the </w:t>
      </w:r>
      <w:r w:rsidR="0022083E" w:rsidRPr="0022083E">
        <w:t>External Reporting Australia</w:t>
      </w:r>
      <w:r w:rsidRPr="008E3378">
        <w:t xml:space="preserve"> start day in a manner consistent with </w:t>
      </w:r>
      <w:r w:rsidR="0022083E" w:rsidRPr="0022083E">
        <w:t>External Reporting Australia</w:t>
      </w:r>
      <w:r w:rsidRPr="008E3378">
        <w:t xml:space="preserve">’s duty under subsection </w:t>
      </w:r>
      <w:r w:rsidR="001E09C2">
        <w:t>229</w:t>
      </w:r>
      <w:proofErr w:type="gramStart"/>
      <w:r w:rsidR="001E09C2">
        <w:t>A</w:t>
      </w:r>
      <w:r w:rsidRPr="008E3378">
        <w:t>(</w:t>
      </w:r>
      <w:proofErr w:type="gramEnd"/>
      <w:r w:rsidRPr="008E3378">
        <w:t>2) of the amended Act.</w:t>
      </w:r>
    </w:p>
    <w:p w14:paraId="3831AE13" w14:textId="602147FB" w:rsidR="00BC2B55" w:rsidRPr="008E3378" w:rsidRDefault="00BC2B55" w:rsidP="001C2B21">
      <w:pPr>
        <w:pStyle w:val="subsection"/>
      </w:pPr>
      <w:r>
        <w:rPr>
          <w:i/>
          <w:sz w:val="24"/>
        </w:rPr>
        <w:tab/>
      </w:r>
      <w:r w:rsidRPr="008E3378">
        <w:t>(2)</w:t>
      </w:r>
      <w:r>
        <w:tab/>
      </w:r>
      <w:r w:rsidRPr="008E3378">
        <w:t>The Financial Reporting Council has the functions of establishing standard</w:t>
      </w:r>
      <w:r w:rsidR="001C2B21">
        <w:noBreakHyphen/>
      </w:r>
      <w:r w:rsidRPr="008E3378">
        <w:t xml:space="preserve">setting boards as mentioned in </w:t>
      </w:r>
      <w:r w:rsidR="003234FC">
        <w:t>section </w:t>
      </w:r>
      <w:r w:rsidR="001E09C2">
        <w:t>229</w:t>
      </w:r>
      <w:r w:rsidR="00E05317">
        <w:t xml:space="preserve"> </w:t>
      </w:r>
      <w:r w:rsidRPr="008E3378">
        <w:t xml:space="preserve">of the </w:t>
      </w:r>
      <w:r w:rsidRPr="008E3378">
        <w:lastRenderedPageBreak/>
        <w:t xml:space="preserve">amended Act, and making appointments </w:t>
      </w:r>
      <w:r w:rsidR="00C77B5A">
        <w:t>in relation to those</w:t>
      </w:r>
      <w:r w:rsidRPr="008E3378">
        <w:t xml:space="preserve"> boards, in addition to its other functions under this Act.</w:t>
      </w:r>
    </w:p>
    <w:p w14:paraId="5EB2E161" w14:textId="77D35E6B" w:rsidR="00BC2B55" w:rsidRPr="00A15B92" w:rsidRDefault="001E09C2" w:rsidP="001C2B21">
      <w:pPr>
        <w:pStyle w:val="ActHead5"/>
      </w:pPr>
      <w:proofErr w:type="gramStart"/>
      <w:r>
        <w:rPr>
          <w:rStyle w:val="CharSectno"/>
        </w:rPr>
        <w:t>351</w:t>
      </w:r>
      <w:r w:rsidR="00BC2B55" w:rsidRPr="00A15B92">
        <w:t xml:space="preserve">  Extension</w:t>
      </w:r>
      <w:proofErr w:type="gramEnd"/>
      <w:r w:rsidR="00BC2B55" w:rsidRPr="00A15B92">
        <w:t xml:space="preserve"> of appointment</w:t>
      </w:r>
      <w:r w:rsidR="00BC2B55">
        <w:t xml:space="preserve">—members of the </w:t>
      </w:r>
      <w:r w:rsidR="00BC2B55" w:rsidRPr="00DE71EE">
        <w:t>Australian Accounting Standards Board</w:t>
      </w:r>
      <w:r w:rsidR="00BC2B55">
        <w:t xml:space="preserve"> and </w:t>
      </w:r>
      <w:r w:rsidR="00BC2B55" w:rsidRPr="00DE71EE">
        <w:t>Auditing and Assurance Standards Board</w:t>
      </w:r>
    </w:p>
    <w:p w14:paraId="0F7D3D87" w14:textId="5FA81FCB" w:rsidR="00BC2B55" w:rsidRDefault="00BC2B55" w:rsidP="001C2B21">
      <w:pPr>
        <w:pStyle w:val="subsection"/>
      </w:pPr>
      <w:r>
        <w:tab/>
      </w:r>
      <w:r w:rsidRPr="00A15B92">
        <w:tab/>
      </w:r>
      <w:r>
        <w:t xml:space="preserve">If, apart from this section, the appointment of </w:t>
      </w:r>
      <w:r w:rsidRPr="00A15B92">
        <w:t>a member</w:t>
      </w:r>
      <w:r>
        <w:t xml:space="preserve"> of the </w:t>
      </w:r>
      <w:r w:rsidRPr="00DE71EE">
        <w:t>Australian Accounting Standards Board</w:t>
      </w:r>
      <w:r>
        <w:t xml:space="preserve"> or the appointment of a member of the </w:t>
      </w:r>
      <w:r w:rsidRPr="00DE71EE">
        <w:t>Auditing and Assurance Standards Board</w:t>
      </w:r>
      <w:r>
        <w:t xml:space="preserve"> </w:t>
      </w:r>
      <w:r w:rsidRPr="00A15B92">
        <w:t xml:space="preserve">would cease to have effect (other than under </w:t>
      </w:r>
      <w:r w:rsidR="00874A53">
        <w:t>section 2</w:t>
      </w:r>
      <w:r>
        <w:t>36C</w:t>
      </w:r>
      <w:r w:rsidRPr="00A15B92">
        <w:t xml:space="preserve"> or </w:t>
      </w:r>
      <w:r>
        <w:t>236G</w:t>
      </w:r>
      <w:r w:rsidRPr="00A15B92">
        <w:t xml:space="preserve">) </w:t>
      </w:r>
      <w:r w:rsidR="0004603B">
        <w:t xml:space="preserve">at </w:t>
      </w:r>
      <w:r>
        <w:t>any</w:t>
      </w:r>
      <w:r w:rsidR="0004603B">
        <w:t xml:space="preserve"> </w:t>
      </w:r>
      <w:r>
        <w:t xml:space="preserve">time </w:t>
      </w:r>
      <w:r w:rsidR="0004603B">
        <w:t>in</w:t>
      </w:r>
      <w:r>
        <w:t xml:space="preserve"> the transition period, that appointment is extended until the </w:t>
      </w:r>
      <w:r w:rsidRPr="00474CE2">
        <w:t>earliest of the following</w:t>
      </w:r>
      <w:r>
        <w:t>:</w:t>
      </w:r>
    </w:p>
    <w:p w14:paraId="52AE1E1D" w14:textId="77777777" w:rsidR="00BC2B55" w:rsidRPr="00474CE2" w:rsidRDefault="00BC2B55" w:rsidP="001C2B21">
      <w:pPr>
        <w:pStyle w:val="paragraph"/>
      </w:pPr>
      <w:r w:rsidRPr="00474CE2">
        <w:tab/>
        <w:t>(a)</w:t>
      </w:r>
      <w:r w:rsidRPr="00474CE2">
        <w:tab/>
        <w:t xml:space="preserve">the end of the </w:t>
      </w:r>
      <w:r>
        <w:t xml:space="preserve">transition </w:t>
      </w:r>
      <w:proofErr w:type="gramStart"/>
      <w:r>
        <w:t>period</w:t>
      </w:r>
      <w:r w:rsidRPr="00474CE2">
        <w:t>;</w:t>
      </w:r>
      <w:proofErr w:type="gramEnd"/>
    </w:p>
    <w:p w14:paraId="7CC60F9B" w14:textId="77777777" w:rsidR="00BC2B55" w:rsidRDefault="00BC2B55" w:rsidP="001C2B21">
      <w:pPr>
        <w:pStyle w:val="paragraph"/>
      </w:pPr>
      <w:r w:rsidRPr="00474CE2">
        <w:tab/>
        <w:t>(b)</w:t>
      </w:r>
      <w:r w:rsidRPr="00474CE2">
        <w:tab/>
      </w:r>
      <w:r>
        <w:t xml:space="preserve">in relation to a member of the </w:t>
      </w:r>
      <w:r w:rsidRPr="00DE71EE">
        <w:t>Australian Accounting Standards Board</w:t>
      </w:r>
      <w:r>
        <w:t>:</w:t>
      </w:r>
    </w:p>
    <w:p w14:paraId="55519BAD" w14:textId="4401F160" w:rsidR="00BC2B55" w:rsidRDefault="00BC2B55" w:rsidP="001C2B21">
      <w:pPr>
        <w:pStyle w:val="paragraphsub"/>
      </w:pPr>
      <w:r>
        <w:tab/>
        <w:t>(i)</w:t>
      </w:r>
      <w:r>
        <w:tab/>
      </w:r>
      <w:r w:rsidRPr="00474CE2">
        <w:t xml:space="preserve">if the member gives a resignation under </w:t>
      </w:r>
      <w:r w:rsidR="003234FC">
        <w:t>sub</w:t>
      </w:r>
      <w:r w:rsidR="00874A53">
        <w:t>section 2</w:t>
      </w:r>
      <w:r>
        <w:t>36C</w:t>
      </w:r>
      <w:r w:rsidRPr="00474CE2">
        <w:t xml:space="preserve">—the time when that resignation takes </w:t>
      </w:r>
      <w:proofErr w:type="gramStart"/>
      <w:r w:rsidRPr="00474CE2">
        <w:t>effect;</w:t>
      </w:r>
      <w:proofErr w:type="gramEnd"/>
    </w:p>
    <w:p w14:paraId="36CE2B1E" w14:textId="77777777" w:rsidR="00BC2B55" w:rsidRDefault="00BC2B55" w:rsidP="001C2B21">
      <w:pPr>
        <w:pStyle w:val="paragraphsub"/>
      </w:pPr>
      <w:r>
        <w:tab/>
        <w:t>(ii)</w:t>
      </w:r>
      <w:r>
        <w:tab/>
      </w:r>
      <w:r w:rsidRPr="00474CE2">
        <w:t xml:space="preserve">if the extended appointment is terminated under </w:t>
      </w:r>
      <w:r>
        <w:t>that section</w:t>
      </w:r>
      <w:r w:rsidRPr="00474CE2">
        <w:t xml:space="preserve">—the time when that termination takes </w:t>
      </w:r>
      <w:proofErr w:type="gramStart"/>
      <w:r w:rsidRPr="00474CE2">
        <w:t>effect</w:t>
      </w:r>
      <w:r>
        <w:t>;</w:t>
      </w:r>
      <w:proofErr w:type="gramEnd"/>
    </w:p>
    <w:p w14:paraId="1E58EDA0" w14:textId="77777777" w:rsidR="00BC2B55" w:rsidRDefault="00BC2B55" w:rsidP="001C2B21">
      <w:pPr>
        <w:pStyle w:val="paragraph"/>
      </w:pPr>
      <w:r>
        <w:tab/>
        <w:t>(c)</w:t>
      </w:r>
      <w:r>
        <w:tab/>
        <w:t xml:space="preserve">in relation to a member of the </w:t>
      </w:r>
      <w:r w:rsidRPr="00DE71EE">
        <w:t>Auditing and Assurance Standards Board</w:t>
      </w:r>
      <w:r>
        <w:t>:</w:t>
      </w:r>
    </w:p>
    <w:p w14:paraId="54A0D0CA" w14:textId="22EF5D13" w:rsidR="00BC2B55" w:rsidRDefault="00BC2B55" w:rsidP="001C2B21">
      <w:pPr>
        <w:pStyle w:val="paragraphsub"/>
      </w:pPr>
      <w:r>
        <w:tab/>
        <w:t>(i)</w:t>
      </w:r>
      <w:r>
        <w:tab/>
      </w:r>
      <w:r w:rsidRPr="00474CE2">
        <w:t xml:space="preserve">if the member gives a resignation under </w:t>
      </w:r>
      <w:r w:rsidR="003234FC">
        <w:t>sub</w:t>
      </w:r>
      <w:r w:rsidR="00874A53">
        <w:t>section 2</w:t>
      </w:r>
      <w:r>
        <w:t>36G</w:t>
      </w:r>
      <w:r w:rsidRPr="00474CE2">
        <w:t xml:space="preserve">—the time when that resignation takes </w:t>
      </w:r>
      <w:proofErr w:type="gramStart"/>
      <w:r w:rsidRPr="00474CE2">
        <w:t>effect;</w:t>
      </w:r>
      <w:proofErr w:type="gramEnd"/>
    </w:p>
    <w:p w14:paraId="3876C208" w14:textId="77777777" w:rsidR="00BC2B55" w:rsidRDefault="00BC2B55" w:rsidP="001C2B21">
      <w:pPr>
        <w:pStyle w:val="paragraphsub"/>
      </w:pPr>
      <w:r>
        <w:tab/>
        <w:t>(ii)</w:t>
      </w:r>
      <w:r>
        <w:tab/>
      </w:r>
      <w:r w:rsidRPr="00474CE2">
        <w:t xml:space="preserve">if the extended appointment is terminated under </w:t>
      </w:r>
      <w:r>
        <w:t>that section</w:t>
      </w:r>
      <w:r w:rsidRPr="00474CE2">
        <w:t>—the time when that termination takes effect</w:t>
      </w:r>
      <w:r>
        <w:t>.</w:t>
      </w:r>
    </w:p>
    <w:p w14:paraId="7D30D29B" w14:textId="004CFB50" w:rsidR="00BC2B55" w:rsidRPr="00CB282E" w:rsidRDefault="00BC2B55" w:rsidP="001C2B21">
      <w:pPr>
        <w:pStyle w:val="ActHead3"/>
        <w:pageBreakBefore/>
      </w:pPr>
      <w:r w:rsidRPr="001C2B21">
        <w:rPr>
          <w:rStyle w:val="CharDivNo"/>
        </w:rPr>
        <w:lastRenderedPageBreak/>
        <w:t>Division 3</w:t>
      </w:r>
      <w:r w:rsidRPr="00502188">
        <w:t>—</w:t>
      </w:r>
      <w:r w:rsidRPr="001C2B21">
        <w:rPr>
          <w:rStyle w:val="CharDivText"/>
        </w:rPr>
        <w:t xml:space="preserve">Administrative matters relating to </w:t>
      </w:r>
      <w:r w:rsidR="0022083E" w:rsidRPr="0022083E">
        <w:t>External Reporting Australia</w:t>
      </w:r>
    </w:p>
    <w:p w14:paraId="45BCE231" w14:textId="02DA20D7" w:rsidR="00BC2B55" w:rsidRPr="007B61D4" w:rsidRDefault="001E09C2" w:rsidP="001C2B21">
      <w:pPr>
        <w:pStyle w:val="ActHead5"/>
      </w:pPr>
      <w:proofErr w:type="gramStart"/>
      <w:r>
        <w:rPr>
          <w:rStyle w:val="CharSectno"/>
        </w:rPr>
        <w:t>352</w:t>
      </w:r>
      <w:r w:rsidR="00BC2B55" w:rsidRPr="006005CE">
        <w:t xml:space="preserve">  Staff</w:t>
      </w:r>
      <w:proofErr w:type="gramEnd"/>
    </w:p>
    <w:p w14:paraId="15E4B772" w14:textId="657A7035" w:rsidR="006E1E2F" w:rsidRPr="006E1E2F" w:rsidRDefault="00BC2B55" w:rsidP="006E1E2F">
      <w:pPr>
        <w:pStyle w:val="subsection"/>
      </w:pPr>
      <w:r w:rsidRPr="007B61D4">
        <w:tab/>
      </w:r>
      <w:r w:rsidR="006E1E2F">
        <w:t>(</w:t>
      </w:r>
      <w:r w:rsidR="006E1E2F" w:rsidRPr="006E1E2F">
        <w:t>1)</w:t>
      </w:r>
      <w:r w:rsidR="006E1E2F">
        <w:tab/>
      </w:r>
      <w:r w:rsidR="006E1E2F" w:rsidRPr="006E1E2F">
        <w:t xml:space="preserve">This section applies to a person who, immediately before the </w:t>
      </w:r>
      <w:r w:rsidR="0022083E" w:rsidRPr="0022083E">
        <w:t>External Reporting Australia</w:t>
      </w:r>
      <w:r w:rsidR="006E1E2F" w:rsidRPr="006E1E2F">
        <w:t xml:space="preserve"> start day:</w:t>
      </w:r>
    </w:p>
    <w:p w14:paraId="025E60D1" w14:textId="45F04598" w:rsidR="006E1E2F" w:rsidRPr="006E1E2F" w:rsidRDefault="006E1E2F" w:rsidP="006E1E2F">
      <w:pPr>
        <w:pStyle w:val="paragraph"/>
      </w:pPr>
      <w:r>
        <w:tab/>
      </w:r>
      <w:r w:rsidRPr="006E1E2F">
        <w:t>(a)</w:t>
      </w:r>
      <w:r>
        <w:tab/>
      </w:r>
      <w:r w:rsidRPr="006E1E2F">
        <w:t>was a member of the staff of the Office of the Australian Accounting Standards Board under section 235E of the old Act; or</w:t>
      </w:r>
    </w:p>
    <w:p w14:paraId="79B4E194" w14:textId="5D5E9D55" w:rsidR="006E1E2F" w:rsidRPr="006E1E2F" w:rsidRDefault="006E1E2F" w:rsidP="006E1E2F">
      <w:pPr>
        <w:pStyle w:val="paragraph"/>
      </w:pPr>
      <w:r>
        <w:tab/>
      </w:r>
      <w:r w:rsidRPr="006E1E2F">
        <w:t>(b)</w:t>
      </w:r>
      <w:r>
        <w:tab/>
      </w:r>
      <w:r w:rsidRPr="006E1E2F">
        <w:t>was a member of the staff of the Office of the Auditing and Assurance Standards Board under 236DC of the old Act.</w:t>
      </w:r>
    </w:p>
    <w:p w14:paraId="2B3ED8B0" w14:textId="052A963A" w:rsidR="006E1E2F" w:rsidRPr="006E1E2F" w:rsidRDefault="006E1E2F" w:rsidP="006E1E2F">
      <w:pPr>
        <w:pStyle w:val="subsection"/>
      </w:pPr>
      <w:r>
        <w:tab/>
      </w:r>
      <w:r w:rsidRPr="006E1E2F">
        <w:t>(2)</w:t>
      </w:r>
      <w:r>
        <w:tab/>
      </w:r>
      <w:r w:rsidRPr="006E1E2F">
        <w:t xml:space="preserve">If the person was a member of staff engaged under the </w:t>
      </w:r>
      <w:r w:rsidRPr="006E1E2F">
        <w:rPr>
          <w:i/>
          <w:iCs/>
        </w:rPr>
        <w:t>Public Service Act 1999</w:t>
      </w:r>
      <w:r w:rsidRPr="006E1E2F">
        <w:t xml:space="preserve">, the person </w:t>
      </w:r>
      <w:proofErr w:type="gramStart"/>
      <w:r w:rsidRPr="006E1E2F">
        <w:t>is taken,</w:t>
      </w:r>
      <w:proofErr w:type="gramEnd"/>
      <w:r w:rsidRPr="006E1E2F">
        <w:t xml:space="preserve"> on and after </w:t>
      </w:r>
      <w:r w:rsidR="00080319" w:rsidRPr="006E1E2F">
        <w:t xml:space="preserve">the </w:t>
      </w:r>
      <w:r w:rsidR="0022083E" w:rsidRPr="0022083E">
        <w:t>External Reporting Australia</w:t>
      </w:r>
      <w:r w:rsidR="00080319" w:rsidRPr="006E1E2F">
        <w:t xml:space="preserve"> start day</w:t>
      </w:r>
      <w:r w:rsidRPr="006E1E2F">
        <w:t xml:space="preserve">, to be engaged as a member of the staff of </w:t>
      </w:r>
      <w:r w:rsidR="0022083E" w:rsidRPr="0022083E">
        <w:t>External Reporting Australia</w:t>
      </w:r>
      <w:r w:rsidRPr="006E1E2F">
        <w:t xml:space="preserve"> under paragraph 23</w:t>
      </w:r>
      <w:r>
        <w:t>1</w:t>
      </w:r>
      <w:r w:rsidRPr="006E1E2F">
        <w:t>(1)(a) of the amended Act on the same terms and conditions.</w:t>
      </w:r>
    </w:p>
    <w:p w14:paraId="250BB453" w14:textId="4DD1D270" w:rsidR="006E1E2F" w:rsidRPr="006E1E2F" w:rsidRDefault="006E1E2F" w:rsidP="006E1E2F">
      <w:pPr>
        <w:pStyle w:val="subsection"/>
      </w:pPr>
      <w:r>
        <w:tab/>
      </w:r>
      <w:r w:rsidRPr="006E1E2F">
        <w:t>(3)</w:t>
      </w:r>
      <w:r>
        <w:tab/>
      </w:r>
      <w:r w:rsidRPr="006E1E2F">
        <w:t xml:space="preserve">Otherwise, the person </w:t>
      </w:r>
      <w:proofErr w:type="gramStart"/>
      <w:r w:rsidRPr="006E1E2F">
        <w:t>is taken,</w:t>
      </w:r>
      <w:proofErr w:type="gramEnd"/>
      <w:r w:rsidRPr="006E1E2F">
        <w:t xml:space="preserve"> on and after </w:t>
      </w:r>
      <w:r w:rsidR="00080319" w:rsidRPr="006E1E2F">
        <w:t xml:space="preserve">the </w:t>
      </w:r>
      <w:r w:rsidR="0022083E" w:rsidRPr="0022083E">
        <w:t>External Reporting Australia</w:t>
      </w:r>
      <w:r w:rsidR="00080319" w:rsidRPr="006E1E2F">
        <w:t xml:space="preserve"> start day</w:t>
      </w:r>
      <w:r w:rsidRPr="006E1E2F">
        <w:t xml:space="preserve">, to be employed as a member of the staff of </w:t>
      </w:r>
      <w:r w:rsidR="003F5783" w:rsidRPr="0022083E">
        <w:t>External Reporting Australia</w:t>
      </w:r>
      <w:r w:rsidRPr="006E1E2F">
        <w:t xml:space="preserve"> under paragraph 23</w:t>
      </w:r>
      <w:r>
        <w:t>1</w:t>
      </w:r>
      <w:r w:rsidRPr="006E1E2F">
        <w:t>(1)(b) of the amended Act on the same terms and conditions.</w:t>
      </w:r>
    </w:p>
    <w:p w14:paraId="4D11AC91" w14:textId="2B123EA8" w:rsidR="006E1E2F" w:rsidRPr="006E1E2F" w:rsidRDefault="006E1E2F" w:rsidP="006E1E2F">
      <w:pPr>
        <w:pStyle w:val="subsection"/>
      </w:pPr>
      <w:r>
        <w:tab/>
      </w:r>
      <w:r w:rsidRPr="006E1E2F">
        <w:t>(4)</w:t>
      </w:r>
      <w:r>
        <w:tab/>
      </w:r>
      <w:r w:rsidRPr="006E1E2F">
        <w:t>The repeal of sections 235E and 236DC of the old Act does not affect the continuity of employment of the person.</w:t>
      </w:r>
    </w:p>
    <w:p w14:paraId="2B18F359" w14:textId="0582F955" w:rsidR="00BC2B55" w:rsidRDefault="001E09C2" w:rsidP="001C2B21">
      <w:pPr>
        <w:pStyle w:val="ActHead5"/>
      </w:pPr>
      <w:proofErr w:type="gramStart"/>
      <w:r>
        <w:rPr>
          <w:rStyle w:val="CharSectno"/>
        </w:rPr>
        <w:t>353</w:t>
      </w:r>
      <w:r w:rsidR="00BC2B55" w:rsidRPr="007B61D4">
        <w:t xml:space="preserve"> </w:t>
      </w:r>
      <w:r w:rsidR="00BC2B55">
        <w:t xml:space="preserve"> </w:t>
      </w:r>
      <w:r w:rsidR="00BC2B55" w:rsidRPr="007B61D4">
        <w:t>Consultant</w:t>
      </w:r>
      <w:r w:rsidR="00BC2B55">
        <w:t>s</w:t>
      </w:r>
      <w:proofErr w:type="gramEnd"/>
    </w:p>
    <w:p w14:paraId="773C6197" w14:textId="727D1D8C" w:rsidR="00BC2B55" w:rsidRDefault="00BC2B55" w:rsidP="001C2B21">
      <w:pPr>
        <w:pStyle w:val="subsection"/>
      </w:pPr>
      <w:r w:rsidRPr="007B61D4">
        <w:tab/>
      </w:r>
      <w:r>
        <w:t>(1)</w:t>
      </w:r>
      <w:r w:rsidRPr="007B61D4">
        <w:tab/>
      </w:r>
      <w:r w:rsidR="00371B84">
        <w:t>This section applies to a</w:t>
      </w:r>
      <w:r w:rsidRPr="007B61D4">
        <w:t xml:space="preserve"> person who, immediately before the </w:t>
      </w:r>
      <w:r w:rsidR="0022083E" w:rsidRPr="0022083E">
        <w:t>External Reporting Australia</w:t>
      </w:r>
      <w:r>
        <w:t xml:space="preserve"> start day</w:t>
      </w:r>
      <w:r w:rsidRPr="007B61D4">
        <w:t>, was</w:t>
      </w:r>
      <w:r>
        <w:t>:</w:t>
      </w:r>
    </w:p>
    <w:p w14:paraId="6278C9E6" w14:textId="69526006" w:rsidR="00BC2B55" w:rsidRPr="007F6E84" w:rsidRDefault="00BC2B55" w:rsidP="001C2B21">
      <w:pPr>
        <w:pStyle w:val="paragraph"/>
      </w:pPr>
      <w:r>
        <w:tab/>
        <w:t>(a)</w:t>
      </w:r>
      <w:r>
        <w:tab/>
      </w:r>
      <w:r w:rsidRPr="007F6E84">
        <w:t xml:space="preserve">engaged to perform services for the Office of the </w:t>
      </w:r>
      <w:r w:rsidRPr="00DE71EE">
        <w:t>Australian Accounting Standards Board</w:t>
      </w:r>
      <w:r w:rsidRPr="007F6E84">
        <w:t xml:space="preserve"> under </w:t>
      </w:r>
      <w:r w:rsidR="003234FC">
        <w:t>sub</w:t>
      </w:r>
      <w:r w:rsidR="00874A53">
        <w:t>section 2</w:t>
      </w:r>
      <w:r w:rsidRPr="007F6E84">
        <w:t>35</w:t>
      </w:r>
      <w:proofErr w:type="gramStart"/>
      <w:r w:rsidRPr="007F6E84">
        <w:t>F(</w:t>
      </w:r>
      <w:proofErr w:type="gramEnd"/>
      <w:r w:rsidRPr="007F6E84">
        <w:t>1) of the old Act; or</w:t>
      </w:r>
    </w:p>
    <w:p w14:paraId="4EE67A0F" w14:textId="1ED9F1CE" w:rsidR="00BC2B55" w:rsidRDefault="00BC2B55" w:rsidP="001C2B21">
      <w:pPr>
        <w:pStyle w:val="paragraph"/>
      </w:pPr>
      <w:r w:rsidRPr="007F6E84">
        <w:tab/>
        <w:t>(b)</w:t>
      </w:r>
      <w:r w:rsidRPr="007F6E84">
        <w:tab/>
        <w:t>engaged to perform services</w:t>
      </w:r>
      <w:r>
        <w:t xml:space="preserve"> for the Office of the </w:t>
      </w:r>
      <w:r w:rsidRPr="00DE71EE">
        <w:t>Auditing and Assurance Standards Board</w:t>
      </w:r>
      <w:r>
        <w:t xml:space="preserve"> under </w:t>
      </w:r>
      <w:r w:rsidR="003234FC">
        <w:t>sub</w:t>
      </w:r>
      <w:r w:rsidR="00874A53">
        <w:t>section 2</w:t>
      </w:r>
      <w:r>
        <w:t>36</w:t>
      </w:r>
      <w:proofErr w:type="gramStart"/>
      <w:r>
        <w:t>DD(</w:t>
      </w:r>
      <w:proofErr w:type="gramEnd"/>
      <w:r>
        <w:t>1) of the old Act.</w:t>
      </w:r>
    </w:p>
    <w:p w14:paraId="7AE574CD" w14:textId="0CA3F697" w:rsidR="00BC2B55" w:rsidRDefault="00BC2B55" w:rsidP="001C2B21">
      <w:pPr>
        <w:pStyle w:val="subsection"/>
      </w:pPr>
      <w:r>
        <w:tab/>
        <w:t>(2)</w:t>
      </w:r>
      <w:r>
        <w:tab/>
        <w:t xml:space="preserve">The person </w:t>
      </w:r>
      <w:proofErr w:type="gramStart"/>
      <w:r w:rsidRPr="00877E59">
        <w:t>is taken,</w:t>
      </w:r>
      <w:proofErr w:type="gramEnd"/>
      <w:r w:rsidRPr="00877E59">
        <w:t xml:space="preserve"> on and after that da</w:t>
      </w:r>
      <w:r>
        <w:t>y</w:t>
      </w:r>
      <w:r w:rsidRPr="00877E59">
        <w:t xml:space="preserve">, to be engaged by </w:t>
      </w:r>
      <w:r w:rsidR="0022083E" w:rsidRPr="0022083E">
        <w:t>External Reporting Australia</w:t>
      </w:r>
      <w:r w:rsidRPr="00877E59">
        <w:t xml:space="preserve"> under section </w:t>
      </w:r>
      <w:r w:rsidR="001E09C2">
        <w:t>231A</w:t>
      </w:r>
      <w:r>
        <w:t xml:space="preserve"> </w:t>
      </w:r>
      <w:r w:rsidRPr="00877E59">
        <w:t xml:space="preserve">of the </w:t>
      </w:r>
      <w:r>
        <w:t>amended</w:t>
      </w:r>
      <w:r w:rsidRPr="00877E59">
        <w:t xml:space="preserve"> Act on the same terms and conditions</w:t>
      </w:r>
      <w:r w:rsidRPr="0022435F">
        <w:t>.</w:t>
      </w:r>
    </w:p>
    <w:p w14:paraId="4FBED721" w14:textId="0937C7FD" w:rsidR="00BC2B55" w:rsidRDefault="001E09C2" w:rsidP="001C2B21">
      <w:pPr>
        <w:pStyle w:val="ActHead5"/>
      </w:pPr>
      <w:proofErr w:type="gramStart"/>
      <w:r>
        <w:rPr>
          <w:rStyle w:val="CharSectno"/>
        </w:rPr>
        <w:lastRenderedPageBreak/>
        <w:t>354</w:t>
      </w:r>
      <w:r w:rsidR="00BC2B55" w:rsidRPr="007B61D4">
        <w:t xml:space="preserve"> </w:t>
      </w:r>
      <w:r w:rsidR="00BC2B55">
        <w:t xml:space="preserve"> Persons</w:t>
      </w:r>
      <w:proofErr w:type="gramEnd"/>
      <w:r w:rsidR="00BC2B55">
        <w:t xml:space="preserve"> assisting</w:t>
      </w:r>
    </w:p>
    <w:p w14:paraId="674FF42A" w14:textId="3BFFF32D" w:rsidR="00BC2B55" w:rsidRDefault="00BC2B55" w:rsidP="001C2B21">
      <w:pPr>
        <w:pStyle w:val="subsection"/>
      </w:pPr>
      <w:r w:rsidRPr="007B61D4">
        <w:tab/>
      </w:r>
      <w:r>
        <w:t>(1)</w:t>
      </w:r>
      <w:r w:rsidRPr="007B61D4">
        <w:tab/>
        <w:t>A person who</w:t>
      </w:r>
      <w:r>
        <w:t xml:space="preserve">se services were available to the Office of the </w:t>
      </w:r>
      <w:r w:rsidRPr="00DE71EE">
        <w:t>Australian Accounting Standards Board</w:t>
      </w:r>
      <w:r>
        <w:t xml:space="preserve"> under </w:t>
      </w:r>
      <w:r w:rsidR="003234FC">
        <w:t>sub</w:t>
      </w:r>
      <w:r w:rsidR="00874A53">
        <w:t>section 2</w:t>
      </w:r>
      <w:r>
        <w:t>35F(3) of the old Act</w:t>
      </w:r>
      <w:r w:rsidRPr="007B61D4">
        <w:t xml:space="preserve">, immediately before </w:t>
      </w:r>
      <w:r>
        <w:t xml:space="preserve">the </w:t>
      </w:r>
      <w:r w:rsidR="0022083E" w:rsidRPr="0022083E">
        <w:t>External Reporting Australia</w:t>
      </w:r>
      <w:r>
        <w:t xml:space="preserve"> start day</w:t>
      </w:r>
      <w:r w:rsidRPr="007B61D4">
        <w:t xml:space="preserve"> </w:t>
      </w:r>
      <w:r w:rsidRPr="00877E59">
        <w:t>is taken on and after that da</w:t>
      </w:r>
      <w:r>
        <w:t xml:space="preserve">y to be a person whose services are made available to </w:t>
      </w:r>
      <w:r w:rsidR="0022083E" w:rsidRPr="0022083E">
        <w:t>External Reporting Australia</w:t>
      </w:r>
      <w:r>
        <w:t xml:space="preserve"> under section </w:t>
      </w:r>
      <w:r w:rsidR="001E09C2">
        <w:t>231B</w:t>
      </w:r>
      <w:r>
        <w:t xml:space="preserve"> of the amended Act on the same terms and conditions.</w:t>
      </w:r>
    </w:p>
    <w:p w14:paraId="0156CDAC" w14:textId="6520DD03" w:rsidR="00BC2B55" w:rsidRDefault="00BC2B55" w:rsidP="001C2B21">
      <w:pPr>
        <w:pStyle w:val="subsection"/>
      </w:pPr>
      <w:r>
        <w:tab/>
        <w:t>(2)</w:t>
      </w:r>
      <w:r>
        <w:tab/>
      </w:r>
      <w:r w:rsidRPr="007B61D4">
        <w:t>A person who</w:t>
      </w:r>
      <w:r>
        <w:t xml:space="preserve">se services were available to the Office of the </w:t>
      </w:r>
      <w:r w:rsidRPr="00DE71EE">
        <w:t>Auditing and Assurance Standards Board</w:t>
      </w:r>
      <w:r>
        <w:t xml:space="preserve"> under </w:t>
      </w:r>
      <w:r w:rsidR="003234FC">
        <w:t>sub</w:t>
      </w:r>
      <w:r w:rsidR="00874A53">
        <w:t>section 2</w:t>
      </w:r>
      <w:r>
        <w:t>36DD(3) of the old Act</w:t>
      </w:r>
      <w:r w:rsidRPr="007B61D4">
        <w:t xml:space="preserve">, immediately before the </w:t>
      </w:r>
      <w:r w:rsidR="0022083E" w:rsidRPr="0022083E">
        <w:t>External Reporting Australia</w:t>
      </w:r>
      <w:r>
        <w:t xml:space="preserve"> start day</w:t>
      </w:r>
      <w:r w:rsidRPr="007B61D4">
        <w:t xml:space="preserve"> </w:t>
      </w:r>
      <w:r w:rsidRPr="00877E59">
        <w:t>is taken on and after that da</w:t>
      </w:r>
      <w:r>
        <w:t xml:space="preserve">y to be a person whose services are made available to </w:t>
      </w:r>
      <w:r w:rsidR="0022083E" w:rsidRPr="0022083E">
        <w:t>External Reporting Australia</w:t>
      </w:r>
      <w:r>
        <w:t xml:space="preserve"> under section </w:t>
      </w:r>
      <w:r w:rsidR="001E09C2">
        <w:t>231B</w:t>
      </w:r>
      <w:r>
        <w:t xml:space="preserve"> of the amended Act on the same terms and conditions.</w:t>
      </w:r>
    </w:p>
    <w:p w14:paraId="7A1CEDDD" w14:textId="38CBA9DC" w:rsidR="00BC2B55" w:rsidRPr="008E14F0" w:rsidRDefault="001E09C2" w:rsidP="001C2B21">
      <w:pPr>
        <w:pStyle w:val="ActHead5"/>
      </w:pPr>
      <w:proofErr w:type="gramStart"/>
      <w:r>
        <w:rPr>
          <w:rStyle w:val="CharSectno"/>
        </w:rPr>
        <w:t>355</w:t>
      </w:r>
      <w:r w:rsidR="00BC2B55" w:rsidRPr="008E14F0">
        <w:t xml:space="preserve">  Transfer</w:t>
      </w:r>
      <w:proofErr w:type="gramEnd"/>
      <w:r w:rsidR="00BC2B55" w:rsidRPr="008E14F0">
        <w:t xml:space="preserve"> of records</w:t>
      </w:r>
    </w:p>
    <w:p w14:paraId="42DE21D6" w14:textId="3C282680" w:rsidR="00BC2B55" w:rsidRDefault="00BC2B55" w:rsidP="001C2B21">
      <w:pPr>
        <w:pStyle w:val="subsection"/>
      </w:pPr>
      <w:r>
        <w:tab/>
        <w:t>(1)</w:t>
      </w:r>
      <w:r>
        <w:tab/>
        <w:t xml:space="preserve">This section applies to any records or documents that were in the possession of the following before the </w:t>
      </w:r>
      <w:r w:rsidR="003F5783" w:rsidRPr="0022083E">
        <w:t>External Reporting Australia</w:t>
      </w:r>
      <w:r>
        <w:t xml:space="preserve"> start day:</w:t>
      </w:r>
    </w:p>
    <w:p w14:paraId="5EC4D8FF" w14:textId="77777777" w:rsidR="00BC2B55" w:rsidRPr="006F32C0" w:rsidRDefault="00BC2B55" w:rsidP="001C2B21">
      <w:pPr>
        <w:pStyle w:val="paragraph"/>
      </w:pPr>
      <w:r>
        <w:tab/>
      </w:r>
      <w:r w:rsidRPr="006F32C0">
        <w:t>(a)</w:t>
      </w:r>
      <w:r w:rsidRPr="006F32C0">
        <w:tab/>
        <w:t xml:space="preserve">the </w:t>
      </w:r>
      <w:r w:rsidRPr="00DE71EE">
        <w:t xml:space="preserve">Financial Reporting </w:t>
      </w:r>
      <w:proofErr w:type="gramStart"/>
      <w:r w:rsidRPr="00DE71EE">
        <w:t>Council</w:t>
      </w:r>
      <w:r w:rsidRPr="006F32C0">
        <w:t>;</w:t>
      </w:r>
      <w:proofErr w:type="gramEnd"/>
    </w:p>
    <w:p w14:paraId="40C588B3" w14:textId="77777777" w:rsidR="00BC2B55" w:rsidRPr="006F32C0" w:rsidRDefault="00BC2B55" w:rsidP="001C2B21">
      <w:pPr>
        <w:pStyle w:val="paragraph"/>
      </w:pPr>
      <w:r w:rsidRPr="006F32C0">
        <w:tab/>
        <w:t>(</w:t>
      </w:r>
      <w:r>
        <w:t>b</w:t>
      </w:r>
      <w:r w:rsidRPr="006F32C0">
        <w:t>)</w:t>
      </w:r>
      <w:r w:rsidRPr="006F32C0">
        <w:tab/>
        <w:t xml:space="preserve">the </w:t>
      </w:r>
      <w:r w:rsidRPr="00DE71EE">
        <w:t xml:space="preserve">Australian Accounting Standards </w:t>
      </w:r>
      <w:proofErr w:type="gramStart"/>
      <w:r w:rsidRPr="00DE71EE">
        <w:t>Board</w:t>
      </w:r>
      <w:r w:rsidRPr="006F32C0">
        <w:t>;</w:t>
      </w:r>
      <w:proofErr w:type="gramEnd"/>
    </w:p>
    <w:p w14:paraId="751A219A" w14:textId="77777777" w:rsidR="00BC2B55" w:rsidRPr="006F32C0" w:rsidRDefault="00BC2B55" w:rsidP="001C2B21">
      <w:pPr>
        <w:pStyle w:val="paragraph"/>
      </w:pPr>
      <w:r w:rsidRPr="006F32C0">
        <w:tab/>
        <w:t>(</w:t>
      </w:r>
      <w:r>
        <w:t>c</w:t>
      </w:r>
      <w:r w:rsidRPr="006F32C0">
        <w:t>)</w:t>
      </w:r>
      <w:r w:rsidRPr="006F32C0">
        <w:tab/>
        <w:t xml:space="preserve">the Office of the </w:t>
      </w:r>
      <w:r w:rsidRPr="00DE71EE">
        <w:t xml:space="preserve">Auditing and Assurance Standards </w:t>
      </w:r>
      <w:proofErr w:type="gramStart"/>
      <w:r w:rsidRPr="00DE71EE">
        <w:t>Board</w:t>
      </w:r>
      <w:r w:rsidRPr="006F32C0">
        <w:t>;</w:t>
      </w:r>
      <w:proofErr w:type="gramEnd"/>
    </w:p>
    <w:p w14:paraId="06880457" w14:textId="77777777" w:rsidR="00BC2B55" w:rsidRDefault="00BC2B55" w:rsidP="001C2B21">
      <w:pPr>
        <w:pStyle w:val="paragraph"/>
      </w:pPr>
      <w:r w:rsidRPr="006F32C0">
        <w:tab/>
        <w:t>(</w:t>
      </w:r>
      <w:r>
        <w:t>d</w:t>
      </w:r>
      <w:r w:rsidRPr="006F32C0">
        <w:t>)</w:t>
      </w:r>
      <w:r w:rsidRPr="006F32C0">
        <w:tab/>
        <w:t xml:space="preserve">the </w:t>
      </w:r>
      <w:r w:rsidRPr="00DE71EE">
        <w:t>Auditing and Assurance Standards Board</w:t>
      </w:r>
      <w:r w:rsidRPr="006F32C0">
        <w:t>.</w:t>
      </w:r>
    </w:p>
    <w:p w14:paraId="2B1B2698" w14:textId="78403ABB" w:rsidR="00BC2B55" w:rsidRPr="002A5924" w:rsidRDefault="00BC2B55" w:rsidP="001C2B21">
      <w:pPr>
        <w:pStyle w:val="notetext"/>
      </w:pPr>
      <w:r>
        <w:t>Note:</w:t>
      </w:r>
      <w:r>
        <w:tab/>
        <w:t xml:space="preserve">The Office of the </w:t>
      </w:r>
      <w:r w:rsidRPr="00DE71EE">
        <w:t>Australian Accounting Standards Board</w:t>
      </w:r>
      <w:r>
        <w:t xml:space="preserve"> is continued in existence as </w:t>
      </w:r>
      <w:r w:rsidR="003F5783" w:rsidRPr="0022083E">
        <w:t>External Reporting Australia</w:t>
      </w:r>
      <w:r>
        <w:t xml:space="preserve"> by subsection </w:t>
      </w:r>
      <w:r w:rsidR="001E09C2">
        <w:t>225</w:t>
      </w:r>
      <w:r>
        <w:t>(1) of the amended Act.</w:t>
      </w:r>
    </w:p>
    <w:p w14:paraId="4BA45668" w14:textId="775FCBC1" w:rsidR="00BC2B55" w:rsidRDefault="00BC2B55" w:rsidP="001C2B21">
      <w:pPr>
        <w:pStyle w:val="subsection"/>
      </w:pPr>
      <w:r>
        <w:tab/>
        <w:t>(2)</w:t>
      </w:r>
      <w:r>
        <w:tab/>
        <w:t xml:space="preserve">The records and documents are to be transferred to </w:t>
      </w:r>
      <w:r w:rsidR="003F5783" w:rsidRPr="0022083E">
        <w:t>External Reporting Australia</w:t>
      </w:r>
      <w:r>
        <w:t xml:space="preserve"> on or </w:t>
      </w:r>
      <w:r w:rsidRPr="006F32C0">
        <w:t xml:space="preserve">after the </w:t>
      </w:r>
      <w:r w:rsidR="003F5783" w:rsidRPr="0022083E">
        <w:t>External Reporting Australia</w:t>
      </w:r>
      <w:r>
        <w:t xml:space="preserve"> start day.</w:t>
      </w:r>
    </w:p>
    <w:p w14:paraId="49C91BF1" w14:textId="7934CB22" w:rsidR="00C2207D" w:rsidRPr="00C2207D" w:rsidRDefault="00C2207D" w:rsidP="001C2B21">
      <w:pPr>
        <w:pStyle w:val="notetext"/>
      </w:pPr>
      <w:r w:rsidRPr="00C2207D">
        <w:t>Note:</w:t>
      </w:r>
      <w:r w:rsidRPr="00C2207D">
        <w:tab/>
        <w:t xml:space="preserve">Any records and documents transferred are Commonwealth records for the purposes of the </w:t>
      </w:r>
      <w:r w:rsidRPr="00C2207D">
        <w:rPr>
          <w:i/>
          <w:iCs/>
        </w:rPr>
        <w:t>Archives Act 1983</w:t>
      </w:r>
      <w:r w:rsidRPr="00C2207D">
        <w:t>.</w:t>
      </w:r>
    </w:p>
    <w:p w14:paraId="0EA0BCA0" w14:textId="531A01A8" w:rsidR="00BC2B55" w:rsidRDefault="001E09C2" w:rsidP="001C2B21">
      <w:pPr>
        <w:pStyle w:val="ActHead5"/>
      </w:pPr>
      <w:proofErr w:type="gramStart"/>
      <w:r>
        <w:rPr>
          <w:rStyle w:val="CharSectno"/>
        </w:rPr>
        <w:t>356</w:t>
      </w:r>
      <w:r w:rsidR="00BC2B55">
        <w:t xml:space="preserve">  Application</w:t>
      </w:r>
      <w:proofErr w:type="gramEnd"/>
      <w:r w:rsidR="00BC2B55">
        <w:t xml:space="preserve"> provision—disclosure of information</w:t>
      </w:r>
    </w:p>
    <w:p w14:paraId="47710C2F" w14:textId="27BE6F43" w:rsidR="00BC2B55" w:rsidRDefault="00BC2B55" w:rsidP="001C2B21">
      <w:pPr>
        <w:pStyle w:val="subsection"/>
      </w:pPr>
      <w:r>
        <w:tab/>
      </w:r>
      <w:r>
        <w:tab/>
        <w:t xml:space="preserve">Section </w:t>
      </w:r>
      <w:r w:rsidR="001E09C2">
        <w:t>233B</w:t>
      </w:r>
      <w:r>
        <w:t xml:space="preserve"> of the amended Act applies </w:t>
      </w:r>
      <w:r w:rsidRPr="009C26EE">
        <w:t xml:space="preserve">in relation to the disclosure of information on or after the </w:t>
      </w:r>
      <w:r w:rsidR="003F5783" w:rsidRPr="0022083E">
        <w:t>External Reporting Australia</w:t>
      </w:r>
      <w:r>
        <w:t xml:space="preserve"> start day</w:t>
      </w:r>
      <w:r w:rsidRPr="009C26EE">
        <w:t xml:space="preserve">, whether the information was </w:t>
      </w:r>
      <w:r>
        <w:t xml:space="preserve">given </w:t>
      </w:r>
      <w:r w:rsidR="00A94757">
        <w:t>(</w:t>
      </w:r>
      <w:r w:rsidRPr="004D5112">
        <w:t>or is taken to have been given</w:t>
      </w:r>
      <w:r w:rsidR="00A94757">
        <w:t>)</w:t>
      </w:r>
      <w:r>
        <w:t xml:space="preserve"> to </w:t>
      </w:r>
      <w:r w:rsidR="003F5783" w:rsidRPr="0022083E">
        <w:t>External Reporting Australia</w:t>
      </w:r>
      <w:r>
        <w:t xml:space="preserve"> before</w:t>
      </w:r>
      <w:r w:rsidRPr="009C26EE">
        <w:t xml:space="preserve">, on or after that </w:t>
      </w:r>
      <w:r>
        <w:t>day.</w:t>
      </w:r>
    </w:p>
    <w:p w14:paraId="56ED3A8B" w14:textId="0F2125DA" w:rsidR="00BC2B55" w:rsidRPr="00796128" w:rsidRDefault="00874A53" w:rsidP="001C2B21">
      <w:pPr>
        <w:pStyle w:val="ActHead3"/>
        <w:pageBreakBefore/>
      </w:pPr>
      <w:r w:rsidRPr="001C2B21">
        <w:rPr>
          <w:rStyle w:val="CharDivNo"/>
        </w:rPr>
        <w:lastRenderedPageBreak/>
        <w:t>Division 4</w:t>
      </w:r>
      <w:r w:rsidR="00BC2B55" w:rsidRPr="00502188">
        <w:t>—</w:t>
      </w:r>
      <w:r w:rsidR="00BC2B55" w:rsidRPr="001C2B21">
        <w:rPr>
          <w:rStyle w:val="CharDivText"/>
        </w:rPr>
        <w:t>Certain instruments and standards, and things done by bodies, etc.</w:t>
      </w:r>
    </w:p>
    <w:p w14:paraId="65EBCDAC" w14:textId="4FBF2007" w:rsidR="00BC2B55" w:rsidRPr="007D31B7" w:rsidRDefault="001E09C2" w:rsidP="001C2B21">
      <w:pPr>
        <w:pStyle w:val="ActHead5"/>
      </w:pPr>
      <w:r>
        <w:rPr>
          <w:rStyle w:val="CharSectno"/>
        </w:rPr>
        <w:t>357</w:t>
      </w:r>
      <w:r w:rsidR="00BC2B55" w:rsidRPr="007D31B7">
        <w:t> </w:t>
      </w:r>
      <w:r w:rsidR="00BC2B55">
        <w:t xml:space="preserve"> </w:t>
      </w:r>
      <w:r w:rsidR="00BC2B55" w:rsidRPr="007D31B7">
        <w:t xml:space="preserve"> </w:t>
      </w:r>
      <w:proofErr w:type="gramStart"/>
      <w:r w:rsidR="00BC2B55" w:rsidRPr="007D31B7">
        <w:t>Transitional—references</w:t>
      </w:r>
      <w:proofErr w:type="gramEnd"/>
      <w:r w:rsidR="00BC2B55" w:rsidRPr="007D31B7">
        <w:t xml:space="preserve"> to bodies in instruments</w:t>
      </w:r>
    </w:p>
    <w:p w14:paraId="223E1DE5" w14:textId="77777777" w:rsidR="00BC2B55" w:rsidRPr="007D31B7" w:rsidRDefault="00BC2B55" w:rsidP="001C2B21">
      <w:pPr>
        <w:pStyle w:val="subsection"/>
      </w:pPr>
      <w:r>
        <w:tab/>
      </w:r>
      <w:r w:rsidRPr="007D31B7">
        <w:t>(1)</w:t>
      </w:r>
      <w:r>
        <w:tab/>
      </w:r>
      <w:r w:rsidRPr="007D31B7">
        <w:t xml:space="preserve">This </w:t>
      </w:r>
      <w:r>
        <w:t>section</w:t>
      </w:r>
      <w:r w:rsidRPr="007D31B7">
        <w:t xml:space="preserve"> applies to an instrument if:</w:t>
      </w:r>
    </w:p>
    <w:p w14:paraId="440DAEEF" w14:textId="2B040455" w:rsidR="00BC2B55" w:rsidRPr="00655CC0" w:rsidRDefault="00BC2B55" w:rsidP="001C2B21">
      <w:pPr>
        <w:pStyle w:val="paragraph"/>
      </w:pPr>
      <w:r>
        <w:tab/>
      </w:r>
      <w:r w:rsidRPr="00655CC0">
        <w:t>(a) </w:t>
      </w:r>
      <w:r>
        <w:tab/>
      </w:r>
      <w:r w:rsidRPr="00655CC0">
        <w:t xml:space="preserve">the instrument was in force immediately before the </w:t>
      </w:r>
      <w:r w:rsidR="003F5783" w:rsidRPr="0022083E">
        <w:t>External Reporting Australia</w:t>
      </w:r>
      <w:r>
        <w:t xml:space="preserve"> </w:t>
      </w:r>
      <w:r w:rsidRPr="00655CC0">
        <w:t>start day; and</w:t>
      </w:r>
    </w:p>
    <w:p w14:paraId="5BFCF15F" w14:textId="77777777" w:rsidR="00BC2B55" w:rsidRPr="00655CC0" w:rsidRDefault="00BC2B55" w:rsidP="001C2B21">
      <w:pPr>
        <w:pStyle w:val="paragraph"/>
      </w:pPr>
      <w:r>
        <w:tab/>
      </w:r>
      <w:r w:rsidRPr="00655CC0">
        <w:t>(b) </w:t>
      </w:r>
      <w:r>
        <w:tab/>
      </w:r>
      <w:r w:rsidRPr="00655CC0">
        <w:t>the instrument contains a reference to:</w:t>
      </w:r>
    </w:p>
    <w:p w14:paraId="11C4AE98" w14:textId="77777777" w:rsidR="00BC2B55" w:rsidRPr="00655CC0" w:rsidRDefault="00BC2B55" w:rsidP="001C2B21">
      <w:pPr>
        <w:pStyle w:val="paragraphsub"/>
      </w:pPr>
      <w:r>
        <w:tab/>
      </w:r>
      <w:r w:rsidRPr="00655CC0">
        <w:t>(i) </w:t>
      </w:r>
      <w:r>
        <w:tab/>
      </w:r>
      <w:r w:rsidRPr="00655CC0">
        <w:t>the Financial Reporting Council; or</w:t>
      </w:r>
    </w:p>
    <w:p w14:paraId="416AB1F8" w14:textId="77777777" w:rsidR="00BC2B55" w:rsidRPr="00655CC0" w:rsidRDefault="00BC2B55" w:rsidP="001C2B21">
      <w:pPr>
        <w:pStyle w:val="paragraphsub"/>
      </w:pPr>
      <w:r>
        <w:tab/>
      </w:r>
      <w:r w:rsidRPr="00655CC0">
        <w:t>(ii) </w:t>
      </w:r>
      <w:r>
        <w:tab/>
      </w:r>
      <w:r w:rsidRPr="00655CC0">
        <w:t>the Australian Accounting Standards Board; or</w:t>
      </w:r>
    </w:p>
    <w:p w14:paraId="353A4C23" w14:textId="77777777" w:rsidR="00BC2B55" w:rsidRPr="00655CC0" w:rsidRDefault="00BC2B55" w:rsidP="001C2B21">
      <w:pPr>
        <w:pStyle w:val="paragraphsub"/>
      </w:pPr>
      <w:r>
        <w:tab/>
      </w:r>
      <w:r w:rsidRPr="00655CC0">
        <w:t>(iii) </w:t>
      </w:r>
      <w:r>
        <w:tab/>
      </w:r>
      <w:r w:rsidRPr="00655CC0">
        <w:t>the Auditing and Assurance Standards Board; or</w:t>
      </w:r>
    </w:p>
    <w:p w14:paraId="1887BAC7" w14:textId="77777777" w:rsidR="00BC2B55" w:rsidRPr="00655CC0" w:rsidRDefault="00BC2B55" w:rsidP="001C2B21">
      <w:pPr>
        <w:pStyle w:val="paragraphsub"/>
      </w:pPr>
      <w:r>
        <w:tab/>
      </w:r>
      <w:r w:rsidRPr="00655CC0">
        <w:t>(iv) </w:t>
      </w:r>
      <w:r>
        <w:tab/>
      </w:r>
      <w:r w:rsidRPr="00655CC0">
        <w:t>the Office of the Auditing and Assurance Standards Board.</w:t>
      </w:r>
    </w:p>
    <w:p w14:paraId="2A151287" w14:textId="13A156FB" w:rsidR="00BC2B55" w:rsidRPr="007D31B7" w:rsidRDefault="00BC2B55" w:rsidP="001C2B21">
      <w:pPr>
        <w:pStyle w:val="notetext"/>
      </w:pPr>
      <w:r w:rsidRPr="007D31B7">
        <w:t>Note:</w:t>
      </w:r>
      <w:r w:rsidRPr="00BB6D20">
        <w:tab/>
      </w:r>
      <w:r w:rsidRPr="007D31B7">
        <w:t xml:space="preserve">See </w:t>
      </w:r>
      <w:r w:rsidR="00874A53">
        <w:t>section 2</w:t>
      </w:r>
      <w:r w:rsidRPr="007D31B7">
        <w:t xml:space="preserve">5B of the </w:t>
      </w:r>
      <w:r w:rsidRPr="00BB6D20">
        <w:rPr>
          <w:i/>
          <w:iCs/>
        </w:rPr>
        <w:t xml:space="preserve">Acts Interpretation Act 1901 </w:t>
      </w:r>
      <w:r w:rsidRPr="007D31B7">
        <w:t>in relation to references to the Office of the Australian Accounting Standards Board.</w:t>
      </w:r>
    </w:p>
    <w:p w14:paraId="60AAB334" w14:textId="0B01530C" w:rsidR="00BC2B55" w:rsidRPr="007D31B7" w:rsidRDefault="00BC2B55" w:rsidP="001C2B21">
      <w:pPr>
        <w:pStyle w:val="subsection"/>
      </w:pPr>
      <w:r>
        <w:tab/>
      </w:r>
      <w:r w:rsidRPr="007D31B7">
        <w:t>(2) </w:t>
      </w:r>
      <w:r>
        <w:tab/>
      </w:r>
      <w:r w:rsidRPr="007D31B7">
        <w:t xml:space="preserve">The instrument has effect, on and after the </w:t>
      </w:r>
      <w:r w:rsidR="003F5783" w:rsidRPr="0022083E">
        <w:t>External Reporting Australia</w:t>
      </w:r>
      <w:r>
        <w:t xml:space="preserve"> </w:t>
      </w:r>
      <w:r w:rsidRPr="007D31B7">
        <w:t xml:space="preserve">start day, as if the reference were a reference to </w:t>
      </w:r>
      <w:r w:rsidR="003F5783" w:rsidRPr="0022083E">
        <w:t>External Reporting Australia</w:t>
      </w:r>
      <w:r w:rsidRPr="007D31B7">
        <w:t>.</w:t>
      </w:r>
    </w:p>
    <w:p w14:paraId="0FA9AC42" w14:textId="771D84E6" w:rsidR="00BC2B55" w:rsidRPr="007D31B7" w:rsidRDefault="00BC2B55" w:rsidP="001C2B21">
      <w:pPr>
        <w:pStyle w:val="subsection"/>
      </w:pPr>
      <w:r>
        <w:tab/>
      </w:r>
      <w:r w:rsidRPr="007D31B7">
        <w:t>(3) </w:t>
      </w:r>
      <w:r>
        <w:tab/>
      </w:r>
      <w:r w:rsidRPr="007D31B7">
        <w:t xml:space="preserve">The rules may provide that </w:t>
      </w:r>
      <w:r w:rsidR="001C2B21">
        <w:t>subsection (</w:t>
      </w:r>
      <w:r w:rsidRPr="007D31B7">
        <w:t>2) does not apply in relation to a specified instrument.</w:t>
      </w:r>
    </w:p>
    <w:p w14:paraId="7B4215B2" w14:textId="4FF0E213" w:rsidR="00BC2B55" w:rsidRDefault="00BC2B55" w:rsidP="001C2B21">
      <w:pPr>
        <w:pStyle w:val="subsection"/>
      </w:pPr>
      <w:r>
        <w:tab/>
      </w:r>
      <w:r w:rsidRPr="007D31B7">
        <w:t>(4) </w:t>
      </w:r>
      <w:r>
        <w:tab/>
      </w:r>
      <w:r w:rsidRPr="007D31B7">
        <w:t xml:space="preserve">This section does not prevent the instrument from being amended or repealed on or after the </w:t>
      </w:r>
      <w:r w:rsidR="003F5783" w:rsidRPr="0022083E">
        <w:t>External Reporting Australia</w:t>
      </w:r>
      <w:r>
        <w:t xml:space="preserve"> </w:t>
      </w:r>
      <w:r w:rsidRPr="007D31B7">
        <w:t>start day.</w:t>
      </w:r>
    </w:p>
    <w:p w14:paraId="314756EF" w14:textId="723C7957" w:rsidR="00BC2B55" w:rsidRPr="00957B7B" w:rsidRDefault="001E09C2" w:rsidP="001C2B21">
      <w:pPr>
        <w:pStyle w:val="ActHead5"/>
      </w:pPr>
      <w:r>
        <w:rPr>
          <w:rStyle w:val="CharSectno"/>
        </w:rPr>
        <w:t>358</w:t>
      </w:r>
      <w:r w:rsidR="00BC2B55" w:rsidRPr="00957B7B">
        <w:t xml:space="preserve">  </w:t>
      </w:r>
      <w:r w:rsidR="00BC2B55">
        <w:t xml:space="preserve"> </w:t>
      </w:r>
      <w:r w:rsidR="00BC2B55" w:rsidRPr="00957B7B">
        <w:t>Things done by, or in relation to, bodies</w:t>
      </w:r>
    </w:p>
    <w:p w14:paraId="18DEDFAD" w14:textId="2F4F5FCD" w:rsidR="00BC2B55" w:rsidRDefault="00BC2B55" w:rsidP="001C2B21">
      <w:pPr>
        <w:pStyle w:val="subsection"/>
      </w:pPr>
      <w:r>
        <w:tab/>
      </w:r>
      <w:r w:rsidRPr="00957B7B">
        <w:t>(1)</w:t>
      </w:r>
      <w:r>
        <w:tab/>
      </w:r>
      <w:r w:rsidRPr="00957B7B">
        <w:t xml:space="preserve">If, before the </w:t>
      </w:r>
      <w:r w:rsidR="003F5783" w:rsidRPr="0022083E">
        <w:t>External Reporting Australia</w:t>
      </w:r>
      <w:r>
        <w:t xml:space="preserve"> </w:t>
      </w:r>
      <w:r w:rsidRPr="00957B7B">
        <w:t xml:space="preserve">start day, a thing was done by, or in relation to, a body mentioned in </w:t>
      </w:r>
      <w:r w:rsidR="001C2B21">
        <w:t>subsection (</w:t>
      </w:r>
      <w:r w:rsidRPr="00957B7B">
        <w:t>2), then the thing has effect, on and after that day, as if it had been done by, or in relation to,</w:t>
      </w:r>
      <w:r w:rsidR="003F5783">
        <w:t xml:space="preserve"> </w:t>
      </w:r>
      <w:r w:rsidR="003F5783" w:rsidRPr="0022083E">
        <w:t>External Reporting Australia</w:t>
      </w:r>
      <w:r w:rsidRPr="00957B7B">
        <w:t>.</w:t>
      </w:r>
    </w:p>
    <w:p w14:paraId="3937A2F3" w14:textId="77777777" w:rsidR="00BC2B55" w:rsidRPr="00957B7B" w:rsidRDefault="00BC2B55" w:rsidP="001C2B21">
      <w:pPr>
        <w:pStyle w:val="subsection"/>
      </w:pPr>
      <w:r>
        <w:tab/>
      </w:r>
      <w:r w:rsidRPr="00957B7B">
        <w:t>(2)</w:t>
      </w:r>
      <w:r>
        <w:tab/>
      </w:r>
      <w:r w:rsidRPr="00957B7B">
        <w:t>The bodies are the following:</w:t>
      </w:r>
    </w:p>
    <w:p w14:paraId="26731979" w14:textId="77777777" w:rsidR="00BC2B55" w:rsidRPr="00957B7B" w:rsidRDefault="00BC2B55" w:rsidP="001C2B21">
      <w:pPr>
        <w:pStyle w:val="paragraph"/>
      </w:pPr>
      <w:r>
        <w:tab/>
      </w:r>
      <w:r w:rsidRPr="00957B7B">
        <w:t>(a)</w:t>
      </w:r>
      <w:r>
        <w:tab/>
      </w:r>
      <w:r w:rsidRPr="00957B7B">
        <w:t xml:space="preserve">the Financial Reporting </w:t>
      </w:r>
      <w:proofErr w:type="gramStart"/>
      <w:r w:rsidRPr="00957B7B">
        <w:t>Council;</w:t>
      </w:r>
      <w:proofErr w:type="gramEnd"/>
    </w:p>
    <w:p w14:paraId="28A4FE97" w14:textId="77777777" w:rsidR="00BC2B55" w:rsidRPr="00957B7B" w:rsidRDefault="00BC2B55" w:rsidP="001C2B21">
      <w:pPr>
        <w:pStyle w:val="paragraph"/>
      </w:pPr>
      <w:r>
        <w:tab/>
      </w:r>
      <w:r w:rsidRPr="00957B7B">
        <w:t>(b)</w:t>
      </w:r>
      <w:r>
        <w:tab/>
      </w:r>
      <w:r w:rsidRPr="00957B7B">
        <w:t xml:space="preserve">the Australian Accounting Standards </w:t>
      </w:r>
      <w:proofErr w:type="gramStart"/>
      <w:r w:rsidRPr="00957B7B">
        <w:t>Board;</w:t>
      </w:r>
      <w:proofErr w:type="gramEnd"/>
    </w:p>
    <w:p w14:paraId="5CC7B335" w14:textId="77777777" w:rsidR="00BC2B55" w:rsidRPr="00957B7B" w:rsidRDefault="00BC2B55" w:rsidP="001C2B21">
      <w:pPr>
        <w:pStyle w:val="paragraph"/>
      </w:pPr>
      <w:r>
        <w:tab/>
      </w:r>
      <w:r w:rsidRPr="00957B7B">
        <w:t>(c)</w:t>
      </w:r>
      <w:r>
        <w:tab/>
      </w:r>
      <w:r w:rsidRPr="00957B7B">
        <w:t xml:space="preserve">the Auditing and Assurance Standards </w:t>
      </w:r>
      <w:proofErr w:type="gramStart"/>
      <w:r w:rsidRPr="00957B7B">
        <w:t>Board;</w:t>
      </w:r>
      <w:proofErr w:type="gramEnd"/>
    </w:p>
    <w:p w14:paraId="7432D59D" w14:textId="77777777" w:rsidR="00BC2B55" w:rsidRDefault="00BC2B55" w:rsidP="001C2B21">
      <w:pPr>
        <w:pStyle w:val="paragraph"/>
      </w:pPr>
      <w:r>
        <w:tab/>
      </w:r>
      <w:r w:rsidRPr="00957B7B">
        <w:t>(d)</w:t>
      </w:r>
      <w:r>
        <w:tab/>
      </w:r>
      <w:r w:rsidRPr="00957B7B">
        <w:t>the Office of the Auditing and Assurance Standards Board.</w:t>
      </w:r>
    </w:p>
    <w:p w14:paraId="5D39CE50" w14:textId="150805C7" w:rsidR="00BC2B55" w:rsidRPr="00CE21A5" w:rsidRDefault="00BC2B55" w:rsidP="001C2B21">
      <w:pPr>
        <w:pStyle w:val="subsection"/>
      </w:pPr>
      <w:r>
        <w:lastRenderedPageBreak/>
        <w:tab/>
      </w:r>
      <w:r w:rsidRPr="000074CD">
        <w:t>(3)</w:t>
      </w:r>
      <w:r w:rsidRPr="000074CD">
        <w:tab/>
      </w:r>
      <w:r w:rsidR="003861E7">
        <w:t>Subsection (</w:t>
      </w:r>
      <w:r w:rsidRPr="000074CD">
        <w:t xml:space="preserve">1) does not apply to the making of an instrument under section </w:t>
      </w:r>
      <w:r w:rsidR="001E09C2">
        <w:t>349</w:t>
      </w:r>
      <w:r w:rsidRPr="000074CD">
        <w:t>.</w:t>
      </w:r>
    </w:p>
    <w:p w14:paraId="0DACAAA8" w14:textId="42414D3A" w:rsidR="00BC2B55" w:rsidRPr="00C92341" w:rsidRDefault="00BC2B55" w:rsidP="001C2B21">
      <w:pPr>
        <w:pStyle w:val="subsection"/>
      </w:pPr>
      <w:r>
        <w:tab/>
      </w:r>
      <w:r w:rsidRPr="00957B7B">
        <w:t>(</w:t>
      </w:r>
      <w:r>
        <w:t>4</w:t>
      </w:r>
      <w:r w:rsidRPr="00957B7B">
        <w:t>)</w:t>
      </w:r>
      <w:r>
        <w:tab/>
      </w:r>
      <w:r w:rsidRPr="00957B7B">
        <w:t xml:space="preserve">The rules may provide that </w:t>
      </w:r>
      <w:r w:rsidR="001C2B21">
        <w:t>subsection (</w:t>
      </w:r>
      <w:r w:rsidRPr="00957B7B">
        <w:t>1) does not apply in relation to a specified thing done by, or in relation to, a specified body.</w:t>
      </w:r>
    </w:p>
    <w:p w14:paraId="341BAF78" w14:textId="6FD270D7" w:rsidR="00BC2B55" w:rsidRDefault="001E09C2" w:rsidP="001C2B21">
      <w:pPr>
        <w:pStyle w:val="ActHead5"/>
      </w:pPr>
      <w:proofErr w:type="gramStart"/>
      <w:r>
        <w:rPr>
          <w:rStyle w:val="CharSectno"/>
        </w:rPr>
        <w:t>359</w:t>
      </w:r>
      <w:r w:rsidR="00BC2B55">
        <w:t xml:space="preserve">  </w:t>
      </w:r>
      <w:r w:rsidR="00BC2B55" w:rsidRPr="006472E3">
        <w:t>Continuation</w:t>
      </w:r>
      <w:proofErr w:type="gramEnd"/>
      <w:r w:rsidR="00BC2B55" w:rsidRPr="006472E3">
        <w:t xml:space="preserve"> of certain standards formulated by the Australian Accounting Standards Board and the Auditing and Assurance Standards Board</w:t>
      </w:r>
    </w:p>
    <w:p w14:paraId="25277087" w14:textId="23386E6C" w:rsidR="00BC2B55" w:rsidRPr="006472E3" w:rsidRDefault="00BC2B55" w:rsidP="001C2B21">
      <w:pPr>
        <w:pStyle w:val="subsection"/>
      </w:pPr>
      <w:r>
        <w:tab/>
      </w:r>
      <w:r>
        <w:tab/>
      </w:r>
      <w:r w:rsidRPr="006472E3">
        <w:t xml:space="preserve">A standard in effect immediately before the </w:t>
      </w:r>
      <w:r w:rsidR="003F5783" w:rsidRPr="0022083E">
        <w:t>External Reporting Australia</w:t>
      </w:r>
      <w:r>
        <w:t xml:space="preserve"> </w:t>
      </w:r>
      <w:r w:rsidRPr="006472E3">
        <w:t xml:space="preserve">start day under a provision of the old Act mentioned in column 1 of an item of the following table continues in effect (and may be dealt with) on and after that day as if it were a standard formulated by </w:t>
      </w:r>
      <w:r w:rsidR="003F5783" w:rsidRPr="0022083E">
        <w:t>External Reporting Australia</w:t>
      </w:r>
      <w:r w:rsidRPr="006472E3">
        <w:t xml:space="preserve"> under the provision of the amended Act mentioned in column 2 of that item.</w:t>
      </w:r>
    </w:p>
    <w:p w14:paraId="7514AE07" w14:textId="77777777" w:rsidR="00BC2B55" w:rsidRPr="003E22D1" w:rsidRDefault="00BC2B55" w:rsidP="001C2B21">
      <w:pPr>
        <w:pStyle w:val="Tabletext"/>
      </w:pPr>
    </w:p>
    <w:tbl>
      <w:tblPr>
        <w:tblW w:w="708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BC2B55" w:rsidRPr="003E22D1" w14:paraId="0537D3BF" w14:textId="77777777" w:rsidTr="00A32F9A">
        <w:trPr>
          <w:tblHeader/>
        </w:trPr>
        <w:tc>
          <w:tcPr>
            <w:tcW w:w="7086" w:type="dxa"/>
            <w:gridSpan w:val="3"/>
            <w:tcBorders>
              <w:top w:val="single" w:sz="12" w:space="0" w:color="auto"/>
              <w:bottom w:val="single" w:sz="6" w:space="0" w:color="auto"/>
            </w:tcBorders>
          </w:tcPr>
          <w:p w14:paraId="35652B38" w14:textId="77777777" w:rsidR="00BC2B55" w:rsidRPr="003E22D1" w:rsidRDefault="00BC2B55" w:rsidP="001C2B21">
            <w:pPr>
              <w:pStyle w:val="TableHeading"/>
            </w:pPr>
            <w:r w:rsidRPr="006472E3">
              <w:t>Continuation of certain standards</w:t>
            </w:r>
          </w:p>
        </w:tc>
      </w:tr>
      <w:tr w:rsidR="00BC2B55" w:rsidRPr="003E22D1" w14:paraId="5B351E3E" w14:textId="77777777" w:rsidTr="00A32F9A">
        <w:trPr>
          <w:tblHeader/>
        </w:trPr>
        <w:tc>
          <w:tcPr>
            <w:tcW w:w="714" w:type="dxa"/>
            <w:tcBorders>
              <w:top w:val="single" w:sz="6" w:space="0" w:color="auto"/>
              <w:bottom w:val="single" w:sz="12" w:space="0" w:color="auto"/>
            </w:tcBorders>
          </w:tcPr>
          <w:p w14:paraId="49C2F60A" w14:textId="77777777" w:rsidR="00BC2B55" w:rsidRPr="003E22D1" w:rsidRDefault="00BC2B55" w:rsidP="001C2B21">
            <w:pPr>
              <w:pStyle w:val="TableHeading"/>
            </w:pPr>
            <w:r w:rsidRPr="003E22D1">
              <w:t>Item</w:t>
            </w:r>
          </w:p>
        </w:tc>
        <w:tc>
          <w:tcPr>
            <w:tcW w:w="3186" w:type="dxa"/>
            <w:tcBorders>
              <w:top w:val="single" w:sz="6" w:space="0" w:color="auto"/>
              <w:bottom w:val="single" w:sz="12" w:space="0" w:color="auto"/>
            </w:tcBorders>
          </w:tcPr>
          <w:p w14:paraId="5765CB8D" w14:textId="77777777" w:rsidR="00BC2B55" w:rsidRPr="003E22D1" w:rsidRDefault="00BC2B55" w:rsidP="001C2B21">
            <w:pPr>
              <w:pStyle w:val="TableHeading"/>
            </w:pPr>
            <w:r w:rsidRPr="003E22D1">
              <w:t>Column 1</w:t>
            </w:r>
          </w:p>
          <w:p w14:paraId="773ECBF7" w14:textId="77777777" w:rsidR="00BC2B55" w:rsidRPr="003E22D1" w:rsidRDefault="00BC2B55" w:rsidP="001C2B21">
            <w:pPr>
              <w:pStyle w:val="TableHeading"/>
            </w:pPr>
            <w:r w:rsidRPr="003E22D1">
              <w:t xml:space="preserve">Provision of the </w:t>
            </w:r>
            <w:r>
              <w:t>old Act</w:t>
            </w:r>
          </w:p>
        </w:tc>
        <w:tc>
          <w:tcPr>
            <w:tcW w:w="3186" w:type="dxa"/>
            <w:tcBorders>
              <w:top w:val="single" w:sz="6" w:space="0" w:color="auto"/>
              <w:bottom w:val="single" w:sz="12" w:space="0" w:color="auto"/>
            </w:tcBorders>
          </w:tcPr>
          <w:p w14:paraId="3F23CA93" w14:textId="77777777" w:rsidR="00BC2B55" w:rsidRPr="003E22D1" w:rsidRDefault="00BC2B55" w:rsidP="001C2B21">
            <w:pPr>
              <w:pStyle w:val="TableHeading"/>
            </w:pPr>
            <w:r w:rsidRPr="003E22D1">
              <w:t>Column 2</w:t>
            </w:r>
          </w:p>
          <w:p w14:paraId="5B1F4F61" w14:textId="77777777" w:rsidR="00BC2B55" w:rsidRPr="003E22D1" w:rsidRDefault="00BC2B55" w:rsidP="001C2B21">
            <w:pPr>
              <w:pStyle w:val="TableHeading"/>
            </w:pPr>
            <w:r w:rsidRPr="003E22D1">
              <w:t>Provision of the</w:t>
            </w:r>
            <w:r>
              <w:t xml:space="preserve"> amended Act</w:t>
            </w:r>
          </w:p>
        </w:tc>
      </w:tr>
      <w:tr w:rsidR="00BC2B55" w:rsidRPr="003E22D1" w14:paraId="71891452" w14:textId="77777777" w:rsidTr="00A32F9A">
        <w:tc>
          <w:tcPr>
            <w:tcW w:w="714" w:type="dxa"/>
          </w:tcPr>
          <w:p w14:paraId="1FD620D8" w14:textId="77777777" w:rsidR="00BC2B55" w:rsidRPr="003E22D1" w:rsidRDefault="00BC2B55" w:rsidP="001C2B21">
            <w:pPr>
              <w:pStyle w:val="Tabletext"/>
            </w:pPr>
            <w:r>
              <w:t>1</w:t>
            </w:r>
          </w:p>
        </w:tc>
        <w:tc>
          <w:tcPr>
            <w:tcW w:w="3186" w:type="dxa"/>
          </w:tcPr>
          <w:p w14:paraId="74B6BCA8" w14:textId="764D9E3A" w:rsidR="00BC2B55" w:rsidRPr="003E22D1" w:rsidRDefault="003234FC" w:rsidP="001C2B21">
            <w:pPr>
              <w:pStyle w:val="Tabletext"/>
            </w:pPr>
            <w:r>
              <w:t>paragraph 2</w:t>
            </w:r>
            <w:r w:rsidR="00BC2B55">
              <w:t>27</w:t>
            </w:r>
            <w:r w:rsidR="00BC2B55" w:rsidRPr="003E22D1">
              <w:t>(</w:t>
            </w:r>
            <w:r w:rsidR="00BC2B55">
              <w:t>1</w:t>
            </w:r>
            <w:r w:rsidR="00BC2B55" w:rsidRPr="003E22D1">
              <w:t>)(</w:t>
            </w:r>
            <w:r w:rsidR="00BC2B55">
              <w:t>c</w:t>
            </w:r>
            <w:r w:rsidR="00BC2B55" w:rsidRPr="003E22D1">
              <w:t>)</w:t>
            </w:r>
          </w:p>
        </w:tc>
        <w:tc>
          <w:tcPr>
            <w:tcW w:w="3186" w:type="dxa"/>
          </w:tcPr>
          <w:p w14:paraId="21707018" w14:textId="773FE83B" w:rsidR="00BC2B55" w:rsidRPr="003E22D1" w:rsidRDefault="00A94757" w:rsidP="001C2B21">
            <w:pPr>
              <w:pStyle w:val="Tabletext"/>
            </w:pPr>
            <w:r>
              <w:t>sub</w:t>
            </w:r>
            <w:r w:rsidR="00BC2B55">
              <w:t xml:space="preserve">paragraph </w:t>
            </w:r>
            <w:r w:rsidR="001E09C2">
              <w:t>225A</w:t>
            </w:r>
            <w:r w:rsidR="00BC2B55">
              <w:t>(1)(b)(iii)</w:t>
            </w:r>
          </w:p>
        </w:tc>
      </w:tr>
      <w:tr w:rsidR="00BC2B55" w:rsidRPr="003E22D1" w14:paraId="1431367D" w14:textId="77777777" w:rsidTr="00A32F9A">
        <w:tc>
          <w:tcPr>
            <w:tcW w:w="714" w:type="dxa"/>
          </w:tcPr>
          <w:p w14:paraId="32DD7232" w14:textId="77777777" w:rsidR="00BC2B55" w:rsidRPr="003E22D1" w:rsidRDefault="00BC2B55" w:rsidP="001C2B21">
            <w:pPr>
              <w:pStyle w:val="Tabletext"/>
            </w:pPr>
            <w:r>
              <w:t>2</w:t>
            </w:r>
          </w:p>
        </w:tc>
        <w:tc>
          <w:tcPr>
            <w:tcW w:w="3186" w:type="dxa"/>
          </w:tcPr>
          <w:p w14:paraId="7472AAEC" w14:textId="3DE99DC3" w:rsidR="00BC2B55" w:rsidRPr="003E22D1" w:rsidRDefault="003234FC" w:rsidP="001C2B21">
            <w:pPr>
              <w:pStyle w:val="Tabletext"/>
            </w:pPr>
            <w:r>
              <w:t>paragraph 2</w:t>
            </w:r>
            <w:r w:rsidR="00BC2B55">
              <w:t>27</w:t>
            </w:r>
            <w:r w:rsidR="00BC2B55" w:rsidRPr="003E22D1">
              <w:t>(</w:t>
            </w:r>
            <w:proofErr w:type="gramStart"/>
            <w:r w:rsidR="00BC2B55">
              <w:t>1</w:t>
            </w:r>
            <w:r w:rsidR="00BC2B55" w:rsidRPr="003E22D1">
              <w:t>)(</w:t>
            </w:r>
            <w:proofErr w:type="gramEnd"/>
            <w:r w:rsidR="00BC2B55">
              <w:t>ca</w:t>
            </w:r>
            <w:r w:rsidR="00BC2B55" w:rsidRPr="003E22D1">
              <w:t>)</w:t>
            </w:r>
          </w:p>
        </w:tc>
        <w:tc>
          <w:tcPr>
            <w:tcW w:w="3186" w:type="dxa"/>
          </w:tcPr>
          <w:p w14:paraId="6E1419DD" w14:textId="69BD10A6" w:rsidR="00BC2B55" w:rsidRPr="003E22D1" w:rsidRDefault="00A94757" w:rsidP="001C2B21">
            <w:pPr>
              <w:pStyle w:val="Tabletext"/>
            </w:pPr>
            <w:r>
              <w:t>sub</w:t>
            </w:r>
            <w:r w:rsidR="00BC2B55">
              <w:t xml:space="preserve">paragraph </w:t>
            </w:r>
            <w:r w:rsidR="001E09C2">
              <w:t>225A</w:t>
            </w:r>
            <w:r w:rsidR="00BC2B55">
              <w:t>(1)(b)(iii)</w:t>
            </w:r>
          </w:p>
        </w:tc>
      </w:tr>
      <w:tr w:rsidR="00BC2B55" w:rsidRPr="003E22D1" w14:paraId="5AC499B6" w14:textId="77777777" w:rsidTr="00A32F9A">
        <w:tc>
          <w:tcPr>
            <w:tcW w:w="714" w:type="dxa"/>
            <w:tcBorders>
              <w:top w:val="single" w:sz="2" w:space="0" w:color="auto"/>
              <w:bottom w:val="single" w:sz="12" w:space="0" w:color="auto"/>
            </w:tcBorders>
          </w:tcPr>
          <w:p w14:paraId="3F040EFC" w14:textId="77777777" w:rsidR="00BC2B55" w:rsidRPr="003E22D1" w:rsidRDefault="00BC2B55" w:rsidP="001C2B21">
            <w:pPr>
              <w:pStyle w:val="Tabletext"/>
            </w:pPr>
            <w:r>
              <w:t>3</w:t>
            </w:r>
          </w:p>
        </w:tc>
        <w:tc>
          <w:tcPr>
            <w:tcW w:w="3186" w:type="dxa"/>
            <w:tcBorders>
              <w:top w:val="single" w:sz="2" w:space="0" w:color="auto"/>
              <w:bottom w:val="single" w:sz="12" w:space="0" w:color="auto"/>
            </w:tcBorders>
          </w:tcPr>
          <w:p w14:paraId="19BFAE85" w14:textId="6F9EDD52" w:rsidR="00BC2B55" w:rsidRPr="003E22D1" w:rsidRDefault="003234FC" w:rsidP="001C2B21">
            <w:pPr>
              <w:pStyle w:val="Tabletext"/>
            </w:pPr>
            <w:r>
              <w:t>paragraph 2</w:t>
            </w:r>
            <w:r w:rsidR="00BC2B55">
              <w:t>27B</w:t>
            </w:r>
            <w:r w:rsidR="00BC2B55" w:rsidRPr="003E22D1">
              <w:t>(</w:t>
            </w:r>
            <w:r w:rsidR="00BC2B55">
              <w:t>1</w:t>
            </w:r>
            <w:r w:rsidR="00BC2B55" w:rsidRPr="003E22D1">
              <w:t>)(</w:t>
            </w:r>
            <w:r w:rsidR="00BC2B55">
              <w:t>b</w:t>
            </w:r>
            <w:r w:rsidR="00BC2B55" w:rsidRPr="003E22D1">
              <w:t>)</w:t>
            </w:r>
          </w:p>
        </w:tc>
        <w:tc>
          <w:tcPr>
            <w:tcW w:w="3186" w:type="dxa"/>
            <w:tcBorders>
              <w:top w:val="single" w:sz="2" w:space="0" w:color="auto"/>
              <w:bottom w:val="single" w:sz="12" w:space="0" w:color="auto"/>
            </w:tcBorders>
          </w:tcPr>
          <w:p w14:paraId="6996D70A" w14:textId="15349BD4" w:rsidR="00BC2B55" w:rsidRPr="003E22D1" w:rsidRDefault="00A94757" w:rsidP="001C2B21">
            <w:pPr>
              <w:pStyle w:val="Tabletext"/>
            </w:pPr>
            <w:r>
              <w:t>sub</w:t>
            </w:r>
            <w:r w:rsidR="00BC2B55">
              <w:t xml:space="preserve">paragraph </w:t>
            </w:r>
            <w:r w:rsidR="001E09C2">
              <w:t>225A</w:t>
            </w:r>
            <w:r w:rsidR="00BC2B55">
              <w:t>(1)(b)(iii)</w:t>
            </w:r>
          </w:p>
        </w:tc>
      </w:tr>
    </w:tbl>
    <w:p w14:paraId="1C8D6966" w14:textId="77777777" w:rsidR="00BC2B55" w:rsidRPr="000C7779" w:rsidRDefault="00BC2B55" w:rsidP="001C2B21">
      <w:pPr>
        <w:pStyle w:val="ActHead3"/>
        <w:pageBreakBefore/>
      </w:pPr>
      <w:r w:rsidRPr="001C2B21">
        <w:rPr>
          <w:rStyle w:val="CharDivNo"/>
        </w:rPr>
        <w:lastRenderedPageBreak/>
        <w:t>Division 5</w:t>
      </w:r>
      <w:r>
        <w:t>—</w:t>
      </w:r>
      <w:r w:rsidRPr="001C2B21">
        <w:rPr>
          <w:rStyle w:val="CharDivText"/>
        </w:rPr>
        <w:t>Miscellaneous</w:t>
      </w:r>
    </w:p>
    <w:p w14:paraId="78112EB7" w14:textId="1E4AE098" w:rsidR="00BC2B55" w:rsidRDefault="001E09C2" w:rsidP="001C2B21">
      <w:pPr>
        <w:pStyle w:val="ActHead5"/>
      </w:pPr>
      <w:proofErr w:type="gramStart"/>
      <w:r>
        <w:rPr>
          <w:rStyle w:val="CharSectno"/>
        </w:rPr>
        <w:t>360</w:t>
      </w:r>
      <w:r w:rsidR="00BC2B55">
        <w:t xml:space="preserve">  Saving</w:t>
      </w:r>
      <w:proofErr w:type="gramEnd"/>
      <w:r w:rsidR="00BC2B55">
        <w:t xml:space="preserve"> provision—qualified privilege</w:t>
      </w:r>
    </w:p>
    <w:p w14:paraId="463A1951" w14:textId="4B96BCFB" w:rsidR="00BC2B55" w:rsidRDefault="00BC2B55" w:rsidP="001C2B21">
      <w:pPr>
        <w:pStyle w:val="subsection"/>
      </w:pPr>
      <w:r>
        <w:tab/>
      </w:r>
      <w:r>
        <w:tab/>
        <w:t>Sub</w:t>
      </w:r>
      <w:r w:rsidR="003234FC">
        <w:t>sections 2</w:t>
      </w:r>
      <w:r w:rsidRPr="00F40612">
        <w:t>25</w:t>
      </w:r>
      <w:proofErr w:type="gramStart"/>
      <w:r w:rsidRPr="00F40612">
        <w:t>A(</w:t>
      </w:r>
      <w:proofErr w:type="gramEnd"/>
      <w:r w:rsidRPr="00F40612">
        <w:t>3) and (4) of the old Act</w:t>
      </w:r>
      <w:r w:rsidRPr="00277E7D">
        <w:t>, as in force immediately before the</w:t>
      </w:r>
      <w:r>
        <w:t xml:space="preserve"> </w:t>
      </w:r>
      <w:r w:rsidR="003F5783" w:rsidRPr="0022083E">
        <w:t>External Reporting Australia</w:t>
      </w:r>
      <w:r w:rsidRPr="00277E7D">
        <w:t xml:space="preserve"> </w:t>
      </w:r>
      <w:r>
        <w:t>start day</w:t>
      </w:r>
      <w:r w:rsidRPr="00277E7D">
        <w:t xml:space="preserve">, continue to apply on and after that </w:t>
      </w:r>
      <w:r>
        <w:t>day</w:t>
      </w:r>
      <w:r w:rsidRPr="00277E7D">
        <w:t xml:space="preserve"> in relation to </w:t>
      </w:r>
      <w:r>
        <w:t xml:space="preserve">a disclosure made in response to a notice given under </w:t>
      </w:r>
      <w:r w:rsidR="003234FC">
        <w:t>sub</w:t>
      </w:r>
      <w:r w:rsidR="00874A53">
        <w:t>section 2</w:t>
      </w:r>
      <w:r>
        <w:t>25A(1) of the old Act</w:t>
      </w:r>
      <w:r w:rsidRPr="00277E7D">
        <w:t xml:space="preserve"> before that </w:t>
      </w:r>
      <w:r>
        <w:t>day</w:t>
      </w:r>
      <w:r w:rsidRPr="00277E7D">
        <w:t>.</w:t>
      </w:r>
    </w:p>
    <w:p w14:paraId="5517637C" w14:textId="3996F31F" w:rsidR="00CD7210" w:rsidRDefault="001E09C2" w:rsidP="001C2B21">
      <w:pPr>
        <w:pStyle w:val="ActHead5"/>
        <w:rPr>
          <w:bCs/>
        </w:rPr>
      </w:pPr>
      <w:proofErr w:type="gramStart"/>
      <w:r>
        <w:rPr>
          <w:rStyle w:val="CharSectno"/>
        </w:rPr>
        <w:t>361</w:t>
      </w:r>
      <w:r w:rsidR="00CD7210">
        <w:t xml:space="preserve">  </w:t>
      </w:r>
      <w:r w:rsidR="00CD7210" w:rsidRPr="00CD7210">
        <w:rPr>
          <w:bCs/>
        </w:rPr>
        <w:t>Saving</w:t>
      </w:r>
      <w:proofErr w:type="gramEnd"/>
      <w:r w:rsidR="00CD7210" w:rsidRPr="00CD7210">
        <w:rPr>
          <w:bCs/>
        </w:rPr>
        <w:t xml:space="preserve"> provision—liability for damages</w:t>
      </w:r>
    </w:p>
    <w:p w14:paraId="19C96433" w14:textId="6C7F7022" w:rsidR="00CD7210" w:rsidRPr="00CD7210" w:rsidRDefault="00CD7210" w:rsidP="001C2B21">
      <w:pPr>
        <w:pStyle w:val="subsection"/>
      </w:pPr>
      <w:r>
        <w:tab/>
      </w:r>
      <w:r>
        <w:tab/>
      </w:r>
      <w:r w:rsidRPr="00CD7210">
        <w:t xml:space="preserve">Despite the amendments made by </w:t>
      </w:r>
      <w:r w:rsidR="00874A53">
        <w:t>Part 1</w:t>
      </w:r>
      <w:r w:rsidRPr="00CD7210">
        <w:t xml:space="preserve"> of Schedule [</w:t>
      </w:r>
      <w:r w:rsidR="004D4924">
        <w:t>#</w:t>
      </w:r>
      <w:r w:rsidRPr="00CD7210">
        <w:t xml:space="preserve">] to the </w:t>
      </w:r>
      <w:r w:rsidRPr="00CD7210">
        <w:rPr>
          <w:i/>
          <w:iCs/>
        </w:rPr>
        <w:t>Treasury Laws Amendment Act 2025</w:t>
      </w:r>
      <w:r w:rsidRPr="00CD7210">
        <w:t xml:space="preserve">, </w:t>
      </w:r>
      <w:r w:rsidR="00874A53">
        <w:t>section 2</w:t>
      </w:r>
      <w:r w:rsidRPr="00CD7210">
        <w:t xml:space="preserve">46 of the old Act continues to apply on and after the </w:t>
      </w:r>
      <w:r w:rsidR="003F5783" w:rsidRPr="0022083E">
        <w:t>External Reporting Australia</w:t>
      </w:r>
      <w:r w:rsidRPr="00CD7210">
        <w:t xml:space="preserve"> start day in relation to an act done or omitted before that day.</w:t>
      </w:r>
    </w:p>
    <w:p w14:paraId="3DEA1590" w14:textId="6EF9C62C" w:rsidR="00BC2B55" w:rsidRPr="00B5190C" w:rsidRDefault="001E09C2" w:rsidP="001C2B21">
      <w:pPr>
        <w:pStyle w:val="ActHead5"/>
      </w:pPr>
      <w:proofErr w:type="gramStart"/>
      <w:r>
        <w:rPr>
          <w:rStyle w:val="CharSectno"/>
        </w:rPr>
        <w:t>362</w:t>
      </w:r>
      <w:r w:rsidR="00BC2B55" w:rsidRPr="00B5190C">
        <w:t xml:space="preserve">  Transitional</w:t>
      </w:r>
      <w:proofErr w:type="gramEnd"/>
      <w:r w:rsidR="00BC2B55" w:rsidRPr="00B5190C">
        <w:t xml:space="preserve"> rules</w:t>
      </w:r>
    </w:p>
    <w:p w14:paraId="584A06AF" w14:textId="77777777" w:rsidR="00BC2B55" w:rsidRPr="00B5190C" w:rsidRDefault="00BC2B55" w:rsidP="001C2B21">
      <w:pPr>
        <w:pStyle w:val="subsection"/>
      </w:pPr>
      <w:r>
        <w:tab/>
      </w:r>
      <w:r w:rsidRPr="00B5190C">
        <w:t>(1)</w:t>
      </w:r>
      <w:r w:rsidRPr="00B5190C">
        <w:tab/>
        <w:t>The Minister may, by legislative instrument, make rules prescribing matters:</w:t>
      </w:r>
    </w:p>
    <w:p w14:paraId="2AEF4B75" w14:textId="4171B134" w:rsidR="00BC2B55" w:rsidRPr="00B5190C" w:rsidRDefault="00BC2B55" w:rsidP="001C2B21">
      <w:pPr>
        <w:pStyle w:val="paragraph"/>
      </w:pPr>
      <w:r w:rsidRPr="00B5190C">
        <w:tab/>
        <w:t>(a)</w:t>
      </w:r>
      <w:r w:rsidRPr="00B5190C">
        <w:tab/>
        <w:t xml:space="preserve">required or permitted by this </w:t>
      </w:r>
      <w:r>
        <w:t>Part</w:t>
      </w:r>
      <w:r w:rsidRPr="00B5190C">
        <w:t xml:space="preserve"> to be prescribed by the rules; or</w:t>
      </w:r>
    </w:p>
    <w:p w14:paraId="392E7FDA" w14:textId="524F6DC4" w:rsidR="00BC2B55" w:rsidRDefault="00BC2B55" w:rsidP="001C2B21">
      <w:pPr>
        <w:pStyle w:val="paragraph"/>
      </w:pPr>
      <w:r w:rsidRPr="00B5190C">
        <w:tab/>
        <w:t>(b)</w:t>
      </w:r>
      <w:r w:rsidRPr="00B5190C">
        <w:tab/>
        <w:t xml:space="preserve">necessary or convenient to be prescribed for carrying out or giving effect to this </w:t>
      </w:r>
      <w:r>
        <w:t>Part</w:t>
      </w:r>
      <w:r w:rsidRPr="00B5190C">
        <w:t>.</w:t>
      </w:r>
    </w:p>
    <w:p w14:paraId="47EB9873" w14:textId="54272199" w:rsidR="00BC2B55" w:rsidRPr="00B5190C" w:rsidRDefault="00BC2B55" w:rsidP="001C2B21">
      <w:pPr>
        <w:pStyle w:val="subsection"/>
      </w:pPr>
      <w:r>
        <w:tab/>
      </w:r>
      <w:r w:rsidRPr="00883FAF">
        <w:t>(2)</w:t>
      </w:r>
      <w:r w:rsidRPr="00883FAF">
        <w:tab/>
        <w:t xml:space="preserve">Without limiting </w:t>
      </w:r>
      <w:r w:rsidR="001C2B21">
        <w:t>subsection (</w:t>
      </w:r>
      <w:r w:rsidRPr="00883FAF">
        <w:t>1), the rules may prescribe matters of a transitional nature (including prescribing any saving or application provisions) relating to</w:t>
      </w:r>
      <w:r>
        <w:t xml:space="preserve"> the amendments or repeals made by </w:t>
      </w:r>
      <w:r w:rsidR="00874A53">
        <w:t>Part 1</w:t>
      </w:r>
      <w:r w:rsidRPr="0006267A">
        <w:t xml:space="preserve"> of the Schedule [#] to the </w:t>
      </w:r>
      <w:r w:rsidRPr="00B64761">
        <w:rPr>
          <w:i/>
          <w:iCs/>
        </w:rPr>
        <w:t>Treasury Laws Amendment Act 2025</w:t>
      </w:r>
      <w:r>
        <w:t>.</w:t>
      </w:r>
    </w:p>
    <w:p w14:paraId="34444DD8" w14:textId="77777777" w:rsidR="00BC2B55" w:rsidRPr="00B5190C" w:rsidRDefault="00BC2B55" w:rsidP="001C2B21">
      <w:pPr>
        <w:pStyle w:val="subsection"/>
      </w:pPr>
      <w:r>
        <w:tab/>
      </w:r>
      <w:r w:rsidRPr="00B5190C">
        <w:t>(</w:t>
      </w:r>
      <w:r>
        <w:t>3</w:t>
      </w:r>
      <w:r w:rsidRPr="00B5190C">
        <w:t>)</w:t>
      </w:r>
      <w:r w:rsidRPr="00B5190C">
        <w:tab/>
        <w:t>To avoid doubt, the rules may not do the following:</w:t>
      </w:r>
    </w:p>
    <w:p w14:paraId="3B6B17AF" w14:textId="77777777" w:rsidR="00BC2B55" w:rsidRPr="00B5190C" w:rsidRDefault="00BC2B55" w:rsidP="001C2B21">
      <w:pPr>
        <w:pStyle w:val="paragraph"/>
      </w:pPr>
      <w:r>
        <w:tab/>
      </w:r>
      <w:r w:rsidRPr="00B5190C">
        <w:t>(a)</w:t>
      </w:r>
      <w:r w:rsidRPr="00B5190C">
        <w:tab/>
        <w:t xml:space="preserve">create an offence or civil </w:t>
      </w:r>
      <w:proofErr w:type="gramStart"/>
      <w:r w:rsidRPr="00B5190C">
        <w:t>penalty;</w:t>
      </w:r>
      <w:proofErr w:type="gramEnd"/>
    </w:p>
    <w:p w14:paraId="1678619A" w14:textId="77777777" w:rsidR="00BC2B55" w:rsidRPr="00B5190C" w:rsidRDefault="00BC2B55" w:rsidP="001C2B21">
      <w:pPr>
        <w:pStyle w:val="paragraph"/>
      </w:pPr>
      <w:r w:rsidRPr="00B5190C">
        <w:tab/>
        <w:t>(b)</w:t>
      </w:r>
      <w:r w:rsidRPr="00B5190C">
        <w:tab/>
        <w:t>provide powers of:</w:t>
      </w:r>
    </w:p>
    <w:p w14:paraId="2345204C" w14:textId="77777777" w:rsidR="00BC2B55" w:rsidRPr="00B5190C" w:rsidRDefault="00BC2B55" w:rsidP="001C2B21">
      <w:pPr>
        <w:pStyle w:val="paragraphsub"/>
      </w:pPr>
      <w:r w:rsidRPr="00B5190C">
        <w:tab/>
        <w:t>(i)</w:t>
      </w:r>
      <w:r w:rsidRPr="00B5190C">
        <w:tab/>
        <w:t>arrest or detention; or</w:t>
      </w:r>
    </w:p>
    <w:p w14:paraId="2DF4C4CC" w14:textId="77777777" w:rsidR="00BC2B55" w:rsidRPr="00B5190C" w:rsidRDefault="00BC2B55" w:rsidP="001C2B21">
      <w:pPr>
        <w:pStyle w:val="paragraphsub"/>
      </w:pPr>
      <w:r w:rsidRPr="00B5190C">
        <w:tab/>
        <w:t>(ii)</w:t>
      </w:r>
      <w:r w:rsidRPr="00B5190C">
        <w:tab/>
        <w:t xml:space="preserve">entry, search or </w:t>
      </w:r>
      <w:proofErr w:type="gramStart"/>
      <w:r w:rsidRPr="00B5190C">
        <w:t>seizure;</w:t>
      </w:r>
      <w:proofErr w:type="gramEnd"/>
    </w:p>
    <w:p w14:paraId="222EA100" w14:textId="77777777" w:rsidR="00BC2B55" w:rsidRPr="00B5190C" w:rsidRDefault="00BC2B55" w:rsidP="001C2B21">
      <w:pPr>
        <w:pStyle w:val="paragraph"/>
      </w:pPr>
      <w:r w:rsidRPr="00B5190C">
        <w:tab/>
        <w:t>(c)</w:t>
      </w:r>
      <w:r w:rsidRPr="00B5190C">
        <w:tab/>
        <w:t xml:space="preserve">impose a </w:t>
      </w:r>
      <w:proofErr w:type="gramStart"/>
      <w:r w:rsidRPr="00B5190C">
        <w:t>tax;</w:t>
      </w:r>
      <w:proofErr w:type="gramEnd"/>
    </w:p>
    <w:p w14:paraId="71E33D23" w14:textId="77777777" w:rsidR="00BC2B55" w:rsidRPr="00B5190C" w:rsidRDefault="00BC2B55" w:rsidP="001C2B21">
      <w:pPr>
        <w:pStyle w:val="paragraph"/>
      </w:pPr>
      <w:r w:rsidRPr="00B5190C">
        <w:tab/>
        <w:t>(d)</w:t>
      </w:r>
      <w:r w:rsidRPr="00B5190C">
        <w:tab/>
        <w:t xml:space="preserve">set an amount to be appropriated from the Consolidated Revenue Fund under an appropriation in this </w:t>
      </w:r>
      <w:proofErr w:type="gramStart"/>
      <w:r w:rsidRPr="00B5190C">
        <w:t>Act;</w:t>
      </w:r>
      <w:proofErr w:type="gramEnd"/>
    </w:p>
    <w:p w14:paraId="35AD5423" w14:textId="77777777" w:rsidR="00BC2B55" w:rsidRDefault="00BC2B55" w:rsidP="001C2B21">
      <w:pPr>
        <w:pStyle w:val="paragraph"/>
      </w:pPr>
      <w:r w:rsidRPr="00B5190C">
        <w:tab/>
        <w:t>(e)</w:t>
      </w:r>
      <w:r w:rsidRPr="00B5190C">
        <w:tab/>
        <w:t xml:space="preserve">directly amend the text of </w:t>
      </w:r>
      <w:r>
        <w:t>this Act</w:t>
      </w:r>
      <w:r w:rsidRPr="00B5190C">
        <w:t>.</w:t>
      </w:r>
    </w:p>
    <w:p w14:paraId="1F971F80" w14:textId="184523F3" w:rsidR="00EE7B55" w:rsidRPr="00BC2B55" w:rsidRDefault="00BC2B55" w:rsidP="00BD276D">
      <w:pPr>
        <w:pStyle w:val="subsection"/>
      </w:pPr>
      <w:r>
        <w:lastRenderedPageBreak/>
        <w:tab/>
      </w:r>
      <w:r w:rsidRPr="00C6007E">
        <w:t>(4)</w:t>
      </w:r>
      <w:r w:rsidRPr="00C6007E">
        <w:tab/>
        <w:t xml:space="preserve">This </w:t>
      </w:r>
      <w:r>
        <w:t>Part</w:t>
      </w:r>
      <w:r w:rsidRPr="00C6007E">
        <w:t xml:space="preserve"> (other than </w:t>
      </w:r>
      <w:r w:rsidR="001C2B21">
        <w:t>subsection (</w:t>
      </w:r>
      <w:r w:rsidRPr="00C6007E">
        <w:t xml:space="preserve">3)) does not limit the rules that may be made for the purposes of </w:t>
      </w:r>
      <w:r w:rsidR="001C2B21">
        <w:t>subsection (</w:t>
      </w:r>
      <w:r w:rsidRPr="00C6007E">
        <w:t>1).</w:t>
      </w:r>
      <w:bookmarkEnd w:id="0"/>
    </w:p>
    <w:sectPr w:rsidR="00EE7B55" w:rsidRPr="00BC2B55" w:rsidSect="001C2B21">
      <w:headerReference w:type="even" r:id="rId8"/>
      <w:headerReference w:type="default" r:id="rId9"/>
      <w:footerReference w:type="even" r:id="rId10"/>
      <w:footerReference w:type="default" r:id="rId11"/>
      <w:headerReference w:type="first" r:id="rId12"/>
      <w:footerReference w:type="first" r:id="rId13"/>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60CA" w14:textId="77777777" w:rsidR="00610678" w:rsidRDefault="00610678" w:rsidP="00664C63">
      <w:pPr>
        <w:spacing w:line="240" w:lineRule="auto"/>
      </w:pPr>
      <w:r>
        <w:separator/>
      </w:r>
    </w:p>
  </w:endnote>
  <w:endnote w:type="continuationSeparator" w:id="0">
    <w:p w14:paraId="6999788A" w14:textId="77777777" w:rsidR="00610678" w:rsidRDefault="0061067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C174" w14:textId="77777777" w:rsidR="00664C63" w:rsidRPr="00BB4623" w:rsidRDefault="00664C63" w:rsidP="001C2B21">
    <w:pPr>
      <w:pBdr>
        <w:top w:val="single" w:sz="6" w:space="1" w:color="auto"/>
      </w:pBdr>
      <w:spacing w:before="120"/>
      <w:jc w:val="right"/>
      <w:rPr>
        <w:sz w:val="18"/>
      </w:rPr>
    </w:pPr>
  </w:p>
  <w:p w14:paraId="63B6475F"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62DCE53F" w14:textId="6D7A43DA" w:rsidR="00664C63" w:rsidRPr="00BB4623" w:rsidRDefault="00664C63" w:rsidP="00664C63">
    <w:pPr>
      <w:jc w:val="right"/>
      <w:rPr>
        <w:i/>
        <w:sz w:val="18"/>
      </w:rPr>
    </w:pPr>
    <w:r w:rsidRPr="00BB4623">
      <w:rPr>
        <w:i/>
        <w:sz w:val="18"/>
      </w:rPr>
      <w:t xml:space="preserve">  </w:t>
    </w:r>
    <w:r w:rsidR="008730FA">
      <w:rPr>
        <w:i/>
        <w:noProof/>
        <w:sz w:val="18"/>
      </w:rPr>
      <w:t>29/10/2025 10:57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70DA" w14:textId="77777777" w:rsidR="0095602D" w:rsidRDefault="0095602D" w:rsidP="001C2B21">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563F3E5C" w14:textId="77777777" w:rsidTr="00A91C76">
      <w:trPr>
        <w:trHeight w:val="280"/>
      </w:trPr>
      <w:tc>
        <w:tcPr>
          <w:tcW w:w="7087" w:type="dxa"/>
        </w:tcPr>
        <w:p w14:paraId="753A3CE6"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167A11F1" w14:textId="77777777" w:rsidTr="00A91C76">
      <w:tc>
        <w:tcPr>
          <w:tcW w:w="7087" w:type="dxa"/>
        </w:tcPr>
        <w:p w14:paraId="53484489" w14:textId="068A06D2" w:rsidR="0095602D" w:rsidRPr="00B3608C" w:rsidRDefault="0095602D" w:rsidP="00A91C76">
          <w:pPr>
            <w:rPr>
              <w:i/>
              <w:sz w:val="18"/>
            </w:rPr>
          </w:pPr>
          <w:r w:rsidRPr="00BB4623">
            <w:rPr>
              <w:i/>
              <w:sz w:val="18"/>
            </w:rPr>
            <w:t xml:space="preserve">  </w:t>
          </w:r>
          <w:r w:rsidR="008730FA">
            <w:rPr>
              <w:i/>
              <w:noProof/>
              <w:sz w:val="18"/>
            </w:rPr>
            <w:t>29/10/2025 10:57 AM</w:t>
          </w:r>
        </w:p>
      </w:tc>
    </w:tr>
  </w:tbl>
  <w:p w14:paraId="640EF9AE"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57216" behindDoc="1" locked="1" layoutInCell="1" allowOverlap="1" wp14:anchorId="55A609E3" wp14:editId="5DD63942">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92A7AE" w14:textId="7F744906"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91A7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41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41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91A7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91A7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A609E3"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7E92A7AE" w14:textId="7F744906"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91A7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41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41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91A7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91A7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B803" w14:textId="77777777" w:rsidR="00664C63" w:rsidRPr="00BB4623" w:rsidRDefault="00664C63" w:rsidP="001C2B2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9325" w14:textId="77777777" w:rsidR="00610678" w:rsidRDefault="00610678" w:rsidP="00664C63">
      <w:pPr>
        <w:spacing w:line="240" w:lineRule="auto"/>
      </w:pPr>
      <w:r>
        <w:separator/>
      </w:r>
    </w:p>
  </w:footnote>
  <w:footnote w:type="continuationSeparator" w:id="0">
    <w:p w14:paraId="5E564A0C" w14:textId="77777777" w:rsidR="00610678" w:rsidRDefault="00610678"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4618" w14:textId="77777777" w:rsidR="00664C63" w:rsidRPr="00BB4623" w:rsidRDefault="00664C63" w:rsidP="00664C63">
    <w:pPr>
      <w:rPr>
        <w:sz w:val="24"/>
      </w:rPr>
    </w:pPr>
  </w:p>
  <w:p w14:paraId="7414C222"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808A"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62336" behindDoc="1" locked="1" layoutInCell="1" allowOverlap="1" wp14:anchorId="3EC86955" wp14:editId="297DAEC2">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5F731D" w14:textId="7984C686"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91A7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41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41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91A7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F1CB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C86955"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E5F731D" w14:textId="7984C686"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91A7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541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541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91A7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91A7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F1CB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78DB2411"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2DB7"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11"/>
  </w:num>
  <w:num w:numId="12" w16cid:durableId="389813516">
    <w:abstractNumId w:val="10"/>
  </w:num>
  <w:num w:numId="13" w16cid:durableId="166987829">
    <w:abstractNumId w:val="13"/>
  </w:num>
  <w:num w:numId="14" w16cid:durableId="210386512">
    <w:abstractNumId w:val="14"/>
  </w:num>
  <w:num w:numId="15" w16cid:durableId="189477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78"/>
    <w:rsid w:val="00000BF5"/>
    <w:rsid w:val="000015CD"/>
    <w:rsid w:val="00003007"/>
    <w:rsid w:val="00005384"/>
    <w:rsid w:val="00005F23"/>
    <w:rsid w:val="00006A0F"/>
    <w:rsid w:val="000100CB"/>
    <w:rsid w:val="00011112"/>
    <w:rsid w:val="00011513"/>
    <w:rsid w:val="00011BEC"/>
    <w:rsid w:val="000136AF"/>
    <w:rsid w:val="00013BD8"/>
    <w:rsid w:val="00013C9B"/>
    <w:rsid w:val="00014B9A"/>
    <w:rsid w:val="00016D10"/>
    <w:rsid w:val="000170D0"/>
    <w:rsid w:val="00022033"/>
    <w:rsid w:val="0002248A"/>
    <w:rsid w:val="00023A64"/>
    <w:rsid w:val="000259C7"/>
    <w:rsid w:val="000262EC"/>
    <w:rsid w:val="00026DB7"/>
    <w:rsid w:val="00030789"/>
    <w:rsid w:val="0003242A"/>
    <w:rsid w:val="0003415F"/>
    <w:rsid w:val="00034B32"/>
    <w:rsid w:val="00034BF5"/>
    <w:rsid w:val="00037C8E"/>
    <w:rsid w:val="000401C2"/>
    <w:rsid w:val="00040C8B"/>
    <w:rsid w:val="000410E6"/>
    <w:rsid w:val="00042EAA"/>
    <w:rsid w:val="0004603B"/>
    <w:rsid w:val="00046A7C"/>
    <w:rsid w:val="00046B2B"/>
    <w:rsid w:val="0004732F"/>
    <w:rsid w:val="00047E3F"/>
    <w:rsid w:val="00051B3D"/>
    <w:rsid w:val="00053D63"/>
    <w:rsid w:val="00055D20"/>
    <w:rsid w:val="0006046C"/>
    <w:rsid w:val="000609A9"/>
    <w:rsid w:val="00060E8C"/>
    <w:rsid w:val="000614BF"/>
    <w:rsid w:val="00061562"/>
    <w:rsid w:val="00061D29"/>
    <w:rsid w:val="0006239D"/>
    <w:rsid w:val="0006268F"/>
    <w:rsid w:val="00062789"/>
    <w:rsid w:val="0006323D"/>
    <w:rsid w:val="000635AF"/>
    <w:rsid w:val="00065A4F"/>
    <w:rsid w:val="00066DA5"/>
    <w:rsid w:val="00070B46"/>
    <w:rsid w:val="0007247D"/>
    <w:rsid w:val="0007289E"/>
    <w:rsid w:val="0007384C"/>
    <w:rsid w:val="00073C5A"/>
    <w:rsid w:val="0007430C"/>
    <w:rsid w:val="0007479B"/>
    <w:rsid w:val="00076673"/>
    <w:rsid w:val="00077220"/>
    <w:rsid w:val="00077D7A"/>
    <w:rsid w:val="00080319"/>
    <w:rsid w:val="00082CEF"/>
    <w:rsid w:val="00084991"/>
    <w:rsid w:val="0008596C"/>
    <w:rsid w:val="000862BA"/>
    <w:rsid w:val="00087033"/>
    <w:rsid w:val="00090762"/>
    <w:rsid w:val="0009122F"/>
    <w:rsid w:val="00092B4B"/>
    <w:rsid w:val="00094C59"/>
    <w:rsid w:val="00095518"/>
    <w:rsid w:val="00096CB4"/>
    <w:rsid w:val="00097683"/>
    <w:rsid w:val="000A0B41"/>
    <w:rsid w:val="000A0B69"/>
    <w:rsid w:val="000A0BBC"/>
    <w:rsid w:val="000A211D"/>
    <w:rsid w:val="000A3B48"/>
    <w:rsid w:val="000A3D2D"/>
    <w:rsid w:val="000A453D"/>
    <w:rsid w:val="000A5296"/>
    <w:rsid w:val="000A55E6"/>
    <w:rsid w:val="000A7091"/>
    <w:rsid w:val="000B05C8"/>
    <w:rsid w:val="000B0E5F"/>
    <w:rsid w:val="000B299D"/>
    <w:rsid w:val="000B2C02"/>
    <w:rsid w:val="000B3196"/>
    <w:rsid w:val="000B4167"/>
    <w:rsid w:val="000B6EC8"/>
    <w:rsid w:val="000B7498"/>
    <w:rsid w:val="000C085C"/>
    <w:rsid w:val="000C256F"/>
    <w:rsid w:val="000C2E2C"/>
    <w:rsid w:val="000C4E28"/>
    <w:rsid w:val="000C563F"/>
    <w:rsid w:val="000C5711"/>
    <w:rsid w:val="000C611F"/>
    <w:rsid w:val="000C6FAF"/>
    <w:rsid w:val="000C74F9"/>
    <w:rsid w:val="000D05EF"/>
    <w:rsid w:val="000D0780"/>
    <w:rsid w:val="000D0FAA"/>
    <w:rsid w:val="000D1811"/>
    <w:rsid w:val="000D29F3"/>
    <w:rsid w:val="000D3899"/>
    <w:rsid w:val="000D4AC2"/>
    <w:rsid w:val="000D5A0D"/>
    <w:rsid w:val="000D6D7D"/>
    <w:rsid w:val="000E0B09"/>
    <w:rsid w:val="000E2A9E"/>
    <w:rsid w:val="000E5457"/>
    <w:rsid w:val="000E58DE"/>
    <w:rsid w:val="000E6816"/>
    <w:rsid w:val="000E7615"/>
    <w:rsid w:val="000F21C1"/>
    <w:rsid w:val="000F26BB"/>
    <w:rsid w:val="000F2FFC"/>
    <w:rsid w:val="000F393A"/>
    <w:rsid w:val="000F3A47"/>
    <w:rsid w:val="000F4126"/>
    <w:rsid w:val="000F4805"/>
    <w:rsid w:val="000F57D6"/>
    <w:rsid w:val="000F65AF"/>
    <w:rsid w:val="000F6D70"/>
    <w:rsid w:val="000F7503"/>
    <w:rsid w:val="00100067"/>
    <w:rsid w:val="00100DA3"/>
    <w:rsid w:val="00101165"/>
    <w:rsid w:val="00101248"/>
    <w:rsid w:val="001016D1"/>
    <w:rsid w:val="00101A67"/>
    <w:rsid w:val="0010240E"/>
    <w:rsid w:val="001027B2"/>
    <w:rsid w:val="00102800"/>
    <w:rsid w:val="00102D5E"/>
    <w:rsid w:val="00103560"/>
    <w:rsid w:val="0010745C"/>
    <w:rsid w:val="0011035A"/>
    <w:rsid w:val="00111789"/>
    <w:rsid w:val="00111E26"/>
    <w:rsid w:val="0011206D"/>
    <w:rsid w:val="00113BBB"/>
    <w:rsid w:val="00113CD6"/>
    <w:rsid w:val="00117786"/>
    <w:rsid w:val="00121D6C"/>
    <w:rsid w:val="00123801"/>
    <w:rsid w:val="0012528A"/>
    <w:rsid w:val="001264B1"/>
    <w:rsid w:val="00130C0F"/>
    <w:rsid w:val="00131AD2"/>
    <w:rsid w:val="00132C6A"/>
    <w:rsid w:val="00136062"/>
    <w:rsid w:val="00142B22"/>
    <w:rsid w:val="00144777"/>
    <w:rsid w:val="00145CFB"/>
    <w:rsid w:val="00145EDB"/>
    <w:rsid w:val="00150690"/>
    <w:rsid w:val="00152271"/>
    <w:rsid w:val="0016165F"/>
    <w:rsid w:val="0016172B"/>
    <w:rsid w:val="0016176A"/>
    <w:rsid w:val="0016272A"/>
    <w:rsid w:val="001645BF"/>
    <w:rsid w:val="00165889"/>
    <w:rsid w:val="00165AC8"/>
    <w:rsid w:val="00165F8A"/>
    <w:rsid w:val="00166C2F"/>
    <w:rsid w:val="001670A0"/>
    <w:rsid w:val="0016712D"/>
    <w:rsid w:val="00167AC0"/>
    <w:rsid w:val="00172281"/>
    <w:rsid w:val="001734D3"/>
    <w:rsid w:val="001736E1"/>
    <w:rsid w:val="0017405B"/>
    <w:rsid w:val="0017465B"/>
    <w:rsid w:val="00174FD8"/>
    <w:rsid w:val="00175677"/>
    <w:rsid w:val="0017661A"/>
    <w:rsid w:val="00177795"/>
    <w:rsid w:val="00177AD9"/>
    <w:rsid w:val="001805D7"/>
    <w:rsid w:val="00182C9A"/>
    <w:rsid w:val="0018435F"/>
    <w:rsid w:val="001845A9"/>
    <w:rsid w:val="00185014"/>
    <w:rsid w:val="001856CB"/>
    <w:rsid w:val="001856D7"/>
    <w:rsid w:val="00185D6D"/>
    <w:rsid w:val="00187A7A"/>
    <w:rsid w:val="00191050"/>
    <w:rsid w:val="001934BE"/>
    <w:rsid w:val="001939E1"/>
    <w:rsid w:val="00194C8E"/>
    <w:rsid w:val="00195382"/>
    <w:rsid w:val="00195FA7"/>
    <w:rsid w:val="001A23AC"/>
    <w:rsid w:val="001A3691"/>
    <w:rsid w:val="001A389C"/>
    <w:rsid w:val="001A417B"/>
    <w:rsid w:val="001A608B"/>
    <w:rsid w:val="001A63A4"/>
    <w:rsid w:val="001B0510"/>
    <w:rsid w:val="001B0F61"/>
    <w:rsid w:val="001B12B2"/>
    <w:rsid w:val="001B2043"/>
    <w:rsid w:val="001B3377"/>
    <w:rsid w:val="001B3946"/>
    <w:rsid w:val="001B50CE"/>
    <w:rsid w:val="001B680F"/>
    <w:rsid w:val="001C2048"/>
    <w:rsid w:val="001C2B21"/>
    <w:rsid w:val="001C2F3C"/>
    <w:rsid w:val="001C42FF"/>
    <w:rsid w:val="001C4BC1"/>
    <w:rsid w:val="001C69C4"/>
    <w:rsid w:val="001C7B44"/>
    <w:rsid w:val="001D0854"/>
    <w:rsid w:val="001D2FF8"/>
    <w:rsid w:val="001D3FFA"/>
    <w:rsid w:val="001D5299"/>
    <w:rsid w:val="001D5A86"/>
    <w:rsid w:val="001D6E62"/>
    <w:rsid w:val="001D7A02"/>
    <w:rsid w:val="001E09C2"/>
    <w:rsid w:val="001E0A6E"/>
    <w:rsid w:val="001E0D3A"/>
    <w:rsid w:val="001E1FD3"/>
    <w:rsid w:val="001E2625"/>
    <w:rsid w:val="001E3590"/>
    <w:rsid w:val="001E4A8F"/>
    <w:rsid w:val="001E5ABB"/>
    <w:rsid w:val="001E6F41"/>
    <w:rsid w:val="001E7407"/>
    <w:rsid w:val="001E7E52"/>
    <w:rsid w:val="001F04C9"/>
    <w:rsid w:val="001F1656"/>
    <w:rsid w:val="001F2950"/>
    <w:rsid w:val="001F378A"/>
    <w:rsid w:val="001F4052"/>
    <w:rsid w:val="001F663E"/>
    <w:rsid w:val="001F69C0"/>
    <w:rsid w:val="001F7B3C"/>
    <w:rsid w:val="0020023D"/>
    <w:rsid w:val="002018EF"/>
    <w:rsid w:val="00201A2C"/>
    <w:rsid w:val="00202597"/>
    <w:rsid w:val="0020462D"/>
    <w:rsid w:val="00204F59"/>
    <w:rsid w:val="0020563D"/>
    <w:rsid w:val="00205AED"/>
    <w:rsid w:val="00205D7B"/>
    <w:rsid w:val="002060DF"/>
    <w:rsid w:val="00206E8C"/>
    <w:rsid w:val="00210AE4"/>
    <w:rsid w:val="002115E1"/>
    <w:rsid w:val="0021239B"/>
    <w:rsid w:val="0021250A"/>
    <w:rsid w:val="00213E22"/>
    <w:rsid w:val="00215320"/>
    <w:rsid w:val="002170D8"/>
    <w:rsid w:val="00217234"/>
    <w:rsid w:val="0022002C"/>
    <w:rsid w:val="0022083E"/>
    <w:rsid w:val="0022104C"/>
    <w:rsid w:val="00221713"/>
    <w:rsid w:val="00221AE0"/>
    <w:rsid w:val="00222355"/>
    <w:rsid w:val="00222D76"/>
    <w:rsid w:val="00224E7C"/>
    <w:rsid w:val="002257ED"/>
    <w:rsid w:val="00225A48"/>
    <w:rsid w:val="00226E8E"/>
    <w:rsid w:val="002277A0"/>
    <w:rsid w:val="002328E4"/>
    <w:rsid w:val="00233154"/>
    <w:rsid w:val="002336F6"/>
    <w:rsid w:val="0023667C"/>
    <w:rsid w:val="00237D1B"/>
    <w:rsid w:val="00240749"/>
    <w:rsid w:val="002422FC"/>
    <w:rsid w:val="00243FE7"/>
    <w:rsid w:val="00244922"/>
    <w:rsid w:val="002461B6"/>
    <w:rsid w:val="002468D8"/>
    <w:rsid w:val="00247E9D"/>
    <w:rsid w:val="00250699"/>
    <w:rsid w:val="00252D38"/>
    <w:rsid w:val="00252EE7"/>
    <w:rsid w:val="00261454"/>
    <w:rsid w:val="00262E35"/>
    <w:rsid w:val="0026345E"/>
    <w:rsid w:val="0026370C"/>
    <w:rsid w:val="00263EC3"/>
    <w:rsid w:val="002647B6"/>
    <w:rsid w:val="0026692E"/>
    <w:rsid w:val="00266CB0"/>
    <w:rsid w:val="0026718A"/>
    <w:rsid w:val="00267DD9"/>
    <w:rsid w:val="002720CA"/>
    <w:rsid w:val="00273826"/>
    <w:rsid w:val="002759B1"/>
    <w:rsid w:val="002804E7"/>
    <w:rsid w:val="00280D7F"/>
    <w:rsid w:val="00281461"/>
    <w:rsid w:val="002851A4"/>
    <w:rsid w:val="00285912"/>
    <w:rsid w:val="00290298"/>
    <w:rsid w:val="00291127"/>
    <w:rsid w:val="00291AE5"/>
    <w:rsid w:val="00292DC2"/>
    <w:rsid w:val="00296415"/>
    <w:rsid w:val="00297C38"/>
    <w:rsid w:val="00297ECB"/>
    <w:rsid w:val="002A0F61"/>
    <w:rsid w:val="002A1E1A"/>
    <w:rsid w:val="002A57CD"/>
    <w:rsid w:val="002A6A59"/>
    <w:rsid w:val="002B13E1"/>
    <w:rsid w:val="002B1D6F"/>
    <w:rsid w:val="002B42F4"/>
    <w:rsid w:val="002B4EC0"/>
    <w:rsid w:val="002B66EB"/>
    <w:rsid w:val="002B6CDB"/>
    <w:rsid w:val="002C085A"/>
    <w:rsid w:val="002C3412"/>
    <w:rsid w:val="002C3532"/>
    <w:rsid w:val="002C5C5E"/>
    <w:rsid w:val="002C654D"/>
    <w:rsid w:val="002C6D93"/>
    <w:rsid w:val="002C7965"/>
    <w:rsid w:val="002D03B7"/>
    <w:rsid w:val="002D043A"/>
    <w:rsid w:val="002D1033"/>
    <w:rsid w:val="002D19AD"/>
    <w:rsid w:val="002D24BA"/>
    <w:rsid w:val="002D33A1"/>
    <w:rsid w:val="002D3554"/>
    <w:rsid w:val="002D5E68"/>
    <w:rsid w:val="002D7612"/>
    <w:rsid w:val="002D7C80"/>
    <w:rsid w:val="002E1DE0"/>
    <w:rsid w:val="002E299C"/>
    <w:rsid w:val="002E3576"/>
    <w:rsid w:val="002E5FEE"/>
    <w:rsid w:val="002F01D6"/>
    <w:rsid w:val="002F02C7"/>
    <w:rsid w:val="002F0376"/>
    <w:rsid w:val="002F08B3"/>
    <w:rsid w:val="002F1FE9"/>
    <w:rsid w:val="002F622B"/>
    <w:rsid w:val="002F79DA"/>
    <w:rsid w:val="003003EB"/>
    <w:rsid w:val="00301449"/>
    <w:rsid w:val="00301EB3"/>
    <w:rsid w:val="00303A05"/>
    <w:rsid w:val="00303DEA"/>
    <w:rsid w:val="00306643"/>
    <w:rsid w:val="00307F73"/>
    <w:rsid w:val="003101B4"/>
    <w:rsid w:val="003105B7"/>
    <w:rsid w:val="003134F6"/>
    <w:rsid w:val="00313C6F"/>
    <w:rsid w:val="00317E43"/>
    <w:rsid w:val="00321B42"/>
    <w:rsid w:val="003234FC"/>
    <w:rsid w:val="00324FD8"/>
    <w:rsid w:val="0032505C"/>
    <w:rsid w:val="00330BF3"/>
    <w:rsid w:val="00330DB1"/>
    <w:rsid w:val="003335EE"/>
    <w:rsid w:val="0033381A"/>
    <w:rsid w:val="003339B2"/>
    <w:rsid w:val="0033411C"/>
    <w:rsid w:val="00334771"/>
    <w:rsid w:val="003349BB"/>
    <w:rsid w:val="00340866"/>
    <w:rsid w:val="003414BD"/>
    <w:rsid w:val="003415D3"/>
    <w:rsid w:val="003425D1"/>
    <w:rsid w:val="00350CAC"/>
    <w:rsid w:val="00351B37"/>
    <w:rsid w:val="00351CB9"/>
    <w:rsid w:val="003528BA"/>
    <w:rsid w:val="00352B0F"/>
    <w:rsid w:val="00352B78"/>
    <w:rsid w:val="00352DFB"/>
    <w:rsid w:val="0035331E"/>
    <w:rsid w:val="0035353F"/>
    <w:rsid w:val="003538BA"/>
    <w:rsid w:val="0035751D"/>
    <w:rsid w:val="00357EBE"/>
    <w:rsid w:val="00360FC8"/>
    <w:rsid w:val="003614BD"/>
    <w:rsid w:val="00362508"/>
    <w:rsid w:val="00363019"/>
    <w:rsid w:val="00363FAB"/>
    <w:rsid w:val="00365B0E"/>
    <w:rsid w:val="00365E82"/>
    <w:rsid w:val="00371B84"/>
    <w:rsid w:val="00371BAB"/>
    <w:rsid w:val="00372CCF"/>
    <w:rsid w:val="00373267"/>
    <w:rsid w:val="00374065"/>
    <w:rsid w:val="00376D63"/>
    <w:rsid w:val="0038020F"/>
    <w:rsid w:val="00380699"/>
    <w:rsid w:val="003851F3"/>
    <w:rsid w:val="00385614"/>
    <w:rsid w:val="0038595D"/>
    <w:rsid w:val="003861E7"/>
    <w:rsid w:val="003867AC"/>
    <w:rsid w:val="00386C26"/>
    <w:rsid w:val="0039224B"/>
    <w:rsid w:val="00394FB4"/>
    <w:rsid w:val="00396D6C"/>
    <w:rsid w:val="003A40C7"/>
    <w:rsid w:val="003A5495"/>
    <w:rsid w:val="003A67E7"/>
    <w:rsid w:val="003B0ACF"/>
    <w:rsid w:val="003B0F1E"/>
    <w:rsid w:val="003B1D9D"/>
    <w:rsid w:val="003B2359"/>
    <w:rsid w:val="003B726C"/>
    <w:rsid w:val="003B7D02"/>
    <w:rsid w:val="003C0959"/>
    <w:rsid w:val="003C0F6D"/>
    <w:rsid w:val="003C1F02"/>
    <w:rsid w:val="003C7FD4"/>
    <w:rsid w:val="003D0317"/>
    <w:rsid w:val="003D0BFE"/>
    <w:rsid w:val="003D0FD7"/>
    <w:rsid w:val="003D2D96"/>
    <w:rsid w:val="003D47BF"/>
    <w:rsid w:val="003D51F1"/>
    <w:rsid w:val="003D533F"/>
    <w:rsid w:val="003D5700"/>
    <w:rsid w:val="003D574A"/>
    <w:rsid w:val="003D5B03"/>
    <w:rsid w:val="003D6F26"/>
    <w:rsid w:val="003D706B"/>
    <w:rsid w:val="003E0D6E"/>
    <w:rsid w:val="003E1EE7"/>
    <w:rsid w:val="003E36CC"/>
    <w:rsid w:val="003E46F6"/>
    <w:rsid w:val="003E7FA0"/>
    <w:rsid w:val="003F0833"/>
    <w:rsid w:val="003F2195"/>
    <w:rsid w:val="003F5783"/>
    <w:rsid w:val="003F60D2"/>
    <w:rsid w:val="003F7836"/>
    <w:rsid w:val="00401482"/>
    <w:rsid w:val="004019B2"/>
    <w:rsid w:val="00402376"/>
    <w:rsid w:val="004028F6"/>
    <w:rsid w:val="004032B4"/>
    <w:rsid w:val="00404148"/>
    <w:rsid w:val="004043EE"/>
    <w:rsid w:val="00405510"/>
    <w:rsid w:val="004059A9"/>
    <w:rsid w:val="0040616D"/>
    <w:rsid w:val="00406FD0"/>
    <w:rsid w:val="004116CD"/>
    <w:rsid w:val="004117CB"/>
    <w:rsid w:val="004125C2"/>
    <w:rsid w:val="0041358A"/>
    <w:rsid w:val="00413D63"/>
    <w:rsid w:val="00415AF9"/>
    <w:rsid w:val="004161EF"/>
    <w:rsid w:val="004168B4"/>
    <w:rsid w:val="00416B6C"/>
    <w:rsid w:val="004170AE"/>
    <w:rsid w:val="00417CA1"/>
    <w:rsid w:val="00422812"/>
    <w:rsid w:val="00422A4E"/>
    <w:rsid w:val="004238FE"/>
    <w:rsid w:val="00424CA9"/>
    <w:rsid w:val="004251B3"/>
    <w:rsid w:val="0042559F"/>
    <w:rsid w:val="0042571E"/>
    <w:rsid w:val="00427033"/>
    <w:rsid w:val="00427BD3"/>
    <w:rsid w:val="00427D10"/>
    <w:rsid w:val="004302DC"/>
    <w:rsid w:val="00432058"/>
    <w:rsid w:val="004339B3"/>
    <w:rsid w:val="00433EE9"/>
    <w:rsid w:val="00435F31"/>
    <w:rsid w:val="00436280"/>
    <w:rsid w:val="00436DB5"/>
    <w:rsid w:val="00436EBE"/>
    <w:rsid w:val="004377FE"/>
    <w:rsid w:val="0044291A"/>
    <w:rsid w:val="00443149"/>
    <w:rsid w:val="00443356"/>
    <w:rsid w:val="004434D9"/>
    <w:rsid w:val="0044682E"/>
    <w:rsid w:val="00446DD0"/>
    <w:rsid w:val="00447C7C"/>
    <w:rsid w:val="00454BA5"/>
    <w:rsid w:val="00455637"/>
    <w:rsid w:val="004559B7"/>
    <w:rsid w:val="00456F48"/>
    <w:rsid w:val="00460E16"/>
    <w:rsid w:val="00463C72"/>
    <w:rsid w:val="00463F83"/>
    <w:rsid w:val="004655F9"/>
    <w:rsid w:val="00465E80"/>
    <w:rsid w:val="00466739"/>
    <w:rsid w:val="00466CAE"/>
    <w:rsid w:val="00470516"/>
    <w:rsid w:val="00473121"/>
    <w:rsid w:val="004735CC"/>
    <w:rsid w:val="00473B33"/>
    <w:rsid w:val="004759FD"/>
    <w:rsid w:val="00475D26"/>
    <w:rsid w:val="00476C00"/>
    <w:rsid w:val="00477BBC"/>
    <w:rsid w:val="004812E4"/>
    <w:rsid w:val="0048316F"/>
    <w:rsid w:val="00484130"/>
    <w:rsid w:val="004842EA"/>
    <w:rsid w:val="0048447D"/>
    <w:rsid w:val="004849CD"/>
    <w:rsid w:val="004868D4"/>
    <w:rsid w:val="00487543"/>
    <w:rsid w:val="00490F49"/>
    <w:rsid w:val="0049107B"/>
    <w:rsid w:val="00491BEB"/>
    <w:rsid w:val="00492475"/>
    <w:rsid w:val="004929F1"/>
    <w:rsid w:val="00493262"/>
    <w:rsid w:val="00493AD1"/>
    <w:rsid w:val="00493E46"/>
    <w:rsid w:val="00495F4C"/>
    <w:rsid w:val="004966EE"/>
    <w:rsid w:val="00496F97"/>
    <w:rsid w:val="0049782D"/>
    <w:rsid w:val="004979E7"/>
    <w:rsid w:val="004A00C7"/>
    <w:rsid w:val="004A10B6"/>
    <w:rsid w:val="004A134D"/>
    <w:rsid w:val="004A4A5E"/>
    <w:rsid w:val="004A7246"/>
    <w:rsid w:val="004B03B4"/>
    <w:rsid w:val="004B0543"/>
    <w:rsid w:val="004B0EC4"/>
    <w:rsid w:val="004B2DDF"/>
    <w:rsid w:val="004B550C"/>
    <w:rsid w:val="004C006A"/>
    <w:rsid w:val="004C0814"/>
    <w:rsid w:val="004C0C8C"/>
    <w:rsid w:val="004C11CF"/>
    <w:rsid w:val="004C20EF"/>
    <w:rsid w:val="004C2438"/>
    <w:rsid w:val="004C2578"/>
    <w:rsid w:val="004C508A"/>
    <w:rsid w:val="004C59CC"/>
    <w:rsid w:val="004C5CEE"/>
    <w:rsid w:val="004D0820"/>
    <w:rsid w:val="004D1521"/>
    <w:rsid w:val="004D161C"/>
    <w:rsid w:val="004D1AE8"/>
    <w:rsid w:val="004D3467"/>
    <w:rsid w:val="004D4924"/>
    <w:rsid w:val="004D5B13"/>
    <w:rsid w:val="004D5FA1"/>
    <w:rsid w:val="004D6367"/>
    <w:rsid w:val="004D77B6"/>
    <w:rsid w:val="004E02D5"/>
    <w:rsid w:val="004E105D"/>
    <w:rsid w:val="004E1F67"/>
    <w:rsid w:val="004E2783"/>
    <w:rsid w:val="004E2D14"/>
    <w:rsid w:val="004E3680"/>
    <w:rsid w:val="004E5A45"/>
    <w:rsid w:val="004E5CA4"/>
    <w:rsid w:val="004E6FB2"/>
    <w:rsid w:val="004F06DB"/>
    <w:rsid w:val="004F1286"/>
    <w:rsid w:val="004F381E"/>
    <w:rsid w:val="004F42AF"/>
    <w:rsid w:val="004F4DF5"/>
    <w:rsid w:val="004F5DCA"/>
    <w:rsid w:val="004F626B"/>
    <w:rsid w:val="004F6580"/>
    <w:rsid w:val="004F737B"/>
    <w:rsid w:val="004F7394"/>
    <w:rsid w:val="004F7910"/>
    <w:rsid w:val="00502DA4"/>
    <w:rsid w:val="00504E66"/>
    <w:rsid w:val="005068F3"/>
    <w:rsid w:val="005069E6"/>
    <w:rsid w:val="00507D01"/>
    <w:rsid w:val="005102C2"/>
    <w:rsid w:val="005104CE"/>
    <w:rsid w:val="00512FC8"/>
    <w:rsid w:val="00514556"/>
    <w:rsid w:val="00514A99"/>
    <w:rsid w:val="00514CF1"/>
    <w:rsid w:val="00515456"/>
    <w:rsid w:val="005157DD"/>
    <w:rsid w:val="0051582E"/>
    <w:rsid w:val="005165C4"/>
    <w:rsid w:val="00516A3A"/>
    <w:rsid w:val="00516B8D"/>
    <w:rsid w:val="00516FA7"/>
    <w:rsid w:val="00517568"/>
    <w:rsid w:val="00517B6C"/>
    <w:rsid w:val="00521922"/>
    <w:rsid w:val="00521A54"/>
    <w:rsid w:val="00522360"/>
    <w:rsid w:val="00522607"/>
    <w:rsid w:val="005244BD"/>
    <w:rsid w:val="0052629F"/>
    <w:rsid w:val="00526B28"/>
    <w:rsid w:val="005324F7"/>
    <w:rsid w:val="00532F5F"/>
    <w:rsid w:val="00533379"/>
    <w:rsid w:val="00533828"/>
    <w:rsid w:val="005369AA"/>
    <w:rsid w:val="00537FBC"/>
    <w:rsid w:val="005402E1"/>
    <w:rsid w:val="0054058B"/>
    <w:rsid w:val="00541438"/>
    <w:rsid w:val="00541B38"/>
    <w:rsid w:val="0054212D"/>
    <w:rsid w:val="00542324"/>
    <w:rsid w:val="0054249B"/>
    <w:rsid w:val="00543850"/>
    <w:rsid w:val="00544516"/>
    <w:rsid w:val="00545AD5"/>
    <w:rsid w:val="00552495"/>
    <w:rsid w:val="00554360"/>
    <w:rsid w:val="00554EA6"/>
    <w:rsid w:val="005552C4"/>
    <w:rsid w:val="00555BE8"/>
    <w:rsid w:val="005573AA"/>
    <w:rsid w:val="00560642"/>
    <w:rsid w:val="00561A9B"/>
    <w:rsid w:val="00562AE1"/>
    <w:rsid w:val="0056357B"/>
    <w:rsid w:val="00563CBC"/>
    <w:rsid w:val="0056494C"/>
    <w:rsid w:val="0056568D"/>
    <w:rsid w:val="0056582A"/>
    <w:rsid w:val="005675F7"/>
    <w:rsid w:val="005702C1"/>
    <w:rsid w:val="00570766"/>
    <w:rsid w:val="00571E24"/>
    <w:rsid w:val="005725BA"/>
    <w:rsid w:val="00573AC5"/>
    <w:rsid w:val="0057467A"/>
    <w:rsid w:val="00576779"/>
    <w:rsid w:val="00576CA5"/>
    <w:rsid w:val="00576DFF"/>
    <w:rsid w:val="00576EFD"/>
    <w:rsid w:val="005811F1"/>
    <w:rsid w:val="00582520"/>
    <w:rsid w:val="00583F69"/>
    <w:rsid w:val="00584052"/>
    <w:rsid w:val="00584811"/>
    <w:rsid w:val="005852AC"/>
    <w:rsid w:val="00587945"/>
    <w:rsid w:val="005913E5"/>
    <w:rsid w:val="00592D19"/>
    <w:rsid w:val="00593AA6"/>
    <w:rsid w:val="00594161"/>
    <w:rsid w:val="00594749"/>
    <w:rsid w:val="00595D85"/>
    <w:rsid w:val="0059634F"/>
    <w:rsid w:val="00596F74"/>
    <w:rsid w:val="0059758F"/>
    <w:rsid w:val="0059772F"/>
    <w:rsid w:val="005A0971"/>
    <w:rsid w:val="005A2945"/>
    <w:rsid w:val="005A3C93"/>
    <w:rsid w:val="005A6F34"/>
    <w:rsid w:val="005B0F90"/>
    <w:rsid w:val="005B1F1B"/>
    <w:rsid w:val="005B3517"/>
    <w:rsid w:val="005B4067"/>
    <w:rsid w:val="005B54D9"/>
    <w:rsid w:val="005B5A13"/>
    <w:rsid w:val="005B62E9"/>
    <w:rsid w:val="005B7331"/>
    <w:rsid w:val="005B736A"/>
    <w:rsid w:val="005B7B36"/>
    <w:rsid w:val="005C21CF"/>
    <w:rsid w:val="005C2B62"/>
    <w:rsid w:val="005C3F41"/>
    <w:rsid w:val="005C4BD0"/>
    <w:rsid w:val="005C4E5C"/>
    <w:rsid w:val="005C5800"/>
    <w:rsid w:val="005C6BFA"/>
    <w:rsid w:val="005D33E7"/>
    <w:rsid w:val="005D3C22"/>
    <w:rsid w:val="005D4DEA"/>
    <w:rsid w:val="005D67DD"/>
    <w:rsid w:val="005D6C7A"/>
    <w:rsid w:val="005D720D"/>
    <w:rsid w:val="005E4F49"/>
    <w:rsid w:val="005E594F"/>
    <w:rsid w:val="005F06EC"/>
    <w:rsid w:val="005F0D36"/>
    <w:rsid w:val="005F1010"/>
    <w:rsid w:val="005F2A5C"/>
    <w:rsid w:val="005F42CB"/>
    <w:rsid w:val="005F495E"/>
    <w:rsid w:val="005F4C24"/>
    <w:rsid w:val="005F56C1"/>
    <w:rsid w:val="005F5AAF"/>
    <w:rsid w:val="005F7F5F"/>
    <w:rsid w:val="00600219"/>
    <w:rsid w:val="006005CE"/>
    <w:rsid w:val="00601B04"/>
    <w:rsid w:val="00602F1F"/>
    <w:rsid w:val="006033F7"/>
    <w:rsid w:val="006047BC"/>
    <w:rsid w:val="006055E9"/>
    <w:rsid w:val="00606428"/>
    <w:rsid w:val="0060682D"/>
    <w:rsid w:val="00607378"/>
    <w:rsid w:val="00607DD5"/>
    <w:rsid w:val="0061048D"/>
    <w:rsid w:val="00610678"/>
    <w:rsid w:val="00610FDB"/>
    <w:rsid w:val="0061182C"/>
    <w:rsid w:val="00611C2E"/>
    <w:rsid w:val="00612494"/>
    <w:rsid w:val="00615B1C"/>
    <w:rsid w:val="00615D12"/>
    <w:rsid w:val="006162F3"/>
    <w:rsid w:val="00616F04"/>
    <w:rsid w:val="0062145F"/>
    <w:rsid w:val="00621B10"/>
    <w:rsid w:val="00624C00"/>
    <w:rsid w:val="00625D44"/>
    <w:rsid w:val="006318C3"/>
    <w:rsid w:val="00631B00"/>
    <w:rsid w:val="006324AE"/>
    <w:rsid w:val="006324FB"/>
    <w:rsid w:val="006325BC"/>
    <w:rsid w:val="00632926"/>
    <w:rsid w:val="006330DC"/>
    <w:rsid w:val="00633649"/>
    <w:rsid w:val="00635F91"/>
    <w:rsid w:val="00636D5C"/>
    <w:rsid w:val="00637F25"/>
    <w:rsid w:val="006402AE"/>
    <w:rsid w:val="00642B98"/>
    <w:rsid w:val="006444FB"/>
    <w:rsid w:val="00647C98"/>
    <w:rsid w:val="00650C73"/>
    <w:rsid w:val="0065106B"/>
    <w:rsid w:val="006523DD"/>
    <w:rsid w:val="00652432"/>
    <w:rsid w:val="006527A6"/>
    <w:rsid w:val="006530D4"/>
    <w:rsid w:val="00653941"/>
    <w:rsid w:val="00655896"/>
    <w:rsid w:val="006604DB"/>
    <w:rsid w:val="00660683"/>
    <w:rsid w:val="00660AE4"/>
    <w:rsid w:val="00662BE2"/>
    <w:rsid w:val="00663C56"/>
    <w:rsid w:val="00663FC2"/>
    <w:rsid w:val="00664BF9"/>
    <w:rsid w:val="00664C63"/>
    <w:rsid w:val="0066541B"/>
    <w:rsid w:val="00666292"/>
    <w:rsid w:val="006664ED"/>
    <w:rsid w:val="00671C25"/>
    <w:rsid w:val="00672AD5"/>
    <w:rsid w:val="0067386A"/>
    <w:rsid w:val="006747EF"/>
    <w:rsid w:val="0067562E"/>
    <w:rsid w:val="0067611C"/>
    <w:rsid w:val="00677CC2"/>
    <w:rsid w:val="00681A4A"/>
    <w:rsid w:val="00681E50"/>
    <w:rsid w:val="00684FFF"/>
    <w:rsid w:val="00685DBD"/>
    <w:rsid w:val="0068602F"/>
    <w:rsid w:val="0069207B"/>
    <w:rsid w:val="0069397D"/>
    <w:rsid w:val="00693FE4"/>
    <w:rsid w:val="00694B81"/>
    <w:rsid w:val="0069553E"/>
    <w:rsid w:val="006A0826"/>
    <w:rsid w:val="006A1C93"/>
    <w:rsid w:val="006A2E5B"/>
    <w:rsid w:val="006A466E"/>
    <w:rsid w:val="006A5307"/>
    <w:rsid w:val="006A538B"/>
    <w:rsid w:val="006A5E5E"/>
    <w:rsid w:val="006A76E6"/>
    <w:rsid w:val="006B0A43"/>
    <w:rsid w:val="006B1473"/>
    <w:rsid w:val="006B1618"/>
    <w:rsid w:val="006B1B4E"/>
    <w:rsid w:val="006B51F1"/>
    <w:rsid w:val="006B7D88"/>
    <w:rsid w:val="006C1380"/>
    <w:rsid w:val="006C7F8C"/>
    <w:rsid w:val="006D1F20"/>
    <w:rsid w:val="006D2DD1"/>
    <w:rsid w:val="006D3364"/>
    <w:rsid w:val="006D3764"/>
    <w:rsid w:val="006D5561"/>
    <w:rsid w:val="006D5FC8"/>
    <w:rsid w:val="006D7506"/>
    <w:rsid w:val="006D7675"/>
    <w:rsid w:val="006D77B3"/>
    <w:rsid w:val="006E06FF"/>
    <w:rsid w:val="006E0E0F"/>
    <w:rsid w:val="006E1C94"/>
    <w:rsid w:val="006E1E2F"/>
    <w:rsid w:val="006E28CC"/>
    <w:rsid w:val="006E337B"/>
    <w:rsid w:val="006E3A0D"/>
    <w:rsid w:val="006E4282"/>
    <w:rsid w:val="006E4AB2"/>
    <w:rsid w:val="006E7D86"/>
    <w:rsid w:val="006F0AFC"/>
    <w:rsid w:val="006F0D98"/>
    <w:rsid w:val="006F1889"/>
    <w:rsid w:val="006F1CBB"/>
    <w:rsid w:val="006F3802"/>
    <w:rsid w:val="006F3970"/>
    <w:rsid w:val="006F4E2B"/>
    <w:rsid w:val="006F5376"/>
    <w:rsid w:val="006F6563"/>
    <w:rsid w:val="006F68BB"/>
    <w:rsid w:val="006F73A2"/>
    <w:rsid w:val="006F7DD4"/>
    <w:rsid w:val="00700B2C"/>
    <w:rsid w:val="007018E4"/>
    <w:rsid w:val="007029AF"/>
    <w:rsid w:val="007042BF"/>
    <w:rsid w:val="00706775"/>
    <w:rsid w:val="007067CA"/>
    <w:rsid w:val="00707D56"/>
    <w:rsid w:val="00713084"/>
    <w:rsid w:val="0071357E"/>
    <w:rsid w:val="00714F8C"/>
    <w:rsid w:val="00714F8E"/>
    <w:rsid w:val="007173B8"/>
    <w:rsid w:val="007239B9"/>
    <w:rsid w:val="00723EDC"/>
    <w:rsid w:val="00724820"/>
    <w:rsid w:val="00724DE2"/>
    <w:rsid w:val="00726D7A"/>
    <w:rsid w:val="00731C90"/>
    <w:rsid w:val="00731E00"/>
    <w:rsid w:val="00732A85"/>
    <w:rsid w:val="00732F18"/>
    <w:rsid w:val="00733A15"/>
    <w:rsid w:val="00737C0A"/>
    <w:rsid w:val="007402B8"/>
    <w:rsid w:val="007407EB"/>
    <w:rsid w:val="00741586"/>
    <w:rsid w:val="00742583"/>
    <w:rsid w:val="007425E4"/>
    <w:rsid w:val="007440B7"/>
    <w:rsid w:val="007463D2"/>
    <w:rsid w:val="00747732"/>
    <w:rsid w:val="0075047C"/>
    <w:rsid w:val="0075226A"/>
    <w:rsid w:val="00760291"/>
    <w:rsid w:val="00760C79"/>
    <w:rsid w:val="00761513"/>
    <w:rsid w:val="007627F4"/>
    <w:rsid w:val="00763599"/>
    <w:rsid w:val="0076482C"/>
    <w:rsid w:val="00766067"/>
    <w:rsid w:val="0076700F"/>
    <w:rsid w:val="007675B6"/>
    <w:rsid w:val="00767D46"/>
    <w:rsid w:val="007702A7"/>
    <w:rsid w:val="00770953"/>
    <w:rsid w:val="007715C9"/>
    <w:rsid w:val="00772044"/>
    <w:rsid w:val="00773F0D"/>
    <w:rsid w:val="00774EDD"/>
    <w:rsid w:val="007757EC"/>
    <w:rsid w:val="00775B9C"/>
    <w:rsid w:val="0078395B"/>
    <w:rsid w:val="007843F6"/>
    <w:rsid w:val="007845BF"/>
    <w:rsid w:val="007861BA"/>
    <w:rsid w:val="00786650"/>
    <w:rsid w:val="00786DAE"/>
    <w:rsid w:val="0078749B"/>
    <w:rsid w:val="007874E3"/>
    <w:rsid w:val="007875AF"/>
    <w:rsid w:val="0079402F"/>
    <w:rsid w:val="00794790"/>
    <w:rsid w:val="00795FCE"/>
    <w:rsid w:val="0079673A"/>
    <w:rsid w:val="007A02A2"/>
    <w:rsid w:val="007A042F"/>
    <w:rsid w:val="007A1D95"/>
    <w:rsid w:val="007A2ABC"/>
    <w:rsid w:val="007A2FAD"/>
    <w:rsid w:val="007A36C5"/>
    <w:rsid w:val="007A4422"/>
    <w:rsid w:val="007A5302"/>
    <w:rsid w:val="007A624E"/>
    <w:rsid w:val="007A6363"/>
    <w:rsid w:val="007A659A"/>
    <w:rsid w:val="007A6D9F"/>
    <w:rsid w:val="007A78D3"/>
    <w:rsid w:val="007B081F"/>
    <w:rsid w:val="007B14AE"/>
    <w:rsid w:val="007B3565"/>
    <w:rsid w:val="007B45D5"/>
    <w:rsid w:val="007B6AAC"/>
    <w:rsid w:val="007B7074"/>
    <w:rsid w:val="007B71C0"/>
    <w:rsid w:val="007C26D8"/>
    <w:rsid w:val="007C3896"/>
    <w:rsid w:val="007C3EC7"/>
    <w:rsid w:val="007C5A7B"/>
    <w:rsid w:val="007C779E"/>
    <w:rsid w:val="007D103E"/>
    <w:rsid w:val="007D3560"/>
    <w:rsid w:val="007D5EFD"/>
    <w:rsid w:val="007D672D"/>
    <w:rsid w:val="007E303D"/>
    <w:rsid w:val="007E39CB"/>
    <w:rsid w:val="007E489E"/>
    <w:rsid w:val="007E4CC8"/>
    <w:rsid w:val="007E5E79"/>
    <w:rsid w:val="007E6B77"/>
    <w:rsid w:val="007F0922"/>
    <w:rsid w:val="007F246C"/>
    <w:rsid w:val="007F2E23"/>
    <w:rsid w:val="007F6721"/>
    <w:rsid w:val="007F6B75"/>
    <w:rsid w:val="00801199"/>
    <w:rsid w:val="008016FB"/>
    <w:rsid w:val="00801942"/>
    <w:rsid w:val="0080216D"/>
    <w:rsid w:val="00810B39"/>
    <w:rsid w:val="008111C3"/>
    <w:rsid w:val="00813DAA"/>
    <w:rsid w:val="008145EA"/>
    <w:rsid w:val="00816037"/>
    <w:rsid w:val="00816BE9"/>
    <w:rsid w:val="008171FB"/>
    <w:rsid w:val="00820733"/>
    <w:rsid w:val="008209DD"/>
    <w:rsid w:val="008212A6"/>
    <w:rsid w:val="008222BD"/>
    <w:rsid w:val="00822F07"/>
    <w:rsid w:val="00823429"/>
    <w:rsid w:val="00823B27"/>
    <w:rsid w:val="008248A0"/>
    <w:rsid w:val="0082498B"/>
    <w:rsid w:val="008263EB"/>
    <w:rsid w:val="00830815"/>
    <w:rsid w:val="00831297"/>
    <w:rsid w:val="00832499"/>
    <w:rsid w:val="00832F50"/>
    <w:rsid w:val="00834A9D"/>
    <w:rsid w:val="00836001"/>
    <w:rsid w:val="00836901"/>
    <w:rsid w:val="00840DD5"/>
    <w:rsid w:val="008420F3"/>
    <w:rsid w:val="008436BB"/>
    <w:rsid w:val="00844EC5"/>
    <w:rsid w:val="00847E8F"/>
    <w:rsid w:val="00850409"/>
    <w:rsid w:val="00855132"/>
    <w:rsid w:val="00855237"/>
    <w:rsid w:val="00856A31"/>
    <w:rsid w:val="00860C73"/>
    <w:rsid w:val="00860EE1"/>
    <w:rsid w:val="008629D5"/>
    <w:rsid w:val="00864B7F"/>
    <w:rsid w:val="008656D0"/>
    <w:rsid w:val="00865E6A"/>
    <w:rsid w:val="00867984"/>
    <w:rsid w:val="008730FA"/>
    <w:rsid w:val="00873B44"/>
    <w:rsid w:val="00873C4C"/>
    <w:rsid w:val="00873DB6"/>
    <w:rsid w:val="00874A53"/>
    <w:rsid w:val="008754D0"/>
    <w:rsid w:val="008755D1"/>
    <w:rsid w:val="00876A8A"/>
    <w:rsid w:val="008775E4"/>
    <w:rsid w:val="00882E2D"/>
    <w:rsid w:val="008836D4"/>
    <w:rsid w:val="00883892"/>
    <w:rsid w:val="008841DD"/>
    <w:rsid w:val="008846C5"/>
    <w:rsid w:val="00885493"/>
    <w:rsid w:val="0088662D"/>
    <w:rsid w:val="0088675F"/>
    <w:rsid w:val="00886948"/>
    <w:rsid w:val="00886EBC"/>
    <w:rsid w:val="00887681"/>
    <w:rsid w:val="0089071C"/>
    <w:rsid w:val="00890B67"/>
    <w:rsid w:val="00891B73"/>
    <w:rsid w:val="00892052"/>
    <w:rsid w:val="0089368D"/>
    <w:rsid w:val="00893F44"/>
    <w:rsid w:val="00893FB0"/>
    <w:rsid w:val="008948DA"/>
    <w:rsid w:val="00895F3F"/>
    <w:rsid w:val="00896F04"/>
    <w:rsid w:val="00897DF3"/>
    <w:rsid w:val="008A0D86"/>
    <w:rsid w:val="008A1296"/>
    <w:rsid w:val="008A1DD5"/>
    <w:rsid w:val="008A25D5"/>
    <w:rsid w:val="008A266E"/>
    <w:rsid w:val="008A521B"/>
    <w:rsid w:val="008A55B4"/>
    <w:rsid w:val="008A6470"/>
    <w:rsid w:val="008A7881"/>
    <w:rsid w:val="008B1776"/>
    <w:rsid w:val="008B1DE9"/>
    <w:rsid w:val="008B56BF"/>
    <w:rsid w:val="008B7E4B"/>
    <w:rsid w:val="008C0120"/>
    <w:rsid w:val="008C174D"/>
    <w:rsid w:val="008C1947"/>
    <w:rsid w:val="008C22AF"/>
    <w:rsid w:val="008C26CB"/>
    <w:rsid w:val="008C2E67"/>
    <w:rsid w:val="008C56C4"/>
    <w:rsid w:val="008C7476"/>
    <w:rsid w:val="008C7744"/>
    <w:rsid w:val="008C7F94"/>
    <w:rsid w:val="008D0A41"/>
    <w:rsid w:val="008D0EE0"/>
    <w:rsid w:val="008D0FC3"/>
    <w:rsid w:val="008D243D"/>
    <w:rsid w:val="008D372C"/>
    <w:rsid w:val="008D380E"/>
    <w:rsid w:val="008D41CB"/>
    <w:rsid w:val="008D5799"/>
    <w:rsid w:val="008D6654"/>
    <w:rsid w:val="008D79C8"/>
    <w:rsid w:val="008E05CA"/>
    <w:rsid w:val="008E4D88"/>
    <w:rsid w:val="008E5662"/>
    <w:rsid w:val="008E633C"/>
    <w:rsid w:val="008E63DB"/>
    <w:rsid w:val="008E6420"/>
    <w:rsid w:val="008F0616"/>
    <w:rsid w:val="008F133D"/>
    <w:rsid w:val="008F5038"/>
    <w:rsid w:val="008F5520"/>
    <w:rsid w:val="008F65CB"/>
    <w:rsid w:val="008F6726"/>
    <w:rsid w:val="008F7423"/>
    <w:rsid w:val="0090135E"/>
    <w:rsid w:val="00901FF9"/>
    <w:rsid w:val="00902421"/>
    <w:rsid w:val="00903435"/>
    <w:rsid w:val="00903643"/>
    <w:rsid w:val="009036C0"/>
    <w:rsid w:val="00904778"/>
    <w:rsid w:val="00905DE9"/>
    <w:rsid w:val="009074C7"/>
    <w:rsid w:val="009079C9"/>
    <w:rsid w:val="00907D08"/>
    <w:rsid w:val="00907D8F"/>
    <w:rsid w:val="00910088"/>
    <w:rsid w:val="00910185"/>
    <w:rsid w:val="00910E28"/>
    <w:rsid w:val="00910E98"/>
    <w:rsid w:val="0091112E"/>
    <w:rsid w:val="009138B8"/>
    <w:rsid w:val="00913C1A"/>
    <w:rsid w:val="009147C7"/>
    <w:rsid w:val="009163A5"/>
    <w:rsid w:val="00916775"/>
    <w:rsid w:val="00916852"/>
    <w:rsid w:val="0092020E"/>
    <w:rsid w:val="009218F7"/>
    <w:rsid w:val="00921CA2"/>
    <w:rsid w:val="00922349"/>
    <w:rsid w:val="00922404"/>
    <w:rsid w:val="00923969"/>
    <w:rsid w:val="00923BEA"/>
    <w:rsid w:val="00925307"/>
    <w:rsid w:val="00927B98"/>
    <w:rsid w:val="00927C0C"/>
    <w:rsid w:val="00930073"/>
    <w:rsid w:val="00930079"/>
    <w:rsid w:val="00931235"/>
    <w:rsid w:val="00931D06"/>
    <w:rsid w:val="00932377"/>
    <w:rsid w:val="00932FA3"/>
    <w:rsid w:val="00940065"/>
    <w:rsid w:val="00940DAD"/>
    <w:rsid w:val="0094266E"/>
    <w:rsid w:val="0094310D"/>
    <w:rsid w:val="00944258"/>
    <w:rsid w:val="00945BA1"/>
    <w:rsid w:val="00946952"/>
    <w:rsid w:val="00947EFB"/>
    <w:rsid w:val="00950191"/>
    <w:rsid w:val="0095602D"/>
    <w:rsid w:val="00956152"/>
    <w:rsid w:val="00956CCA"/>
    <w:rsid w:val="0095784F"/>
    <w:rsid w:val="009600A7"/>
    <w:rsid w:val="0096129C"/>
    <w:rsid w:val="009620C2"/>
    <w:rsid w:val="00963E6F"/>
    <w:rsid w:val="00965DA6"/>
    <w:rsid w:val="009715F5"/>
    <w:rsid w:val="00971924"/>
    <w:rsid w:val="00971AED"/>
    <w:rsid w:val="00974785"/>
    <w:rsid w:val="00974DEA"/>
    <w:rsid w:val="009775DF"/>
    <w:rsid w:val="00982B9F"/>
    <w:rsid w:val="009905EB"/>
    <w:rsid w:val="0099131B"/>
    <w:rsid w:val="0099362C"/>
    <w:rsid w:val="009936BB"/>
    <w:rsid w:val="009937F6"/>
    <w:rsid w:val="009954F0"/>
    <w:rsid w:val="009A15E9"/>
    <w:rsid w:val="009A162C"/>
    <w:rsid w:val="009A49F6"/>
    <w:rsid w:val="009A55B6"/>
    <w:rsid w:val="009A73D7"/>
    <w:rsid w:val="009B0E45"/>
    <w:rsid w:val="009B1079"/>
    <w:rsid w:val="009B2B1B"/>
    <w:rsid w:val="009B3F6C"/>
    <w:rsid w:val="009B461C"/>
    <w:rsid w:val="009B5316"/>
    <w:rsid w:val="009B65B8"/>
    <w:rsid w:val="009B6CBD"/>
    <w:rsid w:val="009B7B0C"/>
    <w:rsid w:val="009C29F5"/>
    <w:rsid w:val="009C5F8D"/>
    <w:rsid w:val="009C6831"/>
    <w:rsid w:val="009C7E2A"/>
    <w:rsid w:val="009C7EEC"/>
    <w:rsid w:val="009D04D2"/>
    <w:rsid w:val="009D1D41"/>
    <w:rsid w:val="009D2EB6"/>
    <w:rsid w:val="009D380E"/>
    <w:rsid w:val="009D46EE"/>
    <w:rsid w:val="009D6848"/>
    <w:rsid w:val="009E0063"/>
    <w:rsid w:val="009E115D"/>
    <w:rsid w:val="009E5515"/>
    <w:rsid w:val="009E5D19"/>
    <w:rsid w:val="009E6DA5"/>
    <w:rsid w:val="009E7C2A"/>
    <w:rsid w:val="009F30EB"/>
    <w:rsid w:val="009F3772"/>
    <w:rsid w:val="009F7277"/>
    <w:rsid w:val="00A002A3"/>
    <w:rsid w:val="00A00F90"/>
    <w:rsid w:val="00A02184"/>
    <w:rsid w:val="00A03C57"/>
    <w:rsid w:val="00A03DD0"/>
    <w:rsid w:val="00A04B7D"/>
    <w:rsid w:val="00A062FA"/>
    <w:rsid w:val="00A06963"/>
    <w:rsid w:val="00A07C07"/>
    <w:rsid w:val="00A114FC"/>
    <w:rsid w:val="00A11779"/>
    <w:rsid w:val="00A120DD"/>
    <w:rsid w:val="00A13A38"/>
    <w:rsid w:val="00A14706"/>
    <w:rsid w:val="00A15995"/>
    <w:rsid w:val="00A1777C"/>
    <w:rsid w:val="00A1788D"/>
    <w:rsid w:val="00A20789"/>
    <w:rsid w:val="00A214EA"/>
    <w:rsid w:val="00A2161A"/>
    <w:rsid w:val="00A21F02"/>
    <w:rsid w:val="00A22504"/>
    <w:rsid w:val="00A2316F"/>
    <w:rsid w:val="00A231E2"/>
    <w:rsid w:val="00A23FDB"/>
    <w:rsid w:val="00A241AA"/>
    <w:rsid w:val="00A25627"/>
    <w:rsid w:val="00A27E0F"/>
    <w:rsid w:val="00A318DE"/>
    <w:rsid w:val="00A32470"/>
    <w:rsid w:val="00A32DFC"/>
    <w:rsid w:val="00A32E9C"/>
    <w:rsid w:val="00A35C23"/>
    <w:rsid w:val="00A37BAC"/>
    <w:rsid w:val="00A37FFD"/>
    <w:rsid w:val="00A40720"/>
    <w:rsid w:val="00A415B9"/>
    <w:rsid w:val="00A41A7C"/>
    <w:rsid w:val="00A42BB1"/>
    <w:rsid w:val="00A42CC2"/>
    <w:rsid w:val="00A432F0"/>
    <w:rsid w:val="00A43DD6"/>
    <w:rsid w:val="00A441EF"/>
    <w:rsid w:val="00A44959"/>
    <w:rsid w:val="00A451A0"/>
    <w:rsid w:val="00A4582D"/>
    <w:rsid w:val="00A458D3"/>
    <w:rsid w:val="00A46863"/>
    <w:rsid w:val="00A478E1"/>
    <w:rsid w:val="00A53041"/>
    <w:rsid w:val="00A5354B"/>
    <w:rsid w:val="00A53E32"/>
    <w:rsid w:val="00A57A36"/>
    <w:rsid w:val="00A6152D"/>
    <w:rsid w:val="00A61AAA"/>
    <w:rsid w:val="00A62D6B"/>
    <w:rsid w:val="00A63FEB"/>
    <w:rsid w:val="00A648CB"/>
    <w:rsid w:val="00A64912"/>
    <w:rsid w:val="00A65670"/>
    <w:rsid w:val="00A65F83"/>
    <w:rsid w:val="00A6703F"/>
    <w:rsid w:val="00A675DA"/>
    <w:rsid w:val="00A70A74"/>
    <w:rsid w:val="00A712EF"/>
    <w:rsid w:val="00A72190"/>
    <w:rsid w:val="00A777D0"/>
    <w:rsid w:val="00A81AE3"/>
    <w:rsid w:val="00A82208"/>
    <w:rsid w:val="00A82460"/>
    <w:rsid w:val="00A82954"/>
    <w:rsid w:val="00A83431"/>
    <w:rsid w:val="00A8415C"/>
    <w:rsid w:val="00A8607B"/>
    <w:rsid w:val="00A86613"/>
    <w:rsid w:val="00A90702"/>
    <w:rsid w:val="00A9162F"/>
    <w:rsid w:val="00A91F92"/>
    <w:rsid w:val="00A9341D"/>
    <w:rsid w:val="00A9360F"/>
    <w:rsid w:val="00A940F1"/>
    <w:rsid w:val="00A94757"/>
    <w:rsid w:val="00A95A11"/>
    <w:rsid w:val="00A9771F"/>
    <w:rsid w:val="00AA2FEF"/>
    <w:rsid w:val="00AA3B10"/>
    <w:rsid w:val="00AA4380"/>
    <w:rsid w:val="00AA5445"/>
    <w:rsid w:val="00AA772D"/>
    <w:rsid w:val="00AB007D"/>
    <w:rsid w:val="00AB2733"/>
    <w:rsid w:val="00AB2A28"/>
    <w:rsid w:val="00AB3B17"/>
    <w:rsid w:val="00AB5A90"/>
    <w:rsid w:val="00AB6053"/>
    <w:rsid w:val="00AB782D"/>
    <w:rsid w:val="00AC0F59"/>
    <w:rsid w:val="00AC4897"/>
    <w:rsid w:val="00AC4E78"/>
    <w:rsid w:val="00AC5E28"/>
    <w:rsid w:val="00AD27B3"/>
    <w:rsid w:val="00AD5641"/>
    <w:rsid w:val="00AE03F8"/>
    <w:rsid w:val="00AE33AB"/>
    <w:rsid w:val="00AE45B7"/>
    <w:rsid w:val="00AE4B94"/>
    <w:rsid w:val="00AE54EA"/>
    <w:rsid w:val="00AE565C"/>
    <w:rsid w:val="00AE59F7"/>
    <w:rsid w:val="00AE5F0D"/>
    <w:rsid w:val="00AE736A"/>
    <w:rsid w:val="00AE7A14"/>
    <w:rsid w:val="00AE7BD7"/>
    <w:rsid w:val="00AF1112"/>
    <w:rsid w:val="00AF24F9"/>
    <w:rsid w:val="00AF666E"/>
    <w:rsid w:val="00AF73FB"/>
    <w:rsid w:val="00AF7A05"/>
    <w:rsid w:val="00B0096E"/>
    <w:rsid w:val="00B03EBB"/>
    <w:rsid w:val="00B04728"/>
    <w:rsid w:val="00B04C37"/>
    <w:rsid w:val="00B05DED"/>
    <w:rsid w:val="00B05DF0"/>
    <w:rsid w:val="00B061A1"/>
    <w:rsid w:val="00B11297"/>
    <w:rsid w:val="00B11D14"/>
    <w:rsid w:val="00B1355A"/>
    <w:rsid w:val="00B136CC"/>
    <w:rsid w:val="00B152AA"/>
    <w:rsid w:val="00B154AD"/>
    <w:rsid w:val="00B164BC"/>
    <w:rsid w:val="00B17672"/>
    <w:rsid w:val="00B21E0C"/>
    <w:rsid w:val="00B23516"/>
    <w:rsid w:val="00B24000"/>
    <w:rsid w:val="00B25B5D"/>
    <w:rsid w:val="00B26413"/>
    <w:rsid w:val="00B30BBF"/>
    <w:rsid w:val="00B311FB"/>
    <w:rsid w:val="00B3283A"/>
    <w:rsid w:val="00B32A76"/>
    <w:rsid w:val="00B33B3C"/>
    <w:rsid w:val="00B33ED3"/>
    <w:rsid w:val="00B33F38"/>
    <w:rsid w:val="00B340B6"/>
    <w:rsid w:val="00B3608C"/>
    <w:rsid w:val="00B372A6"/>
    <w:rsid w:val="00B407D0"/>
    <w:rsid w:val="00B40BDE"/>
    <w:rsid w:val="00B42635"/>
    <w:rsid w:val="00B429C2"/>
    <w:rsid w:val="00B42B84"/>
    <w:rsid w:val="00B44438"/>
    <w:rsid w:val="00B453EB"/>
    <w:rsid w:val="00B47D10"/>
    <w:rsid w:val="00B5048B"/>
    <w:rsid w:val="00B51CE4"/>
    <w:rsid w:val="00B56F9C"/>
    <w:rsid w:val="00B61C25"/>
    <w:rsid w:val="00B64051"/>
    <w:rsid w:val="00B64635"/>
    <w:rsid w:val="00B64761"/>
    <w:rsid w:val="00B647D7"/>
    <w:rsid w:val="00B6521C"/>
    <w:rsid w:val="00B655D9"/>
    <w:rsid w:val="00B6675D"/>
    <w:rsid w:val="00B66DBD"/>
    <w:rsid w:val="00B6707C"/>
    <w:rsid w:val="00B70E56"/>
    <w:rsid w:val="00B710AD"/>
    <w:rsid w:val="00B71859"/>
    <w:rsid w:val="00B72527"/>
    <w:rsid w:val="00B73022"/>
    <w:rsid w:val="00B7372A"/>
    <w:rsid w:val="00B73F5B"/>
    <w:rsid w:val="00B747C2"/>
    <w:rsid w:val="00B75396"/>
    <w:rsid w:val="00B75843"/>
    <w:rsid w:val="00B7589E"/>
    <w:rsid w:val="00B76AA9"/>
    <w:rsid w:val="00B805DC"/>
    <w:rsid w:val="00B82A78"/>
    <w:rsid w:val="00B83C6C"/>
    <w:rsid w:val="00B83CDC"/>
    <w:rsid w:val="00B87C2B"/>
    <w:rsid w:val="00B87E2D"/>
    <w:rsid w:val="00B87F5B"/>
    <w:rsid w:val="00B908B3"/>
    <w:rsid w:val="00B91A76"/>
    <w:rsid w:val="00B91AC8"/>
    <w:rsid w:val="00B92E1F"/>
    <w:rsid w:val="00B94BC9"/>
    <w:rsid w:val="00B9729D"/>
    <w:rsid w:val="00B97BA6"/>
    <w:rsid w:val="00BA3237"/>
    <w:rsid w:val="00BA35CA"/>
    <w:rsid w:val="00BA3C4C"/>
    <w:rsid w:val="00BA449E"/>
    <w:rsid w:val="00BA4C47"/>
    <w:rsid w:val="00BA79D3"/>
    <w:rsid w:val="00BA7E26"/>
    <w:rsid w:val="00BA7EEE"/>
    <w:rsid w:val="00BB0B57"/>
    <w:rsid w:val="00BB1B11"/>
    <w:rsid w:val="00BB310B"/>
    <w:rsid w:val="00BB3304"/>
    <w:rsid w:val="00BB39F4"/>
    <w:rsid w:val="00BB425B"/>
    <w:rsid w:val="00BB6499"/>
    <w:rsid w:val="00BB6893"/>
    <w:rsid w:val="00BB7CFE"/>
    <w:rsid w:val="00BC07A0"/>
    <w:rsid w:val="00BC1C89"/>
    <w:rsid w:val="00BC2B55"/>
    <w:rsid w:val="00BC30F2"/>
    <w:rsid w:val="00BC7281"/>
    <w:rsid w:val="00BC74CD"/>
    <w:rsid w:val="00BD0898"/>
    <w:rsid w:val="00BD1655"/>
    <w:rsid w:val="00BD276D"/>
    <w:rsid w:val="00BE0224"/>
    <w:rsid w:val="00BE1B90"/>
    <w:rsid w:val="00BE3CEF"/>
    <w:rsid w:val="00BE5F0E"/>
    <w:rsid w:val="00BE719A"/>
    <w:rsid w:val="00BE720A"/>
    <w:rsid w:val="00BE7C59"/>
    <w:rsid w:val="00BE7CB6"/>
    <w:rsid w:val="00BF21CF"/>
    <w:rsid w:val="00BF2ED6"/>
    <w:rsid w:val="00BF3F09"/>
    <w:rsid w:val="00BF4083"/>
    <w:rsid w:val="00BF429D"/>
    <w:rsid w:val="00BF5236"/>
    <w:rsid w:val="00BF6695"/>
    <w:rsid w:val="00BF6ECF"/>
    <w:rsid w:val="00BF7E6B"/>
    <w:rsid w:val="00C01118"/>
    <w:rsid w:val="00C02430"/>
    <w:rsid w:val="00C0249A"/>
    <w:rsid w:val="00C028CB"/>
    <w:rsid w:val="00C03312"/>
    <w:rsid w:val="00C05E64"/>
    <w:rsid w:val="00C0646E"/>
    <w:rsid w:val="00C07F06"/>
    <w:rsid w:val="00C1021E"/>
    <w:rsid w:val="00C1092D"/>
    <w:rsid w:val="00C11895"/>
    <w:rsid w:val="00C12240"/>
    <w:rsid w:val="00C12248"/>
    <w:rsid w:val="00C1268A"/>
    <w:rsid w:val="00C12D38"/>
    <w:rsid w:val="00C130C3"/>
    <w:rsid w:val="00C13E49"/>
    <w:rsid w:val="00C1586C"/>
    <w:rsid w:val="00C15CF8"/>
    <w:rsid w:val="00C15E0D"/>
    <w:rsid w:val="00C17046"/>
    <w:rsid w:val="00C2207D"/>
    <w:rsid w:val="00C22650"/>
    <w:rsid w:val="00C22A1E"/>
    <w:rsid w:val="00C23BAB"/>
    <w:rsid w:val="00C26B67"/>
    <w:rsid w:val="00C320AF"/>
    <w:rsid w:val="00C35BAE"/>
    <w:rsid w:val="00C36802"/>
    <w:rsid w:val="00C36BAF"/>
    <w:rsid w:val="00C40CCC"/>
    <w:rsid w:val="00C426F6"/>
    <w:rsid w:val="00C42BF8"/>
    <w:rsid w:val="00C442A4"/>
    <w:rsid w:val="00C46775"/>
    <w:rsid w:val="00C4681B"/>
    <w:rsid w:val="00C46DED"/>
    <w:rsid w:val="00C4787F"/>
    <w:rsid w:val="00C47B05"/>
    <w:rsid w:val="00C50043"/>
    <w:rsid w:val="00C53114"/>
    <w:rsid w:val="00C531D0"/>
    <w:rsid w:val="00C5399F"/>
    <w:rsid w:val="00C5417B"/>
    <w:rsid w:val="00C57A2F"/>
    <w:rsid w:val="00C57BCD"/>
    <w:rsid w:val="00C60B43"/>
    <w:rsid w:val="00C61CF2"/>
    <w:rsid w:val="00C62E55"/>
    <w:rsid w:val="00C6317D"/>
    <w:rsid w:val="00C6609D"/>
    <w:rsid w:val="00C7218C"/>
    <w:rsid w:val="00C723B9"/>
    <w:rsid w:val="00C726AF"/>
    <w:rsid w:val="00C74A85"/>
    <w:rsid w:val="00C756F6"/>
    <w:rsid w:val="00C7573B"/>
    <w:rsid w:val="00C75AD9"/>
    <w:rsid w:val="00C77B5A"/>
    <w:rsid w:val="00C77D10"/>
    <w:rsid w:val="00C815DF"/>
    <w:rsid w:val="00C84CA2"/>
    <w:rsid w:val="00C92456"/>
    <w:rsid w:val="00C94033"/>
    <w:rsid w:val="00C95070"/>
    <w:rsid w:val="00C951A7"/>
    <w:rsid w:val="00CA3C24"/>
    <w:rsid w:val="00CA5017"/>
    <w:rsid w:val="00CA62BA"/>
    <w:rsid w:val="00CA6812"/>
    <w:rsid w:val="00CA6DE5"/>
    <w:rsid w:val="00CA6F2F"/>
    <w:rsid w:val="00CB099F"/>
    <w:rsid w:val="00CB0EA8"/>
    <w:rsid w:val="00CB141B"/>
    <w:rsid w:val="00CB17E6"/>
    <w:rsid w:val="00CB3598"/>
    <w:rsid w:val="00CB4C10"/>
    <w:rsid w:val="00CB5339"/>
    <w:rsid w:val="00CB62AC"/>
    <w:rsid w:val="00CC0F7F"/>
    <w:rsid w:val="00CC28D8"/>
    <w:rsid w:val="00CC2AA2"/>
    <w:rsid w:val="00CC324F"/>
    <w:rsid w:val="00CC3259"/>
    <w:rsid w:val="00CC3554"/>
    <w:rsid w:val="00CC389B"/>
    <w:rsid w:val="00CC4AE1"/>
    <w:rsid w:val="00CC609F"/>
    <w:rsid w:val="00CC6119"/>
    <w:rsid w:val="00CC70F9"/>
    <w:rsid w:val="00CC78B5"/>
    <w:rsid w:val="00CC7A09"/>
    <w:rsid w:val="00CC7C04"/>
    <w:rsid w:val="00CD0ED9"/>
    <w:rsid w:val="00CD14E3"/>
    <w:rsid w:val="00CD20DF"/>
    <w:rsid w:val="00CD2A4D"/>
    <w:rsid w:val="00CD2F0E"/>
    <w:rsid w:val="00CD3E0B"/>
    <w:rsid w:val="00CD5244"/>
    <w:rsid w:val="00CD5593"/>
    <w:rsid w:val="00CD6027"/>
    <w:rsid w:val="00CD6EEA"/>
    <w:rsid w:val="00CD7210"/>
    <w:rsid w:val="00CD7C74"/>
    <w:rsid w:val="00CE14CE"/>
    <w:rsid w:val="00CE1E45"/>
    <w:rsid w:val="00CE2949"/>
    <w:rsid w:val="00CE4D3A"/>
    <w:rsid w:val="00CE6835"/>
    <w:rsid w:val="00CE7DB1"/>
    <w:rsid w:val="00CF0BB2"/>
    <w:rsid w:val="00CF2035"/>
    <w:rsid w:val="00CF2913"/>
    <w:rsid w:val="00CF397F"/>
    <w:rsid w:val="00CF4360"/>
    <w:rsid w:val="00CF4975"/>
    <w:rsid w:val="00CF4D24"/>
    <w:rsid w:val="00CF5BD9"/>
    <w:rsid w:val="00CF648C"/>
    <w:rsid w:val="00D01F5F"/>
    <w:rsid w:val="00D0316C"/>
    <w:rsid w:val="00D03BEB"/>
    <w:rsid w:val="00D03E6D"/>
    <w:rsid w:val="00D049EC"/>
    <w:rsid w:val="00D06470"/>
    <w:rsid w:val="00D06E2B"/>
    <w:rsid w:val="00D07EFB"/>
    <w:rsid w:val="00D121C9"/>
    <w:rsid w:val="00D122F5"/>
    <w:rsid w:val="00D1252E"/>
    <w:rsid w:val="00D12B0E"/>
    <w:rsid w:val="00D1328D"/>
    <w:rsid w:val="00D13441"/>
    <w:rsid w:val="00D14D8B"/>
    <w:rsid w:val="00D16C51"/>
    <w:rsid w:val="00D1773D"/>
    <w:rsid w:val="00D221FC"/>
    <w:rsid w:val="00D230FD"/>
    <w:rsid w:val="00D23CE2"/>
    <w:rsid w:val="00D2417C"/>
    <w:rsid w:val="00D2634C"/>
    <w:rsid w:val="00D2676F"/>
    <w:rsid w:val="00D300C2"/>
    <w:rsid w:val="00D3091E"/>
    <w:rsid w:val="00D3213F"/>
    <w:rsid w:val="00D32B6D"/>
    <w:rsid w:val="00D33036"/>
    <w:rsid w:val="00D33516"/>
    <w:rsid w:val="00D3667C"/>
    <w:rsid w:val="00D374CE"/>
    <w:rsid w:val="00D40252"/>
    <w:rsid w:val="00D404C9"/>
    <w:rsid w:val="00D424CF"/>
    <w:rsid w:val="00D42EFC"/>
    <w:rsid w:val="00D4340D"/>
    <w:rsid w:val="00D43DFC"/>
    <w:rsid w:val="00D44A35"/>
    <w:rsid w:val="00D44AA3"/>
    <w:rsid w:val="00D450E9"/>
    <w:rsid w:val="00D462CA"/>
    <w:rsid w:val="00D467B9"/>
    <w:rsid w:val="00D46FE2"/>
    <w:rsid w:val="00D50661"/>
    <w:rsid w:val="00D50840"/>
    <w:rsid w:val="00D52389"/>
    <w:rsid w:val="00D529CF"/>
    <w:rsid w:val="00D559A2"/>
    <w:rsid w:val="00D57BFC"/>
    <w:rsid w:val="00D63862"/>
    <w:rsid w:val="00D67311"/>
    <w:rsid w:val="00D70DFB"/>
    <w:rsid w:val="00D71497"/>
    <w:rsid w:val="00D7186F"/>
    <w:rsid w:val="00D72125"/>
    <w:rsid w:val="00D725C3"/>
    <w:rsid w:val="00D72E8A"/>
    <w:rsid w:val="00D72F47"/>
    <w:rsid w:val="00D73944"/>
    <w:rsid w:val="00D7435A"/>
    <w:rsid w:val="00D74D9F"/>
    <w:rsid w:val="00D7532D"/>
    <w:rsid w:val="00D7565C"/>
    <w:rsid w:val="00D766DF"/>
    <w:rsid w:val="00D76841"/>
    <w:rsid w:val="00D80951"/>
    <w:rsid w:val="00D822FD"/>
    <w:rsid w:val="00D827E5"/>
    <w:rsid w:val="00D828DF"/>
    <w:rsid w:val="00D829F8"/>
    <w:rsid w:val="00D82C09"/>
    <w:rsid w:val="00D843E0"/>
    <w:rsid w:val="00D85E3C"/>
    <w:rsid w:val="00D8689A"/>
    <w:rsid w:val="00D9152C"/>
    <w:rsid w:val="00D9284D"/>
    <w:rsid w:val="00D94418"/>
    <w:rsid w:val="00D9534A"/>
    <w:rsid w:val="00D96143"/>
    <w:rsid w:val="00D965E5"/>
    <w:rsid w:val="00D96AA5"/>
    <w:rsid w:val="00D9799A"/>
    <w:rsid w:val="00DA0B56"/>
    <w:rsid w:val="00DA0F3E"/>
    <w:rsid w:val="00DA502E"/>
    <w:rsid w:val="00DA58C3"/>
    <w:rsid w:val="00DA5E6D"/>
    <w:rsid w:val="00DB1BDC"/>
    <w:rsid w:val="00DB1E50"/>
    <w:rsid w:val="00DB2D7A"/>
    <w:rsid w:val="00DB34B6"/>
    <w:rsid w:val="00DB3B61"/>
    <w:rsid w:val="00DB422E"/>
    <w:rsid w:val="00DB4CE7"/>
    <w:rsid w:val="00DC4723"/>
    <w:rsid w:val="00DC7F7B"/>
    <w:rsid w:val="00DD0FE4"/>
    <w:rsid w:val="00DD17C2"/>
    <w:rsid w:val="00DD314D"/>
    <w:rsid w:val="00DD3A28"/>
    <w:rsid w:val="00DD3AA6"/>
    <w:rsid w:val="00DD477F"/>
    <w:rsid w:val="00DD56F2"/>
    <w:rsid w:val="00DD5827"/>
    <w:rsid w:val="00DE0351"/>
    <w:rsid w:val="00DE03E6"/>
    <w:rsid w:val="00DE1F22"/>
    <w:rsid w:val="00DE233B"/>
    <w:rsid w:val="00DE41A7"/>
    <w:rsid w:val="00DE5922"/>
    <w:rsid w:val="00DF18DC"/>
    <w:rsid w:val="00DF35A8"/>
    <w:rsid w:val="00DF45E9"/>
    <w:rsid w:val="00DF5F77"/>
    <w:rsid w:val="00DF6536"/>
    <w:rsid w:val="00DF67AC"/>
    <w:rsid w:val="00E0054E"/>
    <w:rsid w:val="00E02465"/>
    <w:rsid w:val="00E02AFC"/>
    <w:rsid w:val="00E05317"/>
    <w:rsid w:val="00E05704"/>
    <w:rsid w:val="00E078D4"/>
    <w:rsid w:val="00E10C11"/>
    <w:rsid w:val="00E10EFE"/>
    <w:rsid w:val="00E130C3"/>
    <w:rsid w:val="00E1363F"/>
    <w:rsid w:val="00E148AF"/>
    <w:rsid w:val="00E15B99"/>
    <w:rsid w:val="00E218FC"/>
    <w:rsid w:val="00E23359"/>
    <w:rsid w:val="00E245EB"/>
    <w:rsid w:val="00E27746"/>
    <w:rsid w:val="00E31CB6"/>
    <w:rsid w:val="00E32FDF"/>
    <w:rsid w:val="00E34C15"/>
    <w:rsid w:val="00E357BE"/>
    <w:rsid w:val="00E36EF2"/>
    <w:rsid w:val="00E37974"/>
    <w:rsid w:val="00E37D09"/>
    <w:rsid w:val="00E37DE1"/>
    <w:rsid w:val="00E41308"/>
    <w:rsid w:val="00E41E09"/>
    <w:rsid w:val="00E41EDB"/>
    <w:rsid w:val="00E437F1"/>
    <w:rsid w:val="00E44203"/>
    <w:rsid w:val="00E45465"/>
    <w:rsid w:val="00E47CA0"/>
    <w:rsid w:val="00E503BC"/>
    <w:rsid w:val="00E518DA"/>
    <w:rsid w:val="00E5190A"/>
    <w:rsid w:val="00E53E62"/>
    <w:rsid w:val="00E54CAB"/>
    <w:rsid w:val="00E5784C"/>
    <w:rsid w:val="00E600A8"/>
    <w:rsid w:val="00E63085"/>
    <w:rsid w:val="00E632C9"/>
    <w:rsid w:val="00E64A80"/>
    <w:rsid w:val="00E6505F"/>
    <w:rsid w:val="00E650FC"/>
    <w:rsid w:val="00E65D4E"/>
    <w:rsid w:val="00E6797B"/>
    <w:rsid w:val="00E71CB9"/>
    <w:rsid w:val="00E72687"/>
    <w:rsid w:val="00E743F2"/>
    <w:rsid w:val="00E74DC7"/>
    <w:rsid w:val="00E820A3"/>
    <w:rsid w:val="00E835F8"/>
    <w:rsid w:val="00E83FD2"/>
    <w:rsid w:val="00E85CB9"/>
    <w:rsid w:val="00E86324"/>
    <w:rsid w:val="00E86574"/>
    <w:rsid w:val="00E87710"/>
    <w:rsid w:val="00E924A1"/>
    <w:rsid w:val="00E924A9"/>
    <w:rsid w:val="00E93F30"/>
    <w:rsid w:val="00E93F4A"/>
    <w:rsid w:val="00E94998"/>
    <w:rsid w:val="00E94F75"/>
    <w:rsid w:val="00E955D3"/>
    <w:rsid w:val="00E9603E"/>
    <w:rsid w:val="00E96918"/>
    <w:rsid w:val="00EA06A3"/>
    <w:rsid w:val="00EA186E"/>
    <w:rsid w:val="00EA20AB"/>
    <w:rsid w:val="00EA2B5C"/>
    <w:rsid w:val="00EA41BD"/>
    <w:rsid w:val="00EA4C42"/>
    <w:rsid w:val="00EA5067"/>
    <w:rsid w:val="00EA53FA"/>
    <w:rsid w:val="00EA55C4"/>
    <w:rsid w:val="00EA5E23"/>
    <w:rsid w:val="00EA6387"/>
    <w:rsid w:val="00EB131F"/>
    <w:rsid w:val="00EB1CCC"/>
    <w:rsid w:val="00EB58DD"/>
    <w:rsid w:val="00EB6F1B"/>
    <w:rsid w:val="00EB70D7"/>
    <w:rsid w:val="00EB7DA3"/>
    <w:rsid w:val="00EC38B1"/>
    <w:rsid w:val="00EC4729"/>
    <w:rsid w:val="00EC6018"/>
    <w:rsid w:val="00EC6EE1"/>
    <w:rsid w:val="00ED03D0"/>
    <w:rsid w:val="00ED0784"/>
    <w:rsid w:val="00ED12EF"/>
    <w:rsid w:val="00ED136B"/>
    <w:rsid w:val="00ED1A6C"/>
    <w:rsid w:val="00ED26D0"/>
    <w:rsid w:val="00ED28EF"/>
    <w:rsid w:val="00ED306E"/>
    <w:rsid w:val="00ED363A"/>
    <w:rsid w:val="00ED3C0A"/>
    <w:rsid w:val="00ED4251"/>
    <w:rsid w:val="00ED4951"/>
    <w:rsid w:val="00ED4AE0"/>
    <w:rsid w:val="00ED63F1"/>
    <w:rsid w:val="00ED6A9B"/>
    <w:rsid w:val="00ED7072"/>
    <w:rsid w:val="00EE0828"/>
    <w:rsid w:val="00EE1526"/>
    <w:rsid w:val="00EE17B3"/>
    <w:rsid w:val="00EE25A8"/>
    <w:rsid w:val="00EE312F"/>
    <w:rsid w:val="00EE6A61"/>
    <w:rsid w:val="00EE6DCC"/>
    <w:rsid w:val="00EE7684"/>
    <w:rsid w:val="00EE7B55"/>
    <w:rsid w:val="00EE7B72"/>
    <w:rsid w:val="00EF1498"/>
    <w:rsid w:val="00EF1716"/>
    <w:rsid w:val="00EF2868"/>
    <w:rsid w:val="00EF29CD"/>
    <w:rsid w:val="00EF2E3A"/>
    <w:rsid w:val="00EF39FD"/>
    <w:rsid w:val="00EF644B"/>
    <w:rsid w:val="00EF6D08"/>
    <w:rsid w:val="00F00DC9"/>
    <w:rsid w:val="00F0132A"/>
    <w:rsid w:val="00F02EA6"/>
    <w:rsid w:val="00F040F7"/>
    <w:rsid w:val="00F06949"/>
    <w:rsid w:val="00F078DC"/>
    <w:rsid w:val="00F11A0E"/>
    <w:rsid w:val="00F1441D"/>
    <w:rsid w:val="00F15993"/>
    <w:rsid w:val="00F225E7"/>
    <w:rsid w:val="00F26959"/>
    <w:rsid w:val="00F33179"/>
    <w:rsid w:val="00F34BD5"/>
    <w:rsid w:val="00F3647F"/>
    <w:rsid w:val="00F4195B"/>
    <w:rsid w:val="00F41F94"/>
    <w:rsid w:val="00F45611"/>
    <w:rsid w:val="00F5076A"/>
    <w:rsid w:val="00F523F5"/>
    <w:rsid w:val="00F52D6E"/>
    <w:rsid w:val="00F52F9B"/>
    <w:rsid w:val="00F52FD7"/>
    <w:rsid w:val="00F53E09"/>
    <w:rsid w:val="00F54E60"/>
    <w:rsid w:val="00F563BD"/>
    <w:rsid w:val="00F613CE"/>
    <w:rsid w:val="00F67092"/>
    <w:rsid w:val="00F677B6"/>
    <w:rsid w:val="00F71234"/>
    <w:rsid w:val="00F72E9E"/>
    <w:rsid w:val="00F73632"/>
    <w:rsid w:val="00F74C88"/>
    <w:rsid w:val="00F74F02"/>
    <w:rsid w:val="00F75FC3"/>
    <w:rsid w:val="00F76280"/>
    <w:rsid w:val="00F762E0"/>
    <w:rsid w:val="00F779F8"/>
    <w:rsid w:val="00F77D7C"/>
    <w:rsid w:val="00F8103A"/>
    <w:rsid w:val="00F815D2"/>
    <w:rsid w:val="00F81995"/>
    <w:rsid w:val="00F82676"/>
    <w:rsid w:val="00F8343B"/>
    <w:rsid w:val="00F83D53"/>
    <w:rsid w:val="00F84A39"/>
    <w:rsid w:val="00F91A21"/>
    <w:rsid w:val="00F94106"/>
    <w:rsid w:val="00F961C5"/>
    <w:rsid w:val="00F961E9"/>
    <w:rsid w:val="00FA08BC"/>
    <w:rsid w:val="00FA09D6"/>
    <w:rsid w:val="00FA1A85"/>
    <w:rsid w:val="00FA2BCE"/>
    <w:rsid w:val="00FA3991"/>
    <w:rsid w:val="00FA3EB4"/>
    <w:rsid w:val="00FA5740"/>
    <w:rsid w:val="00FA6CAE"/>
    <w:rsid w:val="00FB13FF"/>
    <w:rsid w:val="00FB2031"/>
    <w:rsid w:val="00FB24A3"/>
    <w:rsid w:val="00FB3F11"/>
    <w:rsid w:val="00FB46A0"/>
    <w:rsid w:val="00FB7B99"/>
    <w:rsid w:val="00FB7DB5"/>
    <w:rsid w:val="00FC0027"/>
    <w:rsid w:val="00FC104F"/>
    <w:rsid w:val="00FC2A48"/>
    <w:rsid w:val="00FC54F9"/>
    <w:rsid w:val="00FC6253"/>
    <w:rsid w:val="00FD03DA"/>
    <w:rsid w:val="00FD1C5B"/>
    <w:rsid w:val="00FD2679"/>
    <w:rsid w:val="00FD29FF"/>
    <w:rsid w:val="00FD35BA"/>
    <w:rsid w:val="00FD5DAA"/>
    <w:rsid w:val="00FD6095"/>
    <w:rsid w:val="00FD6117"/>
    <w:rsid w:val="00FD7BBC"/>
    <w:rsid w:val="00FE33A5"/>
    <w:rsid w:val="00FE3870"/>
    <w:rsid w:val="00FE44C0"/>
    <w:rsid w:val="00FE4A42"/>
    <w:rsid w:val="00FE5549"/>
    <w:rsid w:val="00FF0CED"/>
    <w:rsid w:val="00FF176F"/>
    <w:rsid w:val="00FF22B9"/>
    <w:rsid w:val="00FF2403"/>
    <w:rsid w:val="00FF2E95"/>
    <w:rsid w:val="00FF3759"/>
    <w:rsid w:val="00FF4601"/>
    <w:rsid w:val="00FF645E"/>
    <w:rsid w:val="00FF6714"/>
    <w:rsid w:val="00FF6E7F"/>
    <w:rsid w:val="00FF74D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2B21"/>
    <w:pPr>
      <w:spacing w:line="260" w:lineRule="atLeast"/>
    </w:pPr>
    <w:rPr>
      <w:sz w:val="22"/>
    </w:rPr>
  </w:style>
  <w:style w:type="paragraph" w:styleId="Heading1">
    <w:name w:val="heading 1"/>
    <w:basedOn w:val="Normal"/>
    <w:next w:val="Normal"/>
    <w:link w:val="Heading1Char"/>
    <w:uiPriority w:val="9"/>
    <w:qFormat/>
    <w:rsid w:val="001C2B21"/>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2B21"/>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2B21"/>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C2B21"/>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21"/>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C2B21"/>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C2B21"/>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2B2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B21"/>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C2B21"/>
  </w:style>
  <w:style w:type="paragraph" w:customStyle="1" w:styleId="OPCParaBase">
    <w:name w:val="OPCParaBase"/>
    <w:qFormat/>
    <w:rsid w:val="001C2B21"/>
    <w:pPr>
      <w:spacing w:line="260" w:lineRule="atLeast"/>
    </w:pPr>
    <w:rPr>
      <w:rFonts w:eastAsia="Times New Roman" w:cs="Times New Roman"/>
      <w:sz w:val="22"/>
      <w:lang w:eastAsia="en-AU"/>
    </w:rPr>
  </w:style>
  <w:style w:type="paragraph" w:customStyle="1" w:styleId="ShortT">
    <w:name w:val="ShortT"/>
    <w:basedOn w:val="OPCParaBase"/>
    <w:next w:val="Normal"/>
    <w:qFormat/>
    <w:rsid w:val="001C2B21"/>
    <w:pPr>
      <w:spacing w:line="240" w:lineRule="auto"/>
    </w:pPr>
    <w:rPr>
      <w:b/>
      <w:sz w:val="40"/>
    </w:rPr>
  </w:style>
  <w:style w:type="paragraph" w:customStyle="1" w:styleId="ActHead1">
    <w:name w:val="ActHead 1"/>
    <w:aliases w:val="c"/>
    <w:basedOn w:val="OPCParaBase"/>
    <w:next w:val="Normal"/>
    <w:qFormat/>
    <w:rsid w:val="001C2B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C2B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C2B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C2B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C2B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C2B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C2B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C2B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C2B2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C2B21"/>
  </w:style>
  <w:style w:type="paragraph" w:customStyle="1" w:styleId="Blocks">
    <w:name w:val="Blocks"/>
    <w:aliases w:val="bb"/>
    <w:basedOn w:val="OPCParaBase"/>
    <w:qFormat/>
    <w:rsid w:val="001C2B21"/>
    <w:pPr>
      <w:spacing w:line="240" w:lineRule="auto"/>
    </w:pPr>
    <w:rPr>
      <w:sz w:val="24"/>
    </w:rPr>
  </w:style>
  <w:style w:type="paragraph" w:customStyle="1" w:styleId="BoxText">
    <w:name w:val="BoxText"/>
    <w:aliases w:val="bt"/>
    <w:basedOn w:val="OPCParaBase"/>
    <w:qFormat/>
    <w:rsid w:val="001C2B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C2B21"/>
    <w:rPr>
      <w:b/>
    </w:rPr>
  </w:style>
  <w:style w:type="paragraph" w:customStyle="1" w:styleId="BoxHeadItalic">
    <w:name w:val="BoxHeadItalic"/>
    <w:aliases w:val="bhi"/>
    <w:basedOn w:val="BoxText"/>
    <w:next w:val="BoxStep"/>
    <w:qFormat/>
    <w:rsid w:val="001C2B21"/>
    <w:rPr>
      <w:i/>
    </w:rPr>
  </w:style>
  <w:style w:type="paragraph" w:customStyle="1" w:styleId="BoxList">
    <w:name w:val="BoxList"/>
    <w:aliases w:val="bl"/>
    <w:basedOn w:val="BoxText"/>
    <w:qFormat/>
    <w:rsid w:val="001C2B21"/>
    <w:pPr>
      <w:ind w:left="1559" w:hanging="425"/>
    </w:pPr>
  </w:style>
  <w:style w:type="paragraph" w:customStyle="1" w:styleId="BoxNote">
    <w:name w:val="BoxNote"/>
    <w:aliases w:val="bn"/>
    <w:basedOn w:val="BoxText"/>
    <w:qFormat/>
    <w:rsid w:val="001C2B21"/>
    <w:pPr>
      <w:tabs>
        <w:tab w:val="left" w:pos="1985"/>
      </w:tabs>
      <w:spacing w:before="122" w:line="198" w:lineRule="exact"/>
      <w:ind w:left="2948" w:hanging="1814"/>
    </w:pPr>
    <w:rPr>
      <w:sz w:val="18"/>
    </w:rPr>
  </w:style>
  <w:style w:type="paragraph" w:customStyle="1" w:styleId="BoxPara">
    <w:name w:val="BoxPara"/>
    <w:aliases w:val="bp"/>
    <w:basedOn w:val="BoxText"/>
    <w:qFormat/>
    <w:rsid w:val="001C2B21"/>
    <w:pPr>
      <w:tabs>
        <w:tab w:val="right" w:pos="2268"/>
      </w:tabs>
      <w:ind w:left="2552" w:hanging="1418"/>
    </w:pPr>
  </w:style>
  <w:style w:type="paragraph" w:customStyle="1" w:styleId="BoxStep">
    <w:name w:val="BoxStep"/>
    <w:aliases w:val="bs"/>
    <w:basedOn w:val="BoxText"/>
    <w:qFormat/>
    <w:rsid w:val="001C2B21"/>
    <w:pPr>
      <w:ind w:left="1985" w:hanging="851"/>
    </w:pPr>
  </w:style>
  <w:style w:type="character" w:customStyle="1" w:styleId="CharAmPartNo">
    <w:name w:val="CharAmPartNo"/>
    <w:basedOn w:val="OPCCharBase"/>
    <w:qFormat/>
    <w:rsid w:val="001C2B21"/>
  </w:style>
  <w:style w:type="character" w:customStyle="1" w:styleId="CharAmPartText">
    <w:name w:val="CharAmPartText"/>
    <w:basedOn w:val="OPCCharBase"/>
    <w:qFormat/>
    <w:rsid w:val="001C2B21"/>
  </w:style>
  <w:style w:type="character" w:customStyle="1" w:styleId="CharAmSchNo">
    <w:name w:val="CharAmSchNo"/>
    <w:basedOn w:val="OPCCharBase"/>
    <w:qFormat/>
    <w:rsid w:val="001C2B21"/>
  </w:style>
  <w:style w:type="character" w:customStyle="1" w:styleId="CharAmSchText">
    <w:name w:val="CharAmSchText"/>
    <w:basedOn w:val="OPCCharBase"/>
    <w:qFormat/>
    <w:rsid w:val="001C2B21"/>
  </w:style>
  <w:style w:type="character" w:customStyle="1" w:styleId="CharBoldItalic">
    <w:name w:val="CharBoldItalic"/>
    <w:basedOn w:val="OPCCharBase"/>
    <w:uiPriority w:val="1"/>
    <w:qFormat/>
    <w:rsid w:val="001C2B21"/>
    <w:rPr>
      <w:b/>
      <w:i/>
    </w:rPr>
  </w:style>
  <w:style w:type="character" w:customStyle="1" w:styleId="CharChapNo">
    <w:name w:val="CharChapNo"/>
    <w:basedOn w:val="OPCCharBase"/>
    <w:uiPriority w:val="1"/>
    <w:qFormat/>
    <w:rsid w:val="001C2B21"/>
  </w:style>
  <w:style w:type="character" w:customStyle="1" w:styleId="CharChapText">
    <w:name w:val="CharChapText"/>
    <w:basedOn w:val="OPCCharBase"/>
    <w:uiPriority w:val="1"/>
    <w:qFormat/>
    <w:rsid w:val="001C2B21"/>
  </w:style>
  <w:style w:type="character" w:customStyle="1" w:styleId="CharDivNo">
    <w:name w:val="CharDivNo"/>
    <w:basedOn w:val="OPCCharBase"/>
    <w:uiPriority w:val="1"/>
    <w:qFormat/>
    <w:rsid w:val="001C2B21"/>
  </w:style>
  <w:style w:type="character" w:customStyle="1" w:styleId="CharDivText">
    <w:name w:val="CharDivText"/>
    <w:basedOn w:val="OPCCharBase"/>
    <w:uiPriority w:val="1"/>
    <w:qFormat/>
    <w:rsid w:val="001C2B21"/>
  </w:style>
  <w:style w:type="character" w:customStyle="1" w:styleId="CharItalic">
    <w:name w:val="CharItalic"/>
    <w:basedOn w:val="OPCCharBase"/>
    <w:uiPriority w:val="1"/>
    <w:qFormat/>
    <w:rsid w:val="001C2B21"/>
    <w:rPr>
      <w:i/>
    </w:rPr>
  </w:style>
  <w:style w:type="character" w:customStyle="1" w:styleId="CharPartNo">
    <w:name w:val="CharPartNo"/>
    <w:basedOn w:val="OPCCharBase"/>
    <w:uiPriority w:val="1"/>
    <w:qFormat/>
    <w:rsid w:val="001C2B21"/>
  </w:style>
  <w:style w:type="character" w:customStyle="1" w:styleId="CharPartText">
    <w:name w:val="CharPartText"/>
    <w:basedOn w:val="OPCCharBase"/>
    <w:uiPriority w:val="1"/>
    <w:qFormat/>
    <w:rsid w:val="001C2B21"/>
  </w:style>
  <w:style w:type="character" w:customStyle="1" w:styleId="CharSectno">
    <w:name w:val="CharSectno"/>
    <w:basedOn w:val="OPCCharBase"/>
    <w:qFormat/>
    <w:rsid w:val="001C2B21"/>
  </w:style>
  <w:style w:type="character" w:customStyle="1" w:styleId="CharSubdNo">
    <w:name w:val="CharSubdNo"/>
    <w:basedOn w:val="OPCCharBase"/>
    <w:uiPriority w:val="1"/>
    <w:qFormat/>
    <w:rsid w:val="001C2B21"/>
  </w:style>
  <w:style w:type="character" w:customStyle="1" w:styleId="CharSubdText">
    <w:name w:val="CharSubdText"/>
    <w:basedOn w:val="OPCCharBase"/>
    <w:uiPriority w:val="1"/>
    <w:qFormat/>
    <w:rsid w:val="001C2B21"/>
  </w:style>
  <w:style w:type="paragraph" w:customStyle="1" w:styleId="CTA--">
    <w:name w:val="CTA --"/>
    <w:basedOn w:val="OPCParaBase"/>
    <w:next w:val="Normal"/>
    <w:rsid w:val="001C2B21"/>
    <w:pPr>
      <w:spacing w:before="60" w:line="240" w:lineRule="atLeast"/>
      <w:ind w:left="142" w:hanging="142"/>
    </w:pPr>
    <w:rPr>
      <w:sz w:val="20"/>
    </w:rPr>
  </w:style>
  <w:style w:type="paragraph" w:customStyle="1" w:styleId="CTA-">
    <w:name w:val="CTA -"/>
    <w:basedOn w:val="OPCParaBase"/>
    <w:rsid w:val="001C2B21"/>
    <w:pPr>
      <w:spacing w:before="60" w:line="240" w:lineRule="atLeast"/>
      <w:ind w:left="85" w:hanging="85"/>
    </w:pPr>
    <w:rPr>
      <w:sz w:val="20"/>
    </w:rPr>
  </w:style>
  <w:style w:type="paragraph" w:customStyle="1" w:styleId="CTA---">
    <w:name w:val="CTA ---"/>
    <w:basedOn w:val="OPCParaBase"/>
    <w:next w:val="Normal"/>
    <w:rsid w:val="001C2B21"/>
    <w:pPr>
      <w:spacing w:before="60" w:line="240" w:lineRule="atLeast"/>
      <w:ind w:left="198" w:hanging="198"/>
    </w:pPr>
    <w:rPr>
      <w:sz w:val="20"/>
    </w:rPr>
  </w:style>
  <w:style w:type="paragraph" w:customStyle="1" w:styleId="CTA----">
    <w:name w:val="CTA ----"/>
    <w:basedOn w:val="OPCParaBase"/>
    <w:next w:val="Normal"/>
    <w:rsid w:val="001C2B21"/>
    <w:pPr>
      <w:spacing w:before="60" w:line="240" w:lineRule="atLeast"/>
      <w:ind w:left="255" w:hanging="255"/>
    </w:pPr>
    <w:rPr>
      <w:sz w:val="20"/>
    </w:rPr>
  </w:style>
  <w:style w:type="paragraph" w:customStyle="1" w:styleId="CTA1a">
    <w:name w:val="CTA 1(a)"/>
    <w:basedOn w:val="OPCParaBase"/>
    <w:rsid w:val="001C2B21"/>
    <w:pPr>
      <w:tabs>
        <w:tab w:val="right" w:pos="414"/>
      </w:tabs>
      <w:spacing w:before="40" w:line="240" w:lineRule="atLeast"/>
      <w:ind w:left="675" w:hanging="675"/>
    </w:pPr>
    <w:rPr>
      <w:sz w:val="20"/>
    </w:rPr>
  </w:style>
  <w:style w:type="paragraph" w:customStyle="1" w:styleId="CTA1ai">
    <w:name w:val="CTA 1(a)(i)"/>
    <w:basedOn w:val="OPCParaBase"/>
    <w:rsid w:val="001C2B21"/>
    <w:pPr>
      <w:tabs>
        <w:tab w:val="right" w:pos="1004"/>
      </w:tabs>
      <w:spacing w:before="40" w:line="240" w:lineRule="atLeast"/>
      <w:ind w:left="1253" w:hanging="1253"/>
    </w:pPr>
    <w:rPr>
      <w:sz w:val="20"/>
    </w:rPr>
  </w:style>
  <w:style w:type="paragraph" w:customStyle="1" w:styleId="CTA2a">
    <w:name w:val="CTA 2(a)"/>
    <w:basedOn w:val="OPCParaBase"/>
    <w:rsid w:val="001C2B21"/>
    <w:pPr>
      <w:tabs>
        <w:tab w:val="right" w:pos="482"/>
      </w:tabs>
      <w:spacing w:before="40" w:line="240" w:lineRule="atLeast"/>
      <w:ind w:left="748" w:hanging="748"/>
    </w:pPr>
    <w:rPr>
      <w:sz w:val="20"/>
    </w:rPr>
  </w:style>
  <w:style w:type="paragraph" w:customStyle="1" w:styleId="CTA2ai">
    <w:name w:val="CTA 2(a)(i)"/>
    <w:basedOn w:val="OPCParaBase"/>
    <w:rsid w:val="001C2B21"/>
    <w:pPr>
      <w:tabs>
        <w:tab w:val="right" w:pos="1089"/>
      </w:tabs>
      <w:spacing w:before="40" w:line="240" w:lineRule="atLeast"/>
      <w:ind w:left="1327" w:hanging="1327"/>
    </w:pPr>
    <w:rPr>
      <w:sz w:val="20"/>
    </w:rPr>
  </w:style>
  <w:style w:type="paragraph" w:customStyle="1" w:styleId="CTA3a">
    <w:name w:val="CTA 3(a)"/>
    <w:basedOn w:val="OPCParaBase"/>
    <w:rsid w:val="001C2B21"/>
    <w:pPr>
      <w:tabs>
        <w:tab w:val="right" w:pos="556"/>
      </w:tabs>
      <w:spacing w:before="40" w:line="240" w:lineRule="atLeast"/>
      <w:ind w:left="805" w:hanging="805"/>
    </w:pPr>
    <w:rPr>
      <w:sz w:val="20"/>
    </w:rPr>
  </w:style>
  <w:style w:type="paragraph" w:customStyle="1" w:styleId="CTA3ai">
    <w:name w:val="CTA 3(a)(i)"/>
    <w:basedOn w:val="OPCParaBase"/>
    <w:rsid w:val="001C2B21"/>
    <w:pPr>
      <w:tabs>
        <w:tab w:val="right" w:pos="1140"/>
      </w:tabs>
      <w:spacing w:before="40" w:line="240" w:lineRule="atLeast"/>
      <w:ind w:left="1361" w:hanging="1361"/>
    </w:pPr>
    <w:rPr>
      <w:sz w:val="20"/>
    </w:rPr>
  </w:style>
  <w:style w:type="paragraph" w:customStyle="1" w:styleId="CTA4a">
    <w:name w:val="CTA 4(a)"/>
    <w:basedOn w:val="OPCParaBase"/>
    <w:rsid w:val="001C2B21"/>
    <w:pPr>
      <w:tabs>
        <w:tab w:val="right" w:pos="624"/>
      </w:tabs>
      <w:spacing w:before="40" w:line="240" w:lineRule="atLeast"/>
      <w:ind w:left="873" w:hanging="873"/>
    </w:pPr>
    <w:rPr>
      <w:sz w:val="20"/>
    </w:rPr>
  </w:style>
  <w:style w:type="paragraph" w:customStyle="1" w:styleId="CTA4ai">
    <w:name w:val="CTA 4(a)(i)"/>
    <w:basedOn w:val="OPCParaBase"/>
    <w:rsid w:val="001C2B21"/>
    <w:pPr>
      <w:tabs>
        <w:tab w:val="right" w:pos="1213"/>
      </w:tabs>
      <w:spacing w:before="40" w:line="240" w:lineRule="atLeast"/>
      <w:ind w:left="1452" w:hanging="1452"/>
    </w:pPr>
    <w:rPr>
      <w:sz w:val="20"/>
    </w:rPr>
  </w:style>
  <w:style w:type="paragraph" w:customStyle="1" w:styleId="CTACAPS">
    <w:name w:val="CTA CAPS"/>
    <w:basedOn w:val="OPCParaBase"/>
    <w:rsid w:val="001C2B21"/>
    <w:pPr>
      <w:spacing w:before="60" w:line="240" w:lineRule="atLeast"/>
    </w:pPr>
    <w:rPr>
      <w:sz w:val="20"/>
    </w:rPr>
  </w:style>
  <w:style w:type="paragraph" w:customStyle="1" w:styleId="CTAright">
    <w:name w:val="CTA right"/>
    <w:basedOn w:val="OPCParaBase"/>
    <w:rsid w:val="001C2B21"/>
    <w:pPr>
      <w:spacing w:before="60" w:line="240" w:lineRule="auto"/>
      <w:jc w:val="right"/>
    </w:pPr>
    <w:rPr>
      <w:sz w:val="20"/>
    </w:rPr>
  </w:style>
  <w:style w:type="paragraph" w:customStyle="1" w:styleId="subsection">
    <w:name w:val="subsection"/>
    <w:aliases w:val="ss,Subsection"/>
    <w:basedOn w:val="OPCParaBase"/>
    <w:link w:val="subsectionChar"/>
    <w:rsid w:val="001C2B2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C2B21"/>
    <w:pPr>
      <w:spacing w:before="180" w:line="240" w:lineRule="auto"/>
      <w:ind w:left="1134"/>
    </w:pPr>
  </w:style>
  <w:style w:type="paragraph" w:customStyle="1" w:styleId="ETAsubitem">
    <w:name w:val="ETA(subitem)"/>
    <w:basedOn w:val="OPCParaBase"/>
    <w:rsid w:val="001C2B21"/>
    <w:pPr>
      <w:tabs>
        <w:tab w:val="right" w:pos="340"/>
      </w:tabs>
      <w:spacing w:before="60" w:line="240" w:lineRule="auto"/>
      <w:ind w:left="454" w:hanging="454"/>
    </w:pPr>
    <w:rPr>
      <w:sz w:val="20"/>
    </w:rPr>
  </w:style>
  <w:style w:type="paragraph" w:customStyle="1" w:styleId="ETApara">
    <w:name w:val="ETA(para)"/>
    <w:basedOn w:val="OPCParaBase"/>
    <w:rsid w:val="001C2B21"/>
    <w:pPr>
      <w:tabs>
        <w:tab w:val="right" w:pos="754"/>
      </w:tabs>
      <w:spacing w:before="60" w:line="240" w:lineRule="auto"/>
      <w:ind w:left="828" w:hanging="828"/>
    </w:pPr>
    <w:rPr>
      <w:sz w:val="20"/>
    </w:rPr>
  </w:style>
  <w:style w:type="paragraph" w:customStyle="1" w:styleId="ETAsubpara">
    <w:name w:val="ETA(subpara)"/>
    <w:basedOn w:val="OPCParaBase"/>
    <w:rsid w:val="001C2B21"/>
    <w:pPr>
      <w:tabs>
        <w:tab w:val="right" w:pos="1083"/>
      </w:tabs>
      <w:spacing w:before="60" w:line="240" w:lineRule="auto"/>
      <w:ind w:left="1191" w:hanging="1191"/>
    </w:pPr>
    <w:rPr>
      <w:sz w:val="20"/>
    </w:rPr>
  </w:style>
  <w:style w:type="paragraph" w:customStyle="1" w:styleId="ETAsub-subpara">
    <w:name w:val="ETA(sub-subpara)"/>
    <w:basedOn w:val="OPCParaBase"/>
    <w:rsid w:val="001C2B21"/>
    <w:pPr>
      <w:tabs>
        <w:tab w:val="right" w:pos="1412"/>
      </w:tabs>
      <w:spacing w:before="60" w:line="240" w:lineRule="auto"/>
      <w:ind w:left="1525" w:hanging="1525"/>
    </w:pPr>
    <w:rPr>
      <w:sz w:val="20"/>
    </w:rPr>
  </w:style>
  <w:style w:type="paragraph" w:customStyle="1" w:styleId="Formula">
    <w:name w:val="Formula"/>
    <w:basedOn w:val="OPCParaBase"/>
    <w:rsid w:val="001C2B21"/>
    <w:pPr>
      <w:spacing w:line="240" w:lineRule="auto"/>
      <w:ind w:left="1134"/>
    </w:pPr>
    <w:rPr>
      <w:sz w:val="20"/>
    </w:rPr>
  </w:style>
  <w:style w:type="paragraph" w:styleId="Header">
    <w:name w:val="header"/>
    <w:basedOn w:val="OPCParaBase"/>
    <w:link w:val="HeaderChar"/>
    <w:unhideWhenUsed/>
    <w:rsid w:val="001C2B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2B21"/>
    <w:rPr>
      <w:rFonts w:eastAsia="Times New Roman" w:cs="Times New Roman"/>
      <w:sz w:val="16"/>
      <w:lang w:eastAsia="en-AU"/>
    </w:rPr>
  </w:style>
  <w:style w:type="paragraph" w:customStyle="1" w:styleId="House">
    <w:name w:val="House"/>
    <w:basedOn w:val="OPCParaBase"/>
    <w:rsid w:val="001C2B21"/>
    <w:pPr>
      <w:spacing w:line="240" w:lineRule="auto"/>
    </w:pPr>
    <w:rPr>
      <w:sz w:val="28"/>
    </w:rPr>
  </w:style>
  <w:style w:type="paragraph" w:customStyle="1" w:styleId="Item">
    <w:name w:val="Item"/>
    <w:aliases w:val="i"/>
    <w:basedOn w:val="OPCParaBase"/>
    <w:next w:val="ItemHead"/>
    <w:rsid w:val="001C2B21"/>
    <w:pPr>
      <w:keepLines/>
      <w:spacing w:before="80" w:line="240" w:lineRule="auto"/>
      <w:ind w:left="709"/>
    </w:pPr>
  </w:style>
  <w:style w:type="paragraph" w:customStyle="1" w:styleId="ItemHead">
    <w:name w:val="ItemHead"/>
    <w:aliases w:val="ih"/>
    <w:basedOn w:val="OPCParaBase"/>
    <w:next w:val="Item"/>
    <w:rsid w:val="001C2B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C2B21"/>
    <w:pPr>
      <w:spacing w:line="240" w:lineRule="auto"/>
    </w:pPr>
    <w:rPr>
      <w:b/>
      <w:sz w:val="32"/>
    </w:rPr>
  </w:style>
  <w:style w:type="paragraph" w:customStyle="1" w:styleId="notedraft">
    <w:name w:val="note(draft)"/>
    <w:aliases w:val="nd"/>
    <w:basedOn w:val="OPCParaBase"/>
    <w:rsid w:val="001C2B21"/>
    <w:pPr>
      <w:spacing w:before="240" w:line="240" w:lineRule="auto"/>
      <w:ind w:left="284" w:hanging="284"/>
    </w:pPr>
    <w:rPr>
      <w:i/>
      <w:sz w:val="24"/>
    </w:rPr>
  </w:style>
  <w:style w:type="paragraph" w:customStyle="1" w:styleId="notemargin">
    <w:name w:val="note(margin)"/>
    <w:aliases w:val="nm"/>
    <w:basedOn w:val="OPCParaBase"/>
    <w:rsid w:val="001C2B21"/>
    <w:pPr>
      <w:tabs>
        <w:tab w:val="left" w:pos="709"/>
      </w:tabs>
      <w:spacing w:before="122" w:line="198" w:lineRule="exact"/>
      <w:ind w:left="709" w:hanging="709"/>
    </w:pPr>
    <w:rPr>
      <w:sz w:val="18"/>
    </w:rPr>
  </w:style>
  <w:style w:type="paragraph" w:customStyle="1" w:styleId="noteToPara">
    <w:name w:val="noteToPara"/>
    <w:aliases w:val="ntp"/>
    <w:basedOn w:val="OPCParaBase"/>
    <w:rsid w:val="001C2B21"/>
    <w:pPr>
      <w:spacing w:before="122" w:line="198" w:lineRule="exact"/>
      <w:ind w:left="2353" w:hanging="709"/>
    </w:pPr>
    <w:rPr>
      <w:sz w:val="18"/>
    </w:rPr>
  </w:style>
  <w:style w:type="paragraph" w:customStyle="1" w:styleId="noteParlAmend">
    <w:name w:val="note(ParlAmend)"/>
    <w:aliases w:val="npp"/>
    <w:basedOn w:val="OPCParaBase"/>
    <w:next w:val="ParlAmend"/>
    <w:rsid w:val="001C2B21"/>
    <w:pPr>
      <w:spacing w:line="240" w:lineRule="auto"/>
      <w:jc w:val="right"/>
    </w:pPr>
    <w:rPr>
      <w:rFonts w:ascii="Arial" w:hAnsi="Arial"/>
      <w:b/>
      <w:i/>
    </w:rPr>
  </w:style>
  <w:style w:type="paragraph" w:customStyle="1" w:styleId="Page1">
    <w:name w:val="Page1"/>
    <w:basedOn w:val="OPCParaBase"/>
    <w:rsid w:val="001C2B21"/>
    <w:pPr>
      <w:spacing w:before="5600" w:line="240" w:lineRule="auto"/>
    </w:pPr>
    <w:rPr>
      <w:b/>
      <w:sz w:val="32"/>
    </w:rPr>
  </w:style>
  <w:style w:type="paragraph" w:customStyle="1" w:styleId="PageBreak">
    <w:name w:val="PageBreak"/>
    <w:aliases w:val="pb"/>
    <w:basedOn w:val="OPCParaBase"/>
    <w:rsid w:val="001C2B21"/>
    <w:pPr>
      <w:spacing w:line="240" w:lineRule="auto"/>
    </w:pPr>
    <w:rPr>
      <w:sz w:val="20"/>
    </w:rPr>
  </w:style>
  <w:style w:type="paragraph" w:customStyle="1" w:styleId="paragraphsub">
    <w:name w:val="paragraph(sub)"/>
    <w:aliases w:val="aa"/>
    <w:basedOn w:val="OPCParaBase"/>
    <w:rsid w:val="001C2B21"/>
    <w:pPr>
      <w:tabs>
        <w:tab w:val="right" w:pos="1985"/>
      </w:tabs>
      <w:spacing w:before="40" w:line="240" w:lineRule="auto"/>
      <w:ind w:left="2098" w:hanging="2098"/>
    </w:pPr>
  </w:style>
  <w:style w:type="paragraph" w:customStyle="1" w:styleId="paragraphsub-sub">
    <w:name w:val="paragraph(sub-sub)"/>
    <w:aliases w:val="aaa"/>
    <w:basedOn w:val="OPCParaBase"/>
    <w:rsid w:val="001C2B21"/>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1C2B21"/>
    <w:pPr>
      <w:tabs>
        <w:tab w:val="right" w:pos="1531"/>
      </w:tabs>
      <w:spacing w:before="40" w:line="240" w:lineRule="auto"/>
      <w:ind w:left="1644" w:hanging="1644"/>
    </w:pPr>
  </w:style>
  <w:style w:type="paragraph" w:customStyle="1" w:styleId="ParlAmend">
    <w:name w:val="ParlAmend"/>
    <w:aliases w:val="pp"/>
    <w:basedOn w:val="OPCParaBase"/>
    <w:rsid w:val="001C2B21"/>
    <w:pPr>
      <w:spacing w:before="240" w:line="240" w:lineRule="atLeast"/>
      <w:ind w:hanging="567"/>
    </w:pPr>
    <w:rPr>
      <w:sz w:val="24"/>
    </w:rPr>
  </w:style>
  <w:style w:type="paragraph" w:customStyle="1" w:styleId="Penalty">
    <w:name w:val="Penalty"/>
    <w:basedOn w:val="OPCParaBase"/>
    <w:rsid w:val="001C2B21"/>
    <w:pPr>
      <w:tabs>
        <w:tab w:val="left" w:pos="2977"/>
      </w:tabs>
      <w:spacing w:before="180" w:line="240" w:lineRule="auto"/>
      <w:ind w:left="1985" w:hanging="851"/>
    </w:pPr>
  </w:style>
  <w:style w:type="paragraph" w:customStyle="1" w:styleId="Portfolio">
    <w:name w:val="Portfolio"/>
    <w:basedOn w:val="OPCParaBase"/>
    <w:rsid w:val="001C2B21"/>
    <w:pPr>
      <w:spacing w:line="240" w:lineRule="auto"/>
    </w:pPr>
    <w:rPr>
      <w:i/>
      <w:sz w:val="20"/>
    </w:rPr>
  </w:style>
  <w:style w:type="paragraph" w:customStyle="1" w:styleId="Preamble">
    <w:name w:val="Preamble"/>
    <w:basedOn w:val="OPCParaBase"/>
    <w:next w:val="Normal"/>
    <w:rsid w:val="001C2B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C2B21"/>
    <w:pPr>
      <w:spacing w:line="240" w:lineRule="auto"/>
    </w:pPr>
    <w:rPr>
      <w:i/>
      <w:sz w:val="20"/>
    </w:rPr>
  </w:style>
  <w:style w:type="paragraph" w:customStyle="1" w:styleId="Session">
    <w:name w:val="Session"/>
    <w:basedOn w:val="OPCParaBase"/>
    <w:rsid w:val="001C2B21"/>
    <w:pPr>
      <w:spacing w:line="240" w:lineRule="auto"/>
    </w:pPr>
    <w:rPr>
      <w:sz w:val="28"/>
    </w:rPr>
  </w:style>
  <w:style w:type="paragraph" w:customStyle="1" w:styleId="Sponsor">
    <w:name w:val="Sponsor"/>
    <w:basedOn w:val="OPCParaBase"/>
    <w:rsid w:val="001C2B21"/>
    <w:pPr>
      <w:spacing w:line="240" w:lineRule="auto"/>
    </w:pPr>
    <w:rPr>
      <w:i/>
    </w:rPr>
  </w:style>
  <w:style w:type="paragraph" w:customStyle="1" w:styleId="Subitem">
    <w:name w:val="Subitem"/>
    <w:aliases w:val="iss"/>
    <w:basedOn w:val="OPCParaBase"/>
    <w:rsid w:val="001C2B21"/>
    <w:pPr>
      <w:spacing w:before="180" w:line="240" w:lineRule="auto"/>
      <w:ind w:left="709" w:hanging="709"/>
    </w:pPr>
  </w:style>
  <w:style w:type="paragraph" w:customStyle="1" w:styleId="SubitemHead">
    <w:name w:val="SubitemHead"/>
    <w:aliases w:val="issh"/>
    <w:basedOn w:val="OPCParaBase"/>
    <w:rsid w:val="001C2B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C2B21"/>
    <w:pPr>
      <w:spacing w:before="40" w:line="240" w:lineRule="auto"/>
      <w:ind w:left="1134"/>
    </w:pPr>
  </w:style>
  <w:style w:type="paragraph" w:customStyle="1" w:styleId="SubsectionHead">
    <w:name w:val="SubsectionHead"/>
    <w:aliases w:val="ssh"/>
    <w:basedOn w:val="OPCParaBase"/>
    <w:next w:val="subsection"/>
    <w:rsid w:val="001C2B21"/>
    <w:pPr>
      <w:keepNext/>
      <w:keepLines/>
      <w:spacing w:before="240" w:line="240" w:lineRule="auto"/>
      <w:ind w:left="1134"/>
    </w:pPr>
    <w:rPr>
      <w:i/>
    </w:rPr>
  </w:style>
  <w:style w:type="paragraph" w:customStyle="1" w:styleId="Tablea">
    <w:name w:val="Table(a)"/>
    <w:aliases w:val="ta"/>
    <w:basedOn w:val="OPCParaBase"/>
    <w:rsid w:val="001C2B21"/>
    <w:pPr>
      <w:spacing w:before="60" w:line="240" w:lineRule="auto"/>
      <w:ind w:left="284" w:hanging="284"/>
    </w:pPr>
    <w:rPr>
      <w:sz w:val="20"/>
    </w:rPr>
  </w:style>
  <w:style w:type="paragraph" w:customStyle="1" w:styleId="TableAA">
    <w:name w:val="Table(AA)"/>
    <w:aliases w:val="taaa"/>
    <w:basedOn w:val="OPCParaBase"/>
    <w:rsid w:val="001C2B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C2B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1C2B21"/>
    <w:pPr>
      <w:spacing w:before="60" w:line="240" w:lineRule="atLeast"/>
    </w:pPr>
    <w:rPr>
      <w:sz w:val="20"/>
    </w:rPr>
  </w:style>
  <w:style w:type="paragraph" w:customStyle="1" w:styleId="TLPBoxTextnote">
    <w:name w:val="TLPBoxText(note"/>
    <w:aliases w:val="right)"/>
    <w:basedOn w:val="OPCParaBase"/>
    <w:rsid w:val="001C2B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C2B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C2B21"/>
    <w:pPr>
      <w:spacing w:before="122" w:line="198" w:lineRule="exact"/>
      <w:ind w:left="1985" w:hanging="851"/>
      <w:jc w:val="right"/>
    </w:pPr>
    <w:rPr>
      <w:sz w:val="18"/>
    </w:rPr>
  </w:style>
  <w:style w:type="paragraph" w:customStyle="1" w:styleId="TLPTableBullet">
    <w:name w:val="TLPTableBullet"/>
    <w:aliases w:val="ttb"/>
    <w:basedOn w:val="OPCParaBase"/>
    <w:rsid w:val="001C2B21"/>
    <w:pPr>
      <w:spacing w:line="240" w:lineRule="exact"/>
      <w:ind w:left="284" w:hanging="284"/>
    </w:pPr>
    <w:rPr>
      <w:sz w:val="20"/>
    </w:rPr>
  </w:style>
  <w:style w:type="paragraph" w:styleId="TOC1">
    <w:name w:val="toc 1"/>
    <w:basedOn w:val="OPCParaBase"/>
    <w:next w:val="Normal"/>
    <w:uiPriority w:val="39"/>
    <w:semiHidden/>
    <w:unhideWhenUsed/>
    <w:rsid w:val="001C2B2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C2B2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C2B2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C2B2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1C2B2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C2B2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C2B2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C2B2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C2B2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C2B21"/>
    <w:pPr>
      <w:keepLines/>
      <w:spacing w:before="240" w:after="120" w:line="240" w:lineRule="auto"/>
      <w:ind w:left="794"/>
    </w:pPr>
    <w:rPr>
      <w:b/>
      <w:kern w:val="28"/>
      <w:sz w:val="20"/>
    </w:rPr>
  </w:style>
  <w:style w:type="paragraph" w:customStyle="1" w:styleId="TofSectsHeading">
    <w:name w:val="TofSects(Heading)"/>
    <w:basedOn w:val="OPCParaBase"/>
    <w:rsid w:val="001C2B21"/>
    <w:pPr>
      <w:spacing w:before="240" w:after="120" w:line="240" w:lineRule="auto"/>
    </w:pPr>
    <w:rPr>
      <w:b/>
      <w:sz w:val="24"/>
    </w:rPr>
  </w:style>
  <w:style w:type="paragraph" w:customStyle="1" w:styleId="TofSectsSection">
    <w:name w:val="TofSects(Section)"/>
    <w:basedOn w:val="OPCParaBase"/>
    <w:rsid w:val="001C2B21"/>
    <w:pPr>
      <w:keepLines/>
      <w:spacing w:before="40" w:line="240" w:lineRule="auto"/>
      <w:ind w:left="1588" w:hanging="794"/>
    </w:pPr>
    <w:rPr>
      <w:kern w:val="28"/>
      <w:sz w:val="18"/>
    </w:rPr>
  </w:style>
  <w:style w:type="paragraph" w:customStyle="1" w:styleId="TofSectsSubdiv">
    <w:name w:val="TofSects(Subdiv)"/>
    <w:basedOn w:val="OPCParaBase"/>
    <w:rsid w:val="001C2B21"/>
    <w:pPr>
      <w:keepLines/>
      <w:spacing w:before="80" w:line="240" w:lineRule="auto"/>
      <w:ind w:left="1588" w:hanging="794"/>
    </w:pPr>
    <w:rPr>
      <w:kern w:val="28"/>
    </w:rPr>
  </w:style>
  <w:style w:type="paragraph" w:customStyle="1" w:styleId="WRStyle">
    <w:name w:val="WR Style"/>
    <w:aliases w:val="WR"/>
    <w:basedOn w:val="OPCParaBase"/>
    <w:rsid w:val="001C2B21"/>
    <w:pPr>
      <w:spacing w:before="240" w:line="240" w:lineRule="auto"/>
      <w:ind w:left="284" w:hanging="284"/>
    </w:pPr>
    <w:rPr>
      <w:b/>
      <w:i/>
      <w:kern w:val="28"/>
      <w:sz w:val="24"/>
    </w:rPr>
  </w:style>
  <w:style w:type="paragraph" w:customStyle="1" w:styleId="notepara">
    <w:name w:val="note(para)"/>
    <w:aliases w:val="na"/>
    <w:basedOn w:val="OPCParaBase"/>
    <w:rsid w:val="001C2B21"/>
    <w:pPr>
      <w:spacing w:before="40" w:line="198" w:lineRule="exact"/>
      <w:ind w:left="2354" w:hanging="369"/>
    </w:pPr>
    <w:rPr>
      <w:sz w:val="18"/>
    </w:rPr>
  </w:style>
  <w:style w:type="paragraph" w:styleId="Footer">
    <w:name w:val="footer"/>
    <w:link w:val="FooterChar"/>
    <w:rsid w:val="001C2B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C2B21"/>
    <w:rPr>
      <w:rFonts w:eastAsia="Times New Roman" w:cs="Times New Roman"/>
      <w:sz w:val="22"/>
      <w:szCs w:val="24"/>
      <w:lang w:eastAsia="en-AU"/>
    </w:rPr>
  </w:style>
  <w:style w:type="character" w:styleId="LineNumber">
    <w:name w:val="line number"/>
    <w:basedOn w:val="OPCCharBase"/>
    <w:uiPriority w:val="99"/>
    <w:semiHidden/>
    <w:unhideWhenUsed/>
    <w:rsid w:val="001C2B21"/>
    <w:rPr>
      <w:sz w:val="16"/>
    </w:rPr>
  </w:style>
  <w:style w:type="table" w:customStyle="1" w:styleId="CFlag">
    <w:name w:val="CFlag"/>
    <w:basedOn w:val="TableNormal"/>
    <w:uiPriority w:val="99"/>
    <w:rsid w:val="001C2B21"/>
    <w:rPr>
      <w:rFonts w:eastAsia="Times New Roman" w:cs="Times New Roman"/>
      <w:lang w:eastAsia="en-AU"/>
    </w:rPr>
    <w:tblPr/>
  </w:style>
  <w:style w:type="paragraph" w:customStyle="1" w:styleId="CompiledActNo">
    <w:name w:val="CompiledActNo"/>
    <w:basedOn w:val="OPCParaBase"/>
    <w:next w:val="Normal"/>
    <w:rsid w:val="001C2B21"/>
    <w:rPr>
      <w:b/>
      <w:sz w:val="24"/>
      <w:szCs w:val="24"/>
    </w:rPr>
  </w:style>
  <w:style w:type="paragraph" w:customStyle="1" w:styleId="CompiledMadeUnder">
    <w:name w:val="CompiledMadeUnder"/>
    <w:basedOn w:val="OPCParaBase"/>
    <w:next w:val="Normal"/>
    <w:rsid w:val="001C2B21"/>
    <w:rPr>
      <w:i/>
      <w:sz w:val="24"/>
      <w:szCs w:val="24"/>
    </w:rPr>
  </w:style>
  <w:style w:type="paragraph" w:customStyle="1" w:styleId="ENotesText">
    <w:name w:val="ENotesText"/>
    <w:aliases w:val="Ent"/>
    <w:basedOn w:val="OPCParaBase"/>
    <w:next w:val="Normal"/>
    <w:rsid w:val="001C2B21"/>
    <w:pPr>
      <w:spacing w:before="120"/>
    </w:pPr>
  </w:style>
  <w:style w:type="paragraph" w:customStyle="1" w:styleId="Paragraphsub-sub-sub">
    <w:name w:val="Paragraph(sub-sub-sub)"/>
    <w:aliases w:val="aaaa"/>
    <w:basedOn w:val="OPCParaBase"/>
    <w:rsid w:val="001C2B21"/>
    <w:pPr>
      <w:tabs>
        <w:tab w:val="right" w:pos="3402"/>
      </w:tabs>
      <w:spacing w:before="40" w:line="240" w:lineRule="auto"/>
      <w:ind w:left="3402" w:hanging="3402"/>
    </w:pPr>
  </w:style>
  <w:style w:type="paragraph" w:customStyle="1" w:styleId="NoteToSubpara">
    <w:name w:val="NoteToSubpara"/>
    <w:aliases w:val="nts"/>
    <w:basedOn w:val="OPCParaBase"/>
    <w:rsid w:val="001C2B21"/>
    <w:pPr>
      <w:spacing w:before="40" w:line="198" w:lineRule="exact"/>
      <w:ind w:left="2835" w:hanging="709"/>
    </w:pPr>
    <w:rPr>
      <w:sz w:val="18"/>
    </w:rPr>
  </w:style>
  <w:style w:type="paragraph" w:customStyle="1" w:styleId="ENoteTableHeading">
    <w:name w:val="ENoteTableHeading"/>
    <w:aliases w:val="enth"/>
    <w:basedOn w:val="OPCParaBase"/>
    <w:rsid w:val="001C2B21"/>
    <w:pPr>
      <w:keepNext/>
      <w:spacing w:before="60" w:line="240" w:lineRule="atLeast"/>
    </w:pPr>
    <w:rPr>
      <w:rFonts w:ascii="Arial" w:hAnsi="Arial"/>
      <w:b/>
      <w:sz w:val="16"/>
    </w:rPr>
  </w:style>
  <w:style w:type="paragraph" w:customStyle="1" w:styleId="ENoteTTi">
    <w:name w:val="ENoteTTi"/>
    <w:aliases w:val="entti"/>
    <w:basedOn w:val="OPCParaBase"/>
    <w:rsid w:val="001C2B21"/>
    <w:pPr>
      <w:keepNext/>
      <w:spacing w:before="60" w:line="240" w:lineRule="atLeast"/>
      <w:ind w:left="170"/>
    </w:pPr>
    <w:rPr>
      <w:sz w:val="16"/>
    </w:rPr>
  </w:style>
  <w:style w:type="paragraph" w:customStyle="1" w:styleId="ENotesHeading1">
    <w:name w:val="ENotesHeading 1"/>
    <w:aliases w:val="Enh1"/>
    <w:basedOn w:val="OPCParaBase"/>
    <w:next w:val="Normal"/>
    <w:rsid w:val="001C2B21"/>
    <w:pPr>
      <w:spacing w:before="120"/>
      <w:outlineLvl w:val="0"/>
    </w:pPr>
    <w:rPr>
      <w:b/>
      <w:sz w:val="28"/>
      <w:szCs w:val="28"/>
    </w:rPr>
  </w:style>
  <w:style w:type="paragraph" w:customStyle="1" w:styleId="ENotesHeading2">
    <w:name w:val="ENotesHeading 2"/>
    <w:aliases w:val="Enh2"/>
    <w:basedOn w:val="OPCParaBase"/>
    <w:next w:val="Normal"/>
    <w:rsid w:val="001C2B21"/>
    <w:pPr>
      <w:spacing w:before="120" w:after="120"/>
      <w:outlineLvl w:val="1"/>
    </w:pPr>
    <w:rPr>
      <w:b/>
      <w:sz w:val="24"/>
      <w:szCs w:val="28"/>
    </w:rPr>
  </w:style>
  <w:style w:type="paragraph" w:customStyle="1" w:styleId="ENoteTTIndentHeading">
    <w:name w:val="ENoteTTIndentHeading"/>
    <w:aliases w:val="enTTHi"/>
    <w:basedOn w:val="OPCParaBase"/>
    <w:rsid w:val="001C2B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C2B21"/>
    <w:pPr>
      <w:spacing w:before="60" w:line="240" w:lineRule="atLeast"/>
    </w:pPr>
    <w:rPr>
      <w:sz w:val="16"/>
    </w:rPr>
  </w:style>
  <w:style w:type="paragraph" w:customStyle="1" w:styleId="MadeunderText">
    <w:name w:val="MadeunderText"/>
    <w:basedOn w:val="OPCParaBase"/>
    <w:next w:val="Normal"/>
    <w:rsid w:val="001C2B21"/>
    <w:pPr>
      <w:spacing w:before="240"/>
    </w:pPr>
    <w:rPr>
      <w:sz w:val="24"/>
      <w:szCs w:val="24"/>
    </w:rPr>
  </w:style>
  <w:style w:type="paragraph" w:customStyle="1" w:styleId="ENotesHeading3">
    <w:name w:val="ENotesHeading 3"/>
    <w:aliases w:val="Enh3"/>
    <w:basedOn w:val="OPCParaBase"/>
    <w:next w:val="Normal"/>
    <w:rsid w:val="001C2B21"/>
    <w:pPr>
      <w:keepNext/>
      <w:spacing w:before="120" w:line="240" w:lineRule="auto"/>
      <w:outlineLvl w:val="4"/>
    </w:pPr>
    <w:rPr>
      <w:b/>
      <w:szCs w:val="24"/>
    </w:rPr>
  </w:style>
  <w:style w:type="character" w:customStyle="1" w:styleId="CharSubPartTextCASA">
    <w:name w:val="CharSubPartText(CASA)"/>
    <w:basedOn w:val="OPCCharBase"/>
    <w:uiPriority w:val="1"/>
    <w:rsid w:val="001C2B21"/>
  </w:style>
  <w:style w:type="character" w:customStyle="1" w:styleId="CharSubPartNoCASA">
    <w:name w:val="CharSubPartNo(CASA)"/>
    <w:basedOn w:val="OPCCharBase"/>
    <w:uiPriority w:val="1"/>
    <w:rsid w:val="001C2B21"/>
  </w:style>
  <w:style w:type="paragraph" w:customStyle="1" w:styleId="ENoteTTIndentHeadingSub">
    <w:name w:val="ENoteTTIndentHeadingSub"/>
    <w:aliases w:val="enTTHis"/>
    <w:basedOn w:val="OPCParaBase"/>
    <w:rsid w:val="001C2B21"/>
    <w:pPr>
      <w:keepNext/>
      <w:spacing w:before="60" w:line="240" w:lineRule="atLeast"/>
      <w:ind w:left="340"/>
    </w:pPr>
    <w:rPr>
      <w:b/>
      <w:sz w:val="16"/>
    </w:rPr>
  </w:style>
  <w:style w:type="paragraph" w:customStyle="1" w:styleId="ENoteTTiSub">
    <w:name w:val="ENoteTTiSub"/>
    <w:aliases w:val="enttis"/>
    <w:basedOn w:val="OPCParaBase"/>
    <w:rsid w:val="001C2B21"/>
    <w:pPr>
      <w:keepNext/>
      <w:spacing w:before="60" w:line="240" w:lineRule="atLeast"/>
      <w:ind w:left="340"/>
    </w:pPr>
    <w:rPr>
      <w:sz w:val="16"/>
    </w:rPr>
  </w:style>
  <w:style w:type="paragraph" w:customStyle="1" w:styleId="SubDivisionMigration">
    <w:name w:val="SubDivisionMigration"/>
    <w:aliases w:val="sdm"/>
    <w:basedOn w:val="OPCParaBase"/>
    <w:rsid w:val="001C2B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C2B2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C2B21"/>
    <w:pPr>
      <w:spacing w:before="122" w:line="240" w:lineRule="auto"/>
      <w:ind w:left="1985" w:hanging="851"/>
    </w:pPr>
    <w:rPr>
      <w:sz w:val="18"/>
    </w:rPr>
  </w:style>
  <w:style w:type="paragraph" w:customStyle="1" w:styleId="FreeForm">
    <w:name w:val="FreeForm"/>
    <w:rsid w:val="001C2B21"/>
    <w:rPr>
      <w:rFonts w:ascii="Arial" w:hAnsi="Arial"/>
      <w:sz w:val="22"/>
    </w:rPr>
  </w:style>
  <w:style w:type="paragraph" w:customStyle="1" w:styleId="SOText">
    <w:name w:val="SO Text"/>
    <w:aliases w:val="sot"/>
    <w:link w:val="SOTextChar"/>
    <w:rsid w:val="001C2B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C2B21"/>
    <w:rPr>
      <w:sz w:val="22"/>
    </w:rPr>
  </w:style>
  <w:style w:type="paragraph" w:customStyle="1" w:styleId="SOTextNote">
    <w:name w:val="SO TextNote"/>
    <w:aliases w:val="sont"/>
    <w:basedOn w:val="SOText"/>
    <w:qFormat/>
    <w:rsid w:val="001C2B21"/>
    <w:pPr>
      <w:spacing w:before="122" w:line="198" w:lineRule="exact"/>
      <w:ind w:left="1843" w:hanging="709"/>
    </w:pPr>
    <w:rPr>
      <w:sz w:val="18"/>
    </w:rPr>
  </w:style>
  <w:style w:type="paragraph" w:customStyle="1" w:styleId="SOPara">
    <w:name w:val="SO Para"/>
    <w:aliases w:val="soa"/>
    <w:basedOn w:val="SOText"/>
    <w:link w:val="SOParaChar"/>
    <w:qFormat/>
    <w:rsid w:val="001C2B21"/>
    <w:pPr>
      <w:tabs>
        <w:tab w:val="right" w:pos="1786"/>
      </w:tabs>
      <w:spacing w:before="40"/>
      <w:ind w:left="2070" w:hanging="936"/>
    </w:pPr>
  </w:style>
  <w:style w:type="character" w:customStyle="1" w:styleId="SOParaChar">
    <w:name w:val="SO Para Char"/>
    <w:aliases w:val="soa Char"/>
    <w:basedOn w:val="DefaultParagraphFont"/>
    <w:link w:val="SOPara"/>
    <w:rsid w:val="001C2B21"/>
    <w:rPr>
      <w:sz w:val="22"/>
    </w:rPr>
  </w:style>
  <w:style w:type="paragraph" w:customStyle="1" w:styleId="FileName">
    <w:name w:val="FileName"/>
    <w:basedOn w:val="Normal"/>
    <w:rsid w:val="001C2B21"/>
  </w:style>
  <w:style w:type="paragraph" w:customStyle="1" w:styleId="TableHeading">
    <w:name w:val="TableHeading"/>
    <w:aliases w:val="th"/>
    <w:basedOn w:val="OPCParaBase"/>
    <w:next w:val="Tabletext"/>
    <w:rsid w:val="001C2B21"/>
    <w:pPr>
      <w:keepNext/>
      <w:spacing w:before="60" w:line="240" w:lineRule="atLeast"/>
    </w:pPr>
    <w:rPr>
      <w:b/>
      <w:sz w:val="20"/>
    </w:rPr>
  </w:style>
  <w:style w:type="paragraph" w:customStyle="1" w:styleId="SOHeadBold">
    <w:name w:val="SO HeadBold"/>
    <w:aliases w:val="sohb"/>
    <w:basedOn w:val="SOText"/>
    <w:next w:val="SOText"/>
    <w:link w:val="SOHeadBoldChar"/>
    <w:qFormat/>
    <w:rsid w:val="001C2B21"/>
    <w:rPr>
      <w:b/>
    </w:rPr>
  </w:style>
  <w:style w:type="character" w:customStyle="1" w:styleId="SOHeadBoldChar">
    <w:name w:val="SO HeadBold Char"/>
    <w:aliases w:val="sohb Char"/>
    <w:basedOn w:val="DefaultParagraphFont"/>
    <w:link w:val="SOHeadBold"/>
    <w:rsid w:val="001C2B21"/>
    <w:rPr>
      <w:b/>
      <w:sz w:val="22"/>
    </w:rPr>
  </w:style>
  <w:style w:type="paragraph" w:customStyle="1" w:styleId="SOHeadItalic">
    <w:name w:val="SO HeadItalic"/>
    <w:aliases w:val="sohi"/>
    <w:basedOn w:val="SOText"/>
    <w:next w:val="SOText"/>
    <w:link w:val="SOHeadItalicChar"/>
    <w:qFormat/>
    <w:rsid w:val="001C2B21"/>
    <w:rPr>
      <w:i/>
    </w:rPr>
  </w:style>
  <w:style w:type="character" w:customStyle="1" w:styleId="SOHeadItalicChar">
    <w:name w:val="SO HeadItalic Char"/>
    <w:aliases w:val="sohi Char"/>
    <w:basedOn w:val="DefaultParagraphFont"/>
    <w:link w:val="SOHeadItalic"/>
    <w:rsid w:val="001C2B21"/>
    <w:rPr>
      <w:i/>
      <w:sz w:val="22"/>
    </w:rPr>
  </w:style>
  <w:style w:type="paragraph" w:customStyle="1" w:styleId="SOBullet">
    <w:name w:val="SO Bullet"/>
    <w:aliases w:val="sotb"/>
    <w:basedOn w:val="SOText"/>
    <w:link w:val="SOBulletChar"/>
    <w:qFormat/>
    <w:rsid w:val="001C2B21"/>
    <w:pPr>
      <w:ind w:left="1559" w:hanging="425"/>
    </w:pPr>
  </w:style>
  <w:style w:type="character" w:customStyle="1" w:styleId="SOBulletChar">
    <w:name w:val="SO Bullet Char"/>
    <w:aliases w:val="sotb Char"/>
    <w:basedOn w:val="DefaultParagraphFont"/>
    <w:link w:val="SOBullet"/>
    <w:rsid w:val="001C2B21"/>
    <w:rPr>
      <w:sz w:val="22"/>
    </w:rPr>
  </w:style>
  <w:style w:type="paragraph" w:customStyle="1" w:styleId="SOBulletNote">
    <w:name w:val="SO BulletNote"/>
    <w:aliases w:val="sonb"/>
    <w:basedOn w:val="SOTextNote"/>
    <w:link w:val="SOBulletNoteChar"/>
    <w:qFormat/>
    <w:rsid w:val="001C2B21"/>
    <w:pPr>
      <w:tabs>
        <w:tab w:val="left" w:pos="1560"/>
      </w:tabs>
      <w:ind w:left="2268" w:hanging="1134"/>
    </w:pPr>
  </w:style>
  <w:style w:type="character" w:customStyle="1" w:styleId="SOBulletNoteChar">
    <w:name w:val="SO BulletNote Char"/>
    <w:aliases w:val="sonb Char"/>
    <w:basedOn w:val="DefaultParagraphFont"/>
    <w:link w:val="SOBulletNote"/>
    <w:rsid w:val="001C2B21"/>
    <w:rPr>
      <w:sz w:val="18"/>
    </w:rPr>
  </w:style>
  <w:style w:type="paragraph" w:customStyle="1" w:styleId="SOText2">
    <w:name w:val="SO Text2"/>
    <w:aliases w:val="sot2"/>
    <w:basedOn w:val="Normal"/>
    <w:next w:val="SOText"/>
    <w:link w:val="SOText2Char"/>
    <w:rsid w:val="001C2B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C2B21"/>
    <w:rPr>
      <w:sz w:val="22"/>
    </w:rPr>
  </w:style>
  <w:style w:type="paragraph" w:customStyle="1" w:styleId="SubPartCASA">
    <w:name w:val="SubPart(CASA)"/>
    <w:aliases w:val="csp"/>
    <w:basedOn w:val="OPCParaBase"/>
    <w:next w:val="ActHead3"/>
    <w:rsid w:val="001C2B21"/>
    <w:pPr>
      <w:keepNext/>
      <w:keepLines/>
      <w:spacing w:before="280"/>
      <w:ind w:left="1134" w:hanging="1134"/>
      <w:outlineLvl w:val="1"/>
    </w:pPr>
    <w:rPr>
      <w:b/>
      <w:kern w:val="28"/>
      <w:sz w:val="32"/>
    </w:rPr>
  </w:style>
  <w:style w:type="paragraph" w:customStyle="1" w:styleId="NotesHeading1">
    <w:name w:val="NotesHeading 1"/>
    <w:basedOn w:val="OPCParaBase"/>
    <w:next w:val="Normal"/>
    <w:rsid w:val="001C2B21"/>
    <w:rPr>
      <w:b/>
      <w:sz w:val="28"/>
      <w:szCs w:val="28"/>
    </w:rPr>
  </w:style>
  <w:style w:type="paragraph" w:customStyle="1" w:styleId="NotesHeading2">
    <w:name w:val="NotesHeading 2"/>
    <w:basedOn w:val="OPCParaBase"/>
    <w:next w:val="Normal"/>
    <w:rsid w:val="001C2B21"/>
    <w:rPr>
      <w:b/>
      <w:sz w:val="28"/>
      <w:szCs w:val="28"/>
    </w:rPr>
  </w:style>
  <w:style w:type="paragraph" w:customStyle="1" w:styleId="SignCoverPageEnd">
    <w:name w:val="SignCoverPageEnd"/>
    <w:basedOn w:val="OPCParaBase"/>
    <w:next w:val="Normal"/>
    <w:rsid w:val="001C2B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C2B21"/>
    <w:pPr>
      <w:pBdr>
        <w:top w:val="single" w:sz="4" w:space="1" w:color="auto"/>
      </w:pBdr>
      <w:spacing w:before="360"/>
      <w:ind w:right="397"/>
      <w:jc w:val="both"/>
    </w:pPr>
  </w:style>
  <w:style w:type="paragraph" w:customStyle="1" w:styleId="EndNotespara">
    <w:name w:val="EndNotes(para)"/>
    <w:aliases w:val="eta"/>
    <w:basedOn w:val="OPCParaBase"/>
    <w:next w:val="EndNotessubpara"/>
    <w:rsid w:val="001C2B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C2B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C2B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C2B2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C2B21"/>
    <w:pPr>
      <w:spacing w:before="60" w:line="240" w:lineRule="auto"/>
    </w:pPr>
    <w:rPr>
      <w:rFonts w:cs="Arial"/>
      <w:sz w:val="20"/>
      <w:szCs w:val="22"/>
    </w:rPr>
  </w:style>
  <w:style w:type="table" w:styleId="TableGrid">
    <w:name w:val="Table Grid"/>
    <w:basedOn w:val="TableNormal"/>
    <w:uiPriority w:val="59"/>
    <w:rsid w:val="001C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1C2B21"/>
  </w:style>
  <w:style w:type="numbering" w:styleId="111111">
    <w:name w:val="Outline List 2"/>
    <w:basedOn w:val="NoList"/>
    <w:uiPriority w:val="99"/>
    <w:semiHidden/>
    <w:unhideWhenUsed/>
    <w:rsid w:val="001C2B21"/>
    <w:pPr>
      <w:numPr>
        <w:numId w:val="13"/>
      </w:numPr>
    </w:pPr>
  </w:style>
  <w:style w:type="numbering" w:styleId="1ai">
    <w:name w:val="Outline List 1"/>
    <w:basedOn w:val="NoList"/>
    <w:uiPriority w:val="99"/>
    <w:semiHidden/>
    <w:unhideWhenUsed/>
    <w:rsid w:val="001C2B21"/>
    <w:pPr>
      <w:numPr>
        <w:numId w:val="14"/>
      </w:numPr>
    </w:pPr>
  </w:style>
  <w:style w:type="character" w:customStyle="1" w:styleId="Heading1Char">
    <w:name w:val="Heading 1 Char"/>
    <w:basedOn w:val="DefaultParagraphFont"/>
    <w:link w:val="Heading1"/>
    <w:uiPriority w:val="9"/>
    <w:rsid w:val="001C2B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C2B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C2B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C2B2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C2B2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C2B2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C2B2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C2B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B2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C2B21"/>
    <w:pPr>
      <w:numPr>
        <w:numId w:val="15"/>
      </w:numPr>
    </w:pPr>
  </w:style>
  <w:style w:type="paragraph" w:styleId="BalloonText">
    <w:name w:val="Balloon Text"/>
    <w:basedOn w:val="Normal"/>
    <w:link w:val="BalloonTextChar"/>
    <w:uiPriority w:val="99"/>
    <w:semiHidden/>
    <w:unhideWhenUsed/>
    <w:rsid w:val="001C2B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B21"/>
    <w:rPr>
      <w:rFonts w:ascii="Segoe UI" w:hAnsi="Segoe UI" w:cs="Segoe UI"/>
      <w:sz w:val="18"/>
      <w:szCs w:val="18"/>
    </w:rPr>
  </w:style>
  <w:style w:type="paragraph" w:styleId="Bibliography">
    <w:name w:val="Bibliography"/>
    <w:basedOn w:val="Normal"/>
    <w:next w:val="Normal"/>
    <w:uiPriority w:val="37"/>
    <w:semiHidden/>
    <w:unhideWhenUsed/>
    <w:rsid w:val="001C2B21"/>
  </w:style>
  <w:style w:type="paragraph" w:styleId="BlockText">
    <w:name w:val="Block Text"/>
    <w:basedOn w:val="Normal"/>
    <w:uiPriority w:val="99"/>
    <w:semiHidden/>
    <w:unhideWhenUsed/>
    <w:rsid w:val="001C2B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C2B21"/>
    <w:pPr>
      <w:spacing w:after="120"/>
    </w:pPr>
  </w:style>
  <w:style w:type="character" w:customStyle="1" w:styleId="BodyTextChar">
    <w:name w:val="Body Text Char"/>
    <w:basedOn w:val="DefaultParagraphFont"/>
    <w:link w:val="BodyText"/>
    <w:uiPriority w:val="99"/>
    <w:semiHidden/>
    <w:rsid w:val="001C2B21"/>
    <w:rPr>
      <w:sz w:val="22"/>
    </w:rPr>
  </w:style>
  <w:style w:type="paragraph" w:styleId="BodyText2">
    <w:name w:val="Body Text 2"/>
    <w:basedOn w:val="Normal"/>
    <w:link w:val="BodyText2Char"/>
    <w:uiPriority w:val="99"/>
    <w:semiHidden/>
    <w:unhideWhenUsed/>
    <w:rsid w:val="001C2B21"/>
    <w:pPr>
      <w:spacing w:after="120" w:line="480" w:lineRule="auto"/>
    </w:pPr>
  </w:style>
  <w:style w:type="character" w:customStyle="1" w:styleId="BodyText2Char">
    <w:name w:val="Body Text 2 Char"/>
    <w:basedOn w:val="DefaultParagraphFont"/>
    <w:link w:val="BodyText2"/>
    <w:uiPriority w:val="99"/>
    <w:semiHidden/>
    <w:rsid w:val="001C2B21"/>
    <w:rPr>
      <w:sz w:val="22"/>
    </w:rPr>
  </w:style>
  <w:style w:type="paragraph" w:styleId="BodyText3">
    <w:name w:val="Body Text 3"/>
    <w:basedOn w:val="Normal"/>
    <w:link w:val="BodyText3Char"/>
    <w:uiPriority w:val="99"/>
    <w:semiHidden/>
    <w:unhideWhenUsed/>
    <w:rsid w:val="001C2B21"/>
    <w:pPr>
      <w:spacing w:after="120"/>
    </w:pPr>
    <w:rPr>
      <w:sz w:val="16"/>
      <w:szCs w:val="16"/>
    </w:rPr>
  </w:style>
  <w:style w:type="character" w:customStyle="1" w:styleId="BodyText3Char">
    <w:name w:val="Body Text 3 Char"/>
    <w:basedOn w:val="DefaultParagraphFont"/>
    <w:link w:val="BodyText3"/>
    <w:uiPriority w:val="99"/>
    <w:semiHidden/>
    <w:rsid w:val="001C2B21"/>
    <w:rPr>
      <w:sz w:val="16"/>
      <w:szCs w:val="16"/>
    </w:rPr>
  </w:style>
  <w:style w:type="paragraph" w:styleId="BodyTextFirstIndent">
    <w:name w:val="Body Text First Indent"/>
    <w:basedOn w:val="BodyText"/>
    <w:link w:val="BodyTextFirstIndentChar"/>
    <w:uiPriority w:val="99"/>
    <w:semiHidden/>
    <w:unhideWhenUsed/>
    <w:rsid w:val="001C2B21"/>
    <w:pPr>
      <w:spacing w:after="0"/>
      <w:ind w:firstLine="360"/>
    </w:pPr>
  </w:style>
  <w:style w:type="character" w:customStyle="1" w:styleId="BodyTextFirstIndentChar">
    <w:name w:val="Body Text First Indent Char"/>
    <w:basedOn w:val="BodyTextChar"/>
    <w:link w:val="BodyTextFirstIndent"/>
    <w:uiPriority w:val="99"/>
    <w:semiHidden/>
    <w:rsid w:val="001C2B21"/>
    <w:rPr>
      <w:sz w:val="22"/>
    </w:rPr>
  </w:style>
  <w:style w:type="paragraph" w:styleId="BodyTextIndent">
    <w:name w:val="Body Text Indent"/>
    <w:basedOn w:val="Normal"/>
    <w:link w:val="BodyTextIndentChar"/>
    <w:uiPriority w:val="99"/>
    <w:semiHidden/>
    <w:unhideWhenUsed/>
    <w:rsid w:val="001C2B21"/>
    <w:pPr>
      <w:spacing w:after="120"/>
      <w:ind w:left="283"/>
    </w:pPr>
  </w:style>
  <w:style w:type="character" w:customStyle="1" w:styleId="BodyTextIndentChar">
    <w:name w:val="Body Text Indent Char"/>
    <w:basedOn w:val="DefaultParagraphFont"/>
    <w:link w:val="BodyTextIndent"/>
    <w:uiPriority w:val="99"/>
    <w:semiHidden/>
    <w:rsid w:val="001C2B21"/>
    <w:rPr>
      <w:sz w:val="22"/>
    </w:rPr>
  </w:style>
  <w:style w:type="paragraph" w:styleId="BodyTextFirstIndent2">
    <w:name w:val="Body Text First Indent 2"/>
    <w:basedOn w:val="BodyTextIndent"/>
    <w:link w:val="BodyTextFirstIndent2Char"/>
    <w:uiPriority w:val="99"/>
    <w:semiHidden/>
    <w:unhideWhenUsed/>
    <w:rsid w:val="001C2B21"/>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2B21"/>
    <w:rPr>
      <w:sz w:val="22"/>
    </w:rPr>
  </w:style>
  <w:style w:type="paragraph" w:styleId="BodyTextIndent2">
    <w:name w:val="Body Text Indent 2"/>
    <w:basedOn w:val="Normal"/>
    <w:link w:val="BodyTextIndent2Char"/>
    <w:uiPriority w:val="99"/>
    <w:semiHidden/>
    <w:unhideWhenUsed/>
    <w:rsid w:val="001C2B21"/>
    <w:pPr>
      <w:spacing w:after="120" w:line="480" w:lineRule="auto"/>
      <w:ind w:left="283"/>
    </w:pPr>
  </w:style>
  <w:style w:type="character" w:customStyle="1" w:styleId="BodyTextIndent2Char">
    <w:name w:val="Body Text Indent 2 Char"/>
    <w:basedOn w:val="DefaultParagraphFont"/>
    <w:link w:val="BodyTextIndent2"/>
    <w:uiPriority w:val="99"/>
    <w:semiHidden/>
    <w:rsid w:val="001C2B21"/>
    <w:rPr>
      <w:sz w:val="22"/>
    </w:rPr>
  </w:style>
  <w:style w:type="paragraph" w:styleId="BodyTextIndent3">
    <w:name w:val="Body Text Indent 3"/>
    <w:basedOn w:val="Normal"/>
    <w:link w:val="BodyTextIndent3Char"/>
    <w:uiPriority w:val="99"/>
    <w:semiHidden/>
    <w:unhideWhenUsed/>
    <w:rsid w:val="001C2B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2B21"/>
    <w:rPr>
      <w:sz w:val="16"/>
      <w:szCs w:val="16"/>
    </w:rPr>
  </w:style>
  <w:style w:type="character" w:styleId="BookTitle">
    <w:name w:val="Book Title"/>
    <w:basedOn w:val="DefaultParagraphFont"/>
    <w:uiPriority w:val="33"/>
    <w:qFormat/>
    <w:rsid w:val="001C2B21"/>
    <w:rPr>
      <w:b/>
      <w:bCs/>
      <w:i/>
      <w:iCs/>
      <w:spacing w:val="5"/>
    </w:rPr>
  </w:style>
  <w:style w:type="paragraph" w:styleId="Caption">
    <w:name w:val="caption"/>
    <w:basedOn w:val="Normal"/>
    <w:next w:val="Normal"/>
    <w:uiPriority w:val="35"/>
    <w:semiHidden/>
    <w:unhideWhenUsed/>
    <w:qFormat/>
    <w:rsid w:val="001C2B2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C2B21"/>
    <w:pPr>
      <w:spacing w:line="240" w:lineRule="auto"/>
      <w:ind w:left="4252"/>
    </w:pPr>
  </w:style>
  <w:style w:type="character" w:customStyle="1" w:styleId="ClosingChar">
    <w:name w:val="Closing Char"/>
    <w:basedOn w:val="DefaultParagraphFont"/>
    <w:link w:val="Closing"/>
    <w:uiPriority w:val="99"/>
    <w:semiHidden/>
    <w:rsid w:val="001C2B21"/>
    <w:rPr>
      <w:sz w:val="22"/>
    </w:rPr>
  </w:style>
  <w:style w:type="table" w:styleId="ColorfulGrid">
    <w:name w:val="Colorful Grid"/>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C2B2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C2B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C2B2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C2B2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C2B2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C2B2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C2B2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C2B2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C2B2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C2B2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C2B2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C2B2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C2B2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C2B2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C2B2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C2B21"/>
    <w:rPr>
      <w:sz w:val="16"/>
      <w:szCs w:val="16"/>
    </w:rPr>
  </w:style>
  <w:style w:type="paragraph" w:styleId="CommentText">
    <w:name w:val="annotation text"/>
    <w:basedOn w:val="Normal"/>
    <w:link w:val="CommentTextChar"/>
    <w:uiPriority w:val="99"/>
    <w:semiHidden/>
    <w:unhideWhenUsed/>
    <w:rsid w:val="001C2B21"/>
    <w:pPr>
      <w:spacing w:line="240" w:lineRule="auto"/>
    </w:pPr>
    <w:rPr>
      <w:sz w:val="20"/>
    </w:rPr>
  </w:style>
  <w:style w:type="character" w:customStyle="1" w:styleId="CommentTextChar">
    <w:name w:val="Comment Text Char"/>
    <w:basedOn w:val="DefaultParagraphFont"/>
    <w:link w:val="CommentText"/>
    <w:uiPriority w:val="99"/>
    <w:semiHidden/>
    <w:rsid w:val="001C2B21"/>
  </w:style>
  <w:style w:type="paragraph" w:styleId="CommentSubject">
    <w:name w:val="annotation subject"/>
    <w:basedOn w:val="CommentText"/>
    <w:next w:val="CommentText"/>
    <w:link w:val="CommentSubjectChar"/>
    <w:uiPriority w:val="99"/>
    <w:semiHidden/>
    <w:unhideWhenUsed/>
    <w:rsid w:val="001C2B21"/>
    <w:rPr>
      <w:b/>
      <w:bCs/>
    </w:rPr>
  </w:style>
  <w:style w:type="character" w:customStyle="1" w:styleId="CommentSubjectChar">
    <w:name w:val="Comment Subject Char"/>
    <w:basedOn w:val="CommentTextChar"/>
    <w:link w:val="CommentSubject"/>
    <w:uiPriority w:val="99"/>
    <w:semiHidden/>
    <w:rsid w:val="001C2B21"/>
    <w:rPr>
      <w:b/>
      <w:bCs/>
    </w:rPr>
  </w:style>
  <w:style w:type="table" w:styleId="DarkList">
    <w:name w:val="Dark List"/>
    <w:basedOn w:val="TableNormal"/>
    <w:uiPriority w:val="70"/>
    <w:semiHidden/>
    <w:unhideWhenUsed/>
    <w:rsid w:val="001C2B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C2B2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C2B2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C2B2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C2B2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C2B2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C2B2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C2B21"/>
  </w:style>
  <w:style w:type="character" w:customStyle="1" w:styleId="DateChar">
    <w:name w:val="Date Char"/>
    <w:basedOn w:val="DefaultParagraphFont"/>
    <w:link w:val="Date"/>
    <w:uiPriority w:val="99"/>
    <w:semiHidden/>
    <w:rsid w:val="001C2B21"/>
    <w:rPr>
      <w:sz w:val="22"/>
    </w:rPr>
  </w:style>
  <w:style w:type="paragraph" w:styleId="DocumentMap">
    <w:name w:val="Document Map"/>
    <w:basedOn w:val="Normal"/>
    <w:link w:val="DocumentMapChar"/>
    <w:uiPriority w:val="99"/>
    <w:semiHidden/>
    <w:unhideWhenUsed/>
    <w:rsid w:val="001C2B2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2B21"/>
    <w:rPr>
      <w:rFonts w:ascii="Segoe UI" w:hAnsi="Segoe UI" w:cs="Segoe UI"/>
      <w:sz w:val="16"/>
      <w:szCs w:val="16"/>
    </w:rPr>
  </w:style>
  <w:style w:type="paragraph" w:styleId="E-mailSignature">
    <w:name w:val="E-mail Signature"/>
    <w:basedOn w:val="Normal"/>
    <w:link w:val="E-mailSignatureChar"/>
    <w:uiPriority w:val="99"/>
    <w:semiHidden/>
    <w:unhideWhenUsed/>
    <w:rsid w:val="001C2B21"/>
    <w:pPr>
      <w:spacing w:line="240" w:lineRule="auto"/>
    </w:pPr>
  </w:style>
  <w:style w:type="character" w:customStyle="1" w:styleId="E-mailSignatureChar">
    <w:name w:val="E-mail Signature Char"/>
    <w:basedOn w:val="DefaultParagraphFont"/>
    <w:link w:val="E-mailSignature"/>
    <w:uiPriority w:val="99"/>
    <w:semiHidden/>
    <w:rsid w:val="001C2B21"/>
    <w:rPr>
      <w:sz w:val="22"/>
    </w:rPr>
  </w:style>
  <w:style w:type="character" w:styleId="Emphasis">
    <w:name w:val="Emphasis"/>
    <w:basedOn w:val="DefaultParagraphFont"/>
    <w:uiPriority w:val="20"/>
    <w:qFormat/>
    <w:rsid w:val="001C2B21"/>
    <w:rPr>
      <w:i/>
      <w:iCs/>
    </w:rPr>
  </w:style>
  <w:style w:type="character" w:styleId="EndnoteReference">
    <w:name w:val="endnote reference"/>
    <w:basedOn w:val="DefaultParagraphFont"/>
    <w:uiPriority w:val="99"/>
    <w:semiHidden/>
    <w:unhideWhenUsed/>
    <w:rsid w:val="001C2B21"/>
    <w:rPr>
      <w:vertAlign w:val="superscript"/>
    </w:rPr>
  </w:style>
  <w:style w:type="paragraph" w:styleId="EndnoteText">
    <w:name w:val="endnote text"/>
    <w:basedOn w:val="Normal"/>
    <w:link w:val="EndnoteTextChar"/>
    <w:uiPriority w:val="99"/>
    <w:semiHidden/>
    <w:unhideWhenUsed/>
    <w:rsid w:val="001C2B21"/>
    <w:pPr>
      <w:spacing w:line="240" w:lineRule="auto"/>
    </w:pPr>
    <w:rPr>
      <w:sz w:val="20"/>
    </w:rPr>
  </w:style>
  <w:style w:type="character" w:customStyle="1" w:styleId="EndnoteTextChar">
    <w:name w:val="Endnote Text Char"/>
    <w:basedOn w:val="DefaultParagraphFont"/>
    <w:link w:val="EndnoteText"/>
    <w:uiPriority w:val="99"/>
    <w:semiHidden/>
    <w:rsid w:val="001C2B21"/>
  </w:style>
  <w:style w:type="paragraph" w:styleId="EnvelopeAddress">
    <w:name w:val="envelope address"/>
    <w:basedOn w:val="Normal"/>
    <w:uiPriority w:val="99"/>
    <w:semiHidden/>
    <w:unhideWhenUsed/>
    <w:rsid w:val="001C2B2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2B2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C2B21"/>
    <w:rPr>
      <w:color w:val="800080" w:themeColor="followedHyperlink"/>
      <w:u w:val="single"/>
    </w:rPr>
  </w:style>
  <w:style w:type="character" w:styleId="FootnoteReference">
    <w:name w:val="footnote reference"/>
    <w:basedOn w:val="DefaultParagraphFont"/>
    <w:uiPriority w:val="99"/>
    <w:semiHidden/>
    <w:unhideWhenUsed/>
    <w:rsid w:val="001C2B21"/>
    <w:rPr>
      <w:vertAlign w:val="superscript"/>
    </w:rPr>
  </w:style>
  <w:style w:type="paragraph" w:styleId="FootnoteText">
    <w:name w:val="footnote text"/>
    <w:basedOn w:val="Normal"/>
    <w:link w:val="FootnoteTextChar"/>
    <w:uiPriority w:val="99"/>
    <w:semiHidden/>
    <w:unhideWhenUsed/>
    <w:rsid w:val="001C2B21"/>
    <w:pPr>
      <w:spacing w:line="240" w:lineRule="auto"/>
    </w:pPr>
    <w:rPr>
      <w:sz w:val="20"/>
    </w:rPr>
  </w:style>
  <w:style w:type="character" w:customStyle="1" w:styleId="FootnoteTextChar">
    <w:name w:val="Footnote Text Char"/>
    <w:basedOn w:val="DefaultParagraphFont"/>
    <w:link w:val="FootnoteText"/>
    <w:uiPriority w:val="99"/>
    <w:semiHidden/>
    <w:rsid w:val="001C2B21"/>
  </w:style>
  <w:style w:type="table" w:styleId="GridTable1Light">
    <w:name w:val="Grid Table 1 Light"/>
    <w:basedOn w:val="TableNormal"/>
    <w:uiPriority w:val="46"/>
    <w:rsid w:val="001C2B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C2B2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C2B2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C2B2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C2B2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C2B2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C2B2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C2B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C2B2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C2B2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C2B2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C2B2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C2B2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C2B2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C2B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C2B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C2B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C2B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C2B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C2B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C2B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C2B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2B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2B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C2B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C2B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C2B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C2B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C2B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C2B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C2B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C2B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C2B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C2B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C2B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C2B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C2B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C2B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C2B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C2B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C2B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C2B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C2B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C2B21"/>
    <w:rPr>
      <w:color w:val="2B579A"/>
      <w:shd w:val="clear" w:color="auto" w:fill="E1DFDD"/>
    </w:rPr>
  </w:style>
  <w:style w:type="character" w:styleId="HTMLAcronym">
    <w:name w:val="HTML Acronym"/>
    <w:basedOn w:val="DefaultParagraphFont"/>
    <w:uiPriority w:val="99"/>
    <w:semiHidden/>
    <w:unhideWhenUsed/>
    <w:rsid w:val="001C2B21"/>
  </w:style>
  <w:style w:type="paragraph" w:styleId="HTMLAddress">
    <w:name w:val="HTML Address"/>
    <w:basedOn w:val="Normal"/>
    <w:link w:val="HTMLAddressChar"/>
    <w:uiPriority w:val="99"/>
    <w:semiHidden/>
    <w:unhideWhenUsed/>
    <w:rsid w:val="001C2B21"/>
    <w:pPr>
      <w:spacing w:line="240" w:lineRule="auto"/>
    </w:pPr>
    <w:rPr>
      <w:i/>
      <w:iCs/>
    </w:rPr>
  </w:style>
  <w:style w:type="character" w:customStyle="1" w:styleId="HTMLAddressChar">
    <w:name w:val="HTML Address Char"/>
    <w:basedOn w:val="DefaultParagraphFont"/>
    <w:link w:val="HTMLAddress"/>
    <w:uiPriority w:val="99"/>
    <w:semiHidden/>
    <w:rsid w:val="001C2B21"/>
    <w:rPr>
      <w:i/>
      <w:iCs/>
      <w:sz w:val="22"/>
    </w:rPr>
  </w:style>
  <w:style w:type="character" w:styleId="HTMLCite">
    <w:name w:val="HTML Cite"/>
    <w:basedOn w:val="DefaultParagraphFont"/>
    <w:uiPriority w:val="99"/>
    <w:semiHidden/>
    <w:unhideWhenUsed/>
    <w:rsid w:val="001C2B21"/>
    <w:rPr>
      <w:i/>
      <w:iCs/>
    </w:rPr>
  </w:style>
  <w:style w:type="character" w:styleId="HTMLCode">
    <w:name w:val="HTML Code"/>
    <w:basedOn w:val="DefaultParagraphFont"/>
    <w:uiPriority w:val="99"/>
    <w:semiHidden/>
    <w:unhideWhenUsed/>
    <w:rsid w:val="001C2B21"/>
    <w:rPr>
      <w:rFonts w:ascii="Consolas" w:hAnsi="Consolas"/>
      <w:sz w:val="20"/>
      <w:szCs w:val="20"/>
    </w:rPr>
  </w:style>
  <w:style w:type="character" w:styleId="HTMLDefinition">
    <w:name w:val="HTML Definition"/>
    <w:basedOn w:val="DefaultParagraphFont"/>
    <w:uiPriority w:val="99"/>
    <w:semiHidden/>
    <w:unhideWhenUsed/>
    <w:rsid w:val="001C2B21"/>
    <w:rPr>
      <w:i/>
      <w:iCs/>
    </w:rPr>
  </w:style>
  <w:style w:type="character" w:styleId="HTMLKeyboard">
    <w:name w:val="HTML Keyboard"/>
    <w:basedOn w:val="DefaultParagraphFont"/>
    <w:uiPriority w:val="99"/>
    <w:semiHidden/>
    <w:unhideWhenUsed/>
    <w:rsid w:val="001C2B21"/>
    <w:rPr>
      <w:rFonts w:ascii="Consolas" w:hAnsi="Consolas"/>
      <w:sz w:val="20"/>
      <w:szCs w:val="20"/>
    </w:rPr>
  </w:style>
  <w:style w:type="paragraph" w:styleId="HTMLPreformatted">
    <w:name w:val="HTML Preformatted"/>
    <w:basedOn w:val="Normal"/>
    <w:link w:val="HTMLPreformattedChar"/>
    <w:uiPriority w:val="99"/>
    <w:semiHidden/>
    <w:unhideWhenUsed/>
    <w:rsid w:val="001C2B2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C2B21"/>
    <w:rPr>
      <w:rFonts w:ascii="Consolas" w:hAnsi="Consolas"/>
    </w:rPr>
  </w:style>
  <w:style w:type="character" w:styleId="HTMLSample">
    <w:name w:val="HTML Sample"/>
    <w:basedOn w:val="DefaultParagraphFont"/>
    <w:uiPriority w:val="99"/>
    <w:semiHidden/>
    <w:unhideWhenUsed/>
    <w:rsid w:val="001C2B21"/>
    <w:rPr>
      <w:rFonts w:ascii="Consolas" w:hAnsi="Consolas"/>
      <w:sz w:val="24"/>
      <w:szCs w:val="24"/>
    </w:rPr>
  </w:style>
  <w:style w:type="character" w:styleId="HTMLTypewriter">
    <w:name w:val="HTML Typewriter"/>
    <w:basedOn w:val="DefaultParagraphFont"/>
    <w:uiPriority w:val="99"/>
    <w:semiHidden/>
    <w:unhideWhenUsed/>
    <w:rsid w:val="001C2B21"/>
    <w:rPr>
      <w:rFonts w:ascii="Consolas" w:hAnsi="Consolas"/>
      <w:sz w:val="20"/>
      <w:szCs w:val="20"/>
    </w:rPr>
  </w:style>
  <w:style w:type="character" w:styleId="HTMLVariable">
    <w:name w:val="HTML Variable"/>
    <w:basedOn w:val="DefaultParagraphFont"/>
    <w:uiPriority w:val="99"/>
    <w:semiHidden/>
    <w:unhideWhenUsed/>
    <w:rsid w:val="001C2B21"/>
    <w:rPr>
      <w:i/>
      <w:iCs/>
    </w:rPr>
  </w:style>
  <w:style w:type="character" w:styleId="Hyperlink">
    <w:name w:val="Hyperlink"/>
    <w:basedOn w:val="DefaultParagraphFont"/>
    <w:uiPriority w:val="99"/>
    <w:semiHidden/>
    <w:unhideWhenUsed/>
    <w:rsid w:val="001C2B21"/>
    <w:rPr>
      <w:color w:val="0000FF" w:themeColor="hyperlink"/>
      <w:u w:val="single"/>
    </w:rPr>
  </w:style>
  <w:style w:type="paragraph" w:styleId="Index1">
    <w:name w:val="index 1"/>
    <w:basedOn w:val="Normal"/>
    <w:next w:val="Normal"/>
    <w:autoRedefine/>
    <w:uiPriority w:val="99"/>
    <w:semiHidden/>
    <w:unhideWhenUsed/>
    <w:rsid w:val="001C2B21"/>
    <w:pPr>
      <w:spacing w:line="240" w:lineRule="auto"/>
      <w:ind w:left="220" w:hanging="220"/>
    </w:pPr>
  </w:style>
  <w:style w:type="paragraph" w:styleId="Index2">
    <w:name w:val="index 2"/>
    <w:basedOn w:val="Normal"/>
    <w:next w:val="Normal"/>
    <w:autoRedefine/>
    <w:uiPriority w:val="99"/>
    <w:semiHidden/>
    <w:unhideWhenUsed/>
    <w:rsid w:val="001C2B21"/>
    <w:pPr>
      <w:spacing w:line="240" w:lineRule="auto"/>
      <w:ind w:left="440" w:hanging="220"/>
    </w:pPr>
  </w:style>
  <w:style w:type="paragraph" w:styleId="Index3">
    <w:name w:val="index 3"/>
    <w:basedOn w:val="Normal"/>
    <w:next w:val="Normal"/>
    <w:autoRedefine/>
    <w:uiPriority w:val="99"/>
    <w:semiHidden/>
    <w:unhideWhenUsed/>
    <w:rsid w:val="001C2B21"/>
    <w:pPr>
      <w:spacing w:line="240" w:lineRule="auto"/>
      <w:ind w:left="660" w:hanging="220"/>
    </w:pPr>
  </w:style>
  <w:style w:type="paragraph" w:styleId="Index4">
    <w:name w:val="index 4"/>
    <w:basedOn w:val="Normal"/>
    <w:next w:val="Normal"/>
    <w:autoRedefine/>
    <w:uiPriority w:val="99"/>
    <w:semiHidden/>
    <w:unhideWhenUsed/>
    <w:rsid w:val="001C2B21"/>
    <w:pPr>
      <w:spacing w:line="240" w:lineRule="auto"/>
      <w:ind w:left="880" w:hanging="220"/>
    </w:pPr>
  </w:style>
  <w:style w:type="paragraph" w:styleId="Index5">
    <w:name w:val="index 5"/>
    <w:basedOn w:val="Normal"/>
    <w:next w:val="Normal"/>
    <w:autoRedefine/>
    <w:uiPriority w:val="99"/>
    <w:semiHidden/>
    <w:unhideWhenUsed/>
    <w:rsid w:val="001C2B21"/>
    <w:pPr>
      <w:spacing w:line="240" w:lineRule="auto"/>
      <w:ind w:left="1100" w:hanging="220"/>
    </w:pPr>
  </w:style>
  <w:style w:type="paragraph" w:styleId="Index6">
    <w:name w:val="index 6"/>
    <w:basedOn w:val="Normal"/>
    <w:next w:val="Normal"/>
    <w:autoRedefine/>
    <w:uiPriority w:val="99"/>
    <w:semiHidden/>
    <w:unhideWhenUsed/>
    <w:rsid w:val="001C2B21"/>
    <w:pPr>
      <w:spacing w:line="240" w:lineRule="auto"/>
      <w:ind w:left="1320" w:hanging="220"/>
    </w:pPr>
  </w:style>
  <w:style w:type="paragraph" w:styleId="Index7">
    <w:name w:val="index 7"/>
    <w:basedOn w:val="Normal"/>
    <w:next w:val="Normal"/>
    <w:autoRedefine/>
    <w:uiPriority w:val="99"/>
    <w:semiHidden/>
    <w:unhideWhenUsed/>
    <w:rsid w:val="001C2B21"/>
    <w:pPr>
      <w:spacing w:line="240" w:lineRule="auto"/>
      <w:ind w:left="1540" w:hanging="220"/>
    </w:pPr>
  </w:style>
  <w:style w:type="paragraph" w:styleId="Index8">
    <w:name w:val="index 8"/>
    <w:basedOn w:val="Normal"/>
    <w:next w:val="Normal"/>
    <w:autoRedefine/>
    <w:uiPriority w:val="99"/>
    <w:semiHidden/>
    <w:unhideWhenUsed/>
    <w:rsid w:val="001C2B21"/>
    <w:pPr>
      <w:spacing w:line="240" w:lineRule="auto"/>
      <w:ind w:left="1760" w:hanging="220"/>
    </w:pPr>
  </w:style>
  <w:style w:type="paragraph" w:styleId="Index9">
    <w:name w:val="index 9"/>
    <w:basedOn w:val="Normal"/>
    <w:next w:val="Normal"/>
    <w:autoRedefine/>
    <w:uiPriority w:val="99"/>
    <w:semiHidden/>
    <w:unhideWhenUsed/>
    <w:rsid w:val="001C2B21"/>
    <w:pPr>
      <w:spacing w:line="240" w:lineRule="auto"/>
      <w:ind w:left="1980" w:hanging="220"/>
    </w:pPr>
  </w:style>
  <w:style w:type="paragraph" w:styleId="IndexHeading">
    <w:name w:val="index heading"/>
    <w:basedOn w:val="Normal"/>
    <w:next w:val="Index1"/>
    <w:uiPriority w:val="99"/>
    <w:semiHidden/>
    <w:unhideWhenUsed/>
    <w:rsid w:val="001C2B21"/>
    <w:rPr>
      <w:rFonts w:asciiTheme="majorHAnsi" w:eastAsiaTheme="majorEastAsia" w:hAnsiTheme="majorHAnsi" w:cstheme="majorBidi"/>
      <w:b/>
      <w:bCs/>
    </w:rPr>
  </w:style>
  <w:style w:type="character" w:styleId="IntenseEmphasis">
    <w:name w:val="Intense Emphasis"/>
    <w:basedOn w:val="DefaultParagraphFont"/>
    <w:uiPriority w:val="21"/>
    <w:qFormat/>
    <w:rsid w:val="001C2B21"/>
    <w:rPr>
      <w:i/>
      <w:iCs/>
      <w:color w:val="4F81BD" w:themeColor="accent1"/>
    </w:rPr>
  </w:style>
  <w:style w:type="paragraph" w:styleId="IntenseQuote">
    <w:name w:val="Intense Quote"/>
    <w:basedOn w:val="Normal"/>
    <w:next w:val="Normal"/>
    <w:link w:val="IntenseQuoteChar"/>
    <w:uiPriority w:val="30"/>
    <w:qFormat/>
    <w:rsid w:val="001C2B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B21"/>
    <w:rPr>
      <w:i/>
      <w:iCs/>
      <w:color w:val="4F81BD" w:themeColor="accent1"/>
      <w:sz w:val="22"/>
    </w:rPr>
  </w:style>
  <w:style w:type="character" w:styleId="IntenseReference">
    <w:name w:val="Intense Reference"/>
    <w:basedOn w:val="DefaultParagraphFont"/>
    <w:uiPriority w:val="32"/>
    <w:qFormat/>
    <w:rsid w:val="001C2B21"/>
    <w:rPr>
      <w:b/>
      <w:bCs/>
      <w:smallCaps/>
      <w:color w:val="4F81BD" w:themeColor="accent1"/>
      <w:spacing w:val="5"/>
    </w:rPr>
  </w:style>
  <w:style w:type="table" w:styleId="LightGrid">
    <w:name w:val="Light Grid"/>
    <w:basedOn w:val="TableNormal"/>
    <w:uiPriority w:val="62"/>
    <w:semiHidden/>
    <w:unhideWhenUsed/>
    <w:rsid w:val="001C2B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C2B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C2B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C2B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C2B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C2B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C2B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C2B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C2B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C2B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C2B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C2B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C2B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C2B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C2B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C2B2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C2B2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C2B2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C2B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C2B2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C2B2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C2B21"/>
    <w:pPr>
      <w:ind w:left="283" w:hanging="283"/>
      <w:contextualSpacing/>
    </w:pPr>
  </w:style>
  <w:style w:type="paragraph" w:styleId="List2">
    <w:name w:val="List 2"/>
    <w:basedOn w:val="Normal"/>
    <w:uiPriority w:val="99"/>
    <w:semiHidden/>
    <w:unhideWhenUsed/>
    <w:rsid w:val="001C2B21"/>
    <w:pPr>
      <w:ind w:left="566" w:hanging="283"/>
      <w:contextualSpacing/>
    </w:pPr>
  </w:style>
  <w:style w:type="paragraph" w:styleId="List3">
    <w:name w:val="List 3"/>
    <w:basedOn w:val="Normal"/>
    <w:uiPriority w:val="99"/>
    <w:semiHidden/>
    <w:unhideWhenUsed/>
    <w:rsid w:val="001C2B21"/>
    <w:pPr>
      <w:ind w:left="849" w:hanging="283"/>
      <w:contextualSpacing/>
    </w:pPr>
  </w:style>
  <w:style w:type="paragraph" w:styleId="List4">
    <w:name w:val="List 4"/>
    <w:basedOn w:val="Normal"/>
    <w:uiPriority w:val="99"/>
    <w:semiHidden/>
    <w:unhideWhenUsed/>
    <w:rsid w:val="001C2B21"/>
    <w:pPr>
      <w:ind w:left="1132" w:hanging="283"/>
      <w:contextualSpacing/>
    </w:pPr>
  </w:style>
  <w:style w:type="paragraph" w:styleId="List5">
    <w:name w:val="List 5"/>
    <w:basedOn w:val="Normal"/>
    <w:uiPriority w:val="99"/>
    <w:semiHidden/>
    <w:unhideWhenUsed/>
    <w:rsid w:val="001C2B21"/>
    <w:pPr>
      <w:ind w:left="1415" w:hanging="283"/>
      <w:contextualSpacing/>
    </w:pPr>
  </w:style>
  <w:style w:type="paragraph" w:styleId="ListBullet">
    <w:name w:val="List Bullet"/>
    <w:basedOn w:val="Normal"/>
    <w:uiPriority w:val="99"/>
    <w:semiHidden/>
    <w:unhideWhenUsed/>
    <w:rsid w:val="001C2B21"/>
    <w:pPr>
      <w:numPr>
        <w:numId w:val="1"/>
      </w:numPr>
      <w:contextualSpacing/>
    </w:pPr>
  </w:style>
  <w:style w:type="paragraph" w:styleId="ListBullet2">
    <w:name w:val="List Bullet 2"/>
    <w:basedOn w:val="Normal"/>
    <w:uiPriority w:val="99"/>
    <w:semiHidden/>
    <w:unhideWhenUsed/>
    <w:rsid w:val="001C2B21"/>
    <w:pPr>
      <w:numPr>
        <w:numId w:val="2"/>
      </w:numPr>
      <w:contextualSpacing/>
    </w:pPr>
  </w:style>
  <w:style w:type="paragraph" w:styleId="ListBullet3">
    <w:name w:val="List Bullet 3"/>
    <w:basedOn w:val="Normal"/>
    <w:uiPriority w:val="99"/>
    <w:semiHidden/>
    <w:unhideWhenUsed/>
    <w:rsid w:val="001C2B21"/>
    <w:pPr>
      <w:numPr>
        <w:numId w:val="3"/>
      </w:numPr>
      <w:contextualSpacing/>
    </w:pPr>
  </w:style>
  <w:style w:type="paragraph" w:styleId="ListBullet4">
    <w:name w:val="List Bullet 4"/>
    <w:basedOn w:val="Normal"/>
    <w:uiPriority w:val="99"/>
    <w:semiHidden/>
    <w:unhideWhenUsed/>
    <w:rsid w:val="001C2B21"/>
    <w:pPr>
      <w:numPr>
        <w:numId w:val="4"/>
      </w:numPr>
      <w:contextualSpacing/>
    </w:pPr>
  </w:style>
  <w:style w:type="paragraph" w:styleId="ListBullet5">
    <w:name w:val="List Bullet 5"/>
    <w:basedOn w:val="Normal"/>
    <w:uiPriority w:val="99"/>
    <w:semiHidden/>
    <w:unhideWhenUsed/>
    <w:rsid w:val="001C2B21"/>
    <w:pPr>
      <w:numPr>
        <w:numId w:val="5"/>
      </w:numPr>
      <w:contextualSpacing/>
    </w:pPr>
  </w:style>
  <w:style w:type="paragraph" w:styleId="ListContinue">
    <w:name w:val="List Continue"/>
    <w:basedOn w:val="Normal"/>
    <w:uiPriority w:val="99"/>
    <w:semiHidden/>
    <w:unhideWhenUsed/>
    <w:rsid w:val="001C2B21"/>
    <w:pPr>
      <w:spacing w:after="120"/>
      <w:ind w:left="283"/>
      <w:contextualSpacing/>
    </w:pPr>
  </w:style>
  <w:style w:type="paragraph" w:styleId="ListContinue2">
    <w:name w:val="List Continue 2"/>
    <w:basedOn w:val="Normal"/>
    <w:uiPriority w:val="99"/>
    <w:semiHidden/>
    <w:unhideWhenUsed/>
    <w:rsid w:val="001C2B21"/>
    <w:pPr>
      <w:spacing w:after="120"/>
      <w:ind w:left="566"/>
      <w:contextualSpacing/>
    </w:pPr>
  </w:style>
  <w:style w:type="paragraph" w:styleId="ListContinue3">
    <w:name w:val="List Continue 3"/>
    <w:basedOn w:val="Normal"/>
    <w:uiPriority w:val="99"/>
    <w:semiHidden/>
    <w:unhideWhenUsed/>
    <w:rsid w:val="001C2B21"/>
    <w:pPr>
      <w:spacing w:after="120"/>
      <w:ind w:left="849"/>
      <w:contextualSpacing/>
    </w:pPr>
  </w:style>
  <w:style w:type="paragraph" w:styleId="ListContinue4">
    <w:name w:val="List Continue 4"/>
    <w:basedOn w:val="Normal"/>
    <w:uiPriority w:val="99"/>
    <w:semiHidden/>
    <w:unhideWhenUsed/>
    <w:rsid w:val="001C2B21"/>
    <w:pPr>
      <w:spacing w:after="120"/>
      <w:ind w:left="1132"/>
      <w:contextualSpacing/>
    </w:pPr>
  </w:style>
  <w:style w:type="paragraph" w:styleId="ListContinue5">
    <w:name w:val="List Continue 5"/>
    <w:basedOn w:val="Normal"/>
    <w:uiPriority w:val="99"/>
    <w:semiHidden/>
    <w:unhideWhenUsed/>
    <w:rsid w:val="001C2B21"/>
    <w:pPr>
      <w:spacing w:after="120"/>
      <w:ind w:left="1415"/>
      <w:contextualSpacing/>
    </w:pPr>
  </w:style>
  <w:style w:type="paragraph" w:styleId="ListNumber">
    <w:name w:val="List Number"/>
    <w:basedOn w:val="Normal"/>
    <w:uiPriority w:val="99"/>
    <w:semiHidden/>
    <w:unhideWhenUsed/>
    <w:rsid w:val="001C2B21"/>
    <w:pPr>
      <w:numPr>
        <w:numId w:val="6"/>
      </w:numPr>
      <w:contextualSpacing/>
    </w:pPr>
  </w:style>
  <w:style w:type="paragraph" w:styleId="ListNumber2">
    <w:name w:val="List Number 2"/>
    <w:basedOn w:val="Normal"/>
    <w:uiPriority w:val="99"/>
    <w:semiHidden/>
    <w:unhideWhenUsed/>
    <w:rsid w:val="001C2B21"/>
    <w:pPr>
      <w:numPr>
        <w:numId w:val="7"/>
      </w:numPr>
      <w:contextualSpacing/>
    </w:pPr>
  </w:style>
  <w:style w:type="paragraph" w:styleId="ListNumber3">
    <w:name w:val="List Number 3"/>
    <w:basedOn w:val="Normal"/>
    <w:uiPriority w:val="99"/>
    <w:semiHidden/>
    <w:unhideWhenUsed/>
    <w:rsid w:val="001C2B21"/>
    <w:pPr>
      <w:numPr>
        <w:numId w:val="8"/>
      </w:numPr>
      <w:contextualSpacing/>
    </w:pPr>
  </w:style>
  <w:style w:type="paragraph" w:styleId="ListNumber4">
    <w:name w:val="List Number 4"/>
    <w:basedOn w:val="Normal"/>
    <w:uiPriority w:val="99"/>
    <w:semiHidden/>
    <w:unhideWhenUsed/>
    <w:rsid w:val="001C2B21"/>
    <w:pPr>
      <w:numPr>
        <w:numId w:val="9"/>
      </w:numPr>
      <w:contextualSpacing/>
    </w:pPr>
  </w:style>
  <w:style w:type="paragraph" w:styleId="ListNumber5">
    <w:name w:val="List Number 5"/>
    <w:basedOn w:val="Normal"/>
    <w:uiPriority w:val="99"/>
    <w:semiHidden/>
    <w:unhideWhenUsed/>
    <w:rsid w:val="001C2B21"/>
    <w:pPr>
      <w:numPr>
        <w:numId w:val="10"/>
      </w:numPr>
      <w:contextualSpacing/>
    </w:pPr>
  </w:style>
  <w:style w:type="paragraph" w:styleId="ListParagraph">
    <w:name w:val="List Paragraph"/>
    <w:basedOn w:val="Normal"/>
    <w:uiPriority w:val="34"/>
    <w:qFormat/>
    <w:rsid w:val="001C2B21"/>
    <w:pPr>
      <w:ind w:left="720"/>
      <w:contextualSpacing/>
    </w:pPr>
  </w:style>
  <w:style w:type="table" w:styleId="ListTable1Light">
    <w:name w:val="List Table 1 Light"/>
    <w:basedOn w:val="TableNormal"/>
    <w:uiPriority w:val="46"/>
    <w:rsid w:val="001C2B2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C2B2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C2B2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C2B2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C2B2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C2B2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C2B2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C2B2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C2B2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C2B2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C2B2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C2B2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C2B2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C2B2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C2B2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C2B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C2B2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C2B2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C2B2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C2B2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C2B2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C2B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C2B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C2B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C2B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C2B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C2B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C2B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C2B2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C2B2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C2B2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C2B2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C2B2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C2B2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C2B2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C2B2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C2B2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C2B2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C2B2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C2B2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C2B2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C2B2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C2B2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C2B2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C2B2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C2B2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C2B2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C2B2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C2B2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C2B2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C2B21"/>
    <w:rPr>
      <w:rFonts w:ascii="Consolas" w:hAnsi="Consolas"/>
    </w:rPr>
  </w:style>
  <w:style w:type="table" w:styleId="MediumGrid1">
    <w:name w:val="Medium Grid 1"/>
    <w:basedOn w:val="TableNormal"/>
    <w:uiPriority w:val="67"/>
    <w:semiHidden/>
    <w:unhideWhenUsed/>
    <w:rsid w:val="001C2B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C2B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C2B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C2B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C2B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C2B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C2B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C2B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C2B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C2B2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C2B2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C2B2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C2B2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C2B2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C2B2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C2B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C2B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C2B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C2B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C2B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C2B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C2B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C2B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C2B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C2B21"/>
    <w:rPr>
      <w:color w:val="2B579A"/>
      <w:shd w:val="clear" w:color="auto" w:fill="E1DFDD"/>
    </w:rPr>
  </w:style>
  <w:style w:type="paragraph" w:styleId="MessageHeader">
    <w:name w:val="Message Header"/>
    <w:basedOn w:val="Normal"/>
    <w:link w:val="MessageHeaderChar"/>
    <w:uiPriority w:val="99"/>
    <w:semiHidden/>
    <w:unhideWhenUsed/>
    <w:rsid w:val="001C2B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2B21"/>
    <w:rPr>
      <w:rFonts w:asciiTheme="majorHAnsi" w:eastAsiaTheme="majorEastAsia" w:hAnsiTheme="majorHAnsi" w:cstheme="majorBidi"/>
      <w:sz w:val="24"/>
      <w:szCs w:val="24"/>
      <w:shd w:val="pct20" w:color="auto" w:fill="auto"/>
    </w:rPr>
  </w:style>
  <w:style w:type="paragraph" w:styleId="NoSpacing">
    <w:name w:val="No Spacing"/>
    <w:uiPriority w:val="1"/>
    <w:qFormat/>
    <w:rsid w:val="001C2B21"/>
    <w:rPr>
      <w:sz w:val="22"/>
    </w:rPr>
  </w:style>
  <w:style w:type="paragraph" w:styleId="NormalWeb">
    <w:name w:val="Normal (Web)"/>
    <w:basedOn w:val="Normal"/>
    <w:uiPriority w:val="99"/>
    <w:semiHidden/>
    <w:unhideWhenUsed/>
    <w:rsid w:val="001C2B21"/>
    <w:rPr>
      <w:rFonts w:cs="Times New Roman"/>
      <w:sz w:val="24"/>
      <w:szCs w:val="24"/>
    </w:rPr>
  </w:style>
  <w:style w:type="paragraph" w:styleId="NormalIndent">
    <w:name w:val="Normal Indent"/>
    <w:basedOn w:val="Normal"/>
    <w:uiPriority w:val="99"/>
    <w:semiHidden/>
    <w:unhideWhenUsed/>
    <w:rsid w:val="001C2B21"/>
    <w:pPr>
      <w:ind w:left="720"/>
    </w:pPr>
  </w:style>
  <w:style w:type="paragraph" w:styleId="NoteHeading">
    <w:name w:val="Note Heading"/>
    <w:basedOn w:val="Normal"/>
    <w:next w:val="Normal"/>
    <w:link w:val="NoteHeadingChar"/>
    <w:uiPriority w:val="99"/>
    <w:semiHidden/>
    <w:unhideWhenUsed/>
    <w:rsid w:val="001C2B21"/>
    <w:pPr>
      <w:spacing w:line="240" w:lineRule="auto"/>
    </w:pPr>
  </w:style>
  <w:style w:type="character" w:customStyle="1" w:styleId="NoteHeadingChar">
    <w:name w:val="Note Heading Char"/>
    <w:basedOn w:val="DefaultParagraphFont"/>
    <w:link w:val="NoteHeading"/>
    <w:uiPriority w:val="99"/>
    <w:semiHidden/>
    <w:rsid w:val="001C2B21"/>
    <w:rPr>
      <w:sz w:val="22"/>
    </w:rPr>
  </w:style>
  <w:style w:type="character" w:styleId="PageNumber">
    <w:name w:val="page number"/>
    <w:basedOn w:val="DefaultParagraphFont"/>
    <w:uiPriority w:val="99"/>
    <w:semiHidden/>
    <w:unhideWhenUsed/>
    <w:rsid w:val="001C2B21"/>
  </w:style>
  <w:style w:type="character" w:styleId="PlaceholderText">
    <w:name w:val="Placeholder Text"/>
    <w:basedOn w:val="DefaultParagraphFont"/>
    <w:uiPriority w:val="99"/>
    <w:semiHidden/>
    <w:rsid w:val="001C2B21"/>
    <w:rPr>
      <w:color w:val="808080"/>
    </w:rPr>
  </w:style>
  <w:style w:type="table" w:styleId="PlainTable1">
    <w:name w:val="Plain Table 1"/>
    <w:basedOn w:val="TableNormal"/>
    <w:uiPriority w:val="41"/>
    <w:rsid w:val="001C2B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C2B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C2B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C2B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C2B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C2B2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C2B21"/>
    <w:rPr>
      <w:rFonts w:ascii="Consolas" w:hAnsi="Consolas"/>
      <w:sz w:val="21"/>
      <w:szCs w:val="21"/>
    </w:rPr>
  </w:style>
  <w:style w:type="paragraph" w:styleId="Quote">
    <w:name w:val="Quote"/>
    <w:basedOn w:val="Normal"/>
    <w:next w:val="Normal"/>
    <w:link w:val="QuoteChar"/>
    <w:uiPriority w:val="29"/>
    <w:qFormat/>
    <w:rsid w:val="001C2B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2B21"/>
    <w:rPr>
      <w:i/>
      <w:iCs/>
      <w:color w:val="404040" w:themeColor="text1" w:themeTint="BF"/>
      <w:sz w:val="22"/>
    </w:rPr>
  </w:style>
  <w:style w:type="paragraph" w:styleId="Salutation">
    <w:name w:val="Salutation"/>
    <w:basedOn w:val="Normal"/>
    <w:next w:val="Normal"/>
    <w:link w:val="SalutationChar"/>
    <w:uiPriority w:val="99"/>
    <w:semiHidden/>
    <w:unhideWhenUsed/>
    <w:rsid w:val="001C2B21"/>
  </w:style>
  <w:style w:type="character" w:customStyle="1" w:styleId="SalutationChar">
    <w:name w:val="Salutation Char"/>
    <w:basedOn w:val="DefaultParagraphFont"/>
    <w:link w:val="Salutation"/>
    <w:uiPriority w:val="99"/>
    <w:semiHidden/>
    <w:rsid w:val="001C2B21"/>
    <w:rPr>
      <w:sz w:val="22"/>
    </w:rPr>
  </w:style>
  <w:style w:type="paragraph" w:styleId="Signature">
    <w:name w:val="Signature"/>
    <w:basedOn w:val="Normal"/>
    <w:link w:val="SignatureChar"/>
    <w:uiPriority w:val="99"/>
    <w:semiHidden/>
    <w:unhideWhenUsed/>
    <w:rsid w:val="001C2B21"/>
    <w:pPr>
      <w:spacing w:line="240" w:lineRule="auto"/>
      <w:ind w:left="4252"/>
    </w:pPr>
  </w:style>
  <w:style w:type="character" w:customStyle="1" w:styleId="SignatureChar">
    <w:name w:val="Signature Char"/>
    <w:basedOn w:val="DefaultParagraphFont"/>
    <w:link w:val="Signature"/>
    <w:uiPriority w:val="99"/>
    <w:semiHidden/>
    <w:rsid w:val="001C2B21"/>
    <w:rPr>
      <w:sz w:val="22"/>
    </w:rPr>
  </w:style>
  <w:style w:type="character" w:styleId="SmartHyperlink">
    <w:name w:val="Smart Hyperlink"/>
    <w:basedOn w:val="DefaultParagraphFont"/>
    <w:uiPriority w:val="99"/>
    <w:semiHidden/>
    <w:unhideWhenUsed/>
    <w:rsid w:val="001C2B21"/>
    <w:rPr>
      <w:u w:val="dotted"/>
    </w:rPr>
  </w:style>
  <w:style w:type="character" w:styleId="Strong">
    <w:name w:val="Strong"/>
    <w:basedOn w:val="DefaultParagraphFont"/>
    <w:uiPriority w:val="22"/>
    <w:qFormat/>
    <w:rsid w:val="001C2B21"/>
    <w:rPr>
      <w:b/>
      <w:bCs/>
    </w:rPr>
  </w:style>
  <w:style w:type="paragraph" w:styleId="Subtitle">
    <w:name w:val="Subtitle"/>
    <w:basedOn w:val="Normal"/>
    <w:next w:val="Normal"/>
    <w:link w:val="SubtitleChar"/>
    <w:uiPriority w:val="11"/>
    <w:qFormat/>
    <w:rsid w:val="001C2B2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C2B2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C2B21"/>
    <w:rPr>
      <w:i/>
      <w:iCs/>
      <w:color w:val="404040" w:themeColor="text1" w:themeTint="BF"/>
    </w:rPr>
  </w:style>
  <w:style w:type="character" w:styleId="SubtleReference">
    <w:name w:val="Subtle Reference"/>
    <w:basedOn w:val="DefaultParagraphFont"/>
    <w:uiPriority w:val="31"/>
    <w:qFormat/>
    <w:rsid w:val="001C2B21"/>
    <w:rPr>
      <w:smallCaps/>
      <w:color w:val="5A5A5A" w:themeColor="text1" w:themeTint="A5"/>
    </w:rPr>
  </w:style>
  <w:style w:type="table" w:styleId="Table3Deffects1">
    <w:name w:val="Table 3D effects 1"/>
    <w:basedOn w:val="TableNormal"/>
    <w:uiPriority w:val="99"/>
    <w:semiHidden/>
    <w:unhideWhenUsed/>
    <w:rsid w:val="001C2B2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C2B2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C2B2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C2B2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C2B2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C2B2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C2B2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C2B2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C2B2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C2B2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C2B2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C2B2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C2B2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C2B2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C2B2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C2B2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C2B2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C2B2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C2B2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C2B2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C2B2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C2B2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C2B2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C2B2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C2B2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C2B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C2B2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C2B2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C2B2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C2B2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C2B2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C2B2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C2B2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C2B2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C2B21"/>
    <w:pPr>
      <w:ind w:left="220" w:hanging="220"/>
    </w:pPr>
  </w:style>
  <w:style w:type="paragraph" w:styleId="TableofFigures">
    <w:name w:val="table of figures"/>
    <w:basedOn w:val="Normal"/>
    <w:next w:val="Normal"/>
    <w:uiPriority w:val="99"/>
    <w:semiHidden/>
    <w:unhideWhenUsed/>
    <w:rsid w:val="001C2B21"/>
  </w:style>
  <w:style w:type="table" w:styleId="TableProfessional">
    <w:name w:val="Table Professional"/>
    <w:basedOn w:val="TableNormal"/>
    <w:uiPriority w:val="99"/>
    <w:semiHidden/>
    <w:unhideWhenUsed/>
    <w:rsid w:val="001C2B2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C2B2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C2B2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C2B2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C2B2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C2B2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C2B2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C2B2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C2B2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C2B2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C2B2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2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C2B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C2B21"/>
    <w:pPr>
      <w:numPr>
        <w:numId w:val="0"/>
      </w:numPr>
      <w:outlineLvl w:val="9"/>
    </w:pPr>
  </w:style>
  <w:style w:type="character" w:styleId="UnresolvedMention">
    <w:name w:val="Unresolved Mention"/>
    <w:basedOn w:val="DefaultParagraphFont"/>
    <w:uiPriority w:val="99"/>
    <w:semiHidden/>
    <w:unhideWhenUsed/>
    <w:rsid w:val="001C2B21"/>
    <w:rPr>
      <w:color w:val="605E5C"/>
      <w:shd w:val="clear" w:color="auto" w:fill="E1DFDD"/>
    </w:rPr>
  </w:style>
  <w:style w:type="character" w:customStyle="1" w:styleId="paragraphChar">
    <w:name w:val="paragraph Char"/>
    <w:aliases w:val="a Char"/>
    <w:link w:val="paragraph"/>
    <w:rsid w:val="00EE7B55"/>
    <w:rPr>
      <w:rFonts w:eastAsia="Times New Roman" w:cs="Times New Roman"/>
      <w:sz w:val="22"/>
      <w:lang w:eastAsia="en-AU"/>
    </w:rPr>
  </w:style>
  <w:style w:type="character" w:customStyle="1" w:styleId="subsectionChar">
    <w:name w:val="subsection Char"/>
    <w:aliases w:val="ss Char"/>
    <w:link w:val="subsection"/>
    <w:rsid w:val="00EE7B55"/>
    <w:rPr>
      <w:rFonts w:eastAsia="Times New Roman" w:cs="Times New Roman"/>
      <w:sz w:val="22"/>
      <w:lang w:eastAsia="en-AU"/>
    </w:rPr>
  </w:style>
  <w:style w:type="character" w:customStyle="1" w:styleId="notetextChar">
    <w:name w:val="note(text) Char"/>
    <w:aliases w:val="n Char"/>
    <w:link w:val="notetext"/>
    <w:rsid w:val="00EE7B55"/>
    <w:rPr>
      <w:rFonts w:eastAsia="Times New Roman" w:cs="Times New Roman"/>
      <w:sz w:val="18"/>
      <w:lang w:eastAsia="en-AU"/>
    </w:rPr>
  </w:style>
  <w:style w:type="character" w:customStyle="1" w:styleId="ActHead5Char">
    <w:name w:val="ActHead 5 Char"/>
    <w:aliases w:val="s Char"/>
    <w:link w:val="ActHead5"/>
    <w:rsid w:val="00EE7B55"/>
    <w:rPr>
      <w:rFonts w:eastAsia="Times New Roman" w:cs="Times New Roman"/>
      <w:b/>
      <w:kern w:val="28"/>
      <w:sz w:val="24"/>
      <w:lang w:eastAsia="en-AU"/>
    </w:rPr>
  </w:style>
  <w:style w:type="character" w:customStyle="1" w:styleId="TabletextChar">
    <w:name w:val="Tabletext Char"/>
    <w:aliases w:val="tt Char"/>
    <w:basedOn w:val="DefaultParagraphFont"/>
    <w:link w:val="Tabletext"/>
    <w:locked/>
    <w:rsid w:val="00EE7B55"/>
    <w:rPr>
      <w:rFonts w:eastAsia="Times New Roman" w:cs="Times New Roman"/>
      <w:lang w:eastAsia="en-AU"/>
    </w:rPr>
  </w:style>
  <w:style w:type="character" w:customStyle="1" w:styleId="DefinitionChar">
    <w:name w:val="Definition Char"/>
    <w:aliases w:val="dd Char"/>
    <w:link w:val="Definition"/>
    <w:rsid w:val="00EE7B5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8996">
      <w:bodyDiv w:val="1"/>
      <w:marLeft w:val="0"/>
      <w:marRight w:val="0"/>
      <w:marTop w:val="0"/>
      <w:marBottom w:val="0"/>
      <w:divBdr>
        <w:top w:val="none" w:sz="0" w:space="0" w:color="auto"/>
        <w:left w:val="none" w:sz="0" w:space="0" w:color="auto"/>
        <w:bottom w:val="none" w:sz="0" w:space="0" w:color="auto"/>
        <w:right w:val="none" w:sz="0" w:space="0" w:color="auto"/>
      </w:divBdr>
    </w:div>
    <w:div w:id="127548929">
      <w:bodyDiv w:val="1"/>
      <w:marLeft w:val="0"/>
      <w:marRight w:val="0"/>
      <w:marTop w:val="0"/>
      <w:marBottom w:val="0"/>
      <w:divBdr>
        <w:top w:val="none" w:sz="0" w:space="0" w:color="auto"/>
        <w:left w:val="none" w:sz="0" w:space="0" w:color="auto"/>
        <w:bottom w:val="none" w:sz="0" w:space="0" w:color="auto"/>
        <w:right w:val="none" w:sz="0" w:space="0" w:color="auto"/>
      </w:divBdr>
    </w:div>
    <w:div w:id="128086398">
      <w:bodyDiv w:val="1"/>
      <w:marLeft w:val="0"/>
      <w:marRight w:val="0"/>
      <w:marTop w:val="0"/>
      <w:marBottom w:val="0"/>
      <w:divBdr>
        <w:top w:val="none" w:sz="0" w:space="0" w:color="auto"/>
        <w:left w:val="none" w:sz="0" w:space="0" w:color="auto"/>
        <w:bottom w:val="none" w:sz="0" w:space="0" w:color="auto"/>
        <w:right w:val="none" w:sz="0" w:space="0" w:color="auto"/>
      </w:divBdr>
    </w:div>
    <w:div w:id="197007327">
      <w:bodyDiv w:val="1"/>
      <w:marLeft w:val="0"/>
      <w:marRight w:val="0"/>
      <w:marTop w:val="0"/>
      <w:marBottom w:val="0"/>
      <w:divBdr>
        <w:top w:val="none" w:sz="0" w:space="0" w:color="auto"/>
        <w:left w:val="none" w:sz="0" w:space="0" w:color="auto"/>
        <w:bottom w:val="none" w:sz="0" w:space="0" w:color="auto"/>
        <w:right w:val="none" w:sz="0" w:space="0" w:color="auto"/>
      </w:divBdr>
    </w:div>
    <w:div w:id="210964749">
      <w:bodyDiv w:val="1"/>
      <w:marLeft w:val="0"/>
      <w:marRight w:val="0"/>
      <w:marTop w:val="0"/>
      <w:marBottom w:val="0"/>
      <w:divBdr>
        <w:top w:val="none" w:sz="0" w:space="0" w:color="auto"/>
        <w:left w:val="none" w:sz="0" w:space="0" w:color="auto"/>
        <w:bottom w:val="none" w:sz="0" w:space="0" w:color="auto"/>
        <w:right w:val="none" w:sz="0" w:space="0" w:color="auto"/>
      </w:divBdr>
    </w:div>
    <w:div w:id="234239768">
      <w:bodyDiv w:val="1"/>
      <w:marLeft w:val="0"/>
      <w:marRight w:val="0"/>
      <w:marTop w:val="0"/>
      <w:marBottom w:val="0"/>
      <w:divBdr>
        <w:top w:val="none" w:sz="0" w:space="0" w:color="auto"/>
        <w:left w:val="none" w:sz="0" w:space="0" w:color="auto"/>
        <w:bottom w:val="none" w:sz="0" w:space="0" w:color="auto"/>
        <w:right w:val="none" w:sz="0" w:space="0" w:color="auto"/>
      </w:divBdr>
    </w:div>
    <w:div w:id="254368251">
      <w:bodyDiv w:val="1"/>
      <w:marLeft w:val="0"/>
      <w:marRight w:val="0"/>
      <w:marTop w:val="0"/>
      <w:marBottom w:val="0"/>
      <w:divBdr>
        <w:top w:val="none" w:sz="0" w:space="0" w:color="auto"/>
        <w:left w:val="none" w:sz="0" w:space="0" w:color="auto"/>
        <w:bottom w:val="none" w:sz="0" w:space="0" w:color="auto"/>
        <w:right w:val="none" w:sz="0" w:space="0" w:color="auto"/>
      </w:divBdr>
    </w:div>
    <w:div w:id="355237670">
      <w:bodyDiv w:val="1"/>
      <w:marLeft w:val="0"/>
      <w:marRight w:val="0"/>
      <w:marTop w:val="0"/>
      <w:marBottom w:val="0"/>
      <w:divBdr>
        <w:top w:val="none" w:sz="0" w:space="0" w:color="auto"/>
        <w:left w:val="none" w:sz="0" w:space="0" w:color="auto"/>
        <w:bottom w:val="none" w:sz="0" w:space="0" w:color="auto"/>
        <w:right w:val="none" w:sz="0" w:space="0" w:color="auto"/>
      </w:divBdr>
    </w:div>
    <w:div w:id="390471242">
      <w:bodyDiv w:val="1"/>
      <w:marLeft w:val="0"/>
      <w:marRight w:val="0"/>
      <w:marTop w:val="0"/>
      <w:marBottom w:val="0"/>
      <w:divBdr>
        <w:top w:val="none" w:sz="0" w:space="0" w:color="auto"/>
        <w:left w:val="none" w:sz="0" w:space="0" w:color="auto"/>
        <w:bottom w:val="none" w:sz="0" w:space="0" w:color="auto"/>
        <w:right w:val="none" w:sz="0" w:space="0" w:color="auto"/>
      </w:divBdr>
    </w:div>
    <w:div w:id="565647459">
      <w:bodyDiv w:val="1"/>
      <w:marLeft w:val="0"/>
      <w:marRight w:val="0"/>
      <w:marTop w:val="0"/>
      <w:marBottom w:val="0"/>
      <w:divBdr>
        <w:top w:val="none" w:sz="0" w:space="0" w:color="auto"/>
        <w:left w:val="none" w:sz="0" w:space="0" w:color="auto"/>
        <w:bottom w:val="none" w:sz="0" w:space="0" w:color="auto"/>
        <w:right w:val="none" w:sz="0" w:space="0" w:color="auto"/>
      </w:divBdr>
    </w:div>
    <w:div w:id="594437957">
      <w:bodyDiv w:val="1"/>
      <w:marLeft w:val="0"/>
      <w:marRight w:val="0"/>
      <w:marTop w:val="0"/>
      <w:marBottom w:val="0"/>
      <w:divBdr>
        <w:top w:val="none" w:sz="0" w:space="0" w:color="auto"/>
        <w:left w:val="none" w:sz="0" w:space="0" w:color="auto"/>
        <w:bottom w:val="none" w:sz="0" w:space="0" w:color="auto"/>
        <w:right w:val="none" w:sz="0" w:space="0" w:color="auto"/>
      </w:divBdr>
    </w:div>
    <w:div w:id="674966309">
      <w:bodyDiv w:val="1"/>
      <w:marLeft w:val="0"/>
      <w:marRight w:val="0"/>
      <w:marTop w:val="0"/>
      <w:marBottom w:val="0"/>
      <w:divBdr>
        <w:top w:val="none" w:sz="0" w:space="0" w:color="auto"/>
        <w:left w:val="none" w:sz="0" w:space="0" w:color="auto"/>
        <w:bottom w:val="none" w:sz="0" w:space="0" w:color="auto"/>
        <w:right w:val="none" w:sz="0" w:space="0" w:color="auto"/>
      </w:divBdr>
    </w:div>
    <w:div w:id="691611222">
      <w:bodyDiv w:val="1"/>
      <w:marLeft w:val="0"/>
      <w:marRight w:val="0"/>
      <w:marTop w:val="0"/>
      <w:marBottom w:val="0"/>
      <w:divBdr>
        <w:top w:val="none" w:sz="0" w:space="0" w:color="auto"/>
        <w:left w:val="none" w:sz="0" w:space="0" w:color="auto"/>
        <w:bottom w:val="none" w:sz="0" w:space="0" w:color="auto"/>
        <w:right w:val="none" w:sz="0" w:space="0" w:color="auto"/>
      </w:divBdr>
    </w:div>
    <w:div w:id="703558471">
      <w:bodyDiv w:val="1"/>
      <w:marLeft w:val="0"/>
      <w:marRight w:val="0"/>
      <w:marTop w:val="0"/>
      <w:marBottom w:val="0"/>
      <w:divBdr>
        <w:top w:val="none" w:sz="0" w:space="0" w:color="auto"/>
        <w:left w:val="none" w:sz="0" w:space="0" w:color="auto"/>
        <w:bottom w:val="none" w:sz="0" w:space="0" w:color="auto"/>
        <w:right w:val="none" w:sz="0" w:space="0" w:color="auto"/>
      </w:divBdr>
    </w:div>
    <w:div w:id="752162353">
      <w:bodyDiv w:val="1"/>
      <w:marLeft w:val="0"/>
      <w:marRight w:val="0"/>
      <w:marTop w:val="0"/>
      <w:marBottom w:val="0"/>
      <w:divBdr>
        <w:top w:val="none" w:sz="0" w:space="0" w:color="auto"/>
        <w:left w:val="none" w:sz="0" w:space="0" w:color="auto"/>
        <w:bottom w:val="none" w:sz="0" w:space="0" w:color="auto"/>
        <w:right w:val="none" w:sz="0" w:space="0" w:color="auto"/>
      </w:divBdr>
    </w:div>
    <w:div w:id="760368066">
      <w:bodyDiv w:val="1"/>
      <w:marLeft w:val="0"/>
      <w:marRight w:val="0"/>
      <w:marTop w:val="0"/>
      <w:marBottom w:val="0"/>
      <w:divBdr>
        <w:top w:val="none" w:sz="0" w:space="0" w:color="auto"/>
        <w:left w:val="none" w:sz="0" w:space="0" w:color="auto"/>
        <w:bottom w:val="none" w:sz="0" w:space="0" w:color="auto"/>
        <w:right w:val="none" w:sz="0" w:space="0" w:color="auto"/>
      </w:divBdr>
    </w:div>
    <w:div w:id="763258707">
      <w:bodyDiv w:val="1"/>
      <w:marLeft w:val="0"/>
      <w:marRight w:val="0"/>
      <w:marTop w:val="0"/>
      <w:marBottom w:val="0"/>
      <w:divBdr>
        <w:top w:val="none" w:sz="0" w:space="0" w:color="auto"/>
        <w:left w:val="none" w:sz="0" w:space="0" w:color="auto"/>
        <w:bottom w:val="none" w:sz="0" w:space="0" w:color="auto"/>
        <w:right w:val="none" w:sz="0" w:space="0" w:color="auto"/>
      </w:divBdr>
    </w:div>
    <w:div w:id="853107662">
      <w:bodyDiv w:val="1"/>
      <w:marLeft w:val="0"/>
      <w:marRight w:val="0"/>
      <w:marTop w:val="0"/>
      <w:marBottom w:val="0"/>
      <w:divBdr>
        <w:top w:val="none" w:sz="0" w:space="0" w:color="auto"/>
        <w:left w:val="none" w:sz="0" w:space="0" w:color="auto"/>
        <w:bottom w:val="none" w:sz="0" w:space="0" w:color="auto"/>
        <w:right w:val="none" w:sz="0" w:space="0" w:color="auto"/>
      </w:divBdr>
    </w:div>
    <w:div w:id="917253707">
      <w:bodyDiv w:val="1"/>
      <w:marLeft w:val="0"/>
      <w:marRight w:val="0"/>
      <w:marTop w:val="0"/>
      <w:marBottom w:val="0"/>
      <w:divBdr>
        <w:top w:val="none" w:sz="0" w:space="0" w:color="auto"/>
        <w:left w:val="none" w:sz="0" w:space="0" w:color="auto"/>
        <w:bottom w:val="none" w:sz="0" w:space="0" w:color="auto"/>
        <w:right w:val="none" w:sz="0" w:space="0" w:color="auto"/>
      </w:divBdr>
    </w:div>
    <w:div w:id="1011417355">
      <w:bodyDiv w:val="1"/>
      <w:marLeft w:val="0"/>
      <w:marRight w:val="0"/>
      <w:marTop w:val="0"/>
      <w:marBottom w:val="0"/>
      <w:divBdr>
        <w:top w:val="none" w:sz="0" w:space="0" w:color="auto"/>
        <w:left w:val="none" w:sz="0" w:space="0" w:color="auto"/>
        <w:bottom w:val="none" w:sz="0" w:space="0" w:color="auto"/>
        <w:right w:val="none" w:sz="0" w:space="0" w:color="auto"/>
      </w:divBdr>
    </w:div>
    <w:div w:id="1012147496">
      <w:bodyDiv w:val="1"/>
      <w:marLeft w:val="0"/>
      <w:marRight w:val="0"/>
      <w:marTop w:val="0"/>
      <w:marBottom w:val="0"/>
      <w:divBdr>
        <w:top w:val="none" w:sz="0" w:space="0" w:color="auto"/>
        <w:left w:val="none" w:sz="0" w:space="0" w:color="auto"/>
        <w:bottom w:val="none" w:sz="0" w:space="0" w:color="auto"/>
        <w:right w:val="none" w:sz="0" w:space="0" w:color="auto"/>
      </w:divBdr>
    </w:div>
    <w:div w:id="1102726540">
      <w:bodyDiv w:val="1"/>
      <w:marLeft w:val="0"/>
      <w:marRight w:val="0"/>
      <w:marTop w:val="0"/>
      <w:marBottom w:val="0"/>
      <w:divBdr>
        <w:top w:val="none" w:sz="0" w:space="0" w:color="auto"/>
        <w:left w:val="none" w:sz="0" w:space="0" w:color="auto"/>
        <w:bottom w:val="none" w:sz="0" w:space="0" w:color="auto"/>
        <w:right w:val="none" w:sz="0" w:space="0" w:color="auto"/>
      </w:divBdr>
    </w:div>
    <w:div w:id="1257013057">
      <w:bodyDiv w:val="1"/>
      <w:marLeft w:val="0"/>
      <w:marRight w:val="0"/>
      <w:marTop w:val="0"/>
      <w:marBottom w:val="0"/>
      <w:divBdr>
        <w:top w:val="none" w:sz="0" w:space="0" w:color="auto"/>
        <w:left w:val="none" w:sz="0" w:space="0" w:color="auto"/>
        <w:bottom w:val="none" w:sz="0" w:space="0" w:color="auto"/>
        <w:right w:val="none" w:sz="0" w:space="0" w:color="auto"/>
      </w:divBdr>
    </w:div>
    <w:div w:id="1299146679">
      <w:bodyDiv w:val="1"/>
      <w:marLeft w:val="0"/>
      <w:marRight w:val="0"/>
      <w:marTop w:val="0"/>
      <w:marBottom w:val="0"/>
      <w:divBdr>
        <w:top w:val="none" w:sz="0" w:space="0" w:color="auto"/>
        <w:left w:val="none" w:sz="0" w:space="0" w:color="auto"/>
        <w:bottom w:val="none" w:sz="0" w:space="0" w:color="auto"/>
        <w:right w:val="none" w:sz="0" w:space="0" w:color="auto"/>
      </w:divBdr>
    </w:div>
    <w:div w:id="1368144969">
      <w:bodyDiv w:val="1"/>
      <w:marLeft w:val="0"/>
      <w:marRight w:val="0"/>
      <w:marTop w:val="0"/>
      <w:marBottom w:val="0"/>
      <w:divBdr>
        <w:top w:val="none" w:sz="0" w:space="0" w:color="auto"/>
        <w:left w:val="none" w:sz="0" w:space="0" w:color="auto"/>
        <w:bottom w:val="none" w:sz="0" w:space="0" w:color="auto"/>
        <w:right w:val="none" w:sz="0" w:space="0" w:color="auto"/>
      </w:divBdr>
    </w:div>
    <w:div w:id="1390567612">
      <w:bodyDiv w:val="1"/>
      <w:marLeft w:val="0"/>
      <w:marRight w:val="0"/>
      <w:marTop w:val="0"/>
      <w:marBottom w:val="0"/>
      <w:divBdr>
        <w:top w:val="none" w:sz="0" w:space="0" w:color="auto"/>
        <w:left w:val="none" w:sz="0" w:space="0" w:color="auto"/>
        <w:bottom w:val="none" w:sz="0" w:space="0" w:color="auto"/>
        <w:right w:val="none" w:sz="0" w:space="0" w:color="auto"/>
      </w:divBdr>
    </w:div>
    <w:div w:id="1468275435">
      <w:bodyDiv w:val="1"/>
      <w:marLeft w:val="0"/>
      <w:marRight w:val="0"/>
      <w:marTop w:val="0"/>
      <w:marBottom w:val="0"/>
      <w:divBdr>
        <w:top w:val="none" w:sz="0" w:space="0" w:color="auto"/>
        <w:left w:val="none" w:sz="0" w:space="0" w:color="auto"/>
        <w:bottom w:val="none" w:sz="0" w:space="0" w:color="auto"/>
        <w:right w:val="none" w:sz="0" w:space="0" w:color="auto"/>
      </w:divBdr>
    </w:div>
    <w:div w:id="1563371718">
      <w:bodyDiv w:val="1"/>
      <w:marLeft w:val="0"/>
      <w:marRight w:val="0"/>
      <w:marTop w:val="0"/>
      <w:marBottom w:val="0"/>
      <w:divBdr>
        <w:top w:val="none" w:sz="0" w:space="0" w:color="auto"/>
        <w:left w:val="none" w:sz="0" w:space="0" w:color="auto"/>
        <w:bottom w:val="none" w:sz="0" w:space="0" w:color="auto"/>
        <w:right w:val="none" w:sz="0" w:space="0" w:color="auto"/>
      </w:divBdr>
    </w:div>
    <w:div w:id="1622152788">
      <w:bodyDiv w:val="1"/>
      <w:marLeft w:val="0"/>
      <w:marRight w:val="0"/>
      <w:marTop w:val="0"/>
      <w:marBottom w:val="0"/>
      <w:divBdr>
        <w:top w:val="none" w:sz="0" w:space="0" w:color="auto"/>
        <w:left w:val="none" w:sz="0" w:space="0" w:color="auto"/>
        <w:bottom w:val="none" w:sz="0" w:space="0" w:color="auto"/>
        <w:right w:val="none" w:sz="0" w:space="0" w:color="auto"/>
      </w:divBdr>
    </w:div>
    <w:div w:id="1696341476">
      <w:bodyDiv w:val="1"/>
      <w:marLeft w:val="0"/>
      <w:marRight w:val="0"/>
      <w:marTop w:val="0"/>
      <w:marBottom w:val="0"/>
      <w:divBdr>
        <w:top w:val="none" w:sz="0" w:space="0" w:color="auto"/>
        <w:left w:val="none" w:sz="0" w:space="0" w:color="auto"/>
        <w:bottom w:val="none" w:sz="0" w:space="0" w:color="auto"/>
        <w:right w:val="none" w:sz="0" w:space="0" w:color="auto"/>
      </w:divBdr>
    </w:div>
    <w:div w:id="1755348150">
      <w:bodyDiv w:val="1"/>
      <w:marLeft w:val="0"/>
      <w:marRight w:val="0"/>
      <w:marTop w:val="0"/>
      <w:marBottom w:val="0"/>
      <w:divBdr>
        <w:top w:val="none" w:sz="0" w:space="0" w:color="auto"/>
        <w:left w:val="none" w:sz="0" w:space="0" w:color="auto"/>
        <w:bottom w:val="none" w:sz="0" w:space="0" w:color="auto"/>
        <w:right w:val="none" w:sz="0" w:space="0" w:color="auto"/>
      </w:divBdr>
    </w:div>
    <w:div w:id="1804273835">
      <w:bodyDiv w:val="1"/>
      <w:marLeft w:val="0"/>
      <w:marRight w:val="0"/>
      <w:marTop w:val="0"/>
      <w:marBottom w:val="0"/>
      <w:divBdr>
        <w:top w:val="none" w:sz="0" w:space="0" w:color="auto"/>
        <w:left w:val="none" w:sz="0" w:space="0" w:color="auto"/>
        <w:bottom w:val="none" w:sz="0" w:space="0" w:color="auto"/>
        <w:right w:val="none" w:sz="0" w:space="0" w:color="auto"/>
      </w:divBdr>
    </w:div>
    <w:div w:id="1856535397">
      <w:bodyDiv w:val="1"/>
      <w:marLeft w:val="0"/>
      <w:marRight w:val="0"/>
      <w:marTop w:val="0"/>
      <w:marBottom w:val="0"/>
      <w:divBdr>
        <w:top w:val="none" w:sz="0" w:space="0" w:color="auto"/>
        <w:left w:val="none" w:sz="0" w:space="0" w:color="auto"/>
        <w:bottom w:val="none" w:sz="0" w:space="0" w:color="auto"/>
        <w:right w:val="none" w:sz="0" w:space="0" w:color="auto"/>
      </w:divBdr>
    </w:div>
    <w:div w:id="1875918957">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45012982">
      <w:bodyDiv w:val="1"/>
      <w:marLeft w:val="0"/>
      <w:marRight w:val="0"/>
      <w:marTop w:val="0"/>
      <w:marBottom w:val="0"/>
      <w:divBdr>
        <w:top w:val="none" w:sz="0" w:space="0" w:color="auto"/>
        <w:left w:val="none" w:sz="0" w:space="0" w:color="auto"/>
        <w:bottom w:val="none" w:sz="0" w:space="0" w:color="auto"/>
        <w:right w:val="none" w:sz="0" w:space="0" w:color="auto"/>
      </w:divBdr>
    </w:div>
    <w:div w:id="2124496310">
      <w:bodyDiv w:val="1"/>
      <w:marLeft w:val="0"/>
      <w:marRight w:val="0"/>
      <w:marTop w:val="0"/>
      <w:marBottom w:val="0"/>
      <w:divBdr>
        <w:top w:val="none" w:sz="0" w:space="0" w:color="auto"/>
        <w:left w:val="none" w:sz="0" w:space="0" w:color="auto"/>
        <w:bottom w:val="none" w:sz="0" w:space="0" w:color="auto"/>
        <w:right w:val="none" w:sz="0" w:space="0" w:color="auto"/>
      </w:divBdr>
    </w:div>
    <w:div w:id="21456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1E6E-1B49-442F-82B4-0C855E47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44</Pages>
  <Words>9260</Words>
  <Characters>52786</Characters>
  <Application>Microsoft Office Word</Application>
  <DocSecurity>2</DocSecurity>
  <PresentationFormat/>
  <Lines>439</Lines>
  <Paragraphs>123</Paragraphs>
  <ScaleCrop>false</ScaleCrop>
  <HeadingPairs>
    <vt:vector size="2" baseType="variant">
      <vt:variant>
        <vt:lpstr>Title</vt:lpstr>
      </vt:variant>
      <vt:variant>
        <vt:i4>1</vt:i4>
      </vt:variant>
    </vt:vector>
  </HeadingPairs>
  <TitlesOfParts>
    <vt:vector size="1" baseType="lpstr">
      <vt:lpstr>Exposure draft bill: Treasury Laws Amendment Bill 2025: Financial Reporting System Reform</vt:lpstr>
    </vt:vector>
  </TitlesOfParts>
  <Manager/>
  <Company/>
  <LinksUpToDate>false</LinksUpToDate>
  <CharactersWithSpaces>61923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bill: Treasury Laws Amendment Bill 2025: Financial Reporting System Reform</dc:title>
  <dc:subject/>
  <dc:creator>Treasury</dc:creator>
  <cp:keywords/>
  <dc:description/>
  <cp:lastModifiedBy/>
  <cp:revision>1</cp:revision>
  <cp:lastPrinted>2025-09-25T05:26:00Z</cp:lastPrinted>
  <dcterms:created xsi:type="dcterms:W3CDTF">2025-10-29T22:40:00Z</dcterms:created>
  <dcterms:modified xsi:type="dcterms:W3CDTF">2025-10-29T22:40:00Z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M">
    <vt:lpwstr> </vt:lpwstr>
  </property>
  <property fmtid="{D5CDD505-2E9C-101B-9397-08002B2CF9AE}" pid="3" name="Classification">
    <vt:lpwstr>EXPOSURE DRAFT</vt:lpwstr>
  </property>
  <property fmtid="{D5CDD505-2E9C-101B-9397-08002B2CF9AE}" pid="4" name="MSIP_Label_4f932d64-9ab1-4d9b-81d2-a3a8b82dd47d_Enabled">
    <vt:lpwstr>true</vt:lpwstr>
  </property>
  <property fmtid="{D5CDD505-2E9C-101B-9397-08002B2CF9AE}" pid="5" name="MSIP_Label_4f932d64-9ab1-4d9b-81d2-a3a8b82dd47d_SetDate">
    <vt:lpwstr>2025-10-29T22:40:38Z</vt:lpwstr>
  </property>
  <property fmtid="{D5CDD505-2E9C-101B-9397-08002B2CF9AE}" pid="6" name="MSIP_Label_4f932d64-9ab1-4d9b-81d2-a3a8b82dd47d_Method">
    <vt:lpwstr>Privileged</vt:lpwstr>
  </property>
  <property fmtid="{D5CDD505-2E9C-101B-9397-08002B2CF9AE}" pid="7" name="MSIP_Label_4f932d64-9ab1-4d9b-81d2-a3a8b82dd47d_Name">
    <vt:lpwstr>OFFICIAL No Visual Marking</vt:lpwstr>
  </property>
  <property fmtid="{D5CDD505-2E9C-101B-9397-08002B2CF9AE}" pid="8" name="MSIP_Label_4f932d64-9ab1-4d9b-81d2-a3a8b82dd47d_SiteId">
    <vt:lpwstr>214f1646-2021-47cc-8397-e3d3a7ba7d9d</vt:lpwstr>
  </property>
  <property fmtid="{D5CDD505-2E9C-101B-9397-08002B2CF9AE}" pid="9" name="MSIP_Label_4f932d64-9ab1-4d9b-81d2-a3a8b82dd47d_ActionId">
    <vt:lpwstr>5843a0f5-4397-48e6-ac34-36dea1d8006e</vt:lpwstr>
  </property>
  <property fmtid="{D5CDD505-2E9C-101B-9397-08002B2CF9AE}" pid="10" name="MSIP_Label_4f932d64-9ab1-4d9b-81d2-a3a8b82dd47d_ContentBits">
    <vt:lpwstr>0</vt:lpwstr>
  </property>
  <property fmtid="{D5CDD505-2E9C-101B-9397-08002B2CF9AE}" pid="11" name="MSIP_Label_4f932d64-9ab1-4d9b-81d2-a3a8b82dd47d_Tag">
    <vt:lpwstr>10, 0, 1, 1</vt:lpwstr>
  </property>
</Properties>
</file>