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D343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C41FFA4" wp14:editId="5BD9DA8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8078E" w:rsidRPr="00290521" w14:paraId="045B3676" w14:textId="77777777" w:rsidTr="0058078E">
        <w:trPr>
          <w:trHeight w:val="629"/>
        </w:trPr>
        <w:tc>
          <w:tcPr>
            <w:tcW w:w="5000" w:type="pct"/>
            <w:shd w:val="clear" w:color="auto" w:fill="auto"/>
          </w:tcPr>
          <w:p w14:paraId="646B52FA" w14:textId="77777777" w:rsidR="0058078E" w:rsidRPr="00290521" w:rsidRDefault="0058078E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7FD66DCE" w14:textId="77777777" w:rsidR="00F5638C" w:rsidRDefault="00F5638C" w:rsidP="00F5638C">
      <w:pPr>
        <w:rPr>
          <w:sz w:val="19"/>
        </w:rPr>
      </w:pPr>
    </w:p>
    <w:p w14:paraId="0563E596" w14:textId="77777777" w:rsidR="0058078E" w:rsidRDefault="0058078E" w:rsidP="00F5638C">
      <w:pPr>
        <w:rPr>
          <w:sz w:val="19"/>
        </w:rPr>
      </w:pPr>
    </w:p>
    <w:p w14:paraId="603F6814" w14:textId="3E78044D" w:rsidR="00F5638C" w:rsidRPr="00062A46" w:rsidRDefault="00062A46" w:rsidP="00F5638C">
      <w:pPr>
        <w:pStyle w:val="ShortT"/>
      </w:pPr>
      <w:r w:rsidRPr="00062A46">
        <w:t xml:space="preserve">Taxation </w:t>
      </w:r>
      <w:r w:rsidR="00F5638C" w:rsidRPr="00062A46">
        <w:t>(</w:t>
      </w:r>
      <w:r w:rsidRPr="00062A46">
        <w:t>Multinational</w:t>
      </w:r>
      <w:r w:rsidRPr="00062A46">
        <w:rPr>
          <w:szCs w:val="22"/>
        </w:rPr>
        <w:t>—Global and Domestic Minimum Tax</w:t>
      </w:r>
      <w:r w:rsidR="005B1BB4">
        <w:rPr>
          <w:szCs w:val="22"/>
        </w:rPr>
        <w:t xml:space="preserve">) </w:t>
      </w:r>
      <w:r w:rsidR="005F38B5">
        <w:rPr>
          <w:szCs w:val="22"/>
        </w:rPr>
        <w:t xml:space="preserve">Amendment </w:t>
      </w:r>
      <w:r w:rsidR="005B1BB4">
        <w:rPr>
          <w:szCs w:val="22"/>
        </w:rPr>
        <w:t>(</w:t>
      </w:r>
      <w:r w:rsidRPr="00062A46">
        <w:rPr>
          <w:szCs w:val="22"/>
        </w:rPr>
        <w:t>2025 Measures No.</w:t>
      </w:r>
      <w:r w:rsidR="001375C2">
        <w:rPr>
          <w:szCs w:val="22"/>
        </w:rPr>
        <w:t> </w:t>
      </w:r>
      <w:r w:rsidRPr="00062A46">
        <w:rPr>
          <w:szCs w:val="22"/>
        </w:rPr>
        <w:t>1</w:t>
      </w:r>
      <w:r w:rsidR="00F5638C" w:rsidRPr="00062A46">
        <w:t xml:space="preserve">) </w:t>
      </w:r>
      <w:r w:rsidRPr="00062A46">
        <w:t>Rules 2025</w:t>
      </w:r>
    </w:p>
    <w:p w14:paraId="7B88A4FF" w14:textId="65E5A9ED" w:rsidR="00F5638C" w:rsidRPr="00062A46" w:rsidRDefault="00F5638C" w:rsidP="00F5638C">
      <w:pPr>
        <w:pStyle w:val="SignCoverPageStart"/>
        <w:spacing w:before="240"/>
        <w:rPr>
          <w:szCs w:val="22"/>
        </w:rPr>
      </w:pPr>
      <w:r w:rsidRPr="00062A46">
        <w:rPr>
          <w:szCs w:val="22"/>
        </w:rPr>
        <w:t xml:space="preserve">I, </w:t>
      </w:r>
      <w:r w:rsidR="00062A46" w:rsidRPr="00062A46">
        <w:rPr>
          <w:szCs w:val="22"/>
        </w:rPr>
        <w:t xml:space="preserve">Andrew Leigh, Assistant Minister for </w:t>
      </w:r>
      <w:r w:rsidR="00225BCE">
        <w:rPr>
          <w:szCs w:val="22"/>
        </w:rPr>
        <w:t xml:space="preserve">Productivity, </w:t>
      </w:r>
      <w:r w:rsidR="00062A46" w:rsidRPr="00062A46">
        <w:rPr>
          <w:szCs w:val="22"/>
        </w:rPr>
        <w:t>Competition, Charities and Treasury, make the following rules</w:t>
      </w:r>
      <w:r w:rsidRPr="00062A46">
        <w:rPr>
          <w:szCs w:val="22"/>
        </w:rPr>
        <w:t>.</w:t>
      </w:r>
    </w:p>
    <w:p w14:paraId="14EA4D71" w14:textId="0DFE4D12" w:rsidR="001375C2" w:rsidRPr="00BC5754" w:rsidRDefault="001375C2" w:rsidP="001375C2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>2025</w:t>
      </w:r>
    </w:p>
    <w:p w14:paraId="5BCF8EF9" w14:textId="6B9A22D1" w:rsidR="001375C2" w:rsidRPr="00BC5754" w:rsidRDefault="001375C2" w:rsidP="001375C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7E1268B" w14:textId="72EF4A8A" w:rsidR="00F5638C" w:rsidRPr="00BC5754" w:rsidRDefault="00456A34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62A46">
        <w:rPr>
          <w:szCs w:val="22"/>
        </w:rPr>
        <w:t>Dr Andrew Leigh</w:t>
      </w:r>
      <w:r w:rsidRPr="00E426F7">
        <w:rPr>
          <w:b/>
          <w:szCs w:val="22"/>
          <w:highlight w:val="lightGray"/>
        </w:rPr>
        <w:t xml:space="preserve"> </w:t>
      </w:r>
      <w:r w:rsidR="00F5638C" w:rsidRPr="00E426F7">
        <w:rPr>
          <w:b/>
          <w:szCs w:val="22"/>
          <w:highlight w:val="lightGray"/>
        </w:rPr>
        <w:t>[DRAFT ONLY—NOT FOR SIGNATURE]</w:t>
      </w:r>
    </w:p>
    <w:p w14:paraId="028B4463" w14:textId="7A327C86" w:rsidR="00456A34" w:rsidRDefault="00456A34" w:rsidP="00F5638C">
      <w:pPr>
        <w:pStyle w:val="SignCoverPageEnd"/>
        <w:rPr>
          <w:szCs w:val="22"/>
        </w:rPr>
      </w:pPr>
      <w:r w:rsidRPr="00062A46">
        <w:rPr>
          <w:szCs w:val="22"/>
        </w:rPr>
        <w:t xml:space="preserve">Assistant Minister for </w:t>
      </w:r>
      <w:r w:rsidR="00225BCE">
        <w:rPr>
          <w:szCs w:val="22"/>
        </w:rPr>
        <w:t xml:space="preserve">Productivity, </w:t>
      </w:r>
      <w:r w:rsidRPr="00062A46">
        <w:rPr>
          <w:szCs w:val="22"/>
        </w:rPr>
        <w:t>Competition, Charities and Treasury</w:t>
      </w:r>
    </w:p>
    <w:p w14:paraId="03906AA8" w14:textId="7BF2CFF4" w:rsidR="00F5638C" w:rsidRPr="00BC5754" w:rsidRDefault="00255B46" w:rsidP="00F5638C">
      <w:pPr>
        <w:pStyle w:val="SignCoverPageEnd"/>
        <w:rPr>
          <w:szCs w:val="22"/>
        </w:rPr>
      </w:pPr>
      <w:r w:rsidRPr="00062A46">
        <w:rPr>
          <w:szCs w:val="22"/>
        </w:rPr>
        <w:t>Parliamentary Secretary to the Treasurer</w:t>
      </w:r>
    </w:p>
    <w:p w14:paraId="56585F6F" w14:textId="77777777" w:rsidR="00F5638C" w:rsidRDefault="00F5638C" w:rsidP="00F5638C"/>
    <w:p w14:paraId="17520C34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41AAE96D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54C9DFD3" w14:textId="77777777" w:rsidR="00F5638C" w:rsidRDefault="00F5638C" w:rsidP="00F5638C">
      <w:pPr>
        <w:sectPr w:rsidR="00F5638C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F9C8AB3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BB4F939" w14:textId="62A46207" w:rsidR="004E0E18" w:rsidRDefault="004E0E1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E0E18">
        <w:rPr>
          <w:noProof/>
        </w:rPr>
        <w:tab/>
      </w:r>
      <w:r w:rsidRPr="004E0E18">
        <w:rPr>
          <w:noProof/>
        </w:rPr>
        <w:fldChar w:fldCharType="begin"/>
      </w:r>
      <w:r w:rsidRPr="004E0E18">
        <w:rPr>
          <w:noProof/>
        </w:rPr>
        <w:instrText xml:space="preserve"> PAGEREF _Toc190698019 \h </w:instrText>
      </w:r>
      <w:r w:rsidRPr="004E0E18">
        <w:rPr>
          <w:noProof/>
        </w:rPr>
      </w:r>
      <w:r w:rsidRPr="004E0E18">
        <w:rPr>
          <w:noProof/>
        </w:rPr>
        <w:fldChar w:fldCharType="separate"/>
      </w:r>
      <w:r w:rsidR="00F26862">
        <w:rPr>
          <w:noProof/>
        </w:rPr>
        <w:t>1</w:t>
      </w:r>
      <w:r w:rsidRPr="004E0E18">
        <w:rPr>
          <w:noProof/>
        </w:rPr>
        <w:fldChar w:fldCharType="end"/>
      </w:r>
    </w:p>
    <w:p w14:paraId="38C9BB0D" w14:textId="7093D4C8" w:rsidR="004E0E18" w:rsidRDefault="004E0E1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E0E18">
        <w:rPr>
          <w:noProof/>
        </w:rPr>
        <w:tab/>
      </w:r>
      <w:r w:rsidRPr="004E0E18">
        <w:rPr>
          <w:noProof/>
        </w:rPr>
        <w:fldChar w:fldCharType="begin"/>
      </w:r>
      <w:r w:rsidRPr="004E0E18">
        <w:rPr>
          <w:noProof/>
        </w:rPr>
        <w:instrText xml:space="preserve"> PAGEREF _Toc190698020 \h </w:instrText>
      </w:r>
      <w:r w:rsidRPr="004E0E18">
        <w:rPr>
          <w:noProof/>
        </w:rPr>
      </w:r>
      <w:r w:rsidRPr="004E0E18">
        <w:rPr>
          <w:noProof/>
        </w:rPr>
        <w:fldChar w:fldCharType="separate"/>
      </w:r>
      <w:r w:rsidR="00F26862">
        <w:rPr>
          <w:noProof/>
        </w:rPr>
        <w:t>1</w:t>
      </w:r>
      <w:r w:rsidRPr="004E0E18">
        <w:rPr>
          <w:noProof/>
        </w:rPr>
        <w:fldChar w:fldCharType="end"/>
      </w:r>
    </w:p>
    <w:p w14:paraId="2E19B62B" w14:textId="0E631358" w:rsidR="004E0E18" w:rsidRDefault="004E0E1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E0E18">
        <w:rPr>
          <w:noProof/>
        </w:rPr>
        <w:tab/>
      </w:r>
      <w:r w:rsidRPr="004E0E18">
        <w:rPr>
          <w:noProof/>
        </w:rPr>
        <w:fldChar w:fldCharType="begin"/>
      </w:r>
      <w:r w:rsidRPr="004E0E18">
        <w:rPr>
          <w:noProof/>
        </w:rPr>
        <w:instrText xml:space="preserve"> PAGEREF _Toc190698021 \h </w:instrText>
      </w:r>
      <w:r w:rsidRPr="004E0E18">
        <w:rPr>
          <w:noProof/>
        </w:rPr>
      </w:r>
      <w:r w:rsidRPr="004E0E18">
        <w:rPr>
          <w:noProof/>
        </w:rPr>
        <w:fldChar w:fldCharType="separate"/>
      </w:r>
      <w:r w:rsidR="00F26862">
        <w:rPr>
          <w:noProof/>
        </w:rPr>
        <w:t>1</w:t>
      </w:r>
      <w:r w:rsidRPr="004E0E18">
        <w:rPr>
          <w:noProof/>
        </w:rPr>
        <w:fldChar w:fldCharType="end"/>
      </w:r>
    </w:p>
    <w:p w14:paraId="2B6E5E4C" w14:textId="6A66F94E" w:rsidR="004E0E18" w:rsidRDefault="004E0E1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E0E18">
        <w:rPr>
          <w:noProof/>
        </w:rPr>
        <w:tab/>
      </w:r>
      <w:r w:rsidRPr="004E0E18">
        <w:rPr>
          <w:noProof/>
        </w:rPr>
        <w:fldChar w:fldCharType="begin"/>
      </w:r>
      <w:r w:rsidRPr="004E0E18">
        <w:rPr>
          <w:noProof/>
        </w:rPr>
        <w:instrText xml:space="preserve"> PAGEREF _Toc190698022 \h </w:instrText>
      </w:r>
      <w:r w:rsidRPr="004E0E18">
        <w:rPr>
          <w:noProof/>
        </w:rPr>
      </w:r>
      <w:r w:rsidRPr="004E0E18">
        <w:rPr>
          <w:noProof/>
        </w:rPr>
        <w:fldChar w:fldCharType="separate"/>
      </w:r>
      <w:r w:rsidR="00F26862">
        <w:rPr>
          <w:noProof/>
        </w:rPr>
        <w:t>1</w:t>
      </w:r>
      <w:r w:rsidRPr="004E0E18">
        <w:rPr>
          <w:noProof/>
        </w:rPr>
        <w:fldChar w:fldCharType="end"/>
      </w:r>
    </w:p>
    <w:p w14:paraId="442458CF" w14:textId="743B7890" w:rsidR="004E0E18" w:rsidRDefault="004E0E1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4E0E18">
        <w:rPr>
          <w:b w:val="0"/>
          <w:noProof/>
          <w:sz w:val="18"/>
        </w:rPr>
        <w:tab/>
      </w:r>
      <w:r w:rsidRPr="004E0E18">
        <w:rPr>
          <w:b w:val="0"/>
          <w:noProof/>
          <w:sz w:val="18"/>
        </w:rPr>
        <w:fldChar w:fldCharType="begin"/>
      </w:r>
      <w:r w:rsidRPr="004E0E18">
        <w:rPr>
          <w:b w:val="0"/>
          <w:noProof/>
          <w:sz w:val="18"/>
        </w:rPr>
        <w:instrText xml:space="preserve"> PAGEREF _Toc190698023 \h </w:instrText>
      </w:r>
      <w:r w:rsidRPr="004E0E18">
        <w:rPr>
          <w:b w:val="0"/>
          <w:noProof/>
          <w:sz w:val="18"/>
        </w:rPr>
      </w:r>
      <w:r w:rsidRPr="004E0E18">
        <w:rPr>
          <w:b w:val="0"/>
          <w:noProof/>
          <w:sz w:val="18"/>
        </w:rPr>
        <w:fldChar w:fldCharType="separate"/>
      </w:r>
      <w:r w:rsidR="00F26862">
        <w:rPr>
          <w:b w:val="0"/>
          <w:noProof/>
          <w:sz w:val="18"/>
        </w:rPr>
        <w:t>2</w:t>
      </w:r>
      <w:r w:rsidRPr="004E0E18">
        <w:rPr>
          <w:b w:val="0"/>
          <w:noProof/>
          <w:sz w:val="18"/>
        </w:rPr>
        <w:fldChar w:fldCharType="end"/>
      </w:r>
    </w:p>
    <w:p w14:paraId="416FD6D0" w14:textId="47AFFB34" w:rsidR="004E0E18" w:rsidRDefault="004E0E1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38180E">
        <w:rPr>
          <w:iCs/>
          <w:noProof/>
        </w:rPr>
        <w:t>Taxation (Multinational—Global and Domestic Minimum Tax) Rules 2024</w:t>
      </w:r>
      <w:r w:rsidRPr="004E0E18">
        <w:rPr>
          <w:i w:val="0"/>
          <w:noProof/>
          <w:sz w:val="18"/>
        </w:rPr>
        <w:tab/>
      </w:r>
      <w:r w:rsidRPr="004E0E18">
        <w:rPr>
          <w:i w:val="0"/>
          <w:noProof/>
          <w:sz w:val="18"/>
        </w:rPr>
        <w:fldChar w:fldCharType="begin"/>
      </w:r>
      <w:r w:rsidRPr="004E0E18">
        <w:rPr>
          <w:i w:val="0"/>
          <w:noProof/>
          <w:sz w:val="18"/>
        </w:rPr>
        <w:instrText xml:space="preserve"> PAGEREF _Toc190698024 \h </w:instrText>
      </w:r>
      <w:r w:rsidRPr="004E0E18">
        <w:rPr>
          <w:i w:val="0"/>
          <w:noProof/>
          <w:sz w:val="18"/>
        </w:rPr>
      </w:r>
      <w:r w:rsidRPr="004E0E18">
        <w:rPr>
          <w:i w:val="0"/>
          <w:noProof/>
          <w:sz w:val="18"/>
        </w:rPr>
        <w:fldChar w:fldCharType="separate"/>
      </w:r>
      <w:r w:rsidR="00F26862">
        <w:rPr>
          <w:i w:val="0"/>
          <w:noProof/>
          <w:sz w:val="18"/>
        </w:rPr>
        <w:t>2</w:t>
      </w:r>
      <w:r w:rsidRPr="004E0E18">
        <w:rPr>
          <w:i w:val="0"/>
          <w:noProof/>
          <w:sz w:val="18"/>
        </w:rPr>
        <w:fldChar w:fldCharType="end"/>
      </w:r>
    </w:p>
    <w:p w14:paraId="3EA240CC" w14:textId="33014622" w:rsidR="00F5638C" w:rsidRDefault="004E0E18" w:rsidP="00F5638C">
      <w:r>
        <w:fldChar w:fldCharType="end"/>
      </w:r>
    </w:p>
    <w:p w14:paraId="719CA055" w14:textId="77777777" w:rsidR="00F5638C" w:rsidRPr="007A1328" w:rsidRDefault="00F5638C" w:rsidP="00F5638C"/>
    <w:p w14:paraId="20BFCEFF" w14:textId="77777777" w:rsidR="00F5638C" w:rsidRDefault="00F5638C" w:rsidP="00F5638C">
      <w:pPr>
        <w:sectPr w:rsidR="00F5638C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974D8B0" w14:textId="77777777" w:rsidR="00F5638C" w:rsidRDefault="00F5638C" w:rsidP="00F5638C">
      <w:pPr>
        <w:pStyle w:val="ActHead5"/>
      </w:pPr>
      <w:bookmarkStart w:id="4" w:name="_Toc190698019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4"/>
      <w:proofErr w:type="gramEnd"/>
    </w:p>
    <w:p w14:paraId="12A9BFCB" w14:textId="70F1F96E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984A3E" w:rsidRPr="00B3378E">
        <w:rPr>
          <w:i/>
          <w:iCs/>
        </w:rPr>
        <w:t>Taxation (Multinational—Global and Domestic Minimum Tax</w:t>
      </w:r>
      <w:r w:rsidR="00E46E8B">
        <w:rPr>
          <w:i/>
          <w:iCs/>
        </w:rPr>
        <w:t>) Amendment (</w:t>
      </w:r>
      <w:r w:rsidR="00651C71">
        <w:rPr>
          <w:i/>
          <w:iCs/>
        </w:rPr>
        <w:t>2025 Measures No. 1)</w:t>
      </w:r>
      <w:r w:rsidR="00984A3E">
        <w:rPr>
          <w:i/>
          <w:iCs/>
        </w:rPr>
        <w:t xml:space="preserve"> Rules 2025</w:t>
      </w:r>
      <w:r>
        <w:t>.</w:t>
      </w:r>
    </w:p>
    <w:p w14:paraId="152F78EF" w14:textId="77777777" w:rsidR="00F5638C" w:rsidRDefault="00F5638C" w:rsidP="00F5638C">
      <w:pPr>
        <w:pStyle w:val="ActHead5"/>
      </w:pPr>
      <w:bookmarkStart w:id="5" w:name="_Toc190698020"/>
      <w:proofErr w:type="gramStart"/>
      <w:r>
        <w:rPr>
          <w:rStyle w:val="CharSectno"/>
        </w:rPr>
        <w:t>2</w:t>
      </w:r>
      <w:r>
        <w:t xml:space="preserve">  Commencement</w:t>
      </w:r>
      <w:bookmarkEnd w:id="5"/>
      <w:proofErr w:type="gramEnd"/>
    </w:p>
    <w:p w14:paraId="593F266A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6B1962F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0F3A3C7B" w14:textId="77777777" w:rsidTr="00A66741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5DB7592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369D7358" w14:textId="77777777" w:rsidTr="00A6674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2EF760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D4FCA9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EDB09E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7750734F" w14:textId="77777777" w:rsidTr="00A6674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15EB78E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9B4B274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2EED3F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64916015" w14:textId="77777777" w:rsidTr="00F23430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648D57" w14:textId="4C38B821" w:rsidR="00F5638C" w:rsidRDefault="00F5638C" w:rsidP="00133D1C">
            <w:pPr>
              <w:pStyle w:val="Tabletext"/>
            </w:pPr>
            <w:r>
              <w:t xml:space="preserve">1.  </w:t>
            </w:r>
            <w:r w:rsidR="00A6674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8F3553" w14:textId="77777777" w:rsidR="00F5638C" w:rsidRDefault="00F5638C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FD6827" w14:textId="77777777" w:rsidR="00F5638C" w:rsidRDefault="00F5638C" w:rsidP="00133D1C">
            <w:pPr>
              <w:pStyle w:val="Tabletext"/>
            </w:pPr>
          </w:p>
        </w:tc>
      </w:tr>
    </w:tbl>
    <w:p w14:paraId="60C74E42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59122100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BFF35BA" w14:textId="77777777" w:rsidR="00F5638C" w:rsidRDefault="00F5638C" w:rsidP="00F5638C">
      <w:pPr>
        <w:pStyle w:val="ActHead5"/>
      </w:pPr>
      <w:bookmarkStart w:id="6" w:name="_Toc190698021"/>
      <w:proofErr w:type="gramStart"/>
      <w:r>
        <w:t>3  Authority</w:t>
      </w:r>
      <w:bookmarkEnd w:id="6"/>
      <w:proofErr w:type="gramEnd"/>
    </w:p>
    <w:p w14:paraId="18BD0A5F" w14:textId="6EC23BA9" w:rsidR="00F5638C" w:rsidRDefault="00F5638C" w:rsidP="00F5638C">
      <w:pPr>
        <w:pStyle w:val="subsection"/>
        <w:rPr>
          <w:i/>
        </w:rPr>
      </w:pPr>
      <w:r>
        <w:tab/>
      </w:r>
      <w:r>
        <w:tab/>
        <w:t xml:space="preserve">This instrument is made under the </w:t>
      </w:r>
      <w:r w:rsidR="00515C0B" w:rsidRPr="00515C0B">
        <w:rPr>
          <w:i/>
          <w:iCs/>
        </w:rPr>
        <w:t>Taxation (Multinational—Global and Domestic Minimum Tax) Act 2024</w:t>
      </w:r>
      <w:r w:rsidRPr="00515C0B">
        <w:rPr>
          <w:i/>
        </w:rPr>
        <w:t>.</w:t>
      </w:r>
    </w:p>
    <w:p w14:paraId="295AE1E9" w14:textId="7CFEC9AE" w:rsidR="00515C0B" w:rsidRPr="0003022E" w:rsidRDefault="0003022E" w:rsidP="0003022E">
      <w:pPr>
        <w:pStyle w:val="notetext"/>
      </w:pPr>
      <w:r>
        <w:t xml:space="preserve">Note: </w:t>
      </w:r>
      <w:r w:rsidR="009B3DDB">
        <w:tab/>
      </w:r>
      <w:r>
        <w:t>Section 29 of th</w:t>
      </w:r>
      <w:r w:rsidR="009C636F">
        <w:t>e</w:t>
      </w:r>
      <w:r>
        <w:t xml:space="preserve"> </w:t>
      </w:r>
      <w:r w:rsidR="009C636F" w:rsidRPr="00515C0B">
        <w:rPr>
          <w:i/>
          <w:iCs/>
        </w:rPr>
        <w:t>Taxation (Multinational—Global and Domestic Minimum Tax) Act</w:t>
      </w:r>
      <w:r w:rsidR="001375C2">
        <w:rPr>
          <w:i/>
          <w:iCs/>
        </w:rPr>
        <w:t> </w:t>
      </w:r>
      <w:r w:rsidR="009C636F" w:rsidRPr="00515C0B">
        <w:rPr>
          <w:i/>
          <w:iCs/>
        </w:rPr>
        <w:t>2024</w:t>
      </w:r>
      <w:r w:rsidR="00B06F23">
        <w:t xml:space="preserve"> </w:t>
      </w:r>
      <w:r w:rsidR="00C01250">
        <w:t>pr</w:t>
      </w:r>
      <w:r w:rsidR="00834E9C">
        <w:t xml:space="preserve">ovides that the Minister may make rules prescribing matters </w:t>
      </w:r>
      <w:r w:rsidR="009B3DDB">
        <w:t xml:space="preserve">required or permitted </w:t>
      </w:r>
      <w:r w:rsidR="00DE780C">
        <w:t>by the Act, or necessary or convenient, to be prescribed</w:t>
      </w:r>
      <w:r w:rsidR="00057C4F">
        <w:t>.</w:t>
      </w:r>
    </w:p>
    <w:p w14:paraId="2743A446" w14:textId="77777777" w:rsidR="00F5638C" w:rsidRDefault="00F5638C" w:rsidP="00F5638C">
      <w:pPr>
        <w:pStyle w:val="ActHead5"/>
      </w:pPr>
      <w:bookmarkStart w:id="7" w:name="_Toc190698022"/>
      <w:proofErr w:type="gramStart"/>
      <w:r>
        <w:t>4  Schedules</w:t>
      </w:r>
      <w:bookmarkEnd w:id="7"/>
      <w:proofErr w:type="gramEnd"/>
    </w:p>
    <w:p w14:paraId="6901C906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0489E2D8" w14:textId="77777777" w:rsidR="00F5638C" w:rsidRDefault="00F5638C" w:rsidP="00F5638C">
      <w:pPr>
        <w:pStyle w:val="ActHead6"/>
        <w:pageBreakBefore/>
        <w:rPr>
          <w:rStyle w:val="CharAmSchText"/>
        </w:rPr>
      </w:pPr>
      <w:bookmarkStart w:id="8" w:name="_Toc190698023"/>
      <w:r w:rsidRPr="00291167">
        <w:rPr>
          <w:rStyle w:val="CharAmSchNo"/>
        </w:rPr>
        <w:t>Schedule 1</w:t>
      </w:r>
      <w:r>
        <w:t>—</w:t>
      </w:r>
      <w:r w:rsidRPr="00291167">
        <w:rPr>
          <w:rStyle w:val="CharAmSchText"/>
        </w:rPr>
        <w:t>Amendments</w:t>
      </w:r>
      <w:bookmarkEnd w:id="8"/>
    </w:p>
    <w:p w14:paraId="2C6AD39C" w14:textId="53952E9F" w:rsidR="0003022E" w:rsidRPr="00624534" w:rsidRDefault="00624534" w:rsidP="00624534">
      <w:pPr>
        <w:pStyle w:val="ActHead9"/>
      </w:pPr>
      <w:bookmarkStart w:id="9" w:name="_Toc190698024"/>
      <w:r w:rsidRPr="00624534">
        <w:rPr>
          <w:iCs/>
        </w:rPr>
        <w:t xml:space="preserve">Taxation (Multinational—Global and Domestic Minimum Tax) </w:t>
      </w:r>
      <w:r w:rsidR="00934057">
        <w:rPr>
          <w:iCs/>
        </w:rPr>
        <w:t>Rules</w:t>
      </w:r>
      <w:r w:rsidR="001375C2">
        <w:rPr>
          <w:iCs/>
        </w:rPr>
        <w:t> </w:t>
      </w:r>
      <w:r w:rsidRPr="00624534">
        <w:rPr>
          <w:iCs/>
        </w:rPr>
        <w:t>2024</w:t>
      </w:r>
      <w:bookmarkEnd w:id="9"/>
    </w:p>
    <w:p w14:paraId="756088A7" w14:textId="67626A67" w:rsidR="009621A8" w:rsidRDefault="009621A8" w:rsidP="00807B6F">
      <w:pPr>
        <w:pStyle w:val="ItemHead"/>
      </w:pPr>
      <w:proofErr w:type="gramStart"/>
      <w:r>
        <w:t xml:space="preserve">1  </w:t>
      </w:r>
      <w:r w:rsidR="00267586">
        <w:t>Subsection</w:t>
      </w:r>
      <w:proofErr w:type="gramEnd"/>
      <w:r w:rsidR="00267586">
        <w:t xml:space="preserve"> </w:t>
      </w:r>
      <w:r w:rsidR="003B64B2">
        <w:t>2-35(3)</w:t>
      </w:r>
    </w:p>
    <w:p w14:paraId="38A1039F" w14:textId="6013D7D8" w:rsidR="00A706B1" w:rsidRDefault="009E209C" w:rsidP="00A706B1">
      <w:pPr>
        <w:pStyle w:val="Item"/>
      </w:pPr>
      <w:r>
        <w:t>Repeal the subsection, substitute:</w:t>
      </w:r>
    </w:p>
    <w:p w14:paraId="1FB9D089" w14:textId="77777777" w:rsidR="009E209C" w:rsidRDefault="009E209C" w:rsidP="009E209C">
      <w:pPr>
        <w:pStyle w:val="subsection"/>
      </w:pPr>
      <w:r>
        <w:tab/>
        <w:t>(3)</w:t>
      </w:r>
      <w:r>
        <w:tab/>
        <w:t>If a Constituent Entity of an MNE Group is a Securitisation Entity for a Fiscal Year:</w:t>
      </w:r>
    </w:p>
    <w:p w14:paraId="3681E28D" w14:textId="77777777" w:rsidR="009E209C" w:rsidRDefault="009E209C" w:rsidP="009E209C">
      <w:pPr>
        <w:pStyle w:val="paragraph"/>
      </w:pPr>
      <w:r>
        <w:tab/>
        <w:t>(a)</w:t>
      </w:r>
      <w:r>
        <w:tab/>
        <w:t xml:space="preserve">treat the </w:t>
      </w:r>
      <w:proofErr w:type="spellStart"/>
      <w:r>
        <w:t>GloBE</w:t>
      </w:r>
      <w:proofErr w:type="spellEnd"/>
      <w:r>
        <w:t xml:space="preserve"> Income of the Constituent Entity for the Fiscal Year as being zero for the purposes of the following:</w:t>
      </w:r>
    </w:p>
    <w:p w14:paraId="2FDCF957" w14:textId="77777777" w:rsidR="009E209C" w:rsidRPr="00846E44" w:rsidRDefault="009E209C" w:rsidP="009E209C">
      <w:pPr>
        <w:pStyle w:val="paragraphsub"/>
      </w:pPr>
      <w:r>
        <w:tab/>
      </w:r>
      <w:r w:rsidRPr="00846E44">
        <w:t>(</w:t>
      </w:r>
      <w:proofErr w:type="spellStart"/>
      <w:r w:rsidRPr="00846E44">
        <w:t>i</w:t>
      </w:r>
      <w:proofErr w:type="spellEnd"/>
      <w:r w:rsidRPr="00846E44">
        <w:t>)</w:t>
      </w:r>
      <w:r>
        <w:tab/>
      </w:r>
      <w:r w:rsidRPr="00846E44">
        <w:t xml:space="preserve">the definition of </w:t>
      </w:r>
      <w:r w:rsidRPr="000E67F9">
        <w:rPr>
          <w:b/>
          <w:bCs/>
          <w:i/>
          <w:iCs/>
        </w:rPr>
        <w:t xml:space="preserve">Aggregate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all CEs</w:t>
      </w:r>
      <w:r w:rsidRPr="00846E44">
        <w:t xml:space="preserve"> in subsection</w:t>
      </w:r>
      <w:r>
        <w:t> </w:t>
      </w:r>
      <w:r w:rsidRPr="00846E44">
        <w:t>5‑40(2</w:t>
      </w:r>
      <w:proofErr w:type="gramStart"/>
      <w:r w:rsidRPr="00846E44">
        <w:t>);</w:t>
      </w:r>
      <w:proofErr w:type="gramEnd"/>
    </w:p>
    <w:p w14:paraId="4B564856" w14:textId="77777777" w:rsidR="009E209C" w:rsidRPr="00846E44" w:rsidRDefault="009E209C" w:rsidP="009E209C">
      <w:pPr>
        <w:pStyle w:val="paragraphsub"/>
      </w:pPr>
      <w:r>
        <w:tab/>
      </w:r>
      <w:r w:rsidRPr="00846E44">
        <w:t>(ii)</w:t>
      </w:r>
      <w:r>
        <w:tab/>
      </w:r>
      <w:r w:rsidRPr="00846E44">
        <w:t xml:space="preserve">the definition of </w:t>
      </w:r>
      <w:r w:rsidRPr="000E67F9">
        <w:rPr>
          <w:b/>
          <w:bCs/>
          <w:i/>
          <w:iCs/>
        </w:rPr>
        <w:t xml:space="preserve">Aggregate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all CEs for prior year</w:t>
      </w:r>
      <w:r w:rsidRPr="00846E44">
        <w:t xml:space="preserve"> in subsection 5‑40(5) (including that definition as it applies for the purposes of subsection 5‑40(7)</w:t>
      </w:r>
      <w:proofErr w:type="gramStart"/>
      <w:r w:rsidRPr="00846E44">
        <w:t>);</w:t>
      </w:r>
      <w:proofErr w:type="gramEnd"/>
    </w:p>
    <w:p w14:paraId="4821DAE4" w14:textId="77777777" w:rsidR="009E209C" w:rsidRPr="00846E44" w:rsidRDefault="009E209C" w:rsidP="009E209C">
      <w:pPr>
        <w:pStyle w:val="paragraphsub"/>
      </w:pPr>
      <w:r>
        <w:tab/>
      </w:r>
      <w:r w:rsidRPr="00846E44">
        <w:t>(iii)</w:t>
      </w:r>
      <w:r>
        <w:tab/>
      </w:r>
      <w:r w:rsidRPr="00846E44">
        <w:t xml:space="preserve">the definition of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the CE</w:t>
      </w:r>
      <w:r w:rsidRPr="00846E44">
        <w:t xml:space="preserve"> in subsection 5‑40(2</w:t>
      </w:r>
      <w:proofErr w:type="gramStart"/>
      <w:r w:rsidRPr="00846E44">
        <w:t>);</w:t>
      </w:r>
      <w:proofErr w:type="gramEnd"/>
    </w:p>
    <w:p w14:paraId="55D739E3" w14:textId="77777777" w:rsidR="009E209C" w:rsidRDefault="009E209C" w:rsidP="009E209C">
      <w:pPr>
        <w:pStyle w:val="paragraphsub"/>
      </w:pPr>
      <w:r>
        <w:tab/>
      </w:r>
      <w:r w:rsidRPr="00846E44">
        <w:t>(iv)</w:t>
      </w:r>
      <w:r>
        <w:tab/>
      </w:r>
      <w:r w:rsidRPr="00846E44">
        <w:t xml:space="preserve">the definition of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the CE for prior year</w:t>
      </w:r>
      <w:r w:rsidRPr="00846E44">
        <w:t xml:space="preserve"> in subsection 5‑40(5) (including that definition as it applies</w:t>
      </w:r>
      <w:r>
        <w:t xml:space="preserve"> for the purposes of subsection 5‑40(7)); and</w:t>
      </w:r>
    </w:p>
    <w:p w14:paraId="3CD4AA3C" w14:textId="77777777" w:rsidR="009E209C" w:rsidRPr="00846E44" w:rsidRDefault="009E209C" w:rsidP="009E209C">
      <w:pPr>
        <w:pStyle w:val="paragraph"/>
      </w:pPr>
      <w:r>
        <w:tab/>
        <w:t>(b)</w:t>
      </w:r>
      <w:r>
        <w:tab/>
        <w:t xml:space="preserve">for those purposes, do not apply paragraph 5‑40(7)(b) in relation to the </w:t>
      </w:r>
      <w:proofErr w:type="spellStart"/>
      <w:r>
        <w:t>GloBE</w:t>
      </w:r>
      <w:proofErr w:type="spellEnd"/>
      <w:r>
        <w:t xml:space="preserve"> Income of the Constituent Entity for the Fiscal Year.</w:t>
      </w:r>
    </w:p>
    <w:p w14:paraId="00CFEEA1" w14:textId="30F39A8D" w:rsidR="00173631" w:rsidRDefault="00D10051" w:rsidP="00173631">
      <w:pPr>
        <w:pStyle w:val="ItemHead"/>
      </w:pPr>
      <w:proofErr w:type="gramStart"/>
      <w:r>
        <w:t>2</w:t>
      </w:r>
      <w:r w:rsidR="00173631">
        <w:t xml:space="preserve">  </w:t>
      </w:r>
      <w:r w:rsidR="00267586">
        <w:t>Subsection</w:t>
      </w:r>
      <w:proofErr w:type="gramEnd"/>
      <w:r w:rsidR="00267586">
        <w:t xml:space="preserve"> </w:t>
      </w:r>
      <w:r w:rsidR="00173631">
        <w:t>2-35(5)</w:t>
      </w:r>
    </w:p>
    <w:p w14:paraId="11A8672B" w14:textId="5AF6F77E" w:rsidR="00B84A78" w:rsidRDefault="005F6530" w:rsidP="00B84A78">
      <w:pPr>
        <w:pStyle w:val="Item"/>
      </w:pPr>
      <w:r>
        <w:t>Repeal the subsection, substitute:</w:t>
      </w:r>
    </w:p>
    <w:p w14:paraId="1237D99F" w14:textId="77777777" w:rsidR="005F6530" w:rsidRDefault="005F6530" w:rsidP="005F6530">
      <w:pPr>
        <w:pStyle w:val="subsection"/>
      </w:pPr>
      <w:r>
        <w:tab/>
        <w:t>(5)</w:t>
      </w:r>
      <w:r>
        <w:tab/>
      </w:r>
      <w:r w:rsidRPr="00E53DAF">
        <w:t xml:space="preserve">If subsection (3) applies and no Constituent Entity of the MNE Group that is located in Australia and is not a Securitisation Entity has </w:t>
      </w:r>
      <w:proofErr w:type="spellStart"/>
      <w:r w:rsidRPr="00E53DAF">
        <w:t>GloBE</w:t>
      </w:r>
      <w:proofErr w:type="spellEnd"/>
      <w:r w:rsidRPr="00E53DAF">
        <w:t xml:space="preserve"> Income for the Fiscal Year:</w:t>
      </w:r>
    </w:p>
    <w:p w14:paraId="03A4562C" w14:textId="77777777" w:rsidR="005F6530" w:rsidRDefault="005F6530" w:rsidP="005F6530">
      <w:pPr>
        <w:pStyle w:val="paragraph"/>
      </w:pPr>
      <w:r>
        <w:tab/>
        <w:t>(a)</w:t>
      </w:r>
      <w:r>
        <w:tab/>
      </w:r>
      <w:r w:rsidRPr="005F6530">
        <w:t xml:space="preserve">treat the </w:t>
      </w:r>
      <w:proofErr w:type="spellStart"/>
      <w:r w:rsidRPr="005F6530">
        <w:t>GloBE</w:t>
      </w:r>
      <w:proofErr w:type="spellEnd"/>
      <w:r w:rsidRPr="005F6530">
        <w:t xml:space="preserve"> Income of each such Constituent Entity as being one Euro for </w:t>
      </w:r>
      <w:r>
        <w:t>the</w:t>
      </w:r>
      <w:r w:rsidRPr="005F6530">
        <w:t xml:space="preserve"> Fiscal Year, for the purposes of the following:</w:t>
      </w:r>
    </w:p>
    <w:p w14:paraId="528A8C4E" w14:textId="77777777" w:rsidR="005F6530" w:rsidRPr="00846E44" w:rsidRDefault="005F6530" w:rsidP="005F6530">
      <w:pPr>
        <w:pStyle w:val="paragraphsub"/>
      </w:pPr>
      <w:r>
        <w:tab/>
      </w:r>
      <w:r w:rsidRPr="00846E44">
        <w:t>(</w:t>
      </w:r>
      <w:proofErr w:type="spellStart"/>
      <w:r w:rsidRPr="00846E44">
        <w:t>i</w:t>
      </w:r>
      <w:proofErr w:type="spellEnd"/>
      <w:r w:rsidRPr="00846E44">
        <w:t>)</w:t>
      </w:r>
      <w:r>
        <w:tab/>
      </w:r>
      <w:r w:rsidRPr="00846E44">
        <w:t xml:space="preserve">the definition of </w:t>
      </w:r>
      <w:r w:rsidRPr="000E67F9">
        <w:rPr>
          <w:b/>
          <w:bCs/>
          <w:i/>
          <w:iCs/>
        </w:rPr>
        <w:t xml:space="preserve">Aggregate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all CEs</w:t>
      </w:r>
      <w:r w:rsidRPr="00846E44">
        <w:t xml:space="preserve"> in subsection</w:t>
      </w:r>
      <w:r>
        <w:t> </w:t>
      </w:r>
      <w:r w:rsidRPr="00846E44">
        <w:t>5‑40(2</w:t>
      </w:r>
      <w:proofErr w:type="gramStart"/>
      <w:r w:rsidRPr="00846E44">
        <w:t>);</w:t>
      </w:r>
      <w:proofErr w:type="gramEnd"/>
    </w:p>
    <w:p w14:paraId="283580A0" w14:textId="77777777" w:rsidR="005F6530" w:rsidRPr="00846E44" w:rsidRDefault="005F6530" w:rsidP="005F6530">
      <w:pPr>
        <w:pStyle w:val="paragraphsub"/>
      </w:pPr>
      <w:r>
        <w:tab/>
      </w:r>
      <w:r w:rsidRPr="00846E44">
        <w:t>(ii)</w:t>
      </w:r>
      <w:r>
        <w:tab/>
      </w:r>
      <w:r w:rsidRPr="00846E44">
        <w:t xml:space="preserve">the definition of </w:t>
      </w:r>
      <w:r w:rsidRPr="000E67F9">
        <w:rPr>
          <w:b/>
          <w:bCs/>
          <w:i/>
          <w:iCs/>
        </w:rPr>
        <w:t xml:space="preserve">Aggregate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all CEs for prior year</w:t>
      </w:r>
      <w:r w:rsidRPr="00846E44">
        <w:t xml:space="preserve"> in subsection 5‑40(5) (including that definition as it applies for the purposes of subsection 5‑40(7)</w:t>
      </w:r>
      <w:proofErr w:type="gramStart"/>
      <w:r w:rsidRPr="00846E44">
        <w:t>);</w:t>
      </w:r>
      <w:proofErr w:type="gramEnd"/>
    </w:p>
    <w:p w14:paraId="2794505F" w14:textId="77777777" w:rsidR="005F6530" w:rsidRPr="00846E44" w:rsidRDefault="005F6530" w:rsidP="005F6530">
      <w:pPr>
        <w:pStyle w:val="paragraphsub"/>
      </w:pPr>
      <w:r>
        <w:tab/>
      </w:r>
      <w:r w:rsidRPr="00846E44">
        <w:t>(iii)</w:t>
      </w:r>
      <w:r>
        <w:tab/>
      </w:r>
      <w:r w:rsidRPr="00846E44">
        <w:t xml:space="preserve">the definition of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the CE</w:t>
      </w:r>
      <w:r w:rsidRPr="00846E44">
        <w:t xml:space="preserve"> in subsection 5‑40(2</w:t>
      </w:r>
      <w:proofErr w:type="gramStart"/>
      <w:r w:rsidRPr="00846E44">
        <w:t>);</w:t>
      </w:r>
      <w:proofErr w:type="gramEnd"/>
    </w:p>
    <w:p w14:paraId="7FDC029B" w14:textId="77777777" w:rsidR="005F6530" w:rsidRDefault="005F6530" w:rsidP="005F6530">
      <w:pPr>
        <w:pStyle w:val="paragraphsub"/>
      </w:pPr>
      <w:r>
        <w:tab/>
      </w:r>
      <w:r w:rsidRPr="00846E44">
        <w:t>(iv)</w:t>
      </w:r>
      <w:r>
        <w:tab/>
      </w:r>
      <w:r w:rsidRPr="00846E44">
        <w:t xml:space="preserve">the definition of </w:t>
      </w:r>
      <w:proofErr w:type="spellStart"/>
      <w:r w:rsidRPr="000E67F9">
        <w:rPr>
          <w:b/>
          <w:bCs/>
          <w:i/>
          <w:iCs/>
        </w:rPr>
        <w:t>GloBE</w:t>
      </w:r>
      <w:proofErr w:type="spellEnd"/>
      <w:r w:rsidRPr="000E67F9">
        <w:rPr>
          <w:b/>
          <w:bCs/>
          <w:i/>
          <w:iCs/>
        </w:rPr>
        <w:t xml:space="preserve"> Income of the CE for prior year</w:t>
      </w:r>
      <w:r w:rsidRPr="00846E44">
        <w:t xml:space="preserve"> in subsection 5‑40(5) (including that definition as it applies</w:t>
      </w:r>
      <w:r>
        <w:t xml:space="preserve"> for the purposes of subsection 5‑40(7)); and</w:t>
      </w:r>
    </w:p>
    <w:p w14:paraId="365CFA0E" w14:textId="77777777" w:rsidR="005F6530" w:rsidRPr="00846E44" w:rsidRDefault="005F6530" w:rsidP="005F6530">
      <w:pPr>
        <w:pStyle w:val="paragraph"/>
      </w:pPr>
      <w:r>
        <w:tab/>
        <w:t>(b)</w:t>
      </w:r>
      <w:r>
        <w:tab/>
        <w:t xml:space="preserve">for those purposes, do not apply paragraph 5‑40(7)(b) in relation to the </w:t>
      </w:r>
      <w:proofErr w:type="spellStart"/>
      <w:r>
        <w:t>GloBE</w:t>
      </w:r>
      <w:proofErr w:type="spellEnd"/>
      <w:r>
        <w:t xml:space="preserve"> Income of the Constituent Entity for the Fiscal Year.</w:t>
      </w:r>
    </w:p>
    <w:p w14:paraId="5F391650" w14:textId="32E172E9" w:rsidR="00666DDB" w:rsidRDefault="00777353" w:rsidP="00807B6F">
      <w:pPr>
        <w:pStyle w:val="ItemHead"/>
      </w:pPr>
      <w:proofErr w:type="gramStart"/>
      <w:r>
        <w:t>3</w:t>
      </w:r>
      <w:r w:rsidR="00666DDB">
        <w:t xml:space="preserve">  </w:t>
      </w:r>
      <w:r w:rsidR="00664D29">
        <w:t>Paragraph</w:t>
      </w:r>
      <w:proofErr w:type="gramEnd"/>
      <w:r w:rsidR="00664D29">
        <w:t xml:space="preserve"> 2-35(6)(</w:t>
      </w:r>
      <w:r w:rsidR="00B305B4">
        <w:t>d)</w:t>
      </w:r>
    </w:p>
    <w:p w14:paraId="561093E5" w14:textId="5A746814" w:rsidR="00B305B4" w:rsidRDefault="00B305B4" w:rsidP="00B305B4">
      <w:pPr>
        <w:pStyle w:val="Item"/>
      </w:pPr>
      <w:r>
        <w:t>Omit “</w:t>
      </w:r>
      <w:r w:rsidR="00385E1A">
        <w:t xml:space="preserve">Australian </w:t>
      </w:r>
      <w:r>
        <w:t>final</w:t>
      </w:r>
      <w:r w:rsidR="000938CF">
        <w:t xml:space="preserve"> </w:t>
      </w:r>
      <w:r w:rsidR="005E6BAA">
        <w:t>withholding tax</w:t>
      </w:r>
      <w:r>
        <w:t>”</w:t>
      </w:r>
      <w:r w:rsidR="005E6BAA">
        <w:t>, substitute “withholding tax</w:t>
      </w:r>
      <w:r w:rsidR="00293CE8">
        <w:t xml:space="preserve"> (within the meaning of the </w:t>
      </w:r>
      <w:r w:rsidR="00293CE8" w:rsidRPr="0012173E">
        <w:rPr>
          <w:i/>
          <w:iCs/>
        </w:rPr>
        <w:t xml:space="preserve">Income Tax Assessment Act </w:t>
      </w:r>
      <w:r w:rsidR="00357827" w:rsidRPr="0012173E">
        <w:rPr>
          <w:i/>
          <w:iCs/>
        </w:rPr>
        <w:t>1997</w:t>
      </w:r>
      <w:r w:rsidR="0012173E">
        <w:t>)”</w:t>
      </w:r>
      <w:r>
        <w:t>.</w:t>
      </w:r>
    </w:p>
    <w:p w14:paraId="4D238217" w14:textId="3DAA676A" w:rsidR="00574C12" w:rsidRDefault="00097127" w:rsidP="00574C12">
      <w:pPr>
        <w:pStyle w:val="ItemHead"/>
      </w:pPr>
      <w:proofErr w:type="gramStart"/>
      <w:r>
        <w:t xml:space="preserve">4  </w:t>
      </w:r>
      <w:r w:rsidR="005E7DC3">
        <w:t>S</w:t>
      </w:r>
      <w:r w:rsidR="0046690D">
        <w:t>ubsection</w:t>
      </w:r>
      <w:proofErr w:type="gramEnd"/>
      <w:r w:rsidR="0046690D">
        <w:t xml:space="preserve"> 2-40(1)</w:t>
      </w:r>
    </w:p>
    <w:p w14:paraId="486BF918" w14:textId="47CA2FB7" w:rsidR="0046690D" w:rsidRPr="0046690D" w:rsidRDefault="005E7DC3" w:rsidP="0046690D">
      <w:pPr>
        <w:pStyle w:val="Item"/>
      </w:pPr>
      <w:r>
        <w:t xml:space="preserve">Omit “.”, substitute </w:t>
      </w:r>
      <w:r w:rsidR="00F64444">
        <w:t>“</w:t>
      </w:r>
      <w:r w:rsidR="00BB47EE">
        <w:t xml:space="preserve">, </w:t>
      </w:r>
      <w:r w:rsidR="0048782D">
        <w:t>where the</w:t>
      </w:r>
      <w:r w:rsidR="00F64444">
        <w:t xml:space="preserve"> head company </w:t>
      </w:r>
      <w:r w:rsidR="00BB47EE">
        <w:t xml:space="preserve">of the consolidated group </w:t>
      </w:r>
      <w:r w:rsidR="00F64444">
        <w:t>is not an Excluded Entity</w:t>
      </w:r>
      <w:r w:rsidR="0005585A">
        <w:t>.</w:t>
      </w:r>
      <w:r w:rsidR="00F64444">
        <w:t>”.</w:t>
      </w:r>
    </w:p>
    <w:p w14:paraId="7914EB8C" w14:textId="6D546FA2" w:rsidR="00762B5F" w:rsidRDefault="0012173E" w:rsidP="00762B5F">
      <w:pPr>
        <w:pStyle w:val="ItemHead"/>
      </w:pPr>
      <w:proofErr w:type="gramStart"/>
      <w:r>
        <w:t>5</w:t>
      </w:r>
      <w:r w:rsidR="00344562">
        <w:t xml:space="preserve">  Subsection</w:t>
      </w:r>
      <w:proofErr w:type="gramEnd"/>
      <w:r w:rsidR="00344562">
        <w:t xml:space="preserve"> 2-50(1)</w:t>
      </w:r>
    </w:p>
    <w:p w14:paraId="1FCAE013" w14:textId="1AEE0C5C" w:rsidR="00344562" w:rsidRDefault="00344562" w:rsidP="00344562">
      <w:pPr>
        <w:pStyle w:val="Item"/>
      </w:pPr>
      <w:r>
        <w:t>Repeal the subsection, substitute:</w:t>
      </w:r>
    </w:p>
    <w:p w14:paraId="6CA5A544" w14:textId="6E18CF8D" w:rsidR="00344562" w:rsidRPr="00962FE8" w:rsidRDefault="00962FE8" w:rsidP="00962FE8">
      <w:pPr>
        <w:pStyle w:val="subsection"/>
      </w:pPr>
      <w:r>
        <w:tab/>
      </w:r>
      <w:r w:rsidR="00344562" w:rsidRPr="00962FE8">
        <w:t>(1)</w:t>
      </w:r>
      <w:r>
        <w:tab/>
      </w:r>
      <w:r w:rsidR="00344562" w:rsidRPr="00962FE8">
        <w:t>Subsection (2) applies if</w:t>
      </w:r>
      <w:r w:rsidR="00076E1F" w:rsidRPr="00962FE8">
        <w:t xml:space="preserve"> </w:t>
      </w:r>
      <w:r w:rsidR="00344562" w:rsidRPr="00962FE8">
        <w:t xml:space="preserve">a Constituent Entity of an MNE Group is a subsidiary member of a consolidated </w:t>
      </w:r>
      <w:proofErr w:type="gramStart"/>
      <w:r w:rsidR="00344562" w:rsidRPr="00962FE8">
        <w:t>group</w:t>
      </w:r>
      <w:proofErr w:type="gramEnd"/>
      <w:r w:rsidR="00344562" w:rsidRPr="00962FE8">
        <w:t xml:space="preserve"> and</w:t>
      </w:r>
      <w:r w:rsidR="00EE1B1B">
        <w:t xml:space="preserve"> </w:t>
      </w:r>
      <w:r w:rsidR="00CC090B">
        <w:t>a</w:t>
      </w:r>
      <w:r w:rsidR="001C0E01">
        <w:t>ll</w:t>
      </w:r>
      <w:r w:rsidR="00EE1B1B">
        <w:t xml:space="preserve"> of the following appl</w:t>
      </w:r>
      <w:r w:rsidR="001C0E01">
        <w:t>y</w:t>
      </w:r>
      <w:r w:rsidR="008D2433" w:rsidRPr="00962FE8">
        <w:t>:</w:t>
      </w:r>
    </w:p>
    <w:p w14:paraId="29C2147F" w14:textId="1A25F39F" w:rsidR="00344562" w:rsidRPr="00344562" w:rsidRDefault="00A70D18" w:rsidP="00A70D18">
      <w:pPr>
        <w:pStyle w:val="paragraph"/>
      </w:pPr>
      <w:r>
        <w:tab/>
      </w:r>
      <w:r w:rsidR="00344562" w:rsidRPr="00344562">
        <w:t>(</w:t>
      </w:r>
      <w:r w:rsidR="00C06726">
        <w:t>a</w:t>
      </w:r>
      <w:r w:rsidR="00344562" w:rsidRPr="00344562">
        <w:t>)</w:t>
      </w:r>
      <w:r>
        <w:tab/>
      </w:r>
      <w:r w:rsidR="00486588">
        <w:t>the</w:t>
      </w:r>
      <w:r w:rsidR="00486588" w:rsidRPr="00344562">
        <w:t xml:space="preserve"> Constituent Entity </w:t>
      </w:r>
      <w:r w:rsidR="00344562" w:rsidRPr="00344562">
        <w:t>is not any of the following:</w:t>
      </w:r>
    </w:p>
    <w:p w14:paraId="15990A1B" w14:textId="09763550" w:rsidR="00344562" w:rsidRPr="00344562" w:rsidRDefault="00F33AEB" w:rsidP="00F33AEB">
      <w:pPr>
        <w:pStyle w:val="paragraphsub"/>
      </w:pPr>
      <w:r>
        <w:tab/>
      </w:r>
      <w:r w:rsidR="00344562" w:rsidRPr="00344562">
        <w:t>(</w:t>
      </w:r>
      <w:proofErr w:type="spellStart"/>
      <w:r w:rsidR="00344562" w:rsidRPr="00344562">
        <w:t>i</w:t>
      </w:r>
      <w:proofErr w:type="spellEnd"/>
      <w:r w:rsidR="00344562" w:rsidRPr="00344562">
        <w:t>)</w:t>
      </w:r>
      <w:r>
        <w:tab/>
      </w:r>
      <w:r w:rsidR="00344562" w:rsidRPr="00344562">
        <w:t xml:space="preserve">an </w:t>
      </w:r>
      <w:r w:rsidR="00344562" w:rsidRPr="00540B82">
        <w:t>Investment</w:t>
      </w:r>
      <w:r w:rsidR="00344562" w:rsidRPr="00344562">
        <w:t xml:space="preserve"> </w:t>
      </w:r>
      <w:proofErr w:type="gramStart"/>
      <w:r w:rsidR="00344562" w:rsidRPr="00344562">
        <w:t>Entity;</w:t>
      </w:r>
      <w:proofErr w:type="gramEnd"/>
    </w:p>
    <w:p w14:paraId="2B25699A" w14:textId="66EB933B" w:rsidR="00344562" w:rsidRPr="00344562" w:rsidRDefault="00486588" w:rsidP="00F33AEB">
      <w:pPr>
        <w:pStyle w:val="paragraphsub"/>
      </w:pPr>
      <w:r>
        <w:tab/>
      </w:r>
      <w:r w:rsidR="00344562" w:rsidRPr="00344562">
        <w:t>(ii)</w:t>
      </w:r>
      <w:r w:rsidR="00F33AEB">
        <w:tab/>
      </w:r>
      <w:r w:rsidR="00344562" w:rsidRPr="00344562">
        <w:t xml:space="preserve">an Insurance Investment </w:t>
      </w:r>
      <w:proofErr w:type="gramStart"/>
      <w:r w:rsidR="00344562" w:rsidRPr="00344562">
        <w:t>Entity;</w:t>
      </w:r>
      <w:proofErr w:type="gramEnd"/>
    </w:p>
    <w:p w14:paraId="1F272B7E" w14:textId="259EFB54" w:rsidR="00D7211A" w:rsidRDefault="00BF5C8A" w:rsidP="00BF5C8A">
      <w:pPr>
        <w:pStyle w:val="paragraphsub"/>
      </w:pPr>
      <w:r>
        <w:tab/>
      </w:r>
      <w:r w:rsidR="00344562" w:rsidRPr="00344562">
        <w:t>(iii)</w:t>
      </w:r>
      <w:r>
        <w:tab/>
      </w:r>
      <w:r w:rsidR="00344562" w:rsidRPr="00344562">
        <w:t xml:space="preserve">a Securitisation Entity for the Fiscal </w:t>
      </w:r>
      <w:proofErr w:type="gramStart"/>
      <w:r w:rsidR="00344562" w:rsidRPr="00344562">
        <w:t>Year</w:t>
      </w:r>
      <w:r w:rsidR="00486588">
        <w:t>;</w:t>
      </w:r>
      <w:proofErr w:type="gramEnd"/>
    </w:p>
    <w:p w14:paraId="0F41D10F" w14:textId="29E1E50C" w:rsidR="00D7211A" w:rsidRPr="00BF5C8A" w:rsidRDefault="00623593" w:rsidP="00623593">
      <w:pPr>
        <w:pStyle w:val="paragraph"/>
      </w:pPr>
      <w:r>
        <w:tab/>
      </w:r>
      <w:r w:rsidR="00D7211A" w:rsidRPr="00BF5C8A">
        <w:t>(</w:t>
      </w:r>
      <w:r w:rsidR="00C06726">
        <w:t>b</w:t>
      </w:r>
      <w:r w:rsidR="00C442FF">
        <w:t>)</w:t>
      </w:r>
      <w:r w:rsidR="00C442FF">
        <w:tab/>
      </w:r>
      <w:r w:rsidR="00075723" w:rsidRPr="00BF5C8A">
        <w:t>the head company of the consolidated group is not an Excluded Entity.</w:t>
      </w:r>
    </w:p>
    <w:p w14:paraId="0D2019D1" w14:textId="5CD34945" w:rsidR="00CA1E93" w:rsidRDefault="000F2C06" w:rsidP="00623593">
      <w:pPr>
        <w:pStyle w:val="ItemHead"/>
      </w:pPr>
      <w:proofErr w:type="gramStart"/>
      <w:r>
        <w:t>6</w:t>
      </w:r>
      <w:r w:rsidR="00CA1E93">
        <w:t xml:space="preserve">  </w:t>
      </w:r>
      <w:r w:rsidR="00EB4B5E">
        <w:t>Paragraph</w:t>
      </w:r>
      <w:proofErr w:type="gramEnd"/>
      <w:r w:rsidR="00EB4B5E">
        <w:t xml:space="preserve"> 2-65(2)(b)</w:t>
      </w:r>
    </w:p>
    <w:p w14:paraId="3D5F6D56" w14:textId="40489BB9" w:rsidR="00EB4CE9" w:rsidRDefault="00EB4CE9" w:rsidP="00EB4CE9">
      <w:pPr>
        <w:pStyle w:val="Item"/>
      </w:pPr>
      <w:r>
        <w:t>Omit all the words after “</w:t>
      </w:r>
      <w:r w:rsidR="002B7D58">
        <w:t xml:space="preserve">to the allocated </w:t>
      </w:r>
      <w:r>
        <w:t xml:space="preserve">amount,”, substitute “by the end of the </w:t>
      </w:r>
      <w:r w:rsidR="00EC174D">
        <w:t xml:space="preserve">period of 12 months </w:t>
      </w:r>
      <w:r>
        <w:t xml:space="preserve">after the end of the </w:t>
      </w:r>
      <w:r w:rsidR="00D23EAF">
        <w:t>current</w:t>
      </w:r>
      <w:r>
        <w:t xml:space="preserve"> Fiscal Year”</w:t>
      </w:r>
      <w:r w:rsidR="00370BDF">
        <w:t>.</w:t>
      </w:r>
    </w:p>
    <w:p w14:paraId="4ED9EA2C" w14:textId="4EF2089A" w:rsidR="00D54CA5" w:rsidRDefault="000F2C06" w:rsidP="00807B6F">
      <w:pPr>
        <w:pStyle w:val="ItemHead"/>
      </w:pPr>
      <w:proofErr w:type="gramStart"/>
      <w:r>
        <w:t>7</w:t>
      </w:r>
      <w:r w:rsidR="00D54CA5">
        <w:t xml:space="preserve">  </w:t>
      </w:r>
      <w:r w:rsidR="00403E49">
        <w:t>Paragraph</w:t>
      </w:r>
      <w:r w:rsidR="00985704">
        <w:t>s</w:t>
      </w:r>
      <w:proofErr w:type="gramEnd"/>
      <w:r w:rsidR="0068141D">
        <w:t xml:space="preserve"> 2-85(</w:t>
      </w:r>
      <w:r w:rsidR="002305F6">
        <w:t>3)</w:t>
      </w:r>
      <w:r w:rsidR="00A522D8">
        <w:t xml:space="preserve">(a) and </w:t>
      </w:r>
      <w:r w:rsidR="002305F6">
        <w:t>(b)</w:t>
      </w:r>
    </w:p>
    <w:p w14:paraId="78A5D52C" w14:textId="32961B84" w:rsidR="00403E49" w:rsidRDefault="00403E49" w:rsidP="002305F6">
      <w:pPr>
        <w:pStyle w:val="Item"/>
      </w:pPr>
      <w:r>
        <w:t>Repeal the paragraph</w:t>
      </w:r>
      <w:r w:rsidR="00A522D8">
        <w:t>s</w:t>
      </w:r>
      <w:r>
        <w:t>, substitute:</w:t>
      </w:r>
    </w:p>
    <w:p w14:paraId="66B9583E" w14:textId="12A6F693" w:rsidR="00A522D8" w:rsidRPr="00A522D8" w:rsidRDefault="00A522D8" w:rsidP="00781BD6">
      <w:pPr>
        <w:pStyle w:val="paragraph"/>
      </w:pPr>
      <w:r>
        <w:tab/>
        <w:t>(</w:t>
      </w:r>
      <w:r w:rsidR="00781BD6">
        <w:t>a</w:t>
      </w:r>
      <w:r>
        <w:t>)</w:t>
      </w:r>
      <w:r>
        <w:tab/>
      </w:r>
      <w:r w:rsidR="00E926AA">
        <w:t xml:space="preserve">no </w:t>
      </w:r>
      <w:r w:rsidRPr="00C06726">
        <w:t>other Constituent Entit</w:t>
      </w:r>
      <w:r w:rsidR="00781BD6">
        <w:t>ies</w:t>
      </w:r>
      <w:r w:rsidRPr="00C06726">
        <w:t xml:space="preserve"> of the MNE Group</w:t>
      </w:r>
      <w:r>
        <w:t xml:space="preserve"> </w:t>
      </w:r>
      <w:r w:rsidR="00781BD6">
        <w:t xml:space="preserve">(other than </w:t>
      </w:r>
      <w:r w:rsidR="00781BD6" w:rsidRPr="00C06726">
        <w:t>the Securitisation Entity</w:t>
      </w:r>
      <w:r w:rsidR="00781BD6">
        <w:t>) are located in Australia; or</w:t>
      </w:r>
    </w:p>
    <w:p w14:paraId="451E9757" w14:textId="409C1198" w:rsidR="00533677" w:rsidRDefault="00533677" w:rsidP="00533677">
      <w:pPr>
        <w:pStyle w:val="paragraph"/>
      </w:pPr>
      <w:r>
        <w:tab/>
        <w:t>(b)</w:t>
      </w:r>
      <w:r>
        <w:tab/>
      </w:r>
      <w:r w:rsidR="00C06726">
        <w:t xml:space="preserve">each </w:t>
      </w:r>
      <w:r w:rsidR="00C06726" w:rsidRPr="00C06726">
        <w:t>Constituent Entit</w:t>
      </w:r>
      <w:r w:rsidR="00321928">
        <w:t>y</w:t>
      </w:r>
      <w:r w:rsidR="00C06726" w:rsidRPr="00C06726">
        <w:t xml:space="preserve"> of the MNE Group</w:t>
      </w:r>
      <w:r w:rsidR="008C432C">
        <w:t xml:space="preserve"> </w:t>
      </w:r>
      <w:r w:rsidR="0055685D">
        <w:t xml:space="preserve">that is located in Australia </w:t>
      </w:r>
      <w:r w:rsidR="00C06726">
        <w:t xml:space="preserve">is </w:t>
      </w:r>
      <w:r w:rsidR="00D473B5">
        <w:t xml:space="preserve">one </w:t>
      </w:r>
      <w:r w:rsidR="00C06726">
        <w:t>of the following:</w:t>
      </w:r>
    </w:p>
    <w:p w14:paraId="6B3F41AB" w14:textId="2403D984" w:rsidR="00B64D0A" w:rsidRPr="004447B8" w:rsidRDefault="00B64D0A" w:rsidP="00B64D0A">
      <w:pPr>
        <w:pStyle w:val="paragraphsub"/>
      </w:pPr>
      <w:r>
        <w:tab/>
      </w:r>
      <w:r w:rsidRPr="004447B8">
        <w:t>(</w:t>
      </w:r>
      <w:proofErr w:type="spellStart"/>
      <w:r w:rsidRPr="004447B8">
        <w:t>i</w:t>
      </w:r>
      <w:proofErr w:type="spellEnd"/>
      <w:r w:rsidRPr="004447B8">
        <w:t>)</w:t>
      </w:r>
      <w:r w:rsidRPr="004447B8">
        <w:tab/>
      </w:r>
      <w:r w:rsidR="00DD3B5C">
        <w:t xml:space="preserve">a Securitisation </w:t>
      </w:r>
      <w:proofErr w:type="gramStart"/>
      <w:r w:rsidR="00DD3B5C">
        <w:t>Entity;</w:t>
      </w:r>
      <w:proofErr w:type="gramEnd"/>
    </w:p>
    <w:p w14:paraId="4F4861A8" w14:textId="77777777" w:rsidR="00DD3B5C" w:rsidRDefault="00B64D0A" w:rsidP="00B64D0A">
      <w:pPr>
        <w:pStyle w:val="paragraphsub"/>
      </w:pPr>
      <w:r w:rsidRPr="004447B8">
        <w:tab/>
        <w:t>(ii)</w:t>
      </w:r>
      <w:r w:rsidRPr="004447B8">
        <w:tab/>
      </w:r>
      <w:r w:rsidR="00DD3B5C">
        <w:t xml:space="preserve">an Investment </w:t>
      </w:r>
      <w:proofErr w:type="gramStart"/>
      <w:r w:rsidR="00DD3B5C">
        <w:t>Entity;</w:t>
      </w:r>
      <w:proofErr w:type="gramEnd"/>
    </w:p>
    <w:p w14:paraId="74C72E69" w14:textId="62F12D4F" w:rsidR="00B64D0A" w:rsidRDefault="00DD3B5C" w:rsidP="00B64D0A">
      <w:pPr>
        <w:pStyle w:val="paragraphsub"/>
      </w:pPr>
      <w:r>
        <w:tab/>
        <w:t>(iii)</w:t>
      </w:r>
      <w:r>
        <w:tab/>
      </w:r>
      <w:r w:rsidR="00505BDB">
        <w:t>an Insurance Investment Entity.</w:t>
      </w:r>
      <w:r w:rsidR="00B64D0A">
        <w:t xml:space="preserve"> </w:t>
      </w:r>
    </w:p>
    <w:p w14:paraId="69D2CA32" w14:textId="5F8C0877" w:rsidR="00543F2A" w:rsidRDefault="00D70FB6" w:rsidP="00807B6F">
      <w:pPr>
        <w:pStyle w:val="ItemHead"/>
      </w:pPr>
      <w:proofErr w:type="gramStart"/>
      <w:r>
        <w:t>8</w:t>
      </w:r>
      <w:r w:rsidR="00807B6F">
        <w:t xml:space="preserve">  At</w:t>
      </w:r>
      <w:proofErr w:type="gramEnd"/>
      <w:r w:rsidR="00807B6F">
        <w:t xml:space="preserve"> the end of section 2-85</w:t>
      </w:r>
    </w:p>
    <w:p w14:paraId="6C808326" w14:textId="07B4922C" w:rsidR="00807B6F" w:rsidRDefault="00357AB3" w:rsidP="00807B6F">
      <w:pPr>
        <w:pStyle w:val="Item"/>
      </w:pPr>
      <w:r>
        <w:t>Add</w:t>
      </w:r>
      <w:r w:rsidR="00ED1C76">
        <w:t>:</w:t>
      </w:r>
    </w:p>
    <w:p w14:paraId="3C5B7301" w14:textId="13B9C02C" w:rsidR="00A07F3D" w:rsidRDefault="00ED1C76" w:rsidP="00124613">
      <w:pPr>
        <w:pStyle w:val="subsection"/>
      </w:pPr>
      <w:r>
        <w:tab/>
        <w:t>(4)</w:t>
      </w:r>
      <w:r>
        <w:tab/>
      </w:r>
      <w:r w:rsidR="00AF64F0">
        <w:t>Subsection</w:t>
      </w:r>
      <w:r w:rsidR="006C7515">
        <w:t>s</w:t>
      </w:r>
      <w:r w:rsidR="00AF64F0">
        <w:t xml:space="preserve"> (5) </w:t>
      </w:r>
      <w:r w:rsidR="006C7515">
        <w:t xml:space="preserve">and (6) </w:t>
      </w:r>
      <w:r w:rsidR="00AF64F0">
        <w:t>appl</w:t>
      </w:r>
      <w:r w:rsidR="006C7515">
        <w:t>y</w:t>
      </w:r>
      <w:r w:rsidR="00AF64F0">
        <w:t xml:space="preserve"> in relation to a</w:t>
      </w:r>
      <w:r w:rsidR="00AE5BE9">
        <w:t xml:space="preserve"> </w:t>
      </w:r>
      <w:r w:rsidR="00AE5BE9" w:rsidRPr="00C06726">
        <w:t>Constituent Entit</w:t>
      </w:r>
      <w:r w:rsidR="00AE5BE9">
        <w:t>y</w:t>
      </w:r>
      <w:r w:rsidR="00AE5BE9" w:rsidRPr="00C06726">
        <w:t xml:space="preserve"> of </w:t>
      </w:r>
      <w:r w:rsidR="00AE5BE9">
        <w:t xml:space="preserve">an </w:t>
      </w:r>
      <w:r w:rsidR="00AE5BE9" w:rsidRPr="00C06726">
        <w:t>MNE Group</w:t>
      </w:r>
      <w:r w:rsidR="00AE5BE9">
        <w:t xml:space="preserve"> (other than </w:t>
      </w:r>
      <w:r w:rsidR="00AE5BE9" w:rsidRPr="004447B8">
        <w:t>a Securitisation Entity</w:t>
      </w:r>
      <w:r w:rsidR="00AE5BE9">
        <w:t xml:space="preserve">, Investment Entity or Insurance Investment Entity) </w:t>
      </w:r>
      <w:r w:rsidR="004A0F6F">
        <w:t xml:space="preserve">located in Australia </w:t>
      </w:r>
      <w:r w:rsidR="000F1E02">
        <w:t>i</w:t>
      </w:r>
      <w:r w:rsidR="00BE6E83">
        <w:t>f:</w:t>
      </w:r>
    </w:p>
    <w:p w14:paraId="59423843" w14:textId="12FF5BBE" w:rsidR="0083406D" w:rsidRDefault="0083406D" w:rsidP="0083406D">
      <w:pPr>
        <w:pStyle w:val="paragraph"/>
      </w:pPr>
      <w:r>
        <w:tab/>
        <w:t>(a)</w:t>
      </w:r>
      <w:r>
        <w:tab/>
      </w:r>
      <w:r w:rsidR="00D22F8B">
        <w:t>paragraph (2)(c) applies</w:t>
      </w:r>
      <w:r w:rsidR="003E1B0E">
        <w:t xml:space="preserve"> </w:t>
      </w:r>
      <w:r w:rsidR="00D27126">
        <w:t xml:space="preserve">in relation to the </w:t>
      </w:r>
      <w:r w:rsidR="008E704A" w:rsidRPr="00C06726">
        <w:t>MNE Group</w:t>
      </w:r>
      <w:r w:rsidR="008E704A">
        <w:t xml:space="preserve"> </w:t>
      </w:r>
      <w:r w:rsidR="003E1B0E">
        <w:t>for a Fiscal Year</w:t>
      </w:r>
      <w:r w:rsidR="00D22F8B">
        <w:t>; and</w:t>
      </w:r>
    </w:p>
    <w:p w14:paraId="1F1B0C63" w14:textId="62888119" w:rsidR="00FF4283" w:rsidRDefault="00A07F3D" w:rsidP="00CD1DA0">
      <w:pPr>
        <w:pStyle w:val="paragraph"/>
      </w:pPr>
      <w:r>
        <w:tab/>
        <w:t>(</w:t>
      </w:r>
      <w:r w:rsidR="00E86428">
        <w:t>b</w:t>
      </w:r>
      <w:r>
        <w:t>)</w:t>
      </w:r>
      <w:r>
        <w:tab/>
      </w:r>
      <w:r w:rsidR="003E1B0E">
        <w:t xml:space="preserve">the </w:t>
      </w:r>
      <w:r w:rsidR="00124613" w:rsidRPr="004447B8">
        <w:t>Constituent Entit</w:t>
      </w:r>
      <w:r w:rsidR="003E1B0E">
        <w:t xml:space="preserve">y does not </w:t>
      </w:r>
      <w:r w:rsidR="00CD1DA0">
        <w:t xml:space="preserve">have </w:t>
      </w:r>
      <w:r w:rsidR="00124613">
        <w:t xml:space="preserve">a UTPR Top-up Tax Amount </w:t>
      </w:r>
      <w:r w:rsidR="00124613" w:rsidRPr="004447B8">
        <w:t xml:space="preserve">for </w:t>
      </w:r>
      <w:r w:rsidR="004A0F6F">
        <w:t xml:space="preserve">the </w:t>
      </w:r>
      <w:r w:rsidR="00124613" w:rsidRPr="004447B8">
        <w:t>Fiscal Year</w:t>
      </w:r>
      <w:r w:rsidR="00FF4283">
        <w:t>.</w:t>
      </w:r>
    </w:p>
    <w:p w14:paraId="7BA0DF61" w14:textId="633B9B13" w:rsidR="00124613" w:rsidRDefault="00475EE0" w:rsidP="00475EE0">
      <w:pPr>
        <w:pStyle w:val="subsection"/>
      </w:pPr>
      <w:r>
        <w:tab/>
        <w:t>(5)</w:t>
      </w:r>
      <w:r>
        <w:tab/>
        <w:t>Treat</w:t>
      </w:r>
      <w:r w:rsidR="006C7515">
        <w:t xml:space="preserve"> the</w:t>
      </w:r>
      <w:r w:rsidR="00124613" w:rsidRPr="004447B8">
        <w:t xml:space="preserve"> Constituent Entity as </w:t>
      </w:r>
      <w:r w:rsidR="00124613">
        <w:t>having one employee</w:t>
      </w:r>
      <w:r w:rsidR="00412867">
        <w:t xml:space="preserve">, </w:t>
      </w:r>
      <w:r w:rsidR="00124613" w:rsidRPr="00412867">
        <w:t xml:space="preserve">for </w:t>
      </w:r>
      <w:r w:rsidR="007C6427">
        <w:t>the</w:t>
      </w:r>
      <w:r w:rsidR="00D875B2" w:rsidRPr="00412867">
        <w:t xml:space="preserve"> </w:t>
      </w:r>
      <w:r w:rsidR="00124613" w:rsidRPr="00412867">
        <w:t>Fiscal Year</w:t>
      </w:r>
      <w:r w:rsidR="008D0062" w:rsidRPr="00412867">
        <w:t>,</w:t>
      </w:r>
      <w:r w:rsidR="00124613">
        <w:t xml:space="preserve"> for the purposes of the</w:t>
      </w:r>
      <w:r w:rsidR="00124613" w:rsidRPr="00BA0A72">
        <w:t xml:space="preserve"> </w:t>
      </w:r>
      <w:r w:rsidR="00124613">
        <w:t xml:space="preserve">following </w:t>
      </w:r>
      <w:r w:rsidR="00124613" w:rsidRPr="004447B8">
        <w:t>definition</w:t>
      </w:r>
      <w:r w:rsidR="00124613">
        <w:t xml:space="preserve">s in </w:t>
      </w:r>
      <w:r w:rsidR="00124613" w:rsidRPr="004447B8">
        <w:t>subsection </w:t>
      </w:r>
      <w:r w:rsidR="00124613">
        <w:t>2</w:t>
      </w:r>
      <w:r w:rsidR="00124613" w:rsidRPr="004447B8">
        <w:noBreakHyphen/>
      </w:r>
      <w:r w:rsidR="00124613">
        <w:t>7</w:t>
      </w:r>
      <w:r w:rsidR="00124613" w:rsidRPr="004447B8">
        <w:t>0(</w:t>
      </w:r>
      <w:r w:rsidR="00124613">
        <w:t>3</w:t>
      </w:r>
      <w:r w:rsidR="00124613" w:rsidRPr="004447B8">
        <w:t>)</w:t>
      </w:r>
      <w:r w:rsidR="00124613">
        <w:t>:</w:t>
      </w:r>
    </w:p>
    <w:p w14:paraId="65A674B0" w14:textId="5417F733" w:rsidR="00124613" w:rsidRPr="004447B8" w:rsidRDefault="00124613" w:rsidP="006F2AC1">
      <w:pPr>
        <w:pStyle w:val="paragraph"/>
      </w:pPr>
      <w:r w:rsidRPr="004447B8">
        <w:tab/>
        <w:t>(</w:t>
      </w:r>
      <w:r w:rsidR="006F2AC1">
        <w:t>a</w:t>
      </w:r>
      <w:r w:rsidRPr="004447B8">
        <w:t>)</w:t>
      </w:r>
      <w:r w:rsidRPr="004447B8">
        <w:tab/>
        <w:t xml:space="preserve">the definition of </w:t>
      </w:r>
      <w:r w:rsidRPr="00815181">
        <w:rPr>
          <w:b/>
          <w:bCs/>
          <w:i/>
          <w:iCs/>
        </w:rPr>
        <w:t xml:space="preserve">Number of employees of all CEs in </w:t>
      </w:r>
      <w:proofErr w:type="gramStart"/>
      <w:r w:rsidRPr="00815181">
        <w:rPr>
          <w:b/>
          <w:bCs/>
          <w:i/>
          <w:iCs/>
        </w:rPr>
        <w:t>Australia</w:t>
      </w:r>
      <w:r w:rsidRPr="004447B8">
        <w:t>;</w:t>
      </w:r>
      <w:proofErr w:type="gramEnd"/>
    </w:p>
    <w:p w14:paraId="3DD765DF" w14:textId="6000C1E2" w:rsidR="00124613" w:rsidRDefault="00124613" w:rsidP="006F2AC1">
      <w:pPr>
        <w:pStyle w:val="paragraph"/>
      </w:pPr>
      <w:r w:rsidRPr="004447B8">
        <w:tab/>
        <w:t>(</w:t>
      </w:r>
      <w:r w:rsidR="006F2AC1">
        <w:t>b</w:t>
      </w:r>
      <w:r w:rsidRPr="004447B8">
        <w:t>)</w:t>
      </w:r>
      <w:r w:rsidRPr="004447B8">
        <w:tab/>
        <w:t xml:space="preserve">the definition of </w:t>
      </w:r>
      <w:r w:rsidRPr="00815181">
        <w:rPr>
          <w:b/>
          <w:bCs/>
          <w:i/>
          <w:iCs/>
        </w:rPr>
        <w:t>Number of employees of CE in Australia</w:t>
      </w:r>
      <w:r w:rsidR="006F2AC1">
        <w:t>.</w:t>
      </w:r>
    </w:p>
    <w:p w14:paraId="0B6BDF00" w14:textId="23637461" w:rsidR="00124613" w:rsidRDefault="006F2AC1" w:rsidP="006F2AC1">
      <w:pPr>
        <w:pStyle w:val="subsection"/>
      </w:pPr>
      <w:r>
        <w:tab/>
        <w:t>(6)</w:t>
      </w:r>
      <w:r>
        <w:tab/>
        <w:t>Treat the</w:t>
      </w:r>
      <w:r w:rsidRPr="004447B8">
        <w:t xml:space="preserve"> </w:t>
      </w:r>
      <w:r w:rsidR="004F69EC">
        <w:t xml:space="preserve">sum of the Net Book Value of tangible assets of </w:t>
      </w:r>
      <w:r>
        <w:t xml:space="preserve">the </w:t>
      </w:r>
      <w:r w:rsidR="00124613" w:rsidRPr="004447B8">
        <w:t xml:space="preserve">Constituent Entity as </w:t>
      </w:r>
      <w:r w:rsidR="00695073">
        <w:t xml:space="preserve">being </w:t>
      </w:r>
      <w:r w:rsidR="00124613">
        <w:t>one Euro</w:t>
      </w:r>
      <w:r w:rsidR="00AE3F91">
        <w:t>,</w:t>
      </w:r>
      <w:r w:rsidR="00124613">
        <w:t xml:space="preserve"> </w:t>
      </w:r>
      <w:r w:rsidR="00AE3F91" w:rsidRPr="00412867">
        <w:t xml:space="preserve">for </w:t>
      </w:r>
      <w:r w:rsidR="006A1720">
        <w:t>the</w:t>
      </w:r>
      <w:r w:rsidR="00AE3F91" w:rsidRPr="00412867">
        <w:t xml:space="preserve"> Fiscal Year</w:t>
      </w:r>
      <w:r w:rsidR="008D0062">
        <w:t>,</w:t>
      </w:r>
      <w:r w:rsidR="00124613">
        <w:t xml:space="preserve"> for the purposes of the</w:t>
      </w:r>
      <w:r w:rsidR="00124613" w:rsidRPr="00BA0A72">
        <w:t xml:space="preserve"> </w:t>
      </w:r>
      <w:r w:rsidR="00124613">
        <w:t xml:space="preserve">following </w:t>
      </w:r>
      <w:r w:rsidR="00124613" w:rsidRPr="004447B8">
        <w:t>definition</w:t>
      </w:r>
      <w:r w:rsidR="00124613">
        <w:t xml:space="preserve">s in </w:t>
      </w:r>
      <w:r w:rsidR="00124613" w:rsidRPr="004447B8">
        <w:t>subsection </w:t>
      </w:r>
      <w:r w:rsidR="00124613">
        <w:t>2</w:t>
      </w:r>
      <w:r w:rsidR="00124613" w:rsidRPr="004447B8">
        <w:noBreakHyphen/>
      </w:r>
      <w:r w:rsidR="00124613">
        <w:t>7</w:t>
      </w:r>
      <w:r w:rsidR="00124613" w:rsidRPr="004447B8">
        <w:t>0(</w:t>
      </w:r>
      <w:r w:rsidR="00124613">
        <w:t>3</w:t>
      </w:r>
      <w:r w:rsidR="00124613" w:rsidRPr="004447B8">
        <w:t>)</w:t>
      </w:r>
      <w:r w:rsidR="00124613">
        <w:t>:</w:t>
      </w:r>
    </w:p>
    <w:p w14:paraId="4456C550" w14:textId="5F7969BC" w:rsidR="00124613" w:rsidRPr="00887582" w:rsidRDefault="00124613" w:rsidP="00887582">
      <w:pPr>
        <w:pStyle w:val="paragraph"/>
      </w:pPr>
      <w:r w:rsidRPr="004447B8">
        <w:tab/>
        <w:t>(</w:t>
      </w:r>
      <w:r w:rsidR="006F2AC1">
        <w:t>a</w:t>
      </w:r>
      <w:r w:rsidRPr="004447B8">
        <w:t>)</w:t>
      </w:r>
      <w:r w:rsidRPr="004447B8">
        <w:tab/>
        <w:t xml:space="preserve">the definition of </w:t>
      </w:r>
      <w:r w:rsidRPr="00815181">
        <w:rPr>
          <w:b/>
          <w:bCs/>
          <w:i/>
          <w:iCs/>
        </w:rPr>
        <w:t xml:space="preserve">Total value of tangible assets of all CEs in </w:t>
      </w:r>
      <w:proofErr w:type="gramStart"/>
      <w:r w:rsidRPr="00815181">
        <w:rPr>
          <w:b/>
          <w:bCs/>
          <w:i/>
          <w:iCs/>
        </w:rPr>
        <w:t>Australia</w:t>
      </w:r>
      <w:r w:rsidRPr="00887582">
        <w:t>;</w:t>
      </w:r>
      <w:proofErr w:type="gramEnd"/>
    </w:p>
    <w:p w14:paraId="1492B253" w14:textId="1031FCC0" w:rsidR="0020072C" w:rsidRPr="008407DD" w:rsidRDefault="00124613" w:rsidP="00887582">
      <w:pPr>
        <w:pStyle w:val="paragraph"/>
      </w:pPr>
      <w:r w:rsidRPr="004447B8">
        <w:tab/>
        <w:t>(</w:t>
      </w:r>
      <w:r w:rsidR="006F2AC1">
        <w:t>b</w:t>
      </w:r>
      <w:r w:rsidRPr="004447B8">
        <w:t>)</w:t>
      </w:r>
      <w:r w:rsidRPr="004447B8">
        <w:tab/>
        <w:t xml:space="preserve">the definition of </w:t>
      </w:r>
      <w:r w:rsidRPr="00815181">
        <w:rPr>
          <w:b/>
          <w:bCs/>
          <w:i/>
          <w:iCs/>
        </w:rPr>
        <w:t>Total value of tangible assets of CE in Australia</w:t>
      </w:r>
      <w:r w:rsidRPr="00887582">
        <w:t>.</w:t>
      </w:r>
    </w:p>
    <w:p w14:paraId="25A88F49" w14:textId="2C194765" w:rsidR="00F5638C" w:rsidRDefault="00F05ECC" w:rsidP="00F5638C">
      <w:pPr>
        <w:pStyle w:val="ItemHead"/>
      </w:pPr>
      <w:proofErr w:type="gramStart"/>
      <w:r>
        <w:t>9</w:t>
      </w:r>
      <w:r w:rsidR="00F5638C">
        <w:t xml:space="preserve">  </w:t>
      </w:r>
      <w:r w:rsidR="00852E5F">
        <w:t>After</w:t>
      </w:r>
      <w:proofErr w:type="gramEnd"/>
      <w:r w:rsidR="00852E5F">
        <w:t xml:space="preserve"> section 3-30</w:t>
      </w:r>
    </w:p>
    <w:p w14:paraId="4E8DAD66" w14:textId="31471C52" w:rsidR="00F5638C" w:rsidRDefault="00852E5F" w:rsidP="00F5638C">
      <w:pPr>
        <w:pStyle w:val="Item"/>
      </w:pPr>
      <w:r w:rsidRPr="00852E5F">
        <w:t>Insert:</w:t>
      </w:r>
    </w:p>
    <w:p w14:paraId="57F0BC7A" w14:textId="3652A010" w:rsidR="00F15EA3" w:rsidRPr="00356487" w:rsidRDefault="00F15EA3" w:rsidP="00F15EA3">
      <w:pPr>
        <w:pStyle w:val="ActHead5"/>
      </w:pPr>
      <w:bookmarkStart w:id="10" w:name="_Toc190698025"/>
      <w:r w:rsidRPr="00934057">
        <w:rPr>
          <w:rStyle w:val="CharSectno"/>
        </w:rPr>
        <w:t>3-</w:t>
      </w:r>
      <w:proofErr w:type="gramStart"/>
      <w:r w:rsidRPr="00934057">
        <w:rPr>
          <w:rStyle w:val="CharSectno"/>
        </w:rPr>
        <w:t>31</w:t>
      </w:r>
      <w:r>
        <w:t xml:space="preserve">  Adjustment</w:t>
      </w:r>
      <w:proofErr w:type="gramEnd"/>
      <w:r w:rsidRPr="00624534">
        <w:rPr>
          <w:i/>
          <w:iCs/>
        </w:rPr>
        <w:t>—</w:t>
      </w:r>
      <w:r>
        <w:t>Excluded Equity Gain or Loss</w:t>
      </w:r>
      <w:r w:rsidR="00D8766E" w:rsidRPr="00624534">
        <w:rPr>
          <w:i/>
          <w:iCs/>
        </w:rPr>
        <w:t>—</w:t>
      </w:r>
      <w:r w:rsidR="00356487">
        <w:t>election</w:t>
      </w:r>
      <w:bookmarkEnd w:id="10"/>
    </w:p>
    <w:p w14:paraId="497B8A8F" w14:textId="746FC89B" w:rsidR="00F15EA3" w:rsidRDefault="00F15EA3" w:rsidP="00F15EA3">
      <w:pPr>
        <w:pStyle w:val="subsection"/>
      </w:pPr>
      <w:r>
        <w:tab/>
        <w:t>(</w:t>
      </w:r>
      <w:r w:rsidR="00181A0B">
        <w:t>1</w:t>
      </w:r>
      <w:r>
        <w:t>)</w:t>
      </w:r>
      <w:r>
        <w:tab/>
      </w:r>
      <w:r w:rsidR="00356487">
        <w:t xml:space="preserve">A Filing Constituent Entity </w:t>
      </w:r>
      <w:r w:rsidR="006862AF">
        <w:t xml:space="preserve">for </w:t>
      </w:r>
      <w:r w:rsidR="00BB2B70">
        <w:t xml:space="preserve">an </w:t>
      </w:r>
      <w:r w:rsidR="00356487">
        <w:t xml:space="preserve">MNE Group may make an election for the MNE Group under this subsection that applies to </w:t>
      </w:r>
      <w:r w:rsidR="008A6B9E">
        <w:t>a specified jur</w:t>
      </w:r>
      <w:r>
        <w:t>isdiction.</w:t>
      </w:r>
    </w:p>
    <w:p w14:paraId="40D29A17" w14:textId="14CC65FD" w:rsidR="0042313D" w:rsidRDefault="00F15EA3" w:rsidP="00BA0DBF">
      <w:pPr>
        <w:pStyle w:val="subsection"/>
      </w:pPr>
      <w:r>
        <w:tab/>
        <w:t>(</w:t>
      </w:r>
      <w:r w:rsidR="00181A0B">
        <w:t>2</w:t>
      </w:r>
      <w:r>
        <w:t>)</w:t>
      </w:r>
      <w:r>
        <w:tab/>
      </w:r>
      <w:r w:rsidR="006A3003">
        <w:t xml:space="preserve">An election under </w:t>
      </w:r>
      <w:r w:rsidR="006A3003" w:rsidRPr="000301E2">
        <w:t>subsection (</w:t>
      </w:r>
      <w:r w:rsidR="00181A0B" w:rsidRPr="000301E2">
        <w:t>1</w:t>
      </w:r>
      <w:r w:rsidR="006A3003" w:rsidRPr="000301E2">
        <w:t>) is a</w:t>
      </w:r>
      <w:r w:rsidR="006A3003">
        <w:t xml:space="preserve"> Five-Year Election.</w:t>
      </w:r>
    </w:p>
    <w:p w14:paraId="4190D2E0" w14:textId="7D79AC87" w:rsidR="00181A0B" w:rsidRPr="001F4062" w:rsidRDefault="00D852A5" w:rsidP="00181A0B">
      <w:pPr>
        <w:pStyle w:val="SubsectionHead"/>
      </w:pPr>
      <w:r>
        <w:t>R</w:t>
      </w:r>
      <w:r w:rsidR="00181A0B">
        <w:t>evocation</w:t>
      </w:r>
    </w:p>
    <w:p w14:paraId="1C816AB3" w14:textId="46DC542F" w:rsidR="009736CC" w:rsidRDefault="009736CC" w:rsidP="009E4D00">
      <w:pPr>
        <w:pStyle w:val="subsection"/>
      </w:pPr>
      <w:r>
        <w:tab/>
      </w:r>
      <w:r w:rsidRPr="00187BDC">
        <w:t>(</w:t>
      </w:r>
      <w:r w:rsidR="00BA0DBF" w:rsidRPr="00187BDC">
        <w:t>3</w:t>
      </w:r>
      <w:r w:rsidRPr="00187BDC">
        <w:t>)</w:t>
      </w:r>
      <w:r w:rsidRPr="00187BDC">
        <w:tab/>
      </w:r>
      <w:r w:rsidR="00BA0DBF" w:rsidRPr="00187BDC">
        <w:t xml:space="preserve">An </w:t>
      </w:r>
      <w:r w:rsidR="001F4062" w:rsidRPr="00187BDC">
        <w:t xml:space="preserve">election </w:t>
      </w:r>
      <w:r w:rsidR="00BA0DBF" w:rsidRPr="00187BDC">
        <w:t>under</w:t>
      </w:r>
      <w:r w:rsidR="00BA0DBF">
        <w:t xml:space="preserve"> </w:t>
      </w:r>
      <w:r w:rsidR="00BA0DBF" w:rsidRPr="008B5DD6">
        <w:t>subsection (1)</w:t>
      </w:r>
      <w:r w:rsidR="00BA0DBF">
        <w:t xml:space="preserve"> </w:t>
      </w:r>
      <w:r w:rsidR="001F4062" w:rsidRPr="00187BDC">
        <w:t>may not be revoked</w:t>
      </w:r>
      <w:r w:rsidR="00852229" w:rsidRPr="00187BDC">
        <w:t xml:space="preserve"> </w:t>
      </w:r>
      <w:r w:rsidR="00335CB4" w:rsidRPr="00187BDC">
        <w:t>if</w:t>
      </w:r>
      <w:r w:rsidR="00AD1E76" w:rsidRPr="00187BDC">
        <w:t xml:space="preserve">, for any </w:t>
      </w:r>
      <w:r w:rsidR="00634697" w:rsidRPr="00187BDC">
        <w:t xml:space="preserve">Fiscal Year </w:t>
      </w:r>
      <w:r w:rsidR="008B5DD6" w:rsidRPr="00187BDC">
        <w:t>to which it applies</w:t>
      </w:r>
      <w:r w:rsidR="00634697" w:rsidRPr="00187BDC">
        <w:t xml:space="preserve">, </w:t>
      </w:r>
      <w:r w:rsidR="003E706A" w:rsidRPr="00187BDC">
        <w:t xml:space="preserve">an adjustment mentioned in </w:t>
      </w:r>
      <w:r w:rsidR="00391884" w:rsidRPr="00187BDC">
        <w:t>subsection 3-32(2)</w:t>
      </w:r>
      <w:r w:rsidR="00FE494A" w:rsidRPr="00187BDC">
        <w:t xml:space="preserve"> </w:t>
      </w:r>
      <w:r w:rsidR="00EF774F" w:rsidRPr="00187BDC">
        <w:t xml:space="preserve">is made in relation to a loss </w:t>
      </w:r>
      <w:r w:rsidR="00D7774A" w:rsidRPr="00187BDC">
        <w:t>mentioned in that subsection</w:t>
      </w:r>
      <w:r w:rsidR="00EF774F" w:rsidRPr="00187BDC">
        <w:t>.</w:t>
      </w:r>
    </w:p>
    <w:p w14:paraId="29F5CAFD" w14:textId="371BA71A" w:rsidR="00F22147" w:rsidRPr="00356487" w:rsidRDefault="00934057" w:rsidP="00F22147">
      <w:pPr>
        <w:pStyle w:val="ActHead5"/>
      </w:pPr>
      <w:bookmarkStart w:id="11" w:name="_Toc190698026"/>
      <w:r w:rsidRPr="00934057">
        <w:rPr>
          <w:rStyle w:val="CharSectno"/>
        </w:rPr>
        <w:t>3-</w:t>
      </w:r>
      <w:proofErr w:type="gramStart"/>
      <w:r w:rsidRPr="00934057">
        <w:rPr>
          <w:rStyle w:val="CharSectno"/>
        </w:rPr>
        <w:t>3</w:t>
      </w:r>
      <w:r w:rsidR="00F15EA3">
        <w:rPr>
          <w:rStyle w:val="CharSectno"/>
        </w:rPr>
        <w:t>2</w:t>
      </w:r>
      <w:r>
        <w:t xml:space="preserve">  Adjustment</w:t>
      </w:r>
      <w:proofErr w:type="gramEnd"/>
      <w:r w:rsidRPr="00624534">
        <w:rPr>
          <w:i/>
          <w:iCs/>
        </w:rPr>
        <w:t>—</w:t>
      </w:r>
      <w:r w:rsidR="001B7FF4">
        <w:t>Excluded Equity Gain or Loss</w:t>
      </w:r>
      <w:r w:rsidR="00F22147" w:rsidRPr="00624534">
        <w:rPr>
          <w:i/>
          <w:iCs/>
        </w:rPr>
        <w:t>—</w:t>
      </w:r>
      <w:r w:rsidR="008003E8">
        <w:t>general case</w:t>
      </w:r>
      <w:bookmarkEnd w:id="11"/>
    </w:p>
    <w:p w14:paraId="3B37E382" w14:textId="19A14552" w:rsidR="004E565A" w:rsidRDefault="00D50759" w:rsidP="00D50759">
      <w:pPr>
        <w:pStyle w:val="subsection"/>
      </w:pPr>
      <w:r>
        <w:tab/>
      </w:r>
      <w:r w:rsidR="000D1661">
        <w:t>(1)</w:t>
      </w:r>
      <w:r w:rsidR="000D1661">
        <w:tab/>
      </w:r>
      <w:r w:rsidR="00A32243">
        <w:t>S</w:t>
      </w:r>
      <w:r w:rsidR="00224CE6">
        <w:t>ubsection (2)</w:t>
      </w:r>
      <w:r w:rsidR="00C211F1">
        <w:t xml:space="preserve"> applies if an election</w:t>
      </w:r>
      <w:r w:rsidR="00AD76B3">
        <w:t xml:space="preserve"> under</w:t>
      </w:r>
      <w:r w:rsidR="002D3349">
        <w:t xml:space="preserve"> </w:t>
      </w:r>
      <w:r w:rsidR="007B4CDB">
        <w:t>sub</w:t>
      </w:r>
      <w:r w:rsidR="0034574A">
        <w:t>section 3-3</w:t>
      </w:r>
      <w:r w:rsidR="002D3F96">
        <w:t>1</w:t>
      </w:r>
      <w:r w:rsidR="007B4CDB">
        <w:t>(</w:t>
      </w:r>
      <w:r w:rsidR="00A32243">
        <w:t>1</w:t>
      </w:r>
      <w:r w:rsidR="007B4CDB">
        <w:t>)</w:t>
      </w:r>
      <w:r w:rsidR="0034574A">
        <w:t xml:space="preserve"> </w:t>
      </w:r>
      <w:r w:rsidR="00F6795E">
        <w:t>for an MNE Group applies to a</w:t>
      </w:r>
      <w:r w:rsidR="00094AE1">
        <w:t xml:space="preserve"> jurisdiction and a Fiscal Year</w:t>
      </w:r>
      <w:r w:rsidR="00FA309A">
        <w:t>.</w:t>
      </w:r>
    </w:p>
    <w:p w14:paraId="7F909C62" w14:textId="20DB982E" w:rsidR="00852E5F" w:rsidRDefault="000D1661" w:rsidP="00D50759">
      <w:pPr>
        <w:pStyle w:val="subsection"/>
      </w:pPr>
      <w:r>
        <w:tab/>
      </w:r>
      <w:r w:rsidR="004E565A">
        <w:t>(2)</w:t>
      </w:r>
      <w:r w:rsidR="00A13D7B">
        <w:tab/>
      </w:r>
      <w:r w:rsidR="00D50759">
        <w:t xml:space="preserve">Despite </w:t>
      </w:r>
      <w:r w:rsidR="00A13D7B">
        <w:t>section 3-30,</w:t>
      </w:r>
      <w:r w:rsidR="00EC3C35">
        <w:t xml:space="preserve"> </w:t>
      </w:r>
      <w:r w:rsidR="008871EC">
        <w:t xml:space="preserve">in computing the </w:t>
      </w:r>
      <w:proofErr w:type="spellStart"/>
      <w:r w:rsidR="008871EC">
        <w:t>GloBE</w:t>
      </w:r>
      <w:proofErr w:type="spellEnd"/>
      <w:r w:rsidR="008871EC">
        <w:t xml:space="preserve"> </w:t>
      </w:r>
      <w:r w:rsidR="00E26D18">
        <w:t>I</w:t>
      </w:r>
      <w:r w:rsidR="008871EC">
        <w:t xml:space="preserve">ncome or </w:t>
      </w:r>
      <w:r w:rsidR="00E26D18">
        <w:t>L</w:t>
      </w:r>
      <w:r w:rsidR="008871EC">
        <w:t>oss</w:t>
      </w:r>
      <w:r w:rsidR="00E26D18">
        <w:t xml:space="preserve"> of </w:t>
      </w:r>
      <w:r w:rsidR="00713EAF">
        <w:t>a</w:t>
      </w:r>
      <w:r w:rsidR="00E26D18">
        <w:t xml:space="preserve"> Constituent</w:t>
      </w:r>
      <w:r w:rsidR="00A13D7B">
        <w:t xml:space="preserve"> </w:t>
      </w:r>
      <w:r w:rsidR="00D33E38">
        <w:t>Entity</w:t>
      </w:r>
      <w:r w:rsidR="00713EAF">
        <w:t xml:space="preserve"> of the MNE Group</w:t>
      </w:r>
      <w:r w:rsidR="00A23550">
        <w:t xml:space="preserve"> located in the jurisdiction</w:t>
      </w:r>
      <w:r w:rsidR="001D3B51">
        <w:t xml:space="preserve">, adjust the Constituent Entity’s Financial Accounting Net Income or </w:t>
      </w:r>
      <w:r w:rsidR="002530EA">
        <w:t>L</w:t>
      </w:r>
      <w:r w:rsidR="001D3B51">
        <w:t>oss for the</w:t>
      </w:r>
      <w:r w:rsidR="002530EA">
        <w:t xml:space="preserve"> Fiscal Year so as to</w:t>
      </w:r>
      <w:r w:rsidR="002B541E">
        <w:t xml:space="preserve"> include an</w:t>
      </w:r>
      <w:r w:rsidR="002A61CF">
        <w:t>y</w:t>
      </w:r>
      <w:r w:rsidR="002B541E">
        <w:t xml:space="preserve"> Excluded Equity Gain or Loss </w:t>
      </w:r>
      <w:r w:rsidR="00665322">
        <w:t xml:space="preserve">of the Constituent Entity </w:t>
      </w:r>
      <w:r w:rsidR="00353C23">
        <w:t>for th</w:t>
      </w:r>
      <w:r w:rsidR="00723C10">
        <w:t>e Fiscal Ye</w:t>
      </w:r>
      <w:r w:rsidR="00B47E4C">
        <w:t>ar</w:t>
      </w:r>
      <w:r w:rsidR="00353C23">
        <w:t>,</w:t>
      </w:r>
      <w:r w:rsidR="00665322">
        <w:t xml:space="preserve"> </w:t>
      </w:r>
      <w:r w:rsidR="002B541E">
        <w:t>to the extent that</w:t>
      </w:r>
      <w:r w:rsidR="002530EA">
        <w:t>:</w:t>
      </w:r>
    </w:p>
    <w:p w14:paraId="56DEF06C" w14:textId="2585CA2B" w:rsidR="00567075" w:rsidRDefault="000E10A6" w:rsidP="002B541E">
      <w:pPr>
        <w:pStyle w:val="paragraph"/>
      </w:pPr>
      <w:r>
        <w:tab/>
        <w:t>(a)</w:t>
      </w:r>
      <w:r>
        <w:tab/>
      </w:r>
      <w:r w:rsidR="00750A32">
        <w:t xml:space="preserve">for a gain or loss </w:t>
      </w:r>
      <w:r w:rsidR="00184D94">
        <w:t xml:space="preserve">in respect of an Ownership Interest </w:t>
      </w:r>
      <w:r w:rsidR="00750A32">
        <w:t xml:space="preserve">mentioned in </w:t>
      </w:r>
      <w:r w:rsidR="00AC581E">
        <w:t>paragraph 3-3</w:t>
      </w:r>
      <w:r w:rsidR="00D505E0">
        <w:t>5</w:t>
      </w:r>
      <w:r w:rsidR="00AC581E">
        <w:t>(1)(a)</w:t>
      </w:r>
      <w:r w:rsidR="00567075">
        <w:t>:</w:t>
      </w:r>
    </w:p>
    <w:p w14:paraId="27BD933D" w14:textId="48C51553" w:rsidR="00850273" w:rsidRDefault="00567075" w:rsidP="0078577C">
      <w:pPr>
        <w:pStyle w:val="paragraphsub"/>
      </w:pPr>
      <w:r>
        <w:tab/>
      </w:r>
      <w:r w:rsidRPr="00AE0F8C">
        <w:t>(</w:t>
      </w:r>
      <w:proofErr w:type="spellStart"/>
      <w:r w:rsidRPr="00AE0F8C">
        <w:t>i</w:t>
      </w:r>
      <w:proofErr w:type="spellEnd"/>
      <w:r w:rsidRPr="00AE0F8C">
        <w:t>)</w:t>
      </w:r>
      <w:r w:rsidR="0078577C">
        <w:tab/>
      </w:r>
      <w:r w:rsidR="0027563C" w:rsidRPr="00AE0F8C">
        <w:t>the</w:t>
      </w:r>
      <w:r w:rsidR="00B22C3B" w:rsidRPr="00AE0F8C">
        <w:t xml:space="preserve"> </w:t>
      </w:r>
      <w:r w:rsidR="00F529C7">
        <w:t>Constituent Entity</w:t>
      </w:r>
      <w:r w:rsidR="00283A78">
        <w:t xml:space="preserve"> </w:t>
      </w:r>
      <w:r w:rsidR="003C3378" w:rsidRPr="00AE0F8C">
        <w:t xml:space="preserve">is </w:t>
      </w:r>
      <w:r w:rsidR="00E44B93">
        <w:t xml:space="preserve">subject to </w:t>
      </w:r>
      <w:r w:rsidR="003C3378" w:rsidRPr="00AE0F8C">
        <w:t xml:space="preserve">tax </w:t>
      </w:r>
      <w:r w:rsidR="001A21C1" w:rsidRPr="00AE0F8C">
        <w:t xml:space="preserve">on </w:t>
      </w:r>
      <w:r w:rsidR="00EE1241">
        <w:t xml:space="preserve">the basis of </w:t>
      </w:r>
      <w:r w:rsidR="001A21C1" w:rsidRPr="00AE0F8C">
        <w:t xml:space="preserve">mark-to-market </w:t>
      </w:r>
      <w:r w:rsidR="00EE1241">
        <w:t>movements</w:t>
      </w:r>
      <w:r w:rsidR="005C5A2A" w:rsidRPr="00AE0F8C">
        <w:t>,</w:t>
      </w:r>
      <w:r w:rsidR="001A21C1" w:rsidRPr="00AE0F8C">
        <w:t xml:space="preserve"> or the impairment</w:t>
      </w:r>
      <w:r w:rsidR="00401660">
        <w:t>,</w:t>
      </w:r>
      <w:r w:rsidR="00DA2037">
        <w:t xml:space="preserve"> o</w:t>
      </w:r>
      <w:r w:rsidR="00401660">
        <w:t>f</w:t>
      </w:r>
      <w:r w:rsidR="00885514">
        <w:t xml:space="preserve"> the Ownership Interest</w:t>
      </w:r>
      <w:r w:rsidR="002664E0" w:rsidRPr="00AE0F8C">
        <w:t>,</w:t>
      </w:r>
      <w:r w:rsidR="00EE1241">
        <w:t xml:space="preserve"> </w:t>
      </w:r>
      <w:r w:rsidR="00FC7E05">
        <w:t xml:space="preserve">if </w:t>
      </w:r>
      <w:r w:rsidR="00547307">
        <w:t>the tax consequences of those movements or th</w:t>
      </w:r>
      <w:r w:rsidR="00885514">
        <w:t>at</w:t>
      </w:r>
      <w:r w:rsidR="00547307">
        <w:t xml:space="preserve"> impairment </w:t>
      </w:r>
      <w:r w:rsidR="00BA6498">
        <w:t xml:space="preserve">are reflected in </w:t>
      </w:r>
      <w:r w:rsidR="004A69F4">
        <w:t xml:space="preserve">the Constituent Entity’s </w:t>
      </w:r>
      <w:r w:rsidR="00AC576C">
        <w:t>income tax expense</w:t>
      </w:r>
      <w:r w:rsidR="00BA6498">
        <w:t>; or</w:t>
      </w:r>
    </w:p>
    <w:p w14:paraId="2F881F7B" w14:textId="52AD57E7" w:rsidR="00F53466" w:rsidRDefault="00850273" w:rsidP="00850273">
      <w:pPr>
        <w:pStyle w:val="paragraphsub"/>
      </w:pPr>
      <w:r>
        <w:tab/>
        <w:t>(ii)</w:t>
      </w:r>
      <w:r w:rsidR="00567075" w:rsidRPr="00AE0F8C">
        <w:t xml:space="preserve"> </w:t>
      </w:r>
      <w:r>
        <w:tab/>
      </w:r>
      <w:r w:rsidR="00DA4618">
        <w:t xml:space="preserve">the Constituent Entity </w:t>
      </w:r>
      <w:r w:rsidR="007D7893">
        <w:t xml:space="preserve">is </w:t>
      </w:r>
      <w:r w:rsidR="00AC576C">
        <w:t xml:space="preserve">subject to </w:t>
      </w:r>
      <w:r w:rsidR="007D7893">
        <w:t>tax on a realisation basis</w:t>
      </w:r>
      <w:r w:rsidR="00D542D6">
        <w:t>,</w:t>
      </w:r>
      <w:r w:rsidR="007D7893">
        <w:t xml:space="preserve"> </w:t>
      </w:r>
      <w:r w:rsidR="00FC7E05">
        <w:t xml:space="preserve">if </w:t>
      </w:r>
      <w:r w:rsidR="00184AF1">
        <w:t xml:space="preserve">the Constituent Entity’s </w:t>
      </w:r>
      <w:r w:rsidR="00D542D6">
        <w:t xml:space="preserve">income tax expense </w:t>
      </w:r>
      <w:r w:rsidR="00027AA1">
        <w:t xml:space="preserve">includes </w:t>
      </w:r>
      <w:r w:rsidR="00184AF1">
        <w:t xml:space="preserve">a </w:t>
      </w:r>
      <w:r w:rsidR="00027AA1">
        <w:t xml:space="preserve">deferred tax expense </w:t>
      </w:r>
      <w:r w:rsidR="00580844">
        <w:t>on the mark</w:t>
      </w:r>
      <w:r w:rsidR="00580844" w:rsidRPr="00AE0F8C">
        <w:t xml:space="preserve">-to-market </w:t>
      </w:r>
      <w:r w:rsidR="00580844">
        <w:t>movements</w:t>
      </w:r>
      <w:r w:rsidR="00170CA5">
        <w:t>,</w:t>
      </w:r>
      <w:r w:rsidR="002E2A49">
        <w:t xml:space="preserve"> </w:t>
      </w:r>
      <w:r w:rsidR="00580844" w:rsidRPr="00AE0F8C">
        <w:t xml:space="preserve">or </w:t>
      </w:r>
      <w:r w:rsidR="005148AD">
        <w:t>t</w:t>
      </w:r>
      <w:r w:rsidR="00580844" w:rsidRPr="00AE0F8C">
        <w:t>he impairment</w:t>
      </w:r>
      <w:r w:rsidR="00170CA5">
        <w:t>,</w:t>
      </w:r>
      <w:r w:rsidR="00580844">
        <w:t xml:space="preserve"> o</w:t>
      </w:r>
      <w:r w:rsidR="00170CA5">
        <w:t>f</w:t>
      </w:r>
      <w:r w:rsidR="00E01EAE">
        <w:t xml:space="preserve"> </w:t>
      </w:r>
      <w:r w:rsidR="00580844">
        <w:t>the Ownership Interest; or</w:t>
      </w:r>
    </w:p>
    <w:p w14:paraId="502A059D" w14:textId="11BFF32B" w:rsidR="00B57C4C" w:rsidRDefault="00AC1B8A" w:rsidP="00B57C4C">
      <w:pPr>
        <w:pStyle w:val="paragraph"/>
      </w:pPr>
      <w:r>
        <w:tab/>
        <w:t>(b)</w:t>
      </w:r>
      <w:r>
        <w:tab/>
      </w:r>
      <w:r w:rsidR="000A5E69">
        <w:t>for a profit or</w:t>
      </w:r>
      <w:r w:rsidR="00730E10">
        <w:t xml:space="preserve"> loss </w:t>
      </w:r>
      <w:r w:rsidR="006B4E95">
        <w:t xml:space="preserve">in respect of an Ownership Interest </w:t>
      </w:r>
      <w:r w:rsidR="000A5E69">
        <w:t>mentioned in paragraph 3-3</w:t>
      </w:r>
      <w:r w:rsidR="00B452BD">
        <w:t>5</w:t>
      </w:r>
      <w:r w:rsidR="000A5E69">
        <w:t>(1)(</w:t>
      </w:r>
      <w:r w:rsidR="00730E10">
        <w:t>b)</w:t>
      </w:r>
      <w:r w:rsidR="006B23EB" w:rsidRPr="00624534">
        <w:rPr>
          <w:i/>
          <w:iCs/>
        </w:rPr>
        <w:t>—</w:t>
      </w:r>
      <w:r w:rsidR="00C050F4">
        <w:t xml:space="preserve">the profit or loss is attributable </w:t>
      </w:r>
      <w:r w:rsidR="006B4E95">
        <w:t xml:space="preserve">to </w:t>
      </w:r>
      <w:r w:rsidR="00486919">
        <w:t xml:space="preserve">an </w:t>
      </w:r>
      <w:r w:rsidR="00B57C4C">
        <w:t>Ownership Interest</w:t>
      </w:r>
      <w:r w:rsidR="00486919">
        <w:t xml:space="preserve"> </w:t>
      </w:r>
      <w:r w:rsidR="00285FB7">
        <w:t xml:space="preserve">(other than a Portfolio Shareholding) </w:t>
      </w:r>
      <w:r w:rsidR="00486919">
        <w:t xml:space="preserve">that is in </w:t>
      </w:r>
      <w:r w:rsidR="00B57C4C">
        <w:t xml:space="preserve">a </w:t>
      </w:r>
      <w:r w:rsidR="00B57C4C" w:rsidRPr="00644703">
        <w:t>Tax Transparent Entity;</w:t>
      </w:r>
      <w:r w:rsidR="00B57C4C">
        <w:t xml:space="preserve"> or</w:t>
      </w:r>
    </w:p>
    <w:p w14:paraId="36DC4B8D" w14:textId="697FA38D" w:rsidR="00124C1C" w:rsidRDefault="00BB6367" w:rsidP="00B57C4C">
      <w:pPr>
        <w:pStyle w:val="paragraph"/>
      </w:pPr>
      <w:r>
        <w:tab/>
        <w:t>(c)</w:t>
      </w:r>
      <w:r>
        <w:tab/>
      </w:r>
      <w:r w:rsidR="00C034D5">
        <w:t xml:space="preserve">for a gain or loss </w:t>
      </w:r>
      <w:r w:rsidR="00D42DAA">
        <w:t xml:space="preserve">in respect of an Ownership Interest </w:t>
      </w:r>
      <w:r w:rsidR="00C034D5">
        <w:t>mentioned in paragraph 3-3</w:t>
      </w:r>
      <w:r w:rsidR="00B452BD">
        <w:t>5</w:t>
      </w:r>
      <w:r w:rsidR="00C034D5">
        <w:t>(1)(</w:t>
      </w:r>
      <w:r w:rsidR="00345D23">
        <w:t>c</w:t>
      </w:r>
      <w:r w:rsidR="00C034D5">
        <w:t>)</w:t>
      </w:r>
      <w:r w:rsidR="00C034D5" w:rsidRPr="00624534">
        <w:rPr>
          <w:i/>
          <w:iCs/>
        </w:rPr>
        <w:t>—</w:t>
      </w:r>
      <w:r w:rsidR="007074C2">
        <w:t xml:space="preserve">the gain or loss is included in the Constituent Entity’s </w:t>
      </w:r>
      <w:r w:rsidR="005D415A">
        <w:t>tax</w:t>
      </w:r>
      <w:r w:rsidR="00233B0E">
        <w:t>able</w:t>
      </w:r>
      <w:r w:rsidR="005D415A">
        <w:t xml:space="preserve"> income (excluding</w:t>
      </w:r>
      <w:r w:rsidR="007074C2">
        <w:t xml:space="preserve"> </w:t>
      </w:r>
      <w:r w:rsidR="00305588">
        <w:t xml:space="preserve">any </w:t>
      </w:r>
      <w:r w:rsidR="001E38CB">
        <w:t>gain that is fully offset, or the proportionate</w:t>
      </w:r>
      <w:r w:rsidR="005E1604">
        <w:t xml:space="preserve"> </w:t>
      </w:r>
      <w:r w:rsidR="00897B97">
        <w:t>share of any gain that is partially offset, by any deduction</w:t>
      </w:r>
      <w:r w:rsidR="001618A3">
        <w:t xml:space="preserve"> or other similar relief particular to the type of ga</w:t>
      </w:r>
      <w:r w:rsidR="005D415A">
        <w:t>in)</w:t>
      </w:r>
      <w:r w:rsidR="001618A3">
        <w:t>.</w:t>
      </w:r>
    </w:p>
    <w:p w14:paraId="4D4FF4AD" w14:textId="1831D524" w:rsidR="00E32F80" w:rsidRPr="00B73D9F" w:rsidRDefault="00DF7C59" w:rsidP="00DF7C59">
      <w:pPr>
        <w:pStyle w:val="subsection"/>
      </w:pPr>
      <w:r>
        <w:tab/>
      </w:r>
      <w:r w:rsidR="00E32F80" w:rsidRPr="00EA183E">
        <w:t>(3)</w:t>
      </w:r>
      <w:r w:rsidRPr="00EA183E">
        <w:tab/>
      </w:r>
      <w:r w:rsidR="00DA67F1">
        <w:t>However, s</w:t>
      </w:r>
      <w:r w:rsidRPr="00EA183E">
        <w:t xml:space="preserve">ubsection (2) </w:t>
      </w:r>
      <w:r w:rsidR="00E00556" w:rsidRPr="00EA183E">
        <w:t xml:space="preserve">does not apply </w:t>
      </w:r>
      <w:r w:rsidR="000A4DD9" w:rsidRPr="00EA183E">
        <w:t xml:space="preserve">in relation </w:t>
      </w:r>
      <w:r w:rsidR="00FF5177" w:rsidRPr="00EA183E">
        <w:t xml:space="preserve">to </w:t>
      </w:r>
      <w:r w:rsidR="00644703">
        <w:t xml:space="preserve">a </w:t>
      </w:r>
      <w:r w:rsidR="00AA2B4F">
        <w:t>profit or loss, or a gain or loss</w:t>
      </w:r>
      <w:r w:rsidR="00A45BCF">
        <w:t xml:space="preserve">, in respect of an Ownership Interest that is a </w:t>
      </w:r>
      <w:r w:rsidR="008B3D17">
        <w:t xml:space="preserve">qualified flow-through ownership </w:t>
      </w:r>
      <w:r w:rsidR="008B3D17" w:rsidRPr="00B73D9F">
        <w:t>interest</w:t>
      </w:r>
      <w:r w:rsidR="00CA1C84" w:rsidRPr="00B73D9F">
        <w:t xml:space="preserve"> </w:t>
      </w:r>
      <w:r w:rsidR="00CA1C84" w:rsidRPr="00F519E3">
        <w:t>in relation to which section 4-3</w:t>
      </w:r>
      <w:r w:rsidR="007730BA" w:rsidRPr="00F519E3">
        <w:t>6 or 4-3</w:t>
      </w:r>
      <w:r w:rsidR="004A1E4F">
        <w:t>8</w:t>
      </w:r>
      <w:r w:rsidR="007730BA" w:rsidRPr="00F519E3">
        <w:t xml:space="preserve"> </w:t>
      </w:r>
      <w:r w:rsidR="00DA1772" w:rsidRPr="00F519E3">
        <w:t>applies</w:t>
      </w:r>
      <w:r w:rsidRPr="00F519E3">
        <w:t>.</w:t>
      </w:r>
    </w:p>
    <w:p w14:paraId="34A13219" w14:textId="39DCB968" w:rsidR="00AA270D" w:rsidRDefault="00F05ECC" w:rsidP="00FA09CC">
      <w:pPr>
        <w:pStyle w:val="ItemHead"/>
        <w:rPr>
          <w:rStyle w:val="CharSectno"/>
        </w:rPr>
      </w:pPr>
      <w:proofErr w:type="gramStart"/>
      <w:r>
        <w:rPr>
          <w:rStyle w:val="CharSectno"/>
        </w:rPr>
        <w:t>10</w:t>
      </w:r>
      <w:r w:rsidR="00AA270D">
        <w:rPr>
          <w:rStyle w:val="CharSectno"/>
        </w:rPr>
        <w:t xml:space="preserve">  </w:t>
      </w:r>
      <w:r w:rsidR="00D81FBC">
        <w:rPr>
          <w:rStyle w:val="CharSectno"/>
        </w:rPr>
        <w:t>Before</w:t>
      </w:r>
      <w:proofErr w:type="gramEnd"/>
      <w:r w:rsidR="00D81FBC">
        <w:rPr>
          <w:rStyle w:val="CharSectno"/>
        </w:rPr>
        <w:t xml:space="preserve"> section </w:t>
      </w:r>
      <w:r w:rsidR="006908CF">
        <w:rPr>
          <w:rStyle w:val="CharSectno"/>
        </w:rPr>
        <w:t>4-5</w:t>
      </w:r>
    </w:p>
    <w:p w14:paraId="4C75462A" w14:textId="095569D0" w:rsidR="006908CF" w:rsidRDefault="006908CF" w:rsidP="00066437">
      <w:pPr>
        <w:pStyle w:val="Item"/>
        <w:keepNext/>
      </w:pPr>
      <w:r>
        <w:t>Insert:</w:t>
      </w:r>
    </w:p>
    <w:p w14:paraId="64CA95B5" w14:textId="156E177D" w:rsidR="006908CF" w:rsidRPr="00D31E49" w:rsidRDefault="007A4752" w:rsidP="00715CA1">
      <w:pPr>
        <w:pStyle w:val="ActHead3"/>
      </w:pPr>
      <w:r w:rsidRPr="00D31E49">
        <w:rPr>
          <w:rStyle w:val="CharDivNo"/>
        </w:rPr>
        <w:t>Division 1</w:t>
      </w:r>
      <w:r w:rsidRPr="00D31E49">
        <w:t>—</w:t>
      </w:r>
      <w:r w:rsidRPr="00D31E49">
        <w:rPr>
          <w:rStyle w:val="CharDivText"/>
        </w:rPr>
        <w:t>General</w:t>
      </w:r>
    </w:p>
    <w:p w14:paraId="76BC6CE4" w14:textId="24A5D78C" w:rsidR="00572140" w:rsidRDefault="00F05ECC" w:rsidP="00FA09CC">
      <w:pPr>
        <w:pStyle w:val="ItemHead"/>
        <w:rPr>
          <w:rStyle w:val="CharSectno"/>
        </w:rPr>
      </w:pPr>
      <w:proofErr w:type="gramStart"/>
      <w:r>
        <w:rPr>
          <w:rStyle w:val="CharSectno"/>
        </w:rPr>
        <w:t>11</w:t>
      </w:r>
      <w:r w:rsidR="00FA09CC">
        <w:rPr>
          <w:rStyle w:val="CharSectno"/>
        </w:rPr>
        <w:t xml:space="preserve">  A</w:t>
      </w:r>
      <w:r w:rsidR="00487E1E">
        <w:rPr>
          <w:rStyle w:val="CharSectno"/>
        </w:rPr>
        <w:t>t</w:t>
      </w:r>
      <w:proofErr w:type="gramEnd"/>
      <w:r w:rsidR="00487E1E">
        <w:rPr>
          <w:rStyle w:val="CharSectno"/>
        </w:rPr>
        <w:t xml:space="preserve"> the end of </w:t>
      </w:r>
      <w:r w:rsidR="00F0607D">
        <w:rPr>
          <w:rStyle w:val="CharSectno"/>
        </w:rPr>
        <w:t>Part 4-1</w:t>
      </w:r>
    </w:p>
    <w:p w14:paraId="5F97309B" w14:textId="3F60102A" w:rsidR="00FA09CC" w:rsidRPr="00FA09CC" w:rsidRDefault="00F0607D" w:rsidP="00FA09CC">
      <w:pPr>
        <w:pStyle w:val="Item"/>
      </w:pPr>
      <w:r>
        <w:t>Add</w:t>
      </w:r>
      <w:r w:rsidR="00715E13">
        <w:t>:</w:t>
      </w:r>
    </w:p>
    <w:p w14:paraId="6F1865AE" w14:textId="77777777" w:rsidR="00883E4E" w:rsidRDefault="00600DAE" w:rsidP="00803F06">
      <w:pPr>
        <w:pStyle w:val="ActHead3"/>
        <w:rPr>
          <w:rStyle w:val="CharDivText"/>
        </w:rPr>
      </w:pPr>
      <w:bookmarkStart w:id="12" w:name="_Toc190698027"/>
      <w:r w:rsidRPr="00600DAE">
        <w:rPr>
          <w:rStyle w:val="CharDivNo"/>
        </w:rPr>
        <w:t>Division 2</w:t>
      </w:r>
      <w:r>
        <w:t>—</w:t>
      </w:r>
      <w:r w:rsidR="008B3D17">
        <w:rPr>
          <w:rStyle w:val="CharDivText"/>
        </w:rPr>
        <w:t>Qualified flow-through ownership interest</w:t>
      </w:r>
      <w:r w:rsidRPr="00600DAE">
        <w:rPr>
          <w:rStyle w:val="CharDivText"/>
        </w:rPr>
        <w:t>s</w:t>
      </w:r>
    </w:p>
    <w:p w14:paraId="3BFDF54F" w14:textId="1F934059" w:rsidR="00CE18A1" w:rsidRPr="00762DFF" w:rsidRDefault="00160283" w:rsidP="00762DFF">
      <w:pPr>
        <w:pStyle w:val="ActHead5"/>
        <w:rPr>
          <w:rStyle w:val="CharSectno"/>
        </w:rPr>
      </w:pPr>
      <w:r w:rsidRPr="00762DFF">
        <w:rPr>
          <w:rStyle w:val="CharSectno"/>
        </w:rPr>
        <w:t>4-36</w:t>
      </w:r>
      <w:proofErr w:type="gramStart"/>
      <w:r w:rsidR="00CE18A1" w:rsidRPr="00762DFF">
        <w:rPr>
          <w:rStyle w:val="CharSectno"/>
        </w:rPr>
        <w:t>A  Application</w:t>
      </w:r>
      <w:proofErr w:type="gramEnd"/>
      <w:r w:rsidR="00CE18A1" w:rsidRPr="00762DFF">
        <w:rPr>
          <w:rStyle w:val="CharSectno"/>
        </w:rPr>
        <w:t xml:space="preserve"> of Division</w:t>
      </w:r>
    </w:p>
    <w:p w14:paraId="71ECA27F" w14:textId="7A64E60F" w:rsidR="00160283" w:rsidRPr="00CE18A1" w:rsidRDefault="00CE18A1" w:rsidP="00762DFF">
      <w:pPr>
        <w:pStyle w:val="subsection"/>
        <w:rPr>
          <w:rStyle w:val="CharSectno"/>
          <w:b/>
          <w:bCs/>
        </w:rPr>
      </w:pPr>
      <w:r>
        <w:rPr>
          <w:rStyle w:val="CharSectno"/>
        </w:rPr>
        <w:tab/>
      </w:r>
      <w:r w:rsidR="00762DFF">
        <w:rPr>
          <w:rStyle w:val="CharSectno"/>
        </w:rPr>
        <w:tab/>
      </w:r>
      <w:r w:rsidRPr="00CE18A1">
        <w:rPr>
          <w:rStyle w:val="CharSectno"/>
          <w:bCs/>
        </w:rPr>
        <w:t xml:space="preserve">This </w:t>
      </w:r>
      <w:r>
        <w:rPr>
          <w:rStyle w:val="CharSectno"/>
          <w:bCs/>
        </w:rPr>
        <w:t xml:space="preserve">Division has effect despite anything in </w:t>
      </w:r>
      <w:r w:rsidR="008E6CB7">
        <w:rPr>
          <w:rStyle w:val="CharSectno"/>
          <w:bCs/>
        </w:rPr>
        <w:t>Division 1 of this Part.</w:t>
      </w:r>
    </w:p>
    <w:p w14:paraId="40C8A40E" w14:textId="3381E3C3" w:rsidR="006E7F6F" w:rsidRPr="00356487" w:rsidRDefault="00715E13" w:rsidP="006E7F6F">
      <w:pPr>
        <w:pStyle w:val="ActHead5"/>
      </w:pPr>
      <w:r>
        <w:rPr>
          <w:rStyle w:val="CharSectno"/>
        </w:rPr>
        <w:t>4</w:t>
      </w:r>
      <w:r w:rsidR="00F87B7C" w:rsidRPr="00F87B7C">
        <w:rPr>
          <w:rStyle w:val="CharSectno"/>
        </w:rPr>
        <w:t>-</w:t>
      </w:r>
      <w:proofErr w:type="gramStart"/>
      <w:r w:rsidR="00B0508B" w:rsidRPr="008A7BCF">
        <w:rPr>
          <w:rStyle w:val="CharSectno"/>
        </w:rPr>
        <w:t>36</w:t>
      </w:r>
      <w:r w:rsidR="00F87B7C" w:rsidRPr="008A7BCF">
        <w:t xml:space="preserve">  </w:t>
      </w:r>
      <w:r w:rsidR="008A7BCF" w:rsidRPr="008A7BCF">
        <w:t>E</w:t>
      </w:r>
      <w:r w:rsidR="006E7F6F" w:rsidRPr="008A7BCF">
        <w:t>xcluded</w:t>
      </w:r>
      <w:proofErr w:type="gramEnd"/>
      <w:r w:rsidR="006E7F6F" w:rsidRPr="008A7BCF">
        <w:t xml:space="preserve"> Equity</w:t>
      </w:r>
      <w:r w:rsidR="006E7F6F">
        <w:t xml:space="preserve"> Gain or Loss</w:t>
      </w:r>
      <w:r w:rsidR="006E7F6F" w:rsidRPr="00624534">
        <w:rPr>
          <w:i/>
          <w:iCs/>
        </w:rPr>
        <w:t>—</w:t>
      </w:r>
      <w:r w:rsidR="008B3D17">
        <w:t>qualified flow-through ownership interest</w:t>
      </w:r>
      <w:r w:rsidR="007B483E">
        <w:t>s</w:t>
      </w:r>
      <w:r w:rsidR="007858F3" w:rsidRPr="00624534">
        <w:rPr>
          <w:iCs/>
        </w:rPr>
        <w:t>—</w:t>
      </w:r>
      <w:r w:rsidR="007858F3">
        <w:rPr>
          <w:iCs/>
        </w:rPr>
        <w:t>general case</w:t>
      </w:r>
      <w:bookmarkEnd w:id="12"/>
    </w:p>
    <w:p w14:paraId="2F652F48" w14:textId="461F437A" w:rsidR="00F620E4" w:rsidRDefault="00B22286" w:rsidP="00B22286">
      <w:pPr>
        <w:pStyle w:val="subsection"/>
      </w:pPr>
      <w:r>
        <w:tab/>
        <w:t>(1)</w:t>
      </w:r>
      <w:r>
        <w:tab/>
      </w:r>
      <w:r w:rsidR="008E6CB7">
        <w:t>T</w:t>
      </w:r>
      <w:r w:rsidR="00F620E4">
        <w:t>his section applies if:</w:t>
      </w:r>
    </w:p>
    <w:p w14:paraId="57D39FFE" w14:textId="460F7366" w:rsidR="00F620E4" w:rsidRPr="00B22286" w:rsidRDefault="00B22286" w:rsidP="00B22286">
      <w:pPr>
        <w:pStyle w:val="paragraph"/>
      </w:pPr>
      <w:r>
        <w:tab/>
        <w:t>(a)</w:t>
      </w:r>
      <w:r>
        <w:tab/>
      </w:r>
      <w:r w:rsidR="00F620E4" w:rsidRPr="00611C54">
        <w:t xml:space="preserve">an election under subsection 3-31(1) for an MNE Group applies to a </w:t>
      </w:r>
      <w:r w:rsidR="00F620E4" w:rsidRPr="00B22286">
        <w:t>jurisdiction and a Fiscal Year; and</w:t>
      </w:r>
    </w:p>
    <w:p w14:paraId="6CADAE02" w14:textId="69323AF4" w:rsidR="00F620E4" w:rsidRPr="00B22286" w:rsidRDefault="00B22286" w:rsidP="00B22286">
      <w:pPr>
        <w:pStyle w:val="paragraph"/>
      </w:pPr>
      <w:r>
        <w:tab/>
        <w:t>(b)</w:t>
      </w:r>
      <w:r>
        <w:tab/>
      </w:r>
      <w:r w:rsidR="00F620E4" w:rsidRPr="00B22286">
        <w:t xml:space="preserve">a Constituent Entity of the MNE Group located in the jurisdiction has a </w:t>
      </w:r>
      <w:r w:rsidR="008B3D17">
        <w:t>qualified flow-through ownership interest</w:t>
      </w:r>
      <w:r w:rsidR="00F620E4" w:rsidRPr="00B22286">
        <w:t xml:space="preserve"> for the Fiscal Year</w:t>
      </w:r>
      <w:r w:rsidR="00760E33" w:rsidRPr="00B22286">
        <w:t>; and</w:t>
      </w:r>
    </w:p>
    <w:p w14:paraId="46669CC2" w14:textId="1CBC5EFA" w:rsidR="007B1463" w:rsidRDefault="00B22286" w:rsidP="00B22286">
      <w:pPr>
        <w:pStyle w:val="paragraph"/>
      </w:pPr>
      <w:r>
        <w:tab/>
        <w:t>(c)</w:t>
      </w:r>
      <w:r>
        <w:tab/>
      </w:r>
      <w:r w:rsidR="00191C9C">
        <w:t xml:space="preserve">the </w:t>
      </w:r>
      <w:r w:rsidR="00093705" w:rsidRPr="00B22286">
        <w:t xml:space="preserve">Constituent Entity </w:t>
      </w:r>
      <w:r w:rsidR="00093705">
        <w:t xml:space="preserve">is </w:t>
      </w:r>
      <w:r w:rsidR="00C43432">
        <w:t>not mentioned in subsection</w:t>
      </w:r>
      <w:r w:rsidR="00093705">
        <w:t xml:space="preserve"> </w:t>
      </w:r>
      <w:r w:rsidR="00406837">
        <w:t>4</w:t>
      </w:r>
      <w:r w:rsidR="00EC2461">
        <w:t>-3</w:t>
      </w:r>
      <w:r w:rsidR="00365795">
        <w:t>8</w:t>
      </w:r>
      <w:r w:rsidR="00406837">
        <w:t>(1)</w:t>
      </w:r>
      <w:r w:rsidR="007B1463">
        <w:t>.</w:t>
      </w:r>
    </w:p>
    <w:p w14:paraId="0A177810" w14:textId="4607813C" w:rsidR="00026E17" w:rsidRDefault="00B22286" w:rsidP="00B22286">
      <w:pPr>
        <w:pStyle w:val="subsection"/>
      </w:pPr>
      <w:r>
        <w:tab/>
        <w:t>(2)</w:t>
      </w:r>
      <w:r>
        <w:tab/>
      </w:r>
      <w:r w:rsidR="00625BAB">
        <w:t>If</w:t>
      </w:r>
      <w:r w:rsidR="002730D2">
        <w:t xml:space="preserve"> </w:t>
      </w:r>
      <w:r w:rsidR="00BC0AFC">
        <w:t xml:space="preserve">the </w:t>
      </w:r>
      <w:r w:rsidR="00BC0AFC" w:rsidRPr="00A75420">
        <w:t>Constituent Entity</w:t>
      </w:r>
      <w:r w:rsidR="00D2112F">
        <w:t>’s</w:t>
      </w:r>
      <w:r w:rsidR="00BC0AFC">
        <w:t xml:space="preserve"> adjusted investment amount </w:t>
      </w:r>
      <w:r w:rsidR="00710B10">
        <w:t xml:space="preserve">in </w:t>
      </w:r>
      <w:r w:rsidR="00710B10" w:rsidRPr="00A955A7">
        <w:t xml:space="preserve">respect of </w:t>
      </w:r>
      <w:r w:rsidR="00710B10">
        <w:t xml:space="preserve">the </w:t>
      </w:r>
      <w:r w:rsidR="008B3D17">
        <w:t>qualified flow-through ownership interest</w:t>
      </w:r>
      <w:r w:rsidR="00710B10">
        <w:t xml:space="preserve"> </w:t>
      </w:r>
      <w:r w:rsidR="00CE439A">
        <w:t xml:space="preserve">exceeds </w:t>
      </w:r>
      <w:r w:rsidR="00CE439A" w:rsidRPr="00DC034B">
        <w:t>zero</w:t>
      </w:r>
      <w:r w:rsidR="002730D2">
        <w:t xml:space="preserve"> for the Fiscal Year</w:t>
      </w:r>
      <w:r w:rsidR="00BC0AFC">
        <w:t>,</w:t>
      </w:r>
      <w:r w:rsidR="00BE5869">
        <w:t xml:space="preserve"> </w:t>
      </w:r>
      <w:r w:rsidR="00727A1E">
        <w:t>a</w:t>
      </w:r>
      <w:r w:rsidR="00B978B1">
        <w:t xml:space="preserve">dd </w:t>
      </w:r>
      <w:r w:rsidR="00026E17">
        <w:t xml:space="preserve">to the </w:t>
      </w:r>
      <w:r w:rsidR="00026E17" w:rsidRPr="00A75420">
        <w:t>Constituent Entity</w:t>
      </w:r>
      <w:r w:rsidR="00026E17">
        <w:t>’s</w:t>
      </w:r>
      <w:r w:rsidR="00026E17" w:rsidRPr="00A75420">
        <w:t xml:space="preserve"> </w:t>
      </w:r>
      <w:r w:rsidR="00026E17">
        <w:t xml:space="preserve">Adjusted Covered Taxes for </w:t>
      </w:r>
      <w:r w:rsidR="00493A3B">
        <w:t xml:space="preserve">the Fiscal Year </w:t>
      </w:r>
      <w:r w:rsidR="00026E17">
        <w:t>the lesser of the following:</w:t>
      </w:r>
    </w:p>
    <w:p w14:paraId="1A2E7B0C" w14:textId="601EC58B" w:rsidR="008363BF" w:rsidRPr="00B22286" w:rsidRDefault="00B22286" w:rsidP="00B22286">
      <w:pPr>
        <w:pStyle w:val="paragraph"/>
      </w:pPr>
      <w:r>
        <w:tab/>
        <w:t>(a)</w:t>
      </w:r>
      <w:r>
        <w:tab/>
      </w:r>
      <w:r w:rsidR="00D420B7">
        <w:t xml:space="preserve">that </w:t>
      </w:r>
      <w:proofErr w:type="gramStart"/>
      <w:r w:rsidR="00D420B7" w:rsidRPr="00B22286">
        <w:t>excess;</w:t>
      </w:r>
      <w:proofErr w:type="gramEnd"/>
    </w:p>
    <w:p w14:paraId="61347E0C" w14:textId="15F7B145" w:rsidR="00DF6BE9" w:rsidRPr="00021736" w:rsidRDefault="00B22286" w:rsidP="00B22286">
      <w:pPr>
        <w:pStyle w:val="paragraph"/>
      </w:pPr>
      <w:r>
        <w:tab/>
        <w:t>(b)</w:t>
      </w:r>
      <w:r>
        <w:tab/>
      </w:r>
      <w:r w:rsidR="00DF6BE9" w:rsidRPr="00B22286">
        <w:t>th</w:t>
      </w:r>
      <w:r w:rsidR="00EB5CDF" w:rsidRPr="00B22286">
        <w:t xml:space="preserve">e </w:t>
      </w:r>
      <w:r w:rsidR="00EA1866" w:rsidRPr="00B22286">
        <w:t>sum</w:t>
      </w:r>
      <w:r w:rsidR="00EA1866" w:rsidRPr="00021736">
        <w:t xml:space="preserve"> of the amounts </w:t>
      </w:r>
      <w:r w:rsidR="00BC0A76" w:rsidRPr="00021736">
        <w:t xml:space="preserve">covered by subsection (3) </w:t>
      </w:r>
      <w:r w:rsidR="00A479D1" w:rsidRPr="00021736">
        <w:t xml:space="preserve">for </w:t>
      </w:r>
      <w:r w:rsidR="00493A3B">
        <w:t>the Fiscal Year</w:t>
      </w:r>
      <w:r w:rsidR="00DF6BE9" w:rsidRPr="00021736">
        <w:t>.</w:t>
      </w:r>
    </w:p>
    <w:p w14:paraId="0CA9F8B6" w14:textId="02970308" w:rsidR="003C425E" w:rsidRPr="00304861" w:rsidRDefault="00664F81" w:rsidP="00664F81">
      <w:pPr>
        <w:pStyle w:val="subsection"/>
      </w:pPr>
      <w:r>
        <w:tab/>
        <w:t>(3)</w:t>
      </w:r>
      <w:r>
        <w:tab/>
      </w:r>
      <w:r w:rsidR="003C425E">
        <w:t>This subsection covers each of the following:</w:t>
      </w:r>
    </w:p>
    <w:p w14:paraId="6FB7108B" w14:textId="73AFB370" w:rsidR="003C425E" w:rsidRPr="00664F81" w:rsidRDefault="00664F81" w:rsidP="00664F81">
      <w:pPr>
        <w:pStyle w:val="paragraph"/>
      </w:pPr>
      <w:r>
        <w:tab/>
        <w:t>(a)</w:t>
      </w:r>
      <w:r>
        <w:tab/>
      </w:r>
      <w:r w:rsidR="003C425E">
        <w:t xml:space="preserve">the </w:t>
      </w:r>
      <w:r w:rsidR="003C425E" w:rsidRPr="00664F81">
        <w:t xml:space="preserve">amount of any tax credit, other than a </w:t>
      </w:r>
      <w:r w:rsidR="004D5512" w:rsidRPr="00664F81">
        <w:t>Q</w:t>
      </w:r>
      <w:r w:rsidR="00E2093E" w:rsidRPr="00664F81">
        <w:t xml:space="preserve">ualified </w:t>
      </w:r>
      <w:r w:rsidR="003C425E" w:rsidRPr="00664F81">
        <w:t xml:space="preserve">Refundable Tax Credit, with respect to the </w:t>
      </w:r>
      <w:r w:rsidR="008B3D17">
        <w:t xml:space="preserve">qualified flow-through ownership </w:t>
      </w:r>
      <w:proofErr w:type="gramStart"/>
      <w:r w:rsidR="008B3D17">
        <w:t>interest</w:t>
      </w:r>
      <w:r w:rsidR="003C425E" w:rsidRPr="00664F81">
        <w:t>;</w:t>
      </w:r>
      <w:proofErr w:type="gramEnd"/>
    </w:p>
    <w:p w14:paraId="5D0287B3" w14:textId="3E5BB9FA" w:rsidR="003C425E" w:rsidRDefault="00664F81" w:rsidP="00664F81">
      <w:pPr>
        <w:pStyle w:val="paragraph"/>
      </w:pPr>
      <w:r>
        <w:tab/>
        <w:t>(b)</w:t>
      </w:r>
      <w:r>
        <w:tab/>
      </w:r>
      <w:r w:rsidR="003C425E" w:rsidRPr="00664F81">
        <w:t xml:space="preserve">the amount of any tax-deductible loss with respect to the </w:t>
      </w:r>
      <w:r w:rsidR="008B3D17">
        <w:t>qualified flow</w:t>
      </w:r>
      <w:r w:rsidR="00C82B07">
        <w:noBreakHyphen/>
      </w:r>
      <w:r w:rsidR="008B3D17">
        <w:t>through ownership interest</w:t>
      </w:r>
      <w:r w:rsidR="003C425E">
        <w:t xml:space="preserve">, multiplied by the applicable domestic tax </w:t>
      </w:r>
      <w:proofErr w:type="gramStart"/>
      <w:r w:rsidR="003C425E">
        <w:t>rate;</w:t>
      </w:r>
      <w:proofErr w:type="gramEnd"/>
    </w:p>
    <w:p w14:paraId="63D34D5E" w14:textId="6DDF1C9C" w:rsidR="008A3DAC" w:rsidRDefault="003C425E" w:rsidP="000D76A9">
      <w:pPr>
        <w:pStyle w:val="subsection2"/>
      </w:pPr>
      <w:r>
        <w:t>to the extent that</w:t>
      </w:r>
      <w:r w:rsidR="008A3DAC">
        <w:t xml:space="preserve"> the </w:t>
      </w:r>
      <w:r w:rsidR="008A3DAC" w:rsidRPr="000D76A9">
        <w:t>amount</w:t>
      </w:r>
      <w:r w:rsidR="008A3DAC">
        <w:t xml:space="preserve"> is treated, for financial accounting purposes, as reducing the </w:t>
      </w:r>
      <w:r w:rsidR="008A3DAC" w:rsidRPr="00A75420">
        <w:t>Constituent Entity</w:t>
      </w:r>
      <w:r w:rsidR="008A3DAC">
        <w:t xml:space="preserve">’s tax expense for </w:t>
      </w:r>
      <w:r w:rsidR="004A3473">
        <w:t>the</w:t>
      </w:r>
      <w:r w:rsidR="008A3DAC">
        <w:t xml:space="preserve"> Fiscal Year</w:t>
      </w:r>
      <w:r w:rsidR="00B10AD3">
        <w:t>.</w:t>
      </w:r>
    </w:p>
    <w:p w14:paraId="326B3091" w14:textId="1E6AD9C7" w:rsidR="001F6B5C" w:rsidRDefault="00664F81" w:rsidP="00664F81">
      <w:pPr>
        <w:pStyle w:val="subsection"/>
      </w:pPr>
      <w:r>
        <w:tab/>
        <w:t>(4)</w:t>
      </w:r>
      <w:r>
        <w:tab/>
      </w:r>
      <w:r w:rsidR="00C34194">
        <w:t>If</w:t>
      </w:r>
      <w:r w:rsidR="00BD6185">
        <w:t xml:space="preserve"> </w:t>
      </w:r>
      <w:r w:rsidR="007E63B0">
        <w:t xml:space="preserve">the </w:t>
      </w:r>
      <w:r w:rsidR="007E63B0" w:rsidRPr="00A75420">
        <w:t>Constituent Entity</w:t>
      </w:r>
      <w:r w:rsidR="007E63B0">
        <w:t xml:space="preserve">’s adjusted investment amount in </w:t>
      </w:r>
      <w:r w:rsidR="007E63B0" w:rsidRPr="00A955A7">
        <w:t xml:space="preserve">respect of </w:t>
      </w:r>
      <w:r w:rsidR="007E63B0">
        <w:t xml:space="preserve">the </w:t>
      </w:r>
      <w:r w:rsidR="008B3D17">
        <w:t>qualified flow-through ownership interest</w:t>
      </w:r>
      <w:r w:rsidR="007E63B0">
        <w:t xml:space="preserve"> for the Fiscal Year</w:t>
      </w:r>
      <w:r w:rsidR="004A3473">
        <w:t xml:space="preserve"> is exceeded by the sum of </w:t>
      </w:r>
      <w:r w:rsidR="004E30AC">
        <w:t>the amounts cov</w:t>
      </w:r>
      <w:r w:rsidR="004A7273">
        <w:t>ered by s</w:t>
      </w:r>
      <w:r w:rsidR="009C467D">
        <w:t>ubsection</w:t>
      </w:r>
      <w:r w:rsidR="004A7273">
        <w:t xml:space="preserve"> (5) </w:t>
      </w:r>
      <w:r w:rsidR="004A3473">
        <w:t xml:space="preserve">for </w:t>
      </w:r>
      <w:r w:rsidR="00493A3B">
        <w:t>the Fiscal Year</w:t>
      </w:r>
      <w:r w:rsidR="00F00153">
        <w:t xml:space="preserve">, </w:t>
      </w:r>
      <w:r w:rsidR="00C34194">
        <w:t>s</w:t>
      </w:r>
      <w:r w:rsidR="00426236">
        <w:t>ub</w:t>
      </w:r>
      <w:r w:rsidR="00816553">
        <w:t xml:space="preserve">tract </w:t>
      </w:r>
      <w:r w:rsidR="00607232">
        <w:t>th</w:t>
      </w:r>
      <w:r w:rsidR="00E8390C">
        <w:t>e</w:t>
      </w:r>
      <w:r w:rsidR="0037670D">
        <w:t xml:space="preserve"> excess </w:t>
      </w:r>
      <w:r w:rsidR="00D874DF">
        <w:t>from t</w:t>
      </w:r>
      <w:r w:rsidR="00B10AD3">
        <w:t xml:space="preserve">he </w:t>
      </w:r>
      <w:r w:rsidR="00B10AD3" w:rsidRPr="00A75420">
        <w:t>Constituent Entity</w:t>
      </w:r>
      <w:r w:rsidR="00B10AD3">
        <w:t>’s</w:t>
      </w:r>
      <w:r w:rsidR="00B10AD3" w:rsidRPr="00A75420">
        <w:t xml:space="preserve"> </w:t>
      </w:r>
      <w:r w:rsidR="00B10AD3">
        <w:t>Adjusted Covered Taxes for th</w:t>
      </w:r>
      <w:r w:rsidR="00917C48">
        <w:t>e Fiscal Y</w:t>
      </w:r>
      <w:r w:rsidR="00F00153">
        <w:t>ear</w:t>
      </w:r>
      <w:r w:rsidR="00B02C9E">
        <w:t xml:space="preserve">, </w:t>
      </w:r>
      <w:r w:rsidR="005672F3">
        <w:t>subject to sub</w:t>
      </w:r>
      <w:r w:rsidR="00B012CB">
        <w:t>section (</w:t>
      </w:r>
      <w:r w:rsidR="005672F3">
        <w:t>6</w:t>
      </w:r>
      <w:r w:rsidR="00B012CB">
        <w:t>)</w:t>
      </w:r>
      <w:r w:rsidR="001F6B5C">
        <w:t>.</w:t>
      </w:r>
    </w:p>
    <w:p w14:paraId="4B77B0A3" w14:textId="1B146BA6" w:rsidR="00E87053" w:rsidRPr="00304861" w:rsidRDefault="00664F81" w:rsidP="00664F81">
      <w:pPr>
        <w:pStyle w:val="subsection"/>
      </w:pPr>
      <w:r>
        <w:tab/>
        <w:t>(5)</w:t>
      </w:r>
      <w:r>
        <w:tab/>
      </w:r>
      <w:r w:rsidR="00E87053">
        <w:t>This subsection covers each of the following:</w:t>
      </w:r>
    </w:p>
    <w:p w14:paraId="49C03B2D" w14:textId="7420ACFC" w:rsidR="00E87053" w:rsidRPr="00664F81" w:rsidRDefault="00664F81" w:rsidP="00664F81">
      <w:pPr>
        <w:pStyle w:val="paragraph"/>
      </w:pPr>
      <w:r>
        <w:tab/>
        <w:t>(a)</w:t>
      </w:r>
      <w:r>
        <w:tab/>
      </w:r>
      <w:r w:rsidR="00E87053">
        <w:t xml:space="preserve">the </w:t>
      </w:r>
      <w:r w:rsidR="00E87053" w:rsidRPr="00664F81">
        <w:t>amount of any tax credit</w:t>
      </w:r>
      <w:r w:rsidR="00E8390C" w:rsidRPr="00664F81">
        <w:t xml:space="preserve"> </w:t>
      </w:r>
      <w:r w:rsidR="006325BA" w:rsidRPr="00664F81">
        <w:t>in r</w:t>
      </w:r>
      <w:r w:rsidR="00E87053" w:rsidRPr="00664F81">
        <w:t xml:space="preserve">espect </w:t>
      </w:r>
      <w:r w:rsidR="006325BA" w:rsidRPr="00664F81">
        <w:t xml:space="preserve">of </w:t>
      </w:r>
      <w:r w:rsidR="00E87053" w:rsidRPr="00664F81">
        <w:t xml:space="preserve">the </w:t>
      </w:r>
      <w:r w:rsidR="008B3D17">
        <w:t xml:space="preserve">qualified flow-through ownership </w:t>
      </w:r>
      <w:proofErr w:type="gramStart"/>
      <w:r w:rsidR="008B3D17">
        <w:t>interest</w:t>
      </w:r>
      <w:r w:rsidR="00E87053" w:rsidRPr="00664F81">
        <w:t>;</w:t>
      </w:r>
      <w:proofErr w:type="gramEnd"/>
    </w:p>
    <w:p w14:paraId="6EAAFEA4" w14:textId="5FFA89C7" w:rsidR="00E87053" w:rsidRPr="00664F81" w:rsidRDefault="00664F81" w:rsidP="00664F81">
      <w:pPr>
        <w:pStyle w:val="paragraph"/>
      </w:pPr>
      <w:r>
        <w:tab/>
        <w:t>(b)</w:t>
      </w:r>
      <w:r>
        <w:tab/>
      </w:r>
      <w:r w:rsidR="00E87053" w:rsidRPr="00664F81">
        <w:t xml:space="preserve">the amount of any tax-deductible loss </w:t>
      </w:r>
      <w:r w:rsidR="006325BA" w:rsidRPr="00664F81">
        <w:t xml:space="preserve">in </w:t>
      </w:r>
      <w:r w:rsidR="00E87053" w:rsidRPr="00664F81">
        <w:t xml:space="preserve">respect </w:t>
      </w:r>
      <w:r w:rsidR="006325BA" w:rsidRPr="00664F81">
        <w:t xml:space="preserve">of </w:t>
      </w:r>
      <w:r w:rsidR="00E87053" w:rsidRPr="00664F81">
        <w:t xml:space="preserve">the </w:t>
      </w:r>
      <w:r w:rsidR="008B3D17">
        <w:t>qualified flow</w:t>
      </w:r>
      <w:r w:rsidR="00C82B07">
        <w:noBreakHyphen/>
      </w:r>
      <w:r w:rsidR="008B3D17">
        <w:t>through ownership interest</w:t>
      </w:r>
      <w:r w:rsidR="00E87053" w:rsidRPr="00664F81">
        <w:t xml:space="preserve">, multiplied by the applicable domestic tax </w:t>
      </w:r>
      <w:proofErr w:type="gramStart"/>
      <w:r w:rsidR="00E87053" w:rsidRPr="00664F81">
        <w:t>rate;</w:t>
      </w:r>
      <w:proofErr w:type="gramEnd"/>
    </w:p>
    <w:p w14:paraId="30F7DCDB" w14:textId="0106151A" w:rsidR="00E87053" w:rsidRPr="00664F81" w:rsidRDefault="00664F81" w:rsidP="00664F81">
      <w:pPr>
        <w:pStyle w:val="paragraph"/>
      </w:pPr>
      <w:r>
        <w:tab/>
        <w:t>(c)</w:t>
      </w:r>
      <w:r>
        <w:tab/>
      </w:r>
      <w:r w:rsidR="00E87053" w:rsidRPr="00664F81">
        <w:t xml:space="preserve">the amount of any distribution (including a return of capital) in respect of the </w:t>
      </w:r>
      <w:r w:rsidR="008B3D17">
        <w:t xml:space="preserve">qualified flow-through ownership </w:t>
      </w:r>
      <w:proofErr w:type="gramStart"/>
      <w:r w:rsidR="008B3D17">
        <w:t>interest</w:t>
      </w:r>
      <w:r w:rsidR="00E87053" w:rsidRPr="00664F81">
        <w:t>;</w:t>
      </w:r>
      <w:proofErr w:type="gramEnd"/>
    </w:p>
    <w:p w14:paraId="11DECD62" w14:textId="29848EF5" w:rsidR="00E87053" w:rsidRDefault="00664F81" w:rsidP="00664F81">
      <w:pPr>
        <w:pStyle w:val="paragraph"/>
      </w:pPr>
      <w:r>
        <w:tab/>
        <w:t>(d)</w:t>
      </w:r>
      <w:r>
        <w:tab/>
      </w:r>
      <w:r w:rsidR="00E87053" w:rsidRPr="00664F81">
        <w:t xml:space="preserve">the amount of the proceeds of sale of all or a part of the </w:t>
      </w:r>
      <w:r w:rsidR="008B3D17">
        <w:t>qualified flow</w:t>
      </w:r>
      <w:r w:rsidR="00C82B07">
        <w:noBreakHyphen/>
      </w:r>
      <w:r w:rsidR="008B3D17">
        <w:t>through ownership interest</w:t>
      </w:r>
      <w:r w:rsidR="00FA1A6C">
        <w:t>.</w:t>
      </w:r>
    </w:p>
    <w:p w14:paraId="14340B43" w14:textId="6CDADBF5" w:rsidR="00BD5056" w:rsidRDefault="00664F81" w:rsidP="00664F81">
      <w:pPr>
        <w:pStyle w:val="subsection"/>
      </w:pPr>
      <w:r>
        <w:tab/>
        <w:t>(6)</w:t>
      </w:r>
      <w:r>
        <w:tab/>
      </w:r>
      <w:r w:rsidR="00387081">
        <w:t xml:space="preserve">A subtraction </w:t>
      </w:r>
      <w:r w:rsidR="00D13E2F">
        <w:t xml:space="preserve">may only be made </w:t>
      </w:r>
      <w:r w:rsidR="007550FC">
        <w:t xml:space="preserve">under subsection (4) in respect of the following amounts </w:t>
      </w:r>
      <w:r w:rsidR="002F2A03">
        <w:t xml:space="preserve">for </w:t>
      </w:r>
      <w:r w:rsidR="000576B7">
        <w:t>the</w:t>
      </w:r>
      <w:r w:rsidR="002F2A03">
        <w:t xml:space="preserve"> Fiscal Year </w:t>
      </w:r>
      <w:r w:rsidR="00425AA0">
        <w:t xml:space="preserve">to the extent </w:t>
      </w:r>
      <w:r w:rsidR="008F13AE">
        <w:t xml:space="preserve">of any addition </w:t>
      </w:r>
      <w:r w:rsidR="0024732B">
        <w:t xml:space="preserve">to the </w:t>
      </w:r>
      <w:r w:rsidR="0024732B" w:rsidRPr="00A75420">
        <w:t>Constituent Entity</w:t>
      </w:r>
      <w:r w:rsidR="0024732B">
        <w:t>’s</w:t>
      </w:r>
      <w:r w:rsidR="0024732B" w:rsidRPr="00A75420">
        <w:t xml:space="preserve"> </w:t>
      </w:r>
      <w:r w:rsidR="0024732B">
        <w:t xml:space="preserve">Adjusted Covered Taxes for the Fiscal Year </w:t>
      </w:r>
      <w:r w:rsidR="002F2A03">
        <w:t xml:space="preserve">under </w:t>
      </w:r>
      <w:r w:rsidR="00BD5056">
        <w:t>subsection (2):</w:t>
      </w:r>
    </w:p>
    <w:p w14:paraId="5853E9D1" w14:textId="5C5DD927" w:rsidR="001F6B5C" w:rsidRPr="00664F81" w:rsidRDefault="00664F81" w:rsidP="00664F81">
      <w:pPr>
        <w:pStyle w:val="paragraph"/>
      </w:pPr>
      <w:r>
        <w:tab/>
        <w:t>(a)</w:t>
      </w:r>
      <w:r>
        <w:tab/>
      </w:r>
      <w:r w:rsidR="00F02243">
        <w:t xml:space="preserve">an amount </w:t>
      </w:r>
      <w:r w:rsidR="00134050" w:rsidRPr="00664F81">
        <w:t xml:space="preserve">mentioned in </w:t>
      </w:r>
      <w:r w:rsidR="00676BA0" w:rsidRPr="00664F81">
        <w:t xml:space="preserve">paragraph </w:t>
      </w:r>
      <w:r w:rsidR="00134050" w:rsidRPr="00664F81">
        <w:t xml:space="preserve">(5)(a) that is a Qualified </w:t>
      </w:r>
      <w:r w:rsidR="00134050" w:rsidRPr="007424B1">
        <w:t>Re</w:t>
      </w:r>
      <w:r w:rsidR="00D77B1D" w:rsidRPr="007424B1">
        <w:t>f</w:t>
      </w:r>
      <w:r w:rsidR="00134050" w:rsidRPr="007424B1">
        <w:t>undable</w:t>
      </w:r>
      <w:r w:rsidR="00134050" w:rsidRPr="00664F81">
        <w:t xml:space="preserve"> Tax </w:t>
      </w:r>
      <w:proofErr w:type="gramStart"/>
      <w:r w:rsidR="00134050" w:rsidRPr="00664F81">
        <w:t>Credit</w:t>
      </w:r>
      <w:r w:rsidR="001F6B5C" w:rsidRPr="00664F81">
        <w:t>;</w:t>
      </w:r>
      <w:proofErr w:type="gramEnd"/>
    </w:p>
    <w:p w14:paraId="08E1FA30" w14:textId="32F86C89" w:rsidR="00F52551" w:rsidRDefault="00664F81" w:rsidP="00664F81">
      <w:pPr>
        <w:pStyle w:val="paragraph"/>
      </w:pPr>
      <w:r>
        <w:tab/>
        <w:t>(b)</w:t>
      </w:r>
      <w:r>
        <w:tab/>
      </w:r>
      <w:r w:rsidR="00676BA0" w:rsidRPr="00664F81">
        <w:t>an amount mentioned</w:t>
      </w:r>
      <w:r w:rsidR="00676BA0">
        <w:t xml:space="preserve"> in paragraph (5)(c)</w:t>
      </w:r>
      <w:r w:rsidR="00B076BA">
        <w:t xml:space="preserve"> </w:t>
      </w:r>
      <w:r w:rsidR="00676BA0">
        <w:t>or (d).</w:t>
      </w:r>
    </w:p>
    <w:p w14:paraId="2200ECB7" w14:textId="4E8E6744" w:rsidR="00894639" w:rsidRPr="00356487" w:rsidRDefault="00894639" w:rsidP="00894639">
      <w:pPr>
        <w:pStyle w:val="ActHead5"/>
      </w:pPr>
      <w:bookmarkStart w:id="13" w:name="_Toc190698028"/>
      <w:r>
        <w:rPr>
          <w:rStyle w:val="CharSectno"/>
        </w:rPr>
        <w:t>4</w:t>
      </w:r>
      <w:r w:rsidRPr="00F87B7C">
        <w:rPr>
          <w:rStyle w:val="CharSectno"/>
        </w:rPr>
        <w:t>-</w:t>
      </w:r>
      <w:proofErr w:type="gramStart"/>
      <w:r w:rsidRPr="008A7BCF">
        <w:rPr>
          <w:rStyle w:val="CharSectno"/>
        </w:rPr>
        <w:t>3</w:t>
      </w:r>
      <w:r>
        <w:rPr>
          <w:rStyle w:val="CharSectno"/>
        </w:rPr>
        <w:t>7</w:t>
      </w:r>
      <w:r w:rsidRPr="008A7BCF">
        <w:t xml:space="preserve">  </w:t>
      </w:r>
      <w:r>
        <w:t>Meaning</w:t>
      </w:r>
      <w:proofErr w:type="gramEnd"/>
      <w:r>
        <w:t xml:space="preserve"> of </w:t>
      </w:r>
      <w:r>
        <w:rPr>
          <w:i/>
          <w:iCs/>
        </w:rPr>
        <w:t>qualified flow-through ownership interest</w:t>
      </w:r>
      <w:r>
        <w:rPr>
          <w:b w:val="0"/>
          <w:bCs/>
        </w:rPr>
        <w:t xml:space="preserve">, </w:t>
      </w:r>
      <w:r>
        <w:rPr>
          <w:i/>
          <w:iCs/>
        </w:rPr>
        <w:t>investment amount</w:t>
      </w:r>
      <w:r>
        <w:rPr>
          <w:b w:val="0"/>
          <w:bCs/>
        </w:rPr>
        <w:t xml:space="preserve"> and</w:t>
      </w:r>
      <w:r>
        <w:rPr>
          <w:i/>
          <w:iCs/>
        </w:rPr>
        <w:t xml:space="preserve"> adjusted investment amount</w:t>
      </w:r>
    </w:p>
    <w:p w14:paraId="425DF2DC" w14:textId="44A9FFD1" w:rsidR="000C6DEB" w:rsidRDefault="00894639" w:rsidP="000C6DEB">
      <w:pPr>
        <w:pStyle w:val="subsection"/>
      </w:pPr>
      <w:r>
        <w:tab/>
      </w:r>
      <w:r w:rsidR="000C6DEB">
        <w:t>(1)</w:t>
      </w:r>
      <w:r w:rsidR="000C6DEB">
        <w:tab/>
        <w:t xml:space="preserve">A </w:t>
      </w:r>
      <w:r w:rsidR="000C6DEB">
        <w:rPr>
          <w:b/>
          <w:bCs/>
          <w:i/>
          <w:iCs/>
        </w:rPr>
        <w:t>qualified flow-through ownership interest</w:t>
      </w:r>
      <w:r w:rsidR="000C6DEB">
        <w:t xml:space="preserve"> of a </w:t>
      </w:r>
      <w:r w:rsidR="000C6DEB" w:rsidRPr="00A75420">
        <w:t xml:space="preserve">Constituent Entity </w:t>
      </w:r>
      <w:r w:rsidR="000C6DEB">
        <w:t xml:space="preserve">is </w:t>
      </w:r>
      <w:r w:rsidR="000C6DEB" w:rsidRPr="00907897">
        <w:t xml:space="preserve">an </w:t>
      </w:r>
      <w:r w:rsidR="000C6DEB">
        <w:t xml:space="preserve">investment </w:t>
      </w:r>
      <w:r w:rsidR="000C6DEB" w:rsidRPr="00907897">
        <w:t xml:space="preserve">in a </w:t>
      </w:r>
      <w:r w:rsidR="000C6DEB">
        <w:t>particular T</w:t>
      </w:r>
      <w:r w:rsidR="000C6DEB" w:rsidRPr="00907897">
        <w:t xml:space="preserve">ax </w:t>
      </w:r>
      <w:r w:rsidR="000C6DEB">
        <w:t>T</w:t>
      </w:r>
      <w:r w:rsidR="000C6DEB" w:rsidRPr="00907897">
        <w:t xml:space="preserve">ransparent </w:t>
      </w:r>
      <w:r w:rsidR="000C6DEB">
        <w:t>E</w:t>
      </w:r>
      <w:r w:rsidR="000C6DEB" w:rsidRPr="00907897">
        <w:t xml:space="preserve">ntity held by </w:t>
      </w:r>
      <w:r w:rsidR="000C6DEB">
        <w:t>the C</w:t>
      </w:r>
      <w:r w:rsidR="000C6DEB" w:rsidRPr="00907897">
        <w:t xml:space="preserve">onstituent </w:t>
      </w:r>
      <w:r w:rsidR="000C6DEB">
        <w:t>E</w:t>
      </w:r>
      <w:r w:rsidR="000C6DEB" w:rsidRPr="00907897">
        <w:t xml:space="preserve">ntity directly, or indirectly through one or more other </w:t>
      </w:r>
      <w:r w:rsidR="000C6DEB">
        <w:t>T</w:t>
      </w:r>
      <w:r w:rsidR="000C6DEB" w:rsidRPr="00907897">
        <w:t xml:space="preserve">ax </w:t>
      </w:r>
      <w:r w:rsidR="000C6DEB">
        <w:t>T</w:t>
      </w:r>
      <w:r w:rsidR="000C6DEB" w:rsidRPr="00907897">
        <w:t xml:space="preserve">ransparent </w:t>
      </w:r>
      <w:r w:rsidR="000C6DEB">
        <w:t>E</w:t>
      </w:r>
      <w:r w:rsidR="000C6DEB" w:rsidRPr="00907897">
        <w:t xml:space="preserve">ntities that are not </w:t>
      </w:r>
      <w:r w:rsidR="000C6DEB">
        <w:t>C</w:t>
      </w:r>
      <w:r w:rsidR="000C6DEB" w:rsidRPr="00907897">
        <w:t xml:space="preserve">onstituent </w:t>
      </w:r>
      <w:r w:rsidR="000C6DEB">
        <w:t>E</w:t>
      </w:r>
      <w:r w:rsidR="000C6DEB" w:rsidRPr="00907897">
        <w:t>ntities of the MNE group, if</w:t>
      </w:r>
      <w:r w:rsidR="000C6DEB">
        <w:t>:</w:t>
      </w:r>
    </w:p>
    <w:p w14:paraId="293AAD87" w14:textId="77777777" w:rsidR="000C6DEB" w:rsidRDefault="000C6DEB" w:rsidP="000C6DEB">
      <w:pPr>
        <w:pStyle w:val="paragraph"/>
      </w:pPr>
      <w:r>
        <w:tab/>
        <w:t>(a)</w:t>
      </w:r>
      <w:r>
        <w:tab/>
        <w:t>the investment:</w:t>
      </w:r>
    </w:p>
    <w:p w14:paraId="4B1FD215" w14:textId="77777777" w:rsidR="000C6DEB" w:rsidRPr="00830A1E" w:rsidRDefault="000C6DEB" w:rsidP="000C6DEB">
      <w:pPr>
        <w:pStyle w:val="paragraphsub"/>
      </w:pPr>
      <w:r>
        <w:tab/>
      </w:r>
      <w:r w:rsidRPr="00830A1E">
        <w:t>(</w:t>
      </w:r>
      <w:proofErr w:type="spellStart"/>
      <w:r w:rsidRPr="00830A1E">
        <w:t>i</w:t>
      </w:r>
      <w:proofErr w:type="spellEnd"/>
      <w:r w:rsidRPr="00830A1E">
        <w:t>)</w:t>
      </w:r>
      <w:r>
        <w:tab/>
      </w:r>
      <w:r w:rsidRPr="00830A1E">
        <w:t>is treated</w:t>
      </w:r>
      <w:r>
        <w:t>, for tax purposes,</w:t>
      </w:r>
      <w:r w:rsidRPr="00830A1E">
        <w:t xml:space="preserve"> as an equity interest in the jurisdiction in which the Constituent Entity is located; and</w:t>
      </w:r>
    </w:p>
    <w:p w14:paraId="1ECB58C1" w14:textId="15D0B1F8" w:rsidR="000C6DEB" w:rsidRPr="00AD671F" w:rsidRDefault="000C6DEB" w:rsidP="000C6DEB">
      <w:pPr>
        <w:pStyle w:val="paragraphsub"/>
      </w:pPr>
      <w:r>
        <w:tab/>
      </w:r>
      <w:r w:rsidRPr="00AD671F">
        <w:t>(ii)</w:t>
      </w:r>
      <w:r>
        <w:tab/>
      </w:r>
      <w:r w:rsidRPr="00AD671F">
        <w:t xml:space="preserve">would be so treated under an Authorised Financial Accounting Standard in the jurisdiction in which the Tax Transparent Entity </w:t>
      </w:r>
      <w:r>
        <w:t>operates</w:t>
      </w:r>
      <w:r w:rsidRPr="00AD671F">
        <w:t>, but only if the Tax Transparent Entity’s assets, liabilities, income, expenses and cash flows are not consolidated on a line</w:t>
      </w:r>
      <w:r w:rsidR="00665D1B">
        <w:noBreakHyphen/>
      </w:r>
      <w:r w:rsidRPr="00AD671F">
        <w:t>by</w:t>
      </w:r>
      <w:r w:rsidR="00665D1B">
        <w:noBreakHyphen/>
      </w:r>
      <w:r w:rsidRPr="00AD671F">
        <w:t>line basis in the Consolidated Financial Statements of the Ultimate Parent Entity of the MNE Group; and</w:t>
      </w:r>
    </w:p>
    <w:p w14:paraId="7A18B7E1" w14:textId="77777777" w:rsidR="000C6DEB" w:rsidRDefault="000C6DEB" w:rsidP="000C6DEB">
      <w:pPr>
        <w:pStyle w:val="paragraph"/>
      </w:pPr>
      <w:r>
        <w:tab/>
        <w:t>(b)</w:t>
      </w:r>
      <w:r>
        <w:tab/>
      </w:r>
      <w:r w:rsidRPr="006F5820">
        <w:t>at the time the Constituent</w:t>
      </w:r>
      <w:r>
        <w:t xml:space="preserve"> Entity acquired the investment, the Constituent Entity:</w:t>
      </w:r>
    </w:p>
    <w:p w14:paraId="215335CA" w14:textId="77777777" w:rsidR="000C6DEB" w:rsidRDefault="000C6DEB" w:rsidP="000C6DE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could not reasonably have expected that its total return (including distributions,</w:t>
      </w:r>
      <w:r w:rsidRPr="00A42DE3">
        <w:t xml:space="preserve"> the tax benefits of tax losses and the tax benefits of </w:t>
      </w:r>
      <w:r w:rsidRPr="006F5820">
        <w:t>Qualified</w:t>
      </w:r>
      <w:r w:rsidRPr="00A42DE3">
        <w:t xml:space="preserve"> Refundable Tax Credits, but excluding the tax benefits of other kinds of tax credits) from the </w:t>
      </w:r>
      <w:r>
        <w:t>investment</w:t>
      </w:r>
      <w:r w:rsidRPr="00A42DE3">
        <w:t xml:space="preserve"> </w:t>
      </w:r>
      <w:r>
        <w:t xml:space="preserve">would </w:t>
      </w:r>
      <w:r w:rsidRPr="00A42DE3">
        <w:t xml:space="preserve">equal or exceed the total fair market value of the consideration provided in respect of </w:t>
      </w:r>
      <w:r>
        <w:t>the investment</w:t>
      </w:r>
      <w:r w:rsidRPr="00A42DE3">
        <w:t xml:space="preserve"> (the </w:t>
      </w:r>
      <w:r w:rsidRPr="009633CC">
        <w:rPr>
          <w:b/>
          <w:bCs/>
          <w:i/>
          <w:iCs/>
        </w:rPr>
        <w:t>investment amount</w:t>
      </w:r>
      <w:r w:rsidRPr="00A42DE3">
        <w:t>); and</w:t>
      </w:r>
    </w:p>
    <w:p w14:paraId="10435463" w14:textId="77777777" w:rsidR="000C6DEB" w:rsidRDefault="000C6DEB" w:rsidP="000C6DEB">
      <w:pPr>
        <w:pStyle w:val="paragraphsub"/>
      </w:pPr>
      <w:r>
        <w:tab/>
        <w:t>(ii)</w:t>
      </w:r>
      <w:r>
        <w:tab/>
        <w:t xml:space="preserve">could have reasonably expected a return on a portion of the investment amount in the form of tax credits other than </w:t>
      </w:r>
      <w:r w:rsidRPr="00966A7E">
        <w:t>Qualified Refundable Tax Credits</w:t>
      </w:r>
      <w:r>
        <w:t>.</w:t>
      </w:r>
    </w:p>
    <w:p w14:paraId="020910D1" w14:textId="02482E52" w:rsidR="000C6DEB" w:rsidRDefault="000C6DEB" w:rsidP="000C6DEB">
      <w:pPr>
        <w:pStyle w:val="subsection"/>
      </w:pPr>
      <w:r>
        <w:tab/>
        <w:t>(2)</w:t>
      </w:r>
      <w:r>
        <w:tab/>
        <w:t xml:space="preserve">However, an investment mentioned in subsection (1) is </w:t>
      </w:r>
      <w:r w:rsidRPr="008C6428">
        <w:rPr>
          <w:i/>
          <w:iCs/>
        </w:rPr>
        <w:t>not</w:t>
      </w:r>
      <w:r>
        <w:t xml:space="preserve"> a </w:t>
      </w:r>
      <w:r>
        <w:rPr>
          <w:b/>
          <w:bCs/>
          <w:i/>
          <w:iCs/>
        </w:rPr>
        <w:t>qualified flow</w:t>
      </w:r>
      <w:r w:rsidR="004A69F4">
        <w:rPr>
          <w:b/>
          <w:bCs/>
          <w:i/>
          <w:iCs/>
        </w:rPr>
        <w:noBreakHyphen/>
      </w:r>
      <w:r>
        <w:rPr>
          <w:b/>
          <w:bCs/>
          <w:i/>
          <w:iCs/>
        </w:rPr>
        <w:t>through ownership interest</w:t>
      </w:r>
      <w:r>
        <w:t xml:space="preserve"> if any of the following applies:</w:t>
      </w:r>
    </w:p>
    <w:p w14:paraId="30D6D3E7" w14:textId="77777777" w:rsidR="000C6DEB" w:rsidRPr="00662DBB" w:rsidRDefault="000C6DEB" w:rsidP="000C6DEB">
      <w:pPr>
        <w:pStyle w:val="paragraph"/>
      </w:pPr>
      <w:r>
        <w:tab/>
        <w:t>(a)</w:t>
      </w:r>
      <w:r>
        <w:tab/>
        <w:t>the investment</w:t>
      </w:r>
      <w:r w:rsidRPr="00662DBB">
        <w:t xml:space="preserve"> is not held by the Constituent Entity as a </w:t>
      </w:r>
      <w:r>
        <w:t>genuine</w:t>
      </w:r>
      <w:r w:rsidRPr="00662DBB">
        <w:t xml:space="preserve"> economic </w:t>
      </w:r>
      <w:proofErr w:type="gramStart"/>
      <w:r w:rsidRPr="00662DBB">
        <w:t>interest;</w:t>
      </w:r>
      <w:proofErr w:type="gramEnd"/>
    </w:p>
    <w:p w14:paraId="3C8C24AE" w14:textId="77777777" w:rsidR="000C6DEB" w:rsidRPr="00662DBB" w:rsidRDefault="000C6DEB" w:rsidP="000C6DEB">
      <w:pPr>
        <w:pStyle w:val="paragraph"/>
      </w:pPr>
      <w:r>
        <w:tab/>
        <w:t>(b)</w:t>
      </w:r>
      <w:r>
        <w:tab/>
      </w:r>
      <w:r w:rsidRPr="00662DBB">
        <w:t xml:space="preserve">the Constituent Entity is protected, to any extent, from a diminution of the investment </w:t>
      </w:r>
      <w:proofErr w:type="gramStart"/>
      <w:r w:rsidRPr="00662DBB">
        <w:t>amount;</w:t>
      </w:r>
      <w:proofErr w:type="gramEnd"/>
    </w:p>
    <w:p w14:paraId="6767F6EF" w14:textId="77777777" w:rsidR="000C6DEB" w:rsidRDefault="000C6DEB" w:rsidP="000C6DEB">
      <w:pPr>
        <w:pStyle w:val="paragraph"/>
      </w:pPr>
      <w:r>
        <w:tab/>
        <w:t>(c)</w:t>
      </w:r>
      <w:r>
        <w:tab/>
      </w:r>
      <w:r w:rsidRPr="00662DBB">
        <w:t>in the jurisdiction in which the Constituent Entity is located, compliance</w:t>
      </w:r>
      <w:r>
        <w:t xml:space="preserve"> with the </w:t>
      </w:r>
      <w:proofErr w:type="spellStart"/>
      <w:r w:rsidRPr="00FD39DC">
        <w:t>GloBE</w:t>
      </w:r>
      <w:proofErr w:type="spellEnd"/>
      <w:r w:rsidRPr="00FD39DC">
        <w:t xml:space="preserve"> Rules, as implemented in</w:t>
      </w:r>
      <w:r>
        <w:t xml:space="preserve"> that jurisdiction, is a condition of the transfer, through the particular T</w:t>
      </w:r>
      <w:r w:rsidRPr="00907897">
        <w:t xml:space="preserve">ax </w:t>
      </w:r>
      <w:r>
        <w:t>T</w:t>
      </w:r>
      <w:r w:rsidRPr="00907897">
        <w:t xml:space="preserve">ransparent </w:t>
      </w:r>
      <w:r>
        <w:t>E</w:t>
      </w:r>
      <w:r w:rsidRPr="00907897">
        <w:t xml:space="preserve">ntity </w:t>
      </w:r>
      <w:r>
        <w:t>in which the investment subsists, of the benefit of tax credits in respect of that investment.</w:t>
      </w:r>
    </w:p>
    <w:p w14:paraId="1A7912DB" w14:textId="77777777" w:rsidR="000C6DEB" w:rsidRDefault="000C6DEB" w:rsidP="000C6DEB">
      <w:pPr>
        <w:pStyle w:val="subsection"/>
      </w:pPr>
      <w:r>
        <w:tab/>
        <w:t>(3)</w:t>
      </w:r>
      <w:r>
        <w:tab/>
        <w:t xml:space="preserve">To calculate the </w:t>
      </w:r>
      <w:r w:rsidRPr="005812DE">
        <w:rPr>
          <w:b/>
          <w:bCs/>
          <w:i/>
          <w:iCs/>
        </w:rPr>
        <w:t>adjusted investment amount</w:t>
      </w:r>
      <w:r>
        <w:rPr>
          <w:b/>
          <w:bCs/>
          <w:i/>
          <w:iCs/>
        </w:rPr>
        <w:t xml:space="preserve"> </w:t>
      </w:r>
      <w:r>
        <w:t xml:space="preserve">of a </w:t>
      </w:r>
      <w:r w:rsidRPr="00A75420">
        <w:t>Constituent Entity</w:t>
      </w:r>
      <w:r>
        <w:t xml:space="preserve"> in respect of a qualified flow-through ownership interest for a Fiscal Year, </w:t>
      </w:r>
      <w:r w:rsidRPr="00E00DAB">
        <w:t>reduce</w:t>
      </w:r>
      <w:r w:rsidRPr="003F1F0A">
        <w:t xml:space="preserve"> </w:t>
      </w:r>
      <w:r>
        <w:t xml:space="preserve">the investment amount by </w:t>
      </w:r>
      <w:r w:rsidRPr="003F1F0A">
        <w:t>the sum of all amounts covered by subsection 4-36(</w:t>
      </w:r>
      <w:r>
        <w:t>5</w:t>
      </w:r>
      <w:r w:rsidRPr="003F1F0A">
        <w:t xml:space="preserve">) </w:t>
      </w:r>
      <w:r>
        <w:t xml:space="preserve">for all previous Fiscal Years in respect of the qualified flow-through ownership interest. </w:t>
      </w:r>
      <w:r w:rsidRPr="000D6613">
        <w:t>However, the adjusted investment amount may not be less than zero.</w:t>
      </w:r>
    </w:p>
    <w:p w14:paraId="329D21C9" w14:textId="29D2DD88" w:rsidR="007858F3" w:rsidRDefault="007858F3" w:rsidP="007267C0">
      <w:pPr>
        <w:pStyle w:val="ActHead5"/>
        <w:rPr>
          <w:iCs/>
        </w:rPr>
      </w:pPr>
      <w:r>
        <w:t>4-</w:t>
      </w:r>
      <w:proofErr w:type="gramStart"/>
      <w:r>
        <w:t>3</w:t>
      </w:r>
      <w:r w:rsidR="00894639">
        <w:t>8</w:t>
      </w:r>
      <w:r>
        <w:t xml:space="preserve"> </w:t>
      </w:r>
      <w:r w:rsidR="006856BA">
        <w:t xml:space="preserve"> </w:t>
      </w:r>
      <w:r w:rsidR="004736C3" w:rsidRPr="004736C3">
        <w:t>E</w:t>
      </w:r>
      <w:r w:rsidRPr="004736C3">
        <w:t>xcluded</w:t>
      </w:r>
      <w:proofErr w:type="gramEnd"/>
      <w:r w:rsidRPr="004736C3">
        <w:t xml:space="preserve"> E</w:t>
      </w:r>
      <w:r>
        <w:t>quity Gain or Loss</w:t>
      </w:r>
      <w:r w:rsidRPr="00624534">
        <w:rPr>
          <w:i/>
          <w:iCs/>
        </w:rPr>
        <w:t>—</w:t>
      </w:r>
      <w:r w:rsidR="008B3D17">
        <w:t>qualified flow-through ownership interest</w:t>
      </w:r>
      <w:r>
        <w:t>s</w:t>
      </w:r>
      <w:r w:rsidRPr="00624534">
        <w:rPr>
          <w:iCs/>
        </w:rPr>
        <w:t>—</w:t>
      </w:r>
      <w:r>
        <w:rPr>
          <w:iCs/>
        </w:rPr>
        <w:t>proportional amort</w:t>
      </w:r>
      <w:r w:rsidRPr="00BF0CFA">
        <w:rPr>
          <w:iCs/>
        </w:rPr>
        <w:t>i</w:t>
      </w:r>
      <w:r w:rsidR="0015697A" w:rsidRPr="00BF0CFA">
        <w:rPr>
          <w:iCs/>
        </w:rPr>
        <w:t>s</w:t>
      </w:r>
      <w:r w:rsidRPr="00BF0CFA">
        <w:rPr>
          <w:iCs/>
        </w:rPr>
        <w:t>atio</w:t>
      </w:r>
      <w:r>
        <w:rPr>
          <w:iCs/>
        </w:rPr>
        <w:t>n</w:t>
      </w:r>
      <w:bookmarkEnd w:id="13"/>
    </w:p>
    <w:p w14:paraId="3CA4DD94" w14:textId="32C750BB" w:rsidR="00483A9B" w:rsidRDefault="00614CEA" w:rsidP="00483A9B">
      <w:pPr>
        <w:pStyle w:val="subsection"/>
      </w:pPr>
      <w:r>
        <w:tab/>
      </w:r>
      <w:r w:rsidR="003B6EA5">
        <w:t>(1)</w:t>
      </w:r>
      <w:r w:rsidR="00132818">
        <w:tab/>
      </w:r>
      <w:r w:rsidR="005D4D92">
        <w:t>T</w:t>
      </w:r>
      <w:r w:rsidR="00483A9B">
        <w:t>his section applies if:</w:t>
      </w:r>
    </w:p>
    <w:p w14:paraId="6563A13E" w14:textId="69F16C64" w:rsidR="00011E97" w:rsidRPr="00B22286" w:rsidRDefault="00011E97" w:rsidP="00011E97">
      <w:pPr>
        <w:pStyle w:val="paragraph"/>
      </w:pPr>
      <w:r>
        <w:tab/>
        <w:t>(a)</w:t>
      </w:r>
      <w:r>
        <w:tab/>
      </w:r>
      <w:r w:rsidRPr="00611C54">
        <w:t xml:space="preserve">an election under subsection 3-31(1) for an MNE Group applies to a </w:t>
      </w:r>
      <w:r w:rsidRPr="00B22286">
        <w:t>jurisdiction and a Fiscal Year; and</w:t>
      </w:r>
    </w:p>
    <w:p w14:paraId="3A2DA542" w14:textId="3D29B9A5" w:rsidR="00011E97" w:rsidRDefault="00011E97" w:rsidP="00011E97">
      <w:pPr>
        <w:pStyle w:val="paragraph"/>
      </w:pPr>
      <w:r>
        <w:tab/>
        <w:t>(b)</w:t>
      </w:r>
      <w:r>
        <w:tab/>
      </w:r>
      <w:r w:rsidRPr="00B22286">
        <w:t xml:space="preserve">a Constituent Entity of the MNE Group located in the jurisdiction has a </w:t>
      </w:r>
      <w:r w:rsidR="008B3D17">
        <w:t>qualified flow-through ownership interest</w:t>
      </w:r>
      <w:r w:rsidRPr="00B22286">
        <w:t xml:space="preserve"> for the Fiscal Year; and</w:t>
      </w:r>
    </w:p>
    <w:p w14:paraId="4580D6AE" w14:textId="715755F1" w:rsidR="00011E97" w:rsidRDefault="000C79CB" w:rsidP="00011E97">
      <w:pPr>
        <w:pStyle w:val="paragraph"/>
      </w:pPr>
      <w:r>
        <w:tab/>
        <w:t>(c)</w:t>
      </w:r>
      <w:r>
        <w:tab/>
      </w:r>
      <w:r w:rsidR="00BE1F35">
        <w:t>either</w:t>
      </w:r>
      <w:r>
        <w:t>:</w:t>
      </w:r>
    </w:p>
    <w:p w14:paraId="01B5D84C" w14:textId="6C8F2808" w:rsidR="00976674" w:rsidRDefault="004F7307" w:rsidP="004F7307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88280F">
        <w:t xml:space="preserve">the </w:t>
      </w:r>
      <w:r w:rsidR="0088280F" w:rsidRPr="00B22286">
        <w:t>Constituent Entity</w:t>
      </w:r>
      <w:r w:rsidR="0088280F">
        <w:t xml:space="preserve"> </w:t>
      </w:r>
      <w:r>
        <w:t>use</w:t>
      </w:r>
      <w:r w:rsidR="008D73F4">
        <w:t>s</w:t>
      </w:r>
      <w:r>
        <w:t xml:space="preserve"> the proportional amorti</w:t>
      </w:r>
      <w:r w:rsidRPr="007424B1">
        <w:t>s</w:t>
      </w:r>
      <w:r>
        <w:t xml:space="preserve">ation method of </w:t>
      </w:r>
      <w:r w:rsidRPr="00843404">
        <w:t xml:space="preserve">accounting in relation to the </w:t>
      </w:r>
      <w:r w:rsidR="008B3D17" w:rsidRPr="00843404">
        <w:t>qualified flow-through ownership interest</w:t>
      </w:r>
      <w:r w:rsidRPr="00843404">
        <w:t xml:space="preserve"> for the Fiscal Year</w:t>
      </w:r>
      <w:r w:rsidR="008D73F4" w:rsidRPr="00843404">
        <w:t xml:space="preserve">; </w:t>
      </w:r>
      <w:r w:rsidR="001F1655" w:rsidRPr="00843404">
        <w:t>or</w:t>
      </w:r>
    </w:p>
    <w:p w14:paraId="050A298B" w14:textId="207C56A4" w:rsidR="001F1655" w:rsidRPr="00F519E3" w:rsidRDefault="001F1655" w:rsidP="004F7307">
      <w:pPr>
        <w:pStyle w:val="paragraphsub"/>
        <w:rPr>
          <w:i/>
          <w:iCs/>
        </w:rPr>
      </w:pPr>
      <w:r>
        <w:tab/>
        <w:t>(ii)</w:t>
      </w:r>
      <w:r>
        <w:tab/>
      </w:r>
      <w:r w:rsidR="0088280F">
        <w:t xml:space="preserve">the </w:t>
      </w:r>
      <w:r w:rsidR="0088280F" w:rsidRPr="00B22286">
        <w:t>Constituent Entity</w:t>
      </w:r>
      <w:r w:rsidR="0088280F">
        <w:t xml:space="preserve"> </w:t>
      </w:r>
      <w:r w:rsidR="00EB0974">
        <w:t>does not use that method</w:t>
      </w:r>
      <w:r w:rsidR="00E74587">
        <w:t xml:space="preserve"> </w:t>
      </w:r>
      <w:r w:rsidR="00C67B72">
        <w:t xml:space="preserve">in relation to the </w:t>
      </w:r>
      <w:r w:rsidR="00972DFA" w:rsidRPr="00AD0555">
        <w:t>qualified flow-through ownership interest</w:t>
      </w:r>
      <w:r w:rsidR="00E6764F">
        <w:t xml:space="preserve"> for the Fiscal Year</w:t>
      </w:r>
      <w:r w:rsidR="00E74587" w:rsidRPr="00AD0555">
        <w:t xml:space="preserve">, </w:t>
      </w:r>
      <w:r w:rsidR="00EB0974" w:rsidRPr="00AD0555">
        <w:t xml:space="preserve">but </w:t>
      </w:r>
      <w:r w:rsidR="004B79D9" w:rsidRPr="00AD0555">
        <w:t>an election under subsection (</w:t>
      </w:r>
      <w:r w:rsidR="00223548">
        <w:t>4</w:t>
      </w:r>
      <w:r w:rsidR="004B79D9" w:rsidRPr="00AD0555">
        <w:t xml:space="preserve">) applies to the </w:t>
      </w:r>
      <w:r w:rsidR="00EA556E" w:rsidRPr="00AD0555">
        <w:t>Constituent Entity</w:t>
      </w:r>
      <w:r w:rsidR="00E74587" w:rsidRPr="00AD0555">
        <w:t xml:space="preserve"> for the Fiscal Year</w:t>
      </w:r>
      <w:r w:rsidR="00EB0974" w:rsidRPr="00F519E3">
        <w:rPr>
          <w:i/>
          <w:iCs/>
        </w:rPr>
        <w:t>.</w:t>
      </w:r>
    </w:p>
    <w:p w14:paraId="390F323A" w14:textId="7B256750" w:rsidR="0071285A" w:rsidRPr="004830F0" w:rsidRDefault="0071285A" w:rsidP="0071285A">
      <w:pPr>
        <w:pStyle w:val="subsection"/>
      </w:pPr>
      <w:r>
        <w:rPr>
          <w:b/>
          <w:bCs/>
        </w:rPr>
        <w:tab/>
      </w:r>
      <w:r w:rsidRPr="00265225">
        <w:t>(</w:t>
      </w:r>
      <w:r>
        <w:t>2</w:t>
      </w:r>
      <w:r w:rsidRPr="00265225">
        <w:t>)</w:t>
      </w:r>
      <w:r>
        <w:tab/>
        <w:t xml:space="preserve">If the </w:t>
      </w:r>
      <w:r w:rsidR="00A74DEE">
        <w:t xml:space="preserve">final </w:t>
      </w:r>
      <w:r>
        <w:t>result of the following method statement is exceeded by the sum of all amounts covered by subsection (</w:t>
      </w:r>
      <w:r w:rsidR="00223548">
        <w:t>3</w:t>
      </w:r>
      <w:r>
        <w:t xml:space="preserve">) for the Fiscal Year, subtract the excess from the </w:t>
      </w:r>
      <w:r w:rsidRPr="00A75420">
        <w:t>Constituent Entity</w:t>
      </w:r>
      <w:r>
        <w:t>’s</w:t>
      </w:r>
      <w:r w:rsidRPr="00A75420">
        <w:t xml:space="preserve"> </w:t>
      </w:r>
      <w:r>
        <w:t>Adjusted Covered Taxes for the Fiscal Year.</w:t>
      </w:r>
    </w:p>
    <w:p w14:paraId="2E027478" w14:textId="361EA663" w:rsidR="0071285A" w:rsidRDefault="00102D18" w:rsidP="00102D18">
      <w:pPr>
        <w:pStyle w:val="BoxHeadItalic"/>
      </w:pPr>
      <w:r>
        <w:t>Method statement</w:t>
      </w:r>
    </w:p>
    <w:p w14:paraId="3CA6BE53" w14:textId="0382584F" w:rsidR="00102D18" w:rsidRDefault="00540742" w:rsidP="00102D18">
      <w:pPr>
        <w:pStyle w:val="BoxStep"/>
        <w:rPr>
          <w:i/>
          <w:iCs/>
        </w:rPr>
      </w:pPr>
      <w:r w:rsidRPr="00B00211">
        <w:rPr>
          <w:i/>
          <w:iCs/>
        </w:rPr>
        <w:t>Step 1</w:t>
      </w:r>
      <w:r>
        <w:t>:</w:t>
      </w:r>
      <w:r>
        <w:tab/>
        <w:t>Work out the sum of the amounts covered by paragraphs (</w:t>
      </w:r>
      <w:r w:rsidR="00223548">
        <w:t>3</w:t>
      </w:r>
      <w:r>
        <w:t>)(a) and (b) for the Fiscal Year.</w:t>
      </w:r>
    </w:p>
    <w:p w14:paraId="41643603" w14:textId="4BF8C196" w:rsidR="00540742" w:rsidRDefault="00540742" w:rsidP="00102D18">
      <w:pPr>
        <w:pStyle w:val="BoxStep"/>
      </w:pPr>
      <w:r w:rsidRPr="00B00211">
        <w:rPr>
          <w:i/>
          <w:iCs/>
        </w:rPr>
        <w:t>Step 2</w:t>
      </w:r>
      <w:r>
        <w:t>:</w:t>
      </w:r>
      <w:r>
        <w:tab/>
      </w:r>
      <w:r w:rsidRPr="00540742">
        <w:t>Work out the sum of all amounts covered by paragraphs (</w:t>
      </w:r>
      <w:r w:rsidR="00223548">
        <w:t>3</w:t>
      </w:r>
      <w:r w:rsidRPr="00540742">
        <w:t>)(a) and (b) that, at the time the Constituent Entity acquired the qualified flow</w:t>
      </w:r>
      <w:r w:rsidR="00223548">
        <w:noBreakHyphen/>
      </w:r>
      <w:r w:rsidRPr="00540742">
        <w:t>through ownership interest, the Constituent Entity could reasonably have expected to receive over the life of the qualified flow-through ownership interest.</w:t>
      </w:r>
    </w:p>
    <w:p w14:paraId="4E0C6F3F" w14:textId="0B757103" w:rsidR="00B5069E" w:rsidRDefault="00B5069E" w:rsidP="00102D18">
      <w:pPr>
        <w:pStyle w:val="BoxStep"/>
      </w:pPr>
      <w:r w:rsidRPr="00B00211">
        <w:rPr>
          <w:i/>
          <w:iCs/>
        </w:rPr>
        <w:t>Step 3</w:t>
      </w:r>
      <w:r>
        <w:t>:</w:t>
      </w:r>
      <w:r>
        <w:tab/>
      </w:r>
      <w:r w:rsidRPr="00E77ACE">
        <w:t xml:space="preserve">Divide the </w:t>
      </w:r>
      <w:r w:rsidRPr="00B00211">
        <w:t xml:space="preserve">result of </w:t>
      </w:r>
      <w:r w:rsidR="00E77ACE" w:rsidRPr="00B00211">
        <w:t>s</w:t>
      </w:r>
      <w:r w:rsidRPr="00B00211">
        <w:t>tep 1</w:t>
      </w:r>
      <w:r w:rsidRPr="00E77ACE">
        <w:t xml:space="preserve"> for the Fiscal Year by the </w:t>
      </w:r>
      <w:r w:rsidR="00E77ACE" w:rsidRPr="00B00211">
        <w:t>result of step 2</w:t>
      </w:r>
      <w:r w:rsidRPr="00E77ACE">
        <w:t>.</w:t>
      </w:r>
    </w:p>
    <w:p w14:paraId="09BDD337" w14:textId="22CBEFDE" w:rsidR="00E77ACE" w:rsidRPr="00102D18" w:rsidRDefault="00E77ACE" w:rsidP="00B00211">
      <w:pPr>
        <w:pStyle w:val="BoxStep"/>
      </w:pPr>
      <w:r w:rsidRPr="00B00211">
        <w:rPr>
          <w:i/>
          <w:iCs/>
        </w:rPr>
        <w:t>Step 4</w:t>
      </w:r>
      <w:r>
        <w:t>:</w:t>
      </w:r>
      <w:r>
        <w:tab/>
        <w:t xml:space="preserve">Multiply the </w:t>
      </w:r>
      <w:r w:rsidRPr="00B00211">
        <w:t>result of step 3</w:t>
      </w:r>
      <w:r>
        <w:rPr>
          <w:b/>
          <w:bCs/>
          <w:i/>
          <w:iCs/>
        </w:rPr>
        <w:t xml:space="preserve"> </w:t>
      </w:r>
      <w:r w:rsidRPr="00BC4E7B">
        <w:t xml:space="preserve">for the </w:t>
      </w:r>
      <w:r>
        <w:t>Fiscal Year by the investment amount.</w:t>
      </w:r>
      <w:r w:rsidR="00A74DEE">
        <w:t xml:space="preserve"> This the final result.</w:t>
      </w:r>
    </w:p>
    <w:p w14:paraId="3F48739D" w14:textId="54B1DBFD" w:rsidR="00F35E51" w:rsidRPr="00304861" w:rsidRDefault="00132818" w:rsidP="00F35E51">
      <w:pPr>
        <w:pStyle w:val="subsection"/>
      </w:pPr>
      <w:r>
        <w:tab/>
        <w:t>(</w:t>
      </w:r>
      <w:r w:rsidR="00223548">
        <w:t>3</w:t>
      </w:r>
      <w:r>
        <w:t>)</w:t>
      </w:r>
      <w:r>
        <w:tab/>
      </w:r>
      <w:r w:rsidR="00F35E51">
        <w:t>This subsection covers each of the following:</w:t>
      </w:r>
    </w:p>
    <w:p w14:paraId="598823C0" w14:textId="573ED8E4" w:rsidR="00F35E51" w:rsidRPr="00664F81" w:rsidRDefault="00F35E51" w:rsidP="00F35E51">
      <w:pPr>
        <w:pStyle w:val="paragraph"/>
      </w:pPr>
      <w:r>
        <w:tab/>
        <w:t>(a)</w:t>
      </w:r>
      <w:r>
        <w:tab/>
        <w:t xml:space="preserve">the </w:t>
      </w:r>
      <w:r w:rsidRPr="00664F81">
        <w:t xml:space="preserve">amount of any tax credit in respect of the </w:t>
      </w:r>
      <w:r w:rsidR="008B3D17">
        <w:t xml:space="preserve">qualified flow-through ownership </w:t>
      </w:r>
      <w:proofErr w:type="gramStart"/>
      <w:r w:rsidR="008B3D17">
        <w:t>interest</w:t>
      </w:r>
      <w:r w:rsidRPr="00664F81">
        <w:t>;</w:t>
      </w:r>
      <w:proofErr w:type="gramEnd"/>
    </w:p>
    <w:p w14:paraId="56D07529" w14:textId="07C44E34" w:rsidR="00F35E51" w:rsidRPr="00664F81" w:rsidRDefault="00F35E51" w:rsidP="00F35E51">
      <w:pPr>
        <w:pStyle w:val="paragraph"/>
      </w:pPr>
      <w:r>
        <w:tab/>
        <w:t>(b)</w:t>
      </w:r>
      <w:r>
        <w:tab/>
      </w:r>
      <w:r w:rsidRPr="00664F81">
        <w:t xml:space="preserve">the amount of any tax-deductible loss in respect of the </w:t>
      </w:r>
      <w:r w:rsidR="008B3D17">
        <w:t>qualified flow-through ownership interest</w:t>
      </w:r>
      <w:r w:rsidRPr="00664F81">
        <w:t xml:space="preserve">, multiplied by the applicable domestic tax </w:t>
      </w:r>
      <w:proofErr w:type="gramStart"/>
      <w:r w:rsidRPr="00664F81">
        <w:t>rate;</w:t>
      </w:r>
      <w:proofErr w:type="gramEnd"/>
    </w:p>
    <w:p w14:paraId="162B7BC4" w14:textId="37988D8F" w:rsidR="00F35E51" w:rsidRPr="00664F81" w:rsidRDefault="00F35E51" w:rsidP="00F35E51">
      <w:pPr>
        <w:pStyle w:val="paragraph"/>
      </w:pPr>
      <w:r>
        <w:tab/>
        <w:t>(c)</w:t>
      </w:r>
      <w:r>
        <w:tab/>
      </w:r>
      <w:r w:rsidRPr="00664F81">
        <w:t xml:space="preserve">the amount of any distribution (including a return of capital) in respect of the </w:t>
      </w:r>
      <w:r w:rsidR="008B3D17">
        <w:t xml:space="preserve">qualified flow-through ownership </w:t>
      </w:r>
      <w:proofErr w:type="gramStart"/>
      <w:r w:rsidR="008B3D17">
        <w:t>interest</w:t>
      </w:r>
      <w:r w:rsidRPr="00664F81">
        <w:t>;</w:t>
      </w:r>
      <w:proofErr w:type="gramEnd"/>
    </w:p>
    <w:p w14:paraId="1D37C7D3" w14:textId="7D185378" w:rsidR="00F35E51" w:rsidRDefault="00F35E51" w:rsidP="00F35E51">
      <w:pPr>
        <w:pStyle w:val="paragraph"/>
      </w:pPr>
      <w:r>
        <w:tab/>
        <w:t>(d)</w:t>
      </w:r>
      <w:r>
        <w:tab/>
      </w:r>
      <w:r w:rsidRPr="00664F81">
        <w:t xml:space="preserve">the amount of the proceeds of sale of all or a part of the </w:t>
      </w:r>
      <w:r w:rsidR="008B3D17">
        <w:t>qualified flow-through ownership interest</w:t>
      </w:r>
      <w:r w:rsidR="00B20004">
        <w:t>.</w:t>
      </w:r>
    </w:p>
    <w:p w14:paraId="39A26D1C" w14:textId="5CD232D9" w:rsidR="00DD1A24" w:rsidRPr="00DD1A24" w:rsidRDefault="00DD1A24" w:rsidP="00DD1A24">
      <w:pPr>
        <w:pStyle w:val="SubsectionHead"/>
      </w:pPr>
      <w:r>
        <w:t>Election</w:t>
      </w:r>
    </w:p>
    <w:p w14:paraId="6AC82972" w14:textId="4651567F" w:rsidR="00AA3731" w:rsidRDefault="00A73B30" w:rsidP="00AA3731">
      <w:pPr>
        <w:pStyle w:val="subsection"/>
      </w:pPr>
      <w:r>
        <w:tab/>
        <w:t>(</w:t>
      </w:r>
      <w:r w:rsidR="00223548">
        <w:t>4</w:t>
      </w:r>
      <w:r>
        <w:t>)</w:t>
      </w:r>
      <w:r>
        <w:tab/>
      </w:r>
      <w:r w:rsidR="00AA3731" w:rsidRPr="00BE1D41">
        <w:t>A Filing Constituent Entity for an MNE Group may make an election for the MNE Group under this subsection that applies to a specified Constituent Entity of the MNE Group.</w:t>
      </w:r>
    </w:p>
    <w:p w14:paraId="5524C073" w14:textId="39701AF5" w:rsidR="00351DAC" w:rsidRDefault="00B83720" w:rsidP="00AA3731">
      <w:pPr>
        <w:pStyle w:val="subsection"/>
      </w:pPr>
      <w:r>
        <w:tab/>
        <w:t>(</w:t>
      </w:r>
      <w:r w:rsidR="00223548">
        <w:t>5</w:t>
      </w:r>
      <w:r>
        <w:t>)</w:t>
      </w:r>
      <w:r>
        <w:tab/>
      </w:r>
      <w:r w:rsidR="00850BE6">
        <w:t xml:space="preserve">The </w:t>
      </w:r>
      <w:r w:rsidR="00893E5A">
        <w:t>election</w:t>
      </w:r>
      <w:r w:rsidR="007C40CE">
        <w:t xml:space="preserve"> </w:t>
      </w:r>
      <w:r w:rsidR="00FF4C09">
        <w:t xml:space="preserve">begins to apply </w:t>
      </w:r>
      <w:r w:rsidR="001B6958">
        <w:t xml:space="preserve">at </w:t>
      </w:r>
      <w:r w:rsidR="00351DAC">
        <w:t xml:space="preserve">the </w:t>
      </w:r>
      <w:r w:rsidR="0023367C">
        <w:t>later</w:t>
      </w:r>
      <w:r w:rsidR="00351DAC">
        <w:t xml:space="preserve"> of</w:t>
      </w:r>
      <w:r w:rsidR="0023367C">
        <w:t xml:space="preserve"> the following</w:t>
      </w:r>
      <w:r w:rsidR="00351DAC">
        <w:t>:</w:t>
      </w:r>
    </w:p>
    <w:p w14:paraId="7BDB6CB9" w14:textId="19200256" w:rsidR="0023367C" w:rsidRDefault="00217FE2" w:rsidP="00830A1E">
      <w:pPr>
        <w:pStyle w:val="paragraph"/>
      </w:pPr>
      <w:r>
        <w:tab/>
        <w:t>(a)</w:t>
      </w:r>
      <w:r>
        <w:tab/>
      </w:r>
      <w:r w:rsidR="001B6958">
        <w:t xml:space="preserve">the start of </w:t>
      </w:r>
      <w:r>
        <w:t xml:space="preserve">the </w:t>
      </w:r>
      <w:r w:rsidR="00AD5C81">
        <w:t xml:space="preserve">Fiscal Year </w:t>
      </w:r>
      <w:r>
        <w:t>in which the</w:t>
      </w:r>
      <w:r w:rsidR="00AD5C81">
        <w:t xml:space="preserve"> </w:t>
      </w:r>
      <w:r w:rsidR="00AD5C81" w:rsidRPr="00BE1D41">
        <w:t>Constituent Entity</w:t>
      </w:r>
      <w:r w:rsidR="00AD5C81">
        <w:t xml:space="preserve"> </w:t>
      </w:r>
      <w:r w:rsidR="00F20B09">
        <w:t xml:space="preserve">acquires the </w:t>
      </w:r>
      <w:r w:rsidR="008B3D17">
        <w:t xml:space="preserve">qualified flow-through ownership </w:t>
      </w:r>
      <w:proofErr w:type="gramStart"/>
      <w:r w:rsidR="008B3D17">
        <w:t>interest</w:t>
      </w:r>
      <w:r w:rsidR="0023367C">
        <w:t>;</w:t>
      </w:r>
      <w:proofErr w:type="gramEnd"/>
    </w:p>
    <w:p w14:paraId="70CD9C41" w14:textId="339AA7E5" w:rsidR="00850BE6" w:rsidRDefault="0023367C" w:rsidP="00830A1E">
      <w:pPr>
        <w:pStyle w:val="paragraph"/>
      </w:pPr>
      <w:r>
        <w:tab/>
        <w:t>(b)</w:t>
      </w:r>
      <w:r>
        <w:tab/>
      </w:r>
      <w:r w:rsidR="001B6958">
        <w:t xml:space="preserve">the start of </w:t>
      </w:r>
      <w:r w:rsidR="009E4997">
        <w:t xml:space="preserve">the Fiscal Year in which the </w:t>
      </w:r>
      <w:r w:rsidR="009E4997" w:rsidRPr="00BE1D41">
        <w:t>Constituent Entity</w:t>
      </w:r>
      <w:r w:rsidR="009E4997">
        <w:t xml:space="preserve"> becomes subject to th</w:t>
      </w:r>
      <w:r w:rsidR="004E438A">
        <w:t>is instrument</w:t>
      </w:r>
      <w:r w:rsidR="007C6559">
        <w:t xml:space="preserve"> </w:t>
      </w:r>
      <w:r w:rsidR="009E4997">
        <w:t>in relation to the</w:t>
      </w:r>
      <w:r w:rsidR="00850BE6">
        <w:t xml:space="preserve"> qualified flow-through ownership interest</w:t>
      </w:r>
      <w:r w:rsidR="00AB2F87">
        <w:t>.</w:t>
      </w:r>
    </w:p>
    <w:p w14:paraId="6690195D" w14:textId="1CC6F429" w:rsidR="007C40CE" w:rsidRDefault="00850BE6" w:rsidP="00AA3731">
      <w:pPr>
        <w:pStyle w:val="subsection"/>
      </w:pPr>
      <w:r>
        <w:tab/>
        <w:t>(</w:t>
      </w:r>
      <w:r w:rsidR="00223548">
        <w:t>6</w:t>
      </w:r>
      <w:r>
        <w:t>)</w:t>
      </w:r>
      <w:r>
        <w:tab/>
      </w:r>
      <w:r w:rsidR="00E15E8A">
        <w:t>The election may not be revoked.</w:t>
      </w:r>
    </w:p>
    <w:p w14:paraId="53A45C26" w14:textId="0EAB99CE" w:rsidR="00097A83" w:rsidRDefault="007C6559" w:rsidP="00097A83">
      <w:pPr>
        <w:pStyle w:val="ItemHead"/>
      </w:pPr>
      <w:proofErr w:type="gramStart"/>
      <w:r>
        <w:t>12</w:t>
      </w:r>
      <w:r w:rsidR="00097A83">
        <w:t xml:space="preserve">  </w:t>
      </w:r>
      <w:r w:rsidR="0013640B">
        <w:t>At</w:t>
      </w:r>
      <w:proofErr w:type="gramEnd"/>
      <w:r w:rsidR="0013640B">
        <w:t xml:space="preserve"> the end of section </w:t>
      </w:r>
      <w:r w:rsidR="00097A83">
        <w:t>7-</w:t>
      </w:r>
      <w:r w:rsidR="006908FE">
        <w:t>1</w:t>
      </w:r>
      <w:r w:rsidR="00097A83">
        <w:t>30</w:t>
      </w:r>
    </w:p>
    <w:p w14:paraId="0FF22357" w14:textId="77777777" w:rsidR="0013640B" w:rsidRDefault="007267C0" w:rsidP="000E49F0">
      <w:pPr>
        <w:pStyle w:val="Item"/>
      </w:pPr>
      <w:r>
        <w:tab/>
      </w:r>
      <w:r w:rsidR="000E49F0">
        <w:t>A</w:t>
      </w:r>
      <w:r w:rsidR="0013640B">
        <w:t>dd:</w:t>
      </w:r>
    </w:p>
    <w:p w14:paraId="0693EBD3" w14:textId="24CDA4B8" w:rsidR="00F87B7C" w:rsidRDefault="00CE67CE" w:rsidP="00CE67CE">
      <w:pPr>
        <w:pStyle w:val="subsection"/>
      </w:pPr>
      <w:r>
        <w:tab/>
        <w:t>(</w:t>
      </w:r>
      <w:r w:rsidR="0048667A">
        <w:t>5)</w:t>
      </w:r>
      <w:r w:rsidR="0048667A">
        <w:tab/>
      </w:r>
      <w:r w:rsidR="00E74962">
        <w:t xml:space="preserve">If </w:t>
      </w:r>
      <w:r w:rsidR="0093738C">
        <w:t>the Constituent</w:t>
      </w:r>
      <w:r w:rsidR="00392197">
        <w:t xml:space="preserve"> </w:t>
      </w:r>
      <w:r w:rsidR="00366CA3">
        <w:t>Entity</w:t>
      </w:r>
      <w:r w:rsidR="002E70DD">
        <w:t>-</w:t>
      </w:r>
      <w:r w:rsidR="00366CA3">
        <w:t>owner mentioned in paragraph (</w:t>
      </w:r>
      <w:r w:rsidR="00EB14F9">
        <w:t>1</w:t>
      </w:r>
      <w:r w:rsidR="00366CA3">
        <w:t>)</w:t>
      </w:r>
      <w:r w:rsidR="00456F82">
        <w:t>(b) is a regulated mutual insurance company</w:t>
      </w:r>
      <w:r w:rsidR="00E74962">
        <w:t>, p</w:t>
      </w:r>
      <w:r w:rsidR="00E51E4C">
        <w:t>aragraph</w:t>
      </w:r>
      <w:r w:rsidR="00B06904">
        <w:t>s</w:t>
      </w:r>
      <w:r w:rsidR="00E51E4C">
        <w:t xml:space="preserve"> (2)(a) and (b) are taken to be satisfied in relation to the </w:t>
      </w:r>
      <w:r w:rsidR="00EB14F9">
        <w:t>Constituent</w:t>
      </w:r>
      <w:r w:rsidR="00392197">
        <w:t xml:space="preserve"> </w:t>
      </w:r>
      <w:r w:rsidR="00EB14F9">
        <w:t>Entity</w:t>
      </w:r>
      <w:r w:rsidR="002E70DD">
        <w:t>-</w:t>
      </w:r>
      <w:r w:rsidR="00EB14F9">
        <w:t>owner</w:t>
      </w:r>
      <w:r w:rsidR="00B62729">
        <w:t xml:space="preserve"> for the Fiscal Year</w:t>
      </w:r>
      <w:r w:rsidR="00EB14F9">
        <w:t>.</w:t>
      </w:r>
    </w:p>
    <w:p w14:paraId="7099C302" w14:textId="70938F0D" w:rsidR="00A9624E" w:rsidRDefault="00AA4427" w:rsidP="00CE67CE">
      <w:pPr>
        <w:pStyle w:val="subsection"/>
      </w:pPr>
      <w:r>
        <w:tab/>
        <w:t>(6)</w:t>
      </w:r>
      <w:r>
        <w:tab/>
        <w:t xml:space="preserve">A </w:t>
      </w:r>
      <w:r w:rsidRPr="00AA4427">
        <w:rPr>
          <w:b/>
          <w:bCs/>
          <w:i/>
          <w:iCs/>
        </w:rPr>
        <w:t>regulated mutual insurance company</w:t>
      </w:r>
      <w:r>
        <w:t xml:space="preserve"> is a</w:t>
      </w:r>
      <w:r w:rsidR="00F40148">
        <w:t>n</w:t>
      </w:r>
      <w:r w:rsidR="00C14FA6">
        <w:t xml:space="preserve"> insurance company</w:t>
      </w:r>
      <w:r w:rsidR="00A9624E">
        <w:t xml:space="preserve"> that</w:t>
      </w:r>
      <w:r w:rsidR="00B62729">
        <w:t xml:space="preserve"> is</w:t>
      </w:r>
      <w:r w:rsidR="00A9624E">
        <w:t>:</w:t>
      </w:r>
    </w:p>
    <w:p w14:paraId="5521F507" w14:textId="0034FD51" w:rsidR="00A9624E" w:rsidRPr="00AA3465" w:rsidRDefault="009E18B6" w:rsidP="009E18B6">
      <w:pPr>
        <w:pStyle w:val="paragraph"/>
      </w:pPr>
      <w:r>
        <w:tab/>
      </w:r>
      <w:r w:rsidR="00A9624E" w:rsidRPr="00AA3465">
        <w:t>(a)</w:t>
      </w:r>
      <w:r>
        <w:tab/>
      </w:r>
      <w:r w:rsidR="00C14FA6" w:rsidRPr="00AA3465">
        <w:t>wholly owned by its policyholders</w:t>
      </w:r>
      <w:r w:rsidR="00A9624E" w:rsidRPr="00AA3465">
        <w:t>; and</w:t>
      </w:r>
    </w:p>
    <w:p w14:paraId="77350D85" w14:textId="05E8C9EE" w:rsidR="00AA4427" w:rsidRPr="00AA3465" w:rsidRDefault="009E18B6" w:rsidP="009E18B6">
      <w:pPr>
        <w:pStyle w:val="paragraph"/>
      </w:pPr>
      <w:r>
        <w:tab/>
      </w:r>
      <w:r w:rsidR="00A9624E" w:rsidRPr="00AA3465">
        <w:t>(b)</w:t>
      </w:r>
      <w:r>
        <w:tab/>
      </w:r>
      <w:r w:rsidR="00081300">
        <w:t xml:space="preserve">regulated by a </w:t>
      </w:r>
      <w:r w:rsidR="0064018A" w:rsidRPr="00AA3465">
        <w:t xml:space="preserve">regulatory </w:t>
      </w:r>
      <w:r w:rsidR="00FE7D00">
        <w:t>authority in the jurisdiction in which it is located.</w:t>
      </w:r>
    </w:p>
    <w:p w14:paraId="47D922D8" w14:textId="3D8A0C7C" w:rsidR="006B25B0" w:rsidRDefault="006B25B0" w:rsidP="0094347B">
      <w:pPr>
        <w:pStyle w:val="ItemHead"/>
      </w:pPr>
      <w:proofErr w:type="gramStart"/>
      <w:r>
        <w:t xml:space="preserve">13  </w:t>
      </w:r>
      <w:r w:rsidR="00D7187A">
        <w:t>Section</w:t>
      </w:r>
      <w:proofErr w:type="gramEnd"/>
      <w:r w:rsidR="00D7187A">
        <w:t xml:space="preserve"> 10-5</w:t>
      </w:r>
    </w:p>
    <w:p w14:paraId="60750AF3" w14:textId="359CF005" w:rsidR="00D7187A" w:rsidRDefault="00BA00E0" w:rsidP="00D7187A">
      <w:pPr>
        <w:pStyle w:val="Item"/>
      </w:pPr>
      <w:r>
        <w:t>Insert:</w:t>
      </w:r>
    </w:p>
    <w:p w14:paraId="2E04A230" w14:textId="4C5DC102" w:rsidR="001D169E" w:rsidRPr="0061356C" w:rsidRDefault="001D169E" w:rsidP="00BA00E0">
      <w:pPr>
        <w:pStyle w:val="Definition"/>
      </w:pPr>
      <w:r w:rsidRPr="005812DE">
        <w:rPr>
          <w:b/>
          <w:bCs/>
          <w:i/>
          <w:iCs/>
        </w:rPr>
        <w:t>adjusted investment amount</w:t>
      </w:r>
      <w:r>
        <w:t xml:space="preserve">: see </w:t>
      </w:r>
      <w:r w:rsidR="007F1265">
        <w:t>subsection 4-37(3).</w:t>
      </w:r>
    </w:p>
    <w:p w14:paraId="46C58E11" w14:textId="27ADDBCA" w:rsidR="00BA00E0" w:rsidRDefault="006A12F6" w:rsidP="00BA00E0">
      <w:pPr>
        <w:pStyle w:val="Definition"/>
      </w:pPr>
      <w:r>
        <w:rPr>
          <w:b/>
          <w:bCs/>
          <w:i/>
          <w:iCs/>
        </w:rPr>
        <w:t>qualified flow-through ownership interest</w:t>
      </w:r>
      <w:r>
        <w:t>: see section 4-37.</w:t>
      </w:r>
    </w:p>
    <w:p w14:paraId="1AC4B1F9" w14:textId="3E7AE8F0" w:rsidR="006A12F6" w:rsidRPr="008975BE" w:rsidRDefault="008975BE" w:rsidP="0061356C">
      <w:pPr>
        <w:pStyle w:val="Definition"/>
      </w:pPr>
      <w:r w:rsidRPr="00AA4427">
        <w:rPr>
          <w:b/>
          <w:bCs/>
          <w:i/>
          <w:iCs/>
        </w:rPr>
        <w:t>regulated mutual insurance company</w:t>
      </w:r>
      <w:r>
        <w:t>: see subsection 7-130(6).</w:t>
      </w:r>
    </w:p>
    <w:p w14:paraId="04FBF5C2" w14:textId="2C23AC33" w:rsidR="00AA763D" w:rsidRDefault="006B25B0" w:rsidP="0094347B">
      <w:pPr>
        <w:pStyle w:val="ItemHead"/>
      </w:pPr>
      <w:proofErr w:type="gramStart"/>
      <w:r>
        <w:t xml:space="preserve">14  </w:t>
      </w:r>
      <w:r w:rsidR="0094347B">
        <w:t>At</w:t>
      </w:r>
      <w:proofErr w:type="gramEnd"/>
      <w:r w:rsidR="0094347B">
        <w:t xml:space="preserve"> the end of the </w:t>
      </w:r>
      <w:r w:rsidR="00D234E5">
        <w:t>instrument</w:t>
      </w:r>
    </w:p>
    <w:p w14:paraId="60784894" w14:textId="04FFD376" w:rsidR="009A43A4" w:rsidRDefault="009A43A4" w:rsidP="00BB1890">
      <w:pPr>
        <w:pStyle w:val="Item"/>
        <w:keepNext/>
      </w:pPr>
      <w:r>
        <w:t>Add:</w:t>
      </w:r>
    </w:p>
    <w:p w14:paraId="06ECF4B3" w14:textId="4C21F629" w:rsidR="003D1511" w:rsidRPr="003D1511" w:rsidRDefault="003D1511" w:rsidP="003D1511">
      <w:pPr>
        <w:pStyle w:val="ActHead1"/>
        <w:rPr>
          <w:lang w:eastAsia="en-US"/>
        </w:rPr>
      </w:pPr>
      <w:bookmarkStart w:id="14" w:name="_Toc190698031"/>
      <w:r w:rsidRPr="003D1511">
        <w:rPr>
          <w:rStyle w:val="CharAmSchNo"/>
        </w:rPr>
        <w:t>Chapter 15</w:t>
      </w:r>
      <w:r>
        <w:t>—</w:t>
      </w:r>
      <w:r w:rsidRPr="003D1511">
        <w:rPr>
          <w:rStyle w:val="CharAmSchText"/>
        </w:rPr>
        <w:t xml:space="preserve">Application and </w:t>
      </w:r>
      <w:r w:rsidR="00F4078A">
        <w:rPr>
          <w:rStyle w:val="CharAmSchText"/>
        </w:rPr>
        <w:t>t</w:t>
      </w:r>
      <w:r w:rsidRPr="003D1511">
        <w:rPr>
          <w:rStyle w:val="CharAmSchText"/>
        </w:rPr>
        <w:t xml:space="preserve">ransitional </w:t>
      </w:r>
      <w:r w:rsidR="00F4078A">
        <w:rPr>
          <w:rStyle w:val="CharAmSchText"/>
        </w:rPr>
        <w:t>p</w:t>
      </w:r>
      <w:r w:rsidRPr="003D1511">
        <w:rPr>
          <w:rStyle w:val="CharAmSchText"/>
        </w:rPr>
        <w:t>rovisions</w:t>
      </w:r>
    </w:p>
    <w:p w14:paraId="10C33284" w14:textId="5A15871B" w:rsidR="00D66EBA" w:rsidRDefault="004418B0" w:rsidP="004418B0">
      <w:pPr>
        <w:pStyle w:val="ActHead5"/>
      </w:pPr>
      <w:r w:rsidRPr="004418B0">
        <w:rPr>
          <w:rStyle w:val="CharSectno"/>
        </w:rPr>
        <w:t>15-</w:t>
      </w:r>
      <w:proofErr w:type="gramStart"/>
      <w:r w:rsidRPr="004418B0">
        <w:rPr>
          <w:rStyle w:val="CharSectno"/>
        </w:rPr>
        <w:t>5</w:t>
      </w:r>
      <w:r>
        <w:t xml:space="preserve">  Application</w:t>
      </w:r>
      <w:proofErr w:type="gramEnd"/>
      <w:r w:rsidR="00D6686E">
        <w:t>—</w:t>
      </w:r>
      <w:r w:rsidR="00104BAA" w:rsidRPr="00B3378E">
        <w:rPr>
          <w:i/>
          <w:iCs/>
        </w:rPr>
        <w:t>Taxation (Multinational—Global and Domestic Minimum Tax</w:t>
      </w:r>
      <w:r w:rsidR="00104BAA">
        <w:rPr>
          <w:i/>
          <w:iCs/>
        </w:rPr>
        <w:t>) Amendment (2025 Measures No. 1) Rules 2025</w:t>
      </w:r>
      <w:bookmarkEnd w:id="14"/>
    </w:p>
    <w:p w14:paraId="66705C99" w14:textId="5FB7C27D" w:rsidR="002A407A" w:rsidRDefault="00854767" w:rsidP="004418B0">
      <w:pPr>
        <w:pStyle w:val="subsection"/>
      </w:pPr>
      <w:r>
        <w:tab/>
      </w:r>
      <w:r>
        <w:tab/>
        <w:t xml:space="preserve">The amendments made by the </w:t>
      </w:r>
      <w:r w:rsidR="00A80AE6" w:rsidRPr="00B3378E">
        <w:rPr>
          <w:i/>
          <w:iCs/>
        </w:rPr>
        <w:t>Taxation (Multinational—Global and Domestic Minimum Tax</w:t>
      </w:r>
      <w:r w:rsidR="00A80AE6">
        <w:rPr>
          <w:i/>
          <w:iCs/>
        </w:rPr>
        <w:t>) Amendment (2025 Measures No. 1) Rules 2025</w:t>
      </w:r>
      <w:r w:rsidR="0078241F">
        <w:rPr>
          <w:i/>
          <w:iCs/>
        </w:rPr>
        <w:t xml:space="preserve"> </w:t>
      </w:r>
      <w:r w:rsidR="0078241F">
        <w:t xml:space="preserve">apply in relation to </w:t>
      </w:r>
      <w:r w:rsidR="009A737C">
        <w:t xml:space="preserve">Fiscal Years starting on </w:t>
      </w:r>
      <w:r w:rsidR="00420843">
        <w:t xml:space="preserve">and </w:t>
      </w:r>
      <w:r w:rsidR="009A737C">
        <w:t xml:space="preserve">after </w:t>
      </w:r>
      <w:r w:rsidR="0078241F">
        <w:t xml:space="preserve">1 January </w:t>
      </w:r>
      <w:r w:rsidR="00D6686E">
        <w:t>202</w:t>
      </w:r>
      <w:r w:rsidR="00670487">
        <w:t>4</w:t>
      </w:r>
      <w:r w:rsidR="00D6686E">
        <w:t>.</w:t>
      </w:r>
    </w:p>
    <w:sectPr w:rsidR="002A407A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AA3D" w14:textId="77777777" w:rsidR="00636AF8" w:rsidRDefault="00636AF8" w:rsidP="00F5638C">
      <w:pPr>
        <w:spacing w:line="240" w:lineRule="auto"/>
      </w:pPr>
      <w:r>
        <w:separator/>
      </w:r>
    </w:p>
  </w:endnote>
  <w:endnote w:type="continuationSeparator" w:id="0">
    <w:p w14:paraId="6296D1DF" w14:textId="77777777" w:rsidR="00636AF8" w:rsidRDefault="00636AF8" w:rsidP="00F5638C">
      <w:pPr>
        <w:spacing w:line="240" w:lineRule="auto"/>
      </w:pPr>
      <w:r>
        <w:continuationSeparator/>
      </w:r>
    </w:p>
  </w:endnote>
  <w:endnote w:type="continuationNotice" w:id="1">
    <w:p w14:paraId="0D09D8FC" w14:textId="77777777" w:rsidR="00D35DF9" w:rsidRDefault="00D35D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7438" w14:textId="39A26837" w:rsidR="00F26862" w:rsidRDefault="00F2686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74DFDAE9" w14:textId="36EB9D57" w:rsidR="0058078E" w:rsidRDefault="005807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0ECCC4C0" wp14:editId="5E0C1B7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0445288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D9B06" w14:textId="3233AC0D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CC4C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793.7pt;width:347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2B6D9B06" w14:textId="3233AC0D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E26F" w14:textId="076414C2" w:rsidR="0058078E" w:rsidRDefault="005807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57D14AB" wp14:editId="43EA087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123393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BBA7D1" w14:textId="0C8BEC8C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D14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793.7pt;width:347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5FBBA7D1" w14:textId="0C8BEC8C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9D46" w14:textId="4F2D12B5" w:rsidR="00F5638C" w:rsidRPr="00E33C1C" w:rsidRDefault="0058078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0F337EF3" wp14:editId="606BC2C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457767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70955" w14:textId="5847109A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37E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0;margin-top:793.7pt;width:347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1F270955" w14:textId="5847109A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F34C40F" w14:textId="77777777" w:rsidTr="001375C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11484B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F321F" w14:textId="645EF363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26862">
            <w:rPr>
              <w:i/>
              <w:noProof/>
              <w:sz w:val="18"/>
            </w:rPr>
            <w:t>Taxation (Multinational—Global and Domestic Minimum Tax) Amendment (2025 Measures No. 1) Rules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23A6E6" w14:textId="77777777" w:rsidR="0058078E" w:rsidRDefault="0058078E" w:rsidP="00830B62">
          <w:pPr>
            <w:spacing w:line="0" w:lineRule="atLeast"/>
            <w:jc w:val="right"/>
            <w:rPr>
              <w:sz w:val="18"/>
            </w:rPr>
          </w:pPr>
        </w:p>
        <w:p w14:paraId="2C02B70A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1A92D6E" w14:textId="77777777" w:rsidR="00F5638C" w:rsidRPr="00ED79B6" w:rsidRDefault="00F5638C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98B8" w14:textId="0746790A" w:rsidR="00F5638C" w:rsidRPr="00E33C1C" w:rsidRDefault="0058078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5917"/>
    <w:bookmarkStart w:id="1" w:name="_Hlk26285918"/>
    <w:bookmarkStart w:id="2" w:name="_Hlk26285921"/>
    <w:bookmarkStart w:id="3" w:name="_Hlk26285922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359E35E5" wp14:editId="4D7A900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62629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876181" w14:textId="2C64BE9D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E35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0;margin-top:793.7pt;width:347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13876181" w14:textId="2C64BE9D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340CAC91" w14:textId="77777777" w:rsidTr="001375C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5B8D9C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544714" w14:textId="493A765D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B58B0">
            <w:rPr>
              <w:i/>
              <w:noProof/>
              <w:sz w:val="18"/>
            </w:rPr>
            <w:t>Taxation (Multinational—Global and Domestic Minimum Tax) Amendment (2025 Measures No. 1) Rules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A37A6F4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0F881DC4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5805" w14:textId="12FA0154" w:rsidR="006D7997" w:rsidRPr="0058078E" w:rsidRDefault="006D7997" w:rsidP="0058078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25D2" w14:textId="170EAC14" w:rsidR="006D7997" w:rsidRPr="00E33C1C" w:rsidRDefault="0058078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8EC4107" wp14:editId="4BD6F3B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12221544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3DE07" w14:textId="522CED35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C410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0;margin-top:793.7pt;width:347.5pt;height:31.15pt;z-index:25165825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1C23DE07" w14:textId="522CED35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3BEE2A3" w14:textId="77777777" w:rsidTr="001375C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F6C2E7" w14:textId="77777777" w:rsidR="006D7997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9FFB0D" w14:textId="1AD647A6" w:rsidR="006D7997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B58B0">
            <w:rPr>
              <w:i/>
              <w:noProof/>
              <w:sz w:val="18"/>
            </w:rPr>
            <w:t>Taxation (Multinational—Global and Domestic Minimum Tax) Amendment (2025 Measures No. 1) Rules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8A8C6F" w14:textId="77777777" w:rsidR="0058078E" w:rsidRDefault="0058078E" w:rsidP="00830B62">
          <w:pPr>
            <w:spacing w:line="0" w:lineRule="atLeast"/>
            <w:jc w:val="right"/>
            <w:rPr>
              <w:sz w:val="18"/>
            </w:rPr>
          </w:pPr>
        </w:p>
        <w:p w14:paraId="076EE11E" w14:textId="77777777" w:rsidR="006D7997" w:rsidRDefault="006D7997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F5DA601" w14:textId="77777777" w:rsidR="006D7997" w:rsidRPr="00ED79B6" w:rsidRDefault="006D7997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A2DC" w14:textId="1F029E1B" w:rsidR="006D7997" w:rsidRPr="00E33C1C" w:rsidRDefault="0058078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9" w:name="_Hlk26285929"/>
    <w:bookmarkStart w:id="20" w:name="_Hlk26285930"/>
    <w:bookmarkStart w:id="21" w:name="_Hlk26285933"/>
    <w:bookmarkStart w:id="22" w:name="_Hlk26285934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2783C36" wp14:editId="060E853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630495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B17312" w14:textId="0426CC81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83C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0;margin-top:793.7pt;width:347.5pt;height:31.15pt;z-index:25165825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18B17312" w14:textId="0426CC81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B919562" w14:textId="77777777" w:rsidTr="001375C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11AE50" w14:textId="77777777" w:rsidR="006D7997" w:rsidRDefault="006D7997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58E51D" w14:textId="36DC5DBF" w:rsidR="006D7997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B58B0">
            <w:rPr>
              <w:i/>
              <w:noProof/>
              <w:sz w:val="18"/>
            </w:rPr>
            <w:t>Taxation (Multinational—Global and Domestic Minimum Tax) Amendment (2025 Measures No. 1) Rules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5A7043" w14:textId="77777777" w:rsidR="006D7997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9"/>
    <w:bookmarkEnd w:id="20"/>
    <w:bookmarkEnd w:id="21"/>
    <w:bookmarkEnd w:id="22"/>
  </w:tbl>
  <w:p w14:paraId="4A7813D1" w14:textId="77777777" w:rsidR="006D7997" w:rsidRPr="00ED79B6" w:rsidRDefault="006D7997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0D30" w14:textId="654866C4" w:rsidR="006D7997" w:rsidRPr="00E33C1C" w:rsidRDefault="006D799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3" w:name="_Hlk26285931"/>
    <w:bookmarkStart w:id="2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172A62F" w14:textId="77777777" w:rsidTr="001375C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18CF11" w14:textId="77777777" w:rsidR="006D7997" w:rsidRDefault="006D7997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C96D8" w14:textId="24D0754E" w:rsidR="006D7997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6862">
            <w:rPr>
              <w:i/>
              <w:sz w:val="18"/>
            </w:rPr>
            <w:t>Taxation (Multinational—Global and Domestic Minimum Tax) Amendment (2025 Measures No. 1) Rules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C3A3E0" w14:textId="77777777" w:rsidR="006D7997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</w:tbl>
  <w:p w14:paraId="1249D94B" w14:textId="77777777" w:rsidR="006D7997" w:rsidRPr="00ED79B6" w:rsidRDefault="006D799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BA73" w14:textId="77777777" w:rsidR="00636AF8" w:rsidRDefault="00636AF8" w:rsidP="00F5638C">
      <w:pPr>
        <w:spacing w:line="240" w:lineRule="auto"/>
      </w:pPr>
      <w:r>
        <w:separator/>
      </w:r>
    </w:p>
  </w:footnote>
  <w:footnote w:type="continuationSeparator" w:id="0">
    <w:p w14:paraId="5FA8A461" w14:textId="77777777" w:rsidR="00636AF8" w:rsidRDefault="00636AF8" w:rsidP="00F5638C">
      <w:pPr>
        <w:spacing w:line="240" w:lineRule="auto"/>
      </w:pPr>
      <w:r>
        <w:continuationSeparator/>
      </w:r>
    </w:p>
  </w:footnote>
  <w:footnote w:type="continuationNotice" w:id="1">
    <w:p w14:paraId="7EB2BA9B" w14:textId="77777777" w:rsidR="00D35DF9" w:rsidRDefault="00D35D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C4D4" w14:textId="37F43A62" w:rsidR="00F5638C" w:rsidRPr="005F1388" w:rsidRDefault="0058078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F7080D8" wp14:editId="1B694797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322033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054373" w14:textId="27BE70E7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080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04054373" w14:textId="27BE70E7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FEC4" w14:textId="7E8EC789" w:rsidR="00F5638C" w:rsidRPr="005F1388" w:rsidRDefault="0058078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89D4C5" wp14:editId="650A5EA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1418684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82EC13" w14:textId="004F1BCB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9D4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1.3pt;width:347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1C82EC13" w14:textId="004F1BCB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9BF7" w14:textId="36475571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BAA2" w14:textId="769D3872" w:rsidR="00F5638C" w:rsidRPr="00ED79B6" w:rsidRDefault="0058078E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88B6022" wp14:editId="592214C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427962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56172" w14:textId="41F18231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B60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1.3pt;width:347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A656172" w14:textId="41F18231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0D8A" w14:textId="34DA13B6" w:rsidR="00F5638C" w:rsidRPr="00ED79B6" w:rsidRDefault="0058078E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32FC65" wp14:editId="389D48F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050539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C8B0ED" w14:textId="1A90B3D1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2FC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3pt;width:347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39C8B0ED" w14:textId="1A90B3D1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84C1" w14:textId="3CCFA8FD" w:rsidR="00F5638C" w:rsidRPr="00ED79B6" w:rsidRDefault="00F5638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D97" w14:textId="758AA526" w:rsidR="006D7997" w:rsidRPr="00A961C4" w:rsidRDefault="0058078E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2EE9E23" wp14:editId="1A49ACB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763620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E5512" w14:textId="5996232B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E9E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11.3pt;width:347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5A0E5512" w14:textId="5996232B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D1511">
      <w:rPr>
        <w:b/>
        <w:sz w:val="20"/>
      </w:rPr>
      <w:t xml:space="preserve">Schedule </w:t>
    </w:r>
    <w:proofErr w:type="gramStart"/>
    <w:r w:rsidR="003D1511">
      <w:rPr>
        <w:b/>
        <w:sz w:val="20"/>
      </w:rPr>
      <w:t>1</w:t>
    </w:r>
    <w:r w:rsidR="003C1503" w:rsidRPr="00A961C4">
      <w:rPr>
        <w:sz w:val="20"/>
      </w:rPr>
      <w:t xml:space="preserve"> </w:t>
    </w:r>
    <w:r w:rsidR="003D1511">
      <w:rPr>
        <w:sz w:val="20"/>
      </w:rPr>
      <w:t xml:space="preserve"> Amendments</w:t>
    </w:r>
    <w:proofErr w:type="gramEnd"/>
  </w:p>
  <w:p w14:paraId="3A0941D1" w14:textId="338EB928" w:rsidR="006D7997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02ECCD0" w14:textId="77777777" w:rsidR="006D7997" w:rsidRPr="00A961C4" w:rsidRDefault="006D799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38DB" w14:textId="3D192A95" w:rsidR="006D7997" w:rsidRPr="00A961C4" w:rsidRDefault="0058078E" w:rsidP="0048364F">
    <w:pPr>
      <w:jc w:val="right"/>
      <w:rPr>
        <w:sz w:val="20"/>
      </w:rPr>
    </w:pPr>
    <w:bookmarkStart w:id="15" w:name="_Hlk26285923"/>
    <w:bookmarkStart w:id="16" w:name="_Hlk26285924"/>
    <w:bookmarkStart w:id="17" w:name="_Hlk26285927"/>
    <w:bookmarkStart w:id="18" w:name="_Hlk26285928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7D30AD9" wp14:editId="754B3B0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454614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00ACA" w14:textId="062A900F" w:rsidR="0058078E" w:rsidRPr="0058078E" w:rsidRDefault="0058078E" w:rsidP="005807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686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30A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0;margin-top:11.3pt;width:347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12100ACA" w14:textId="062A900F" w:rsidR="0058078E" w:rsidRPr="0058078E" w:rsidRDefault="0058078E" w:rsidP="0058078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6862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EB58B0">
      <w:rPr>
        <w:sz w:val="20"/>
      </w:rPr>
      <w:fldChar w:fldCharType="separate"/>
    </w:r>
    <w:r w:rsidR="00EB58B0">
      <w:rPr>
        <w:noProof/>
        <w:sz w:val="20"/>
      </w:rPr>
      <w:t>Amendments</w:t>
    </w:r>
    <w:r w:rsidR="00EB58B0">
      <w:rPr>
        <w:noProof/>
        <w:sz w:val="20"/>
      </w:rPr>
      <w:cr/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EB58B0">
      <w:rPr>
        <w:b/>
        <w:sz w:val="20"/>
      </w:rPr>
      <w:fldChar w:fldCharType="separate"/>
    </w:r>
    <w:r w:rsidR="00EB58B0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</w:p>
  <w:p w14:paraId="0F953275" w14:textId="693AF04A" w:rsidR="006D7997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5"/>
  <w:bookmarkEnd w:id="16"/>
  <w:bookmarkEnd w:id="17"/>
  <w:bookmarkEnd w:id="18"/>
  <w:p w14:paraId="69BD6095" w14:textId="77777777" w:rsidR="006D7997" w:rsidRPr="00A961C4" w:rsidRDefault="006D799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83FC" w14:textId="3EA40367" w:rsidR="006D7997" w:rsidRPr="00A961C4" w:rsidRDefault="006D799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AF4"/>
    <w:multiLevelType w:val="hybridMultilevel"/>
    <w:tmpl w:val="EEE2DEE0"/>
    <w:lvl w:ilvl="0" w:tplc="A0FA0BB2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" w15:restartNumberingAfterBreak="0">
    <w:nsid w:val="0EB1476C"/>
    <w:multiLevelType w:val="hybridMultilevel"/>
    <w:tmpl w:val="635AFD78"/>
    <w:lvl w:ilvl="0" w:tplc="80140F4E">
      <w:start w:val="1"/>
      <w:numFmt w:val="decimal"/>
      <w:lvlText w:val="%1)"/>
      <w:lvlJc w:val="left"/>
      <w:pPr>
        <w:ind w:left="720" w:hanging="360"/>
      </w:pPr>
    </w:lvl>
    <w:lvl w:ilvl="1" w:tplc="6A941188">
      <w:start w:val="1"/>
      <w:numFmt w:val="decimal"/>
      <w:lvlText w:val="%2)"/>
      <w:lvlJc w:val="left"/>
      <w:pPr>
        <w:ind w:left="720" w:hanging="360"/>
      </w:pPr>
    </w:lvl>
    <w:lvl w:ilvl="2" w:tplc="E4DE9F12">
      <w:start w:val="1"/>
      <w:numFmt w:val="decimal"/>
      <w:lvlText w:val="%3)"/>
      <w:lvlJc w:val="left"/>
      <w:pPr>
        <w:ind w:left="720" w:hanging="360"/>
      </w:pPr>
    </w:lvl>
    <w:lvl w:ilvl="3" w:tplc="00AC0F30">
      <w:start w:val="1"/>
      <w:numFmt w:val="decimal"/>
      <w:lvlText w:val="%4)"/>
      <w:lvlJc w:val="left"/>
      <w:pPr>
        <w:ind w:left="720" w:hanging="360"/>
      </w:pPr>
    </w:lvl>
    <w:lvl w:ilvl="4" w:tplc="FDEC0A88">
      <w:start w:val="1"/>
      <w:numFmt w:val="decimal"/>
      <w:lvlText w:val="%5)"/>
      <w:lvlJc w:val="left"/>
      <w:pPr>
        <w:ind w:left="720" w:hanging="360"/>
      </w:pPr>
    </w:lvl>
    <w:lvl w:ilvl="5" w:tplc="48C06994">
      <w:start w:val="1"/>
      <w:numFmt w:val="decimal"/>
      <w:lvlText w:val="%6)"/>
      <w:lvlJc w:val="left"/>
      <w:pPr>
        <w:ind w:left="720" w:hanging="360"/>
      </w:pPr>
    </w:lvl>
    <w:lvl w:ilvl="6" w:tplc="F288D618">
      <w:start w:val="1"/>
      <w:numFmt w:val="decimal"/>
      <w:lvlText w:val="%7)"/>
      <w:lvlJc w:val="left"/>
      <w:pPr>
        <w:ind w:left="720" w:hanging="360"/>
      </w:pPr>
    </w:lvl>
    <w:lvl w:ilvl="7" w:tplc="E2FECF80">
      <w:start w:val="1"/>
      <w:numFmt w:val="decimal"/>
      <w:lvlText w:val="%8)"/>
      <w:lvlJc w:val="left"/>
      <w:pPr>
        <w:ind w:left="720" w:hanging="360"/>
      </w:pPr>
    </w:lvl>
    <w:lvl w:ilvl="8" w:tplc="01DA4B00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0FCF1BB6"/>
    <w:multiLevelType w:val="hybridMultilevel"/>
    <w:tmpl w:val="8C6A2E5C"/>
    <w:lvl w:ilvl="0" w:tplc="FFFFFFFF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10497A51"/>
    <w:multiLevelType w:val="hybridMultilevel"/>
    <w:tmpl w:val="80DAB44C"/>
    <w:lvl w:ilvl="0" w:tplc="3168B41E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4D27771"/>
    <w:multiLevelType w:val="hybridMultilevel"/>
    <w:tmpl w:val="5044C9AC"/>
    <w:lvl w:ilvl="0" w:tplc="5AACCABE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079A"/>
    <w:multiLevelType w:val="hybridMultilevel"/>
    <w:tmpl w:val="43A6B11A"/>
    <w:lvl w:ilvl="0" w:tplc="FFFFFFFF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6" w15:restartNumberingAfterBreak="0">
    <w:nsid w:val="15632D6C"/>
    <w:multiLevelType w:val="hybridMultilevel"/>
    <w:tmpl w:val="83A865F4"/>
    <w:lvl w:ilvl="0" w:tplc="3FA4E818">
      <w:start w:val="5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331C"/>
    <w:multiLevelType w:val="hybridMultilevel"/>
    <w:tmpl w:val="BAC81328"/>
    <w:lvl w:ilvl="0" w:tplc="248A257C">
      <w:start w:val="1"/>
      <w:numFmt w:val="lowerRoman"/>
      <w:lvlText w:val="(%1)"/>
      <w:lvlJc w:val="left"/>
      <w:pPr>
        <w:ind w:left="2730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090" w:hanging="360"/>
      </w:pPr>
    </w:lvl>
    <w:lvl w:ilvl="2" w:tplc="0C09001B" w:tentative="1">
      <w:start w:val="1"/>
      <w:numFmt w:val="lowerRoman"/>
      <w:lvlText w:val="%3."/>
      <w:lvlJc w:val="right"/>
      <w:pPr>
        <w:ind w:left="3810" w:hanging="180"/>
      </w:pPr>
    </w:lvl>
    <w:lvl w:ilvl="3" w:tplc="0C09000F" w:tentative="1">
      <w:start w:val="1"/>
      <w:numFmt w:val="decimal"/>
      <w:lvlText w:val="%4."/>
      <w:lvlJc w:val="left"/>
      <w:pPr>
        <w:ind w:left="4530" w:hanging="360"/>
      </w:pPr>
    </w:lvl>
    <w:lvl w:ilvl="4" w:tplc="0C090019" w:tentative="1">
      <w:start w:val="1"/>
      <w:numFmt w:val="lowerLetter"/>
      <w:lvlText w:val="%5."/>
      <w:lvlJc w:val="left"/>
      <w:pPr>
        <w:ind w:left="5250" w:hanging="360"/>
      </w:pPr>
    </w:lvl>
    <w:lvl w:ilvl="5" w:tplc="0C09001B" w:tentative="1">
      <w:start w:val="1"/>
      <w:numFmt w:val="lowerRoman"/>
      <w:lvlText w:val="%6."/>
      <w:lvlJc w:val="right"/>
      <w:pPr>
        <w:ind w:left="5970" w:hanging="180"/>
      </w:pPr>
    </w:lvl>
    <w:lvl w:ilvl="6" w:tplc="0C09000F" w:tentative="1">
      <w:start w:val="1"/>
      <w:numFmt w:val="decimal"/>
      <w:lvlText w:val="%7."/>
      <w:lvlJc w:val="left"/>
      <w:pPr>
        <w:ind w:left="6690" w:hanging="360"/>
      </w:pPr>
    </w:lvl>
    <w:lvl w:ilvl="7" w:tplc="0C090019" w:tentative="1">
      <w:start w:val="1"/>
      <w:numFmt w:val="lowerLetter"/>
      <w:lvlText w:val="%8."/>
      <w:lvlJc w:val="left"/>
      <w:pPr>
        <w:ind w:left="7410" w:hanging="360"/>
      </w:pPr>
    </w:lvl>
    <w:lvl w:ilvl="8" w:tplc="0C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8" w15:restartNumberingAfterBreak="0">
    <w:nsid w:val="1F315A4A"/>
    <w:multiLevelType w:val="hybridMultilevel"/>
    <w:tmpl w:val="4710BDCC"/>
    <w:lvl w:ilvl="0" w:tplc="4AA05C38">
      <w:start w:val="1"/>
      <w:numFmt w:val="lowerLetter"/>
      <w:lvlText w:val="(%1)"/>
      <w:lvlJc w:val="left"/>
      <w:pPr>
        <w:ind w:left="1786" w:hanging="375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91" w:hanging="360"/>
      </w:pPr>
    </w:lvl>
    <w:lvl w:ilvl="2" w:tplc="0C09001B" w:tentative="1">
      <w:start w:val="1"/>
      <w:numFmt w:val="lowerRoman"/>
      <w:lvlText w:val="%3."/>
      <w:lvlJc w:val="right"/>
      <w:pPr>
        <w:ind w:left="3211" w:hanging="180"/>
      </w:pPr>
    </w:lvl>
    <w:lvl w:ilvl="3" w:tplc="0C09000F" w:tentative="1">
      <w:start w:val="1"/>
      <w:numFmt w:val="decimal"/>
      <w:lvlText w:val="%4."/>
      <w:lvlJc w:val="left"/>
      <w:pPr>
        <w:ind w:left="3931" w:hanging="360"/>
      </w:pPr>
    </w:lvl>
    <w:lvl w:ilvl="4" w:tplc="0C090019" w:tentative="1">
      <w:start w:val="1"/>
      <w:numFmt w:val="lowerLetter"/>
      <w:lvlText w:val="%5."/>
      <w:lvlJc w:val="left"/>
      <w:pPr>
        <w:ind w:left="4651" w:hanging="360"/>
      </w:pPr>
    </w:lvl>
    <w:lvl w:ilvl="5" w:tplc="0C09001B" w:tentative="1">
      <w:start w:val="1"/>
      <w:numFmt w:val="lowerRoman"/>
      <w:lvlText w:val="%6."/>
      <w:lvlJc w:val="right"/>
      <w:pPr>
        <w:ind w:left="5371" w:hanging="180"/>
      </w:pPr>
    </w:lvl>
    <w:lvl w:ilvl="6" w:tplc="0C09000F" w:tentative="1">
      <w:start w:val="1"/>
      <w:numFmt w:val="decimal"/>
      <w:lvlText w:val="%7."/>
      <w:lvlJc w:val="left"/>
      <w:pPr>
        <w:ind w:left="6091" w:hanging="360"/>
      </w:pPr>
    </w:lvl>
    <w:lvl w:ilvl="7" w:tplc="0C090019" w:tentative="1">
      <w:start w:val="1"/>
      <w:numFmt w:val="lowerLetter"/>
      <w:lvlText w:val="%8."/>
      <w:lvlJc w:val="left"/>
      <w:pPr>
        <w:ind w:left="6811" w:hanging="360"/>
      </w:pPr>
    </w:lvl>
    <w:lvl w:ilvl="8" w:tplc="0C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F6F1ECD"/>
    <w:multiLevelType w:val="hybridMultilevel"/>
    <w:tmpl w:val="B7AEFFC6"/>
    <w:lvl w:ilvl="0" w:tplc="D5861074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 w15:restartNumberingAfterBreak="0">
    <w:nsid w:val="35BA6093"/>
    <w:multiLevelType w:val="hybridMultilevel"/>
    <w:tmpl w:val="2C9E1836"/>
    <w:lvl w:ilvl="0" w:tplc="9E966A16">
      <w:start w:val="1"/>
      <w:numFmt w:val="lowerRoman"/>
      <w:lvlText w:val="(%1)"/>
      <w:lvlJc w:val="left"/>
      <w:pPr>
        <w:ind w:left="2340" w:hanging="19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C70B9"/>
    <w:multiLevelType w:val="hybridMultilevel"/>
    <w:tmpl w:val="43A6B11A"/>
    <w:lvl w:ilvl="0" w:tplc="FFFFFFFF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38740235"/>
    <w:multiLevelType w:val="hybridMultilevel"/>
    <w:tmpl w:val="43A6B11A"/>
    <w:lvl w:ilvl="0" w:tplc="FFFFFFFF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16578F8"/>
    <w:multiLevelType w:val="hybridMultilevel"/>
    <w:tmpl w:val="69B4BB50"/>
    <w:lvl w:ilvl="0" w:tplc="A13AC84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0034E"/>
    <w:multiLevelType w:val="hybridMultilevel"/>
    <w:tmpl w:val="B686D3E8"/>
    <w:lvl w:ilvl="0" w:tplc="FFFFFFFF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1" w:hanging="360"/>
      </w:pPr>
    </w:lvl>
    <w:lvl w:ilvl="2" w:tplc="FFFFFFFF" w:tentative="1">
      <w:start w:val="1"/>
      <w:numFmt w:val="lowerRoman"/>
      <w:lvlText w:val="%3."/>
      <w:lvlJc w:val="right"/>
      <w:pPr>
        <w:ind w:left="2821" w:hanging="180"/>
      </w:pPr>
    </w:lvl>
    <w:lvl w:ilvl="3" w:tplc="FFFFFFFF" w:tentative="1">
      <w:start w:val="1"/>
      <w:numFmt w:val="decimal"/>
      <w:lvlText w:val="%4."/>
      <w:lvlJc w:val="left"/>
      <w:pPr>
        <w:ind w:left="3541" w:hanging="360"/>
      </w:pPr>
    </w:lvl>
    <w:lvl w:ilvl="4" w:tplc="FFFFFFFF" w:tentative="1">
      <w:start w:val="1"/>
      <w:numFmt w:val="lowerLetter"/>
      <w:lvlText w:val="%5."/>
      <w:lvlJc w:val="left"/>
      <w:pPr>
        <w:ind w:left="4261" w:hanging="360"/>
      </w:pPr>
    </w:lvl>
    <w:lvl w:ilvl="5" w:tplc="FFFFFFFF" w:tentative="1">
      <w:start w:val="1"/>
      <w:numFmt w:val="lowerRoman"/>
      <w:lvlText w:val="%6."/>
      <w:lvlJc w:val="right"/>
      <w:pPr>
        <w:ind w:left="4981" w:hanging="180"/>
      </w:pPr>
    </w:lvl>
    <w:lvl w:ilvl="6" w:tplc="FFFFFFFF" w:tentative="1">
      <w:start w:val="1"/>
      <w:numFmt w:val="decimal"/>
      <w:lvlText w:val="%7."/>
      <w:lvlJc w:val="left"/>
      <w:pPr>
        <w:ind w:left="5701" w:hanging="360"/>
      </w:pPr>
    </w:lvl>
    <w:lvl w:ilvl="7" w:tplc="FFFFFFFF" w:tentative="1">
      <w:start w:val="1"/>
      <w:numFmt w:val="lowerLetter"/>
      <w:lvlText w:val="%8."/>
      <w:lvlJc w:val="left"/>
      <w:pPr>
        <w:ind w:left="6421" w:hanging="360"/>
      </w:pPr>
    </w:lvl>
    <w:lvl w:ilvl="8" w:tplc="FFFFFFFF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4A3762BD"/>
    <w:multiLevelType w:val="hybridMultilevel"/>
    <w:tmpl w:val="8C6A2E5C"/>
    <w:lvl w:ilvl="0" w:tplc="FFFFFFFF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7" w15:restartNumberingAfterBreak="0">
    <w:nsid w:val="50116FDD"/>
    <w:multiLevelType w:val="hybridMultilevel"/>
    <w:tmpl w:val="9DB4848C"/>
    <w:lvl w:ilvl="0" w:tplc="D8D05000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593EA7"/>
    <w:multiLevelType w:val="hybridMultilevel"/>
    <w:tmpl w:val="8708AF42"/>
    <w:lvl w:ilvl="0" w:tplc="FE5A6236">
      <w:start w:val="1"/>
      <w:numFmt w:val="decimal"/>
      <w:lvlText w:val="%1)"/>
      <w:lvlJc w:val="left"/>
      <w:pPr>
        <w:ind w:left="1080" w:hanging="360"/>
      </w:pPr>
    </w:lvl>
    <w:lvl w:ilvl="1" w:tplc="23806858">
      <w:start w:val="1"/>
      <w:numFmt w:val="decimal"/>
      <w:lvlText w:val="%2)"/>
      <w:lvlJc w:val="left"/>
      <w:pPr>
        <w:ind w:left="720" w:hanging="360"/>
      </w:pPr>
    </w:lvl>
    <w:lvl w:ilvl="2" w:tplc="D660CF6E">
      <w:start w:val="1"/>
      <w:numFmt w:val="decimal"/>
      <w:lvlText w:val="%3)"/>
      <w:lvlJc w:val="left"/>
      <w:pPr>
        <w:ind w:left="1080" w:hanging="360"/>
      </w:pPr>
    </w:lvl>
    <w:lvl w:ilvl="3" w:tplc="463E0DC4">
      <w:start w:val="1"/>
      <w:numFmt w:val="decimal"/>
      <w:lvlText w:val="%4)"/>
      <w:lvlJc w:val="left"/>
      <w:pPr>
        <w:ind w:left="1080" w:hanging="360"/>
      </w:pPr>
    </w:lvl>
    <w:lvl w:ilvl="4" w:tplc="8858FD3C">
      <w:start w:val="1"/>
      <w:numFmt w:val="decimal"/>
      <w:lvlText w:val="%5)"/>
      <w:lvlJc w:val="left"/>
      <w:pPr>
        <w:ind w:left="1080" w:hanging="360"/>
      </w:pPr>
    </w:lvl>
    <w:lvl w:ilvl="5" w:tplc="86F622C2">
      <w:start w:val="1"/>
      <w:numFmt w:val="decimal"/>
      <w:lvlText w:val="%6)"/>
      <w:lvlJc w:val="left"/>
      <w:pPr>
        <w:ind w:left="1080" w:hanging="360"/>
      </w:pPr>
    </w:lvl>
    <w:lvl w:ilvl="6" w:tplc="BA8616AA">
      <w:start w:val="1"/>
      <w:numFmt w:val="decimal"/>
      <w:lvlText w:val="%7)"/>
      <w:lvlJc w:val="left"/>
      <w:pPr>
        <w:ind w:left="1080" w:hanging="360"/>
      </w:pPr>
    </w:lvl>
    <w:lvl w:ilvl="7" w:tplc="C1CEA624">
      <w:start w:val="1"/>
      <w:numFmt w:val="decimal"/>
      <w:lvlText w:val="%8)"/>
      <w:lvlJc w:val="left"/>
      <w:pPr>
        <w:ind w:left="1080" w:hanging="360"/>
      </w:pPr>
    </w:lvl>
    <w:lvl w:ilvl="8" w:tplc="552CE704">
      <w:start w:val="1"/>
      <w:numFmt w:val="decimal"/>
      <w:lvlText w:val="%9)"/>
      <w:lvlJc w:val="left"/>
      <w:pPr>
        <w:ind w:left="1080" w:hanging="360"/>
      </w:pPr>
    </w:lvl>
  </w:abstractNum>
  <w:abstractNum w:abstractNumId="19" w15:restartNumberingAfterBreak="0">
    <w:nsid w:val="60404879"/>
    <w:multiLevelType w:val="hybridMultilevel"/>
    <w:tmpl w:val="FB78CCC8"/>
    <w:lvl w:ilvl="0" w:tplc="AA086646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5E6D69"/>
    <w:multiLevelType w:val="hybridMultilevel"/>
    <w:tmpl w:val="43A6B11A"/>
    <w:lvl w:ilvl="0" w:tplc="FFFFFFFF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1" w15:restartNumberingAfterBreak="0">
    <w:nsid w:val="7DE0557D"/>
    <w:multiLevelType w:val="hybridMultilevel"/>
    <w:tmpl w:val="E7985790"/>
    <w:lvl w:ilvl="0" w:tplc="83142294">
      <w:start w:val="1"/>
      <w:numFmt w:val="decimal"/>
      <w:lvlText w:val="%1)"/>
      <w:lvlJc w:val="left"/>
      <w:pPr>
        <w:ind w:left="720" w:hanging="360"/>
      </w:pPr>
    </w:lvl>
    <w:lvl w:ilvl="1" w:tplc="E988A7B2">
      <w:start w:val="1"/>
      <w:numFmt w:val="decimal"/>
      <w:lvlText w:val="%2)"/>
      <w:lvlJc w:val="left"/>
      <w:pPr>
        <w:ind w:left="720" w:hanging="360"/>
      </w:pPr>
    </w:lvl>
    <w:lvl w:ilvl="2" w:tplc="D0061334">
      <w:start w:val="1"/>
      <w:numFmt w:val="decimal"/>
      <w:lvlText w:val="%3)"/>
      <w:lvlJc w:val="left"/>
      <w:pPr>
        <w:ind w:left="720" w:hanging="360"/>
      </w:pPr>
    </w:lvl>
    <w:lvl w:ilvl="3" w:tplc="F20EBF5E">
      <w:start w:val="1"/>
      <w:numFmt w:val="decimal"/>
      <w:lvlText w:val="%4)"/>
      <w:lvlJc w:val="left"/>
      <w:pPr>
        <w:ind w:left="720" w:hanging="360"/>
      </w:pPr>
    </w:lvl>
    <w:lvl w:ilvl="4" w:tplc="1018DF3C">
      <w:start w:val="1"/>
      <w:numFmt w:val="decimal"/>
      <w:lvlText w:val="%5)"/>
      <w:lvlJc w:val="left"/>
      <w:pPr>
        <w:ind w:left="720" w:hanging="360"/>
      </w:pPr>
    </w:lvl>
    <w:lvl w:ilvl="5" w:tplc="94F02DF8">
      <w:start w:val="1"/>
      <w:numFmt w:val="decimal"/>
      <w:lvlText w:val="%6)"/>
      <w:lvlJc w:val="left"/>
      <w:pPr>
        <w:ind w:left="720" w:hanging="360"/>
      </w:pPr>
    </w:lvl>
    <w:lvl w:ilvl="6" w:tplc="EE5011AC">
      <w:start w:val="1"/>
      <w:numFmt w:val="decimal"/>
      <w:lvlText w:val="%7)"/>
      <w:lvlJc w:val="left"/>
      <w:pPr>
        <w:ind w:left="720" w:hanging="360"/>
      </w:pPr>
    </w:lvl>
    <w:lvl w:ilvl="7" w:tplc="57360B0A">
      <w:start w:val="1"/>
      <w:numFmt w:val="decimal"/>
      <w:lvlText w:val="%8)"/>
      <w:lvlJc w:val="left"/>
      <w:pPr>
        <w:ind w:left="720" w:hanging="360"/>
      </w:pPr>
    </w:lvl>
    <w:lvl w:ilvl="8" w:tplc="039CBA82">
      <w:start w:val="1"/>
      <w:numFmt w:val="decimal"/>
      <w:lvlText w:val="%9)"/>
      <w:lvlJc w:val="left"/>
      <w:pPr>
        <w:ind w:left="720" w:hanging="360"/>
      </w:pPr>
    </w:lvl>
  </w:abstractNum>
  <w:num w:numId="1" w16cid:durableId="1473477983">
    <w:abstractNumId w:val="13"/>
  </w:num>
  <w:num w:numId="2" w16cid:durableId="1041244840">
    <w:abstractNumId w:val="0"/>
  </w:num>
  <w:num w:numId="3" w16cid:durableId="466122434">
    <w:abstractNumId w:val="19"/>
  </w:num>
  <w:num w:numId="4" w16cid:durableId="1210724909">
    <w:abstractNumId w:val="6"/>
  </w:num>
  <w:num w:numId="5" w16cid:durableId="960846966">
    <w:abstractNumId w:val="16"/>
  </w:num>
  <w:num w:numId="6" w16cid:durableId="1249003871">
    <w:abstractNumId w:val="12"/>
  </w:num>
  <w:num w:numId="7" w16cid:durableId="95445020">
    <w:abstractNumId w:val="15"/>
  </w:num>
  <w:num w:numId="8" w16cid:durableId="22829882">
    <w:abstractNumId w:val="3"/>
  </w:num>
  <w:num w:numId="9" w16cid:durableId="524370762">
    <w:abstractNumId w:val="8"/>
  </w:num>
  <w:num w:numId="10" w16cid:durableId="1491140782">
    <w:abstractNumId w:val="1"/>
  </w:num>
  <w:num w:numId="11" w16cid:durableId="412624264">
    <w:abstractNumId w:val="18"/>
  </w:num>
  <w:num w:numId="12" w16cid:durableId="1483501175">
    <w:abstractNumId w:val="21"/>
  </w:num>
  <w:num w:numId="13" w16cid:durableId="2008753026">
    <w:abstractNumId w:val="9"/>
  </w:num>
  <w:num w:numId="14" w16cid:durableId="1436750622">
    <w:abstractNumId w:val="2"/>
  </w:num>
  <w:num w:numId="15" w16cid:durableId="913052145">
    <w:abstractNumId w:val="17"/>
  </w:num>
  <w:num w:numId="16" w16cid:durableId="130439141">
    <w:abstractNumId w:val="4"/>
  </w:num>
  <w:num w:numId="17" w16cid:durableId="453983747">
    <w:abstractNumId w:val="20"/>
  </w:num>
  <w:num w:numId="18" w16cid:durableId="1264648635">
    <w:abstractNumId w:val="11"/>
  </w:num>
  <w:num w:numId="19" w16cid:durableId="432167770">
    <w:abstractNumId w:val="10"/>
  </w:num>
  <w:num w:numId="20" w16cid:durableId="883981479">
    <w:abstractNumId w:val="7"/>
  </w:num>
  <w:num w:numId="21" w16cid:durableId="1528062069">
    <w:abstractNumId w:val="5"/>
  </w:num>
  <w:num w:numId="22" w16cid:durableId="16646249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DC354D-4A35-4600-975C-F41DF1499657}"/>
    <w:docVar w:name="dgnword-drafile" w:val="C:\Users\fad\AppData\Local\Temp\3\draB84.tmp"/>
    <w:docVar w:name="dgnword-eventsink" w:val="2891194180464"/>
  </w:docVars>
  <w:rsids>
    <w:rsidRoot w:val="00062A46"/>
    <w:rsid w:val="000016CB"/>
    <w:rsid w:val="00001753"/>
    <w:rsid w:val="0000270E"/>
    <w:rsid w:val="00006522"/>
    <w:rsid w:val="00010132"/>
    <w:rsid w:val="00011E97"/>
    <w:rsid w:val="00012A58"/>
    <w:rsid w:val="00013A79"/>
    <w:rsid w:val="00013DE5"/>
    <w:rsid w:val="000146A3"/>
    <w:rsid w:val="000164C0"/>
    <w:rsid w:val="00016798"/>
    <w:rsid w:val="00021736"/>
    <w:rsid w:val="00022C7E"/>
    <w:rsid w:val="00025CE7"/>
    <w:rsid w:val="00026E17"/>
    <w:rsid w:val="000274AA"/>
    <w:rsid w:val="00027AA1"/>
    <w:rsid w:val="000301E2"/>
    <w:rsid w:val="0003022E"/>
    <w:rsid w:val="000310A7"/>
    <w:rsid w:val="00031652"/>
    <w:rsid w:val="00032174"/>
    <w:rsid w:val="000338AB"/>
    <w:rsid w:val="00033AD6"/>
    <w:rsid w:val="00034D05"/>
    <w:rsid w:val="000350F0"/>
    <w:rsid w:val="00035AC7"/>
    <w:rsid w:val="00035F06"/>
    <w:rsid w:val="00041C03"/>
    <w:rsid w:val="000441B8"/>
    <w:rsid w:val="00050F40"/>
    <w:rsid w:val="000516D7"/>
    <w:rsid w:val="00052484"/>
    <w:rsid w:val="00052C7F"/>
    <w:rsid w:val="00053AD0"/>
    <w:rsid w:val="0005585A"/>
    <w:rsid w:val="00055EA2"/>
    <w:rsid w:val="00056F7E"/>
    <w:rsid w:val="000576B7"/>
    <w:rsid w:val="00057968"/>
    <w:rsid w:val="000579C0"/>
    <w:rsid w:val="00057C4F"/>
    <w:rsid w:val="00060895"/>
    <w:rsid w:val="00061AA2"/>
    <w:rsid w:val="00062A46"/>
    <w:rsid w:val="00062C57"/>
    <w:rsid w:val="00066437"/>
    <w:rsid w:val="000703CC"/>
    <w:rsid w:val="000706C4"/>
    <w:rsid w:val="000711EA"/>
    <w:rsid w:val="00071F0A"/>
    <w:rsid w:val="00075723"/>
    <w:rsid w:val="00076E1F"/>
    <w:rsid w:val="000775FC"/>
    <w:rsid w:val="000778B7"/>
    <w:rsid w:val="00080277"/>
    <w:rsid w:val="00080365"/>
    <w:rsid w:val="00081300"/>
    <w:rsid w:val="00081A38"/>
    <w:rsid w:val="00081A4D"/>
    <w:rsid w:val="00084BE4"/>
    <w:rsid w:val="000874EC"/>
    <w:rsid w:val="000901D3"/>
    <w:rsid w:val="0009122B"/>
    <w:rsid w:val="000934C4"/>
    <w:rsid w:val="00093705"/>
    <w:rsid w:val="000938CF"/>
    <w:rsid w:val="00094AE1"/>
    <w:rsid w:val="00094DC4"/>
    <w:rsid w:val="00097127"/>
    <w:rsid w:val="00097235"/>
    <w:rsid w:val="00097A83"/>
    <w:rsid w:val="000A1002"/>
    <w:rsid w:val="000A128C"/>
    <w:rsid w:val="000A26C8"/>
    <w:rsid w:val="000A45D1"/>
    <w:rsid w:val="000A4DD9"/>
    <w:rsid w:val="000A5E69"/>
    <w:rsid w:val="000B04EF"/>
    <w:rsid w:val="000B3B0E"/>
    <w:rsid w:val="000B549C"/>
    <w:rsid w:val="000B79C8"/>
    <w:rsid w:val="000C0487"/>
    <w:rsid w:val="000C0BB2"/>
    <w:rsid w:val="000C612C"/>
    <w:rsid w:val="000C6DEB"/>
    <w:rsid w:val="000C79CB"/>
    <w:rsid w:val="000D1661"/>
    <w:rsid w:val="000D43C6"/>
    <w:rsid w:val="000D4C23"/>
    <w:rsid w:val="000D6613"/>
    <w:rsid w:val="000D76A9"/>
    <w:rsid w:val="000E10A6"/>
    <w:rsid w:val="000E161C"/>
    <w:rsid w:val="000E1971"/>
    <w:rsid w:val="000E3A83"/>
    <w:rsid w:val="000E49F0"/>
    <w:rsid w:val="000E5D18"/>
    <w:rsid w:val="000E67F9"/>
    <w:rsid w:val="000F1E02"/>
    <w:rsid w:val="000F2C06"/>
    <w:rsid w:val="000F3B2A"/>
    <w:rsid w:val="000F4309"/>
    <w:rsid w:val="000F6976"/>
    <w:rsid w:val="000F7DC3"/>
    <w:rsid w:val="00101E37"/>
    <w:rsid w:val="00102674"/>
    <w:rsid w:val="00102D18"/>
    <w:rsid w:val="00102F27"/>
    <w:rsid w:val="00104816"/>
    <w:rsid w:val="00104BAA"/>
    <w:rsid w:val="00104F50"/>
    <w:rsid w:val="0010570E"/>
    <w:rsid w:val="001113A4"/>
    <w:rsid w:val="00117DE0"/>
    <w:rsid w:val="00117E15"/>
    <w:rsid w:val="0012095F"/>
    <w:rsid w:val="00121269"/>
    <w:rsid w:val="0012173E"/>
    <w:rsid w:val="00121A67"/>
    <w:rsid w:val="00123707"/>
    <w:rsid w:val="001237C0"/>
    <w:rsid w:val="00124613"/>
    <w:rsid w:val="00124C1C"/>
    <w:rsid w:val="001267DD"/>
    <w:rsid w:val="00126E36"/>
    <w:rsid w:val="00127060"/>
    <w:rsid w:val="00130344"/>
    <w:rsid w:val="00130577"/>
    <w:rsid w:val="00132818"/>
    <w:rsid w:val="00134050"/>
    <w:rsid w:val="0013640B"/>
    <w:rsid w:val="001375C2"/>
    <w:rsid w:val="001379F6"/>
    <w:rsid w:val="00144330"/>
    <w:rsid w:val="001478AB"/>
    <w:rsid w:val="001505DC"/>
    <w:rsid w:val="00150866"/>
    <w:rsid w:val="001509BF"/>
    <w:rsid w:val="001517DB"/>
    <w:rsid w:val="0015697A"/>
    <w:rsid w:val="00160283"/>
    <w:rsid w:val="00160DC5"/>
    <w:rsid w:val="00160F23"/>
    <w:rsid w:val="001618A3"/>
    <w:rsid w:val="0016250F"/>
    <w:rsid w:val="00162966"/>
    <w:rsid w:val="0016353E"/>
    <w:rsid w:val="00164F70"/>
    <w:rsid w:val="00170176"/>
    <w:rsid w:val="00170A71"/>
    <w:rsid w:val="00170CA5"/>
    <w:rsid w:val="0017116F"/>
    <w:rsid w:val="00171532"/>
    <w:rsid w:val="00171CA6"/>
    <w:rsid w:val="0017262A"/>
    <w:rsid w:val="00173631"/>
    <w:rsid w:val="001753D7"/>
    <w:rsid w:val="00180D61"/>
    <w:rsid w:val="001815CE"/>
    <w:rsid w:val="00181A0B"/>
    <w:rsid w:val="00181AD5"/>
    <w:rsid w:val="001841E1"/>
    <w:rsid w:val="00184635"/>
    <w:rsid w:val="00184878"/>
    <w:rsid w:val="00184AF1"/>
    <w:rsid w:val="00184C11"/>
    <w:rsid w:val="00184D94"/>
    <w:rsid w:val="00186514"/>
    <w:rsid w:val="00186D18"/>
    <w:rsid w:val="00187959"/>
    <w:rsid w:val="00187BDC"/>
    <w:rsid w:val="00191C9C"/>
    <w:rsid w:val="00193B76"/>
    <w:rsid w:val="001A21C1"/>
    <w:rsid w:val="001A505B"/>
    <w:rsid w:val="001A6B28"/>
    <w:rsid w:val="001A6D6C"/>
    <w:rsid w:val="001A7D4D"/>
    <w:rsid w:val="001B0D3F"/>
    <w:rsid w:val="001B19AB"/>
    <w:rsid w:val="001B1CBC"/>
    <w:rsid w:val="001B4179"/>
    <w:rsid w:val="001B5B0E"/>
    <w:rsid w:val="001B615C"/>
    <w:rsid w:val="001B6958"/>
    <w:rsid w:val="001B7FF4"/>
    <w:rsid w:val="001C0E01"/>
    <w:rsid w:val="001C4E60"/>
    <w:rsid w:val="001D169E"/>
    <w:rsid w:val="001D1A31"/>
    <w:rsid w:val="001D2387"/>
    <w:rsid w:val="001D3827"/>
    <w:rsid w:val="001D3B51"/>
    <w:rsid w:val="001D47F9"/>
    <w:rsid w:val="001D5FCF"/>
    <w:rsid w:val="001D6AFD"/>
    <w:rsid w:val="001E1E7E"/>
    <w:rsid w:val="001E2414"/>
    <w:rsid w:val="001E317C"/>
    <w:rsid w:val="001E38CB"/>
    <w:rsid w:val="001E52F7"/>
    <w:rsid w:val="001E53BA"/>
    <w:rsid w:val="001E6442"/>
    <w:rsid w:val="001E77D7"/>
    <w:rsid w:val="001F061D"/>
    <w:rsid w:val="001F1655"/>
    <w:rsid w:val="001F2E0C"/>
    <w:rsid w:val="001F31CB"/>
    <w:rsid w:val="001F4062"/>
    <w:rsid w:val="001F6B5C"/>
    <w:rsid w:val="001F78C2"/>
    <w:rsid w:val="001F7A75"/>
    <w:rsid w:val="002001DC"/>
    <w:rsid w:val="0020072C"/>
    <w:rsid w:val="002012BF"/>
    <w:rsid w:val="00204F0F"/>
    <w:rsid w:val="00206BA1"/>
    <w:rsid w:val="00206C7B"/>
    <w:rsid w:val="00211062"/>
    <w:rsid w:val="00214AF0"/>
    <w:rsid w:val="00214D17"/>
    <w:rsid w:val="002165DC"/>
    <w:rsid w:val="00217FE2"/>
    <w:rsid w:val="00223548"/>
    <w:rsid w:val="00224860"/>
    <w:rsid w:val="00224CE6"/>
    <w:rsid w:val="00225A8A"/>
    <w:rsid w:val="00225BCE"/>
    <w:rsid w:val="00225E36"/>
    <w:rsid w:val="002270B5"/>
    <w:rsid w:val="0022747F"/>
    <w:rsid w:val="00230132"/>
    <w:rsid w:val="002305F6"/>
    <w:rsid w:val="002318ED"/>
    <w:rsid w:val="00233482"/>
    <w:rsid w:val="0023367C"/>
    <w:rsid w:val="00233B0E"/>
    <w:rsid w:val="00233BAF"/>
    <w:rsid w:val="00236F0D"/>
    <w:rsid w:val="0023728C"/>
    <w:rsid w:val="00237AB6"/>
    <w:rsid w:val="00240B4A"/>
    <w:rsid w:val="00241A80"/>
    <w:rsid w:val="00241C7F"/>
    <w:rsid w:val="0024356A"/>
    <w:rsid w:val="002440F2"/>
    <w:rsid w:val="0024732B"/>
    <w:rsid w:val="00247A4C"/>
    <w:rsid w:val="002530EA"/>
    <w:rsid w:val="0025549F"/>
    <w:rsid w:val="00255B46"/>
    <w:rsid w:val="00260AF9"/>
    <w:rsid w:val="00263C5A"/>
    <w:rsid w:val="0026509D"/>
    <w:rsid w:val="00265225"/>
    <w:rsid w:val="002660D3"/>
    <w:rsid w:val="00266299"/>
    <w:rsid w:val="002664E0"/>
    <w:rsid w:val="002665BF"/>
    <w:rsid w:val="0026668C"/>
    <w:rsid w:val="00267586"/>
    <w:rsid w:val="00267AE0"/>
    <w:rsid w:val="00267D58"/>
    <w:rsid w:val="00267FCB"/>
    <w:rsid w:val="002730D2"/>
    <w:rsid w:val="0027317D"/>
    <w:rsid w:val="00274068"/>
    <w:rsid w:val="0027563C"/>
    <w:rsid w:val="0028301A"/>
    <w:rsid w:val="002837D1"/>
    <w:rsid w:val="00283A78"/>
    <w:rsid w:val="00284032"/>
    <w:rsid w:val="00285FB7"/>
    <w:rsid w:val="00287344"/>
    <w:rsid w:val="002905F0"/>
    <w:rsid w:val="00290CF6"/>
    <w:rsid w:val="00291CB7"/>
    <w:rsid w:val="00293177"/>
    <w:rsid w:val="00293CE8"/>
    <w:rsid w:val="00293DA4"/>
    <w:rsid w:val="00295B15"/>
    <w:rsid w:val="00296A76"/>
    <w:rsid w:val="00296C27"/>
    <w:rsid w:val="00297787"/>
    <w:rsid w:val="002A0BFC"/>
    <w:rsid w:val="002A28A3"/>
    <w:rsid w:val="002A2E51"/>
    <w:rsid w:val="002A407A"/>
    <w:rsid w:val="002A554A"/>
    <w:rsid w:val="002A61CF"/>
    <w:rsid w:val="002A7951"/>
    <w:rsid w:val="002A7AEA"/>
    <w:rsid w:val="002B0293"/>
    <w:rsid w:val="002B1EEB"/>
    <w:rsid w:val="002B35D9"/>
    <w:rsid w:val="002B541E"/>
    <w:rsid w:val="002B7D58"/>
    <w:rsid w:val="002C29FD"/>
    <w:rsid w:val="002C5A56"/>
    <w:rsid w:val="002C6852"/>
    <w:rsid w:val="002C6DED"/>
    <w:rsid w:val="002D0B14"/>
    <w:rsid w:val="002D2411"/>
    <w:rsid w:val="002D3349"/>
    <w:rsid w:val="002D3F96"/>
    <w:rsid w:val="002D4420"/>
    <w:rsid w:val="002D4E42"/>
    <w:rsid w:val="002D5499"/>
    <w:rsid w:val="002D64E0"/>
    <w:rsid w:val="002E0D99"/>
    <w:rsid w:val="002E0FA4"/>
    <w:rsid w:val="002E2A49"/>
    <w:rsid w:val="002E6536"/>
    <w:rsid w:val="002E70DD"/>
    <w:rsid w:val="002E785E"/>
    <w:rsid w:val="002F1FD9"/>
    <w:rsid w:val="002F2A03"/>
    <w:rsid w:val="002F3EAC"/>
    <w:rsid w:val="002F4F00"/>
    <w:rsid w:val="002F67FB"/>
    <w:rsid w:val="00304861"/>
    <w:rsid w:val="00305588"/>
    <w:rsid w:val="003058AA"/>
    <w:rsid w:val="00310E0A"/>
    <w:rsid w:val="00311CA8"/>
    <w:rsid w:val="0031766B"/>
    <w:rsid w:val="00320D9F"/>
    <w:rsid w:val="00321928"/>
    <w:rsid w:val="00324E7B"/>
    <w:rsid w:val="00327113"/>
    <w:rsid w:val="0033176B"/>
    <w:rsid w:val="0033293A"/>
    <w:rsid w:val="0033313B"/>
    <w:rsid w:val="0033471D"/>
    <w:rsid w:val="00334804"/>
    <w:rsid w:val="00334E24"/>
    <w:rsid w:val="00335013"/>
    <w:rsid w:val="00335CB4"/>
    <w:rsid w:val="00337A92"/>
    <w:rsid w:val="00340578"/>
    <w:rsid w:val="00342471"/>
    <w:rsid w:val="00342BD8"/>
    <w:rsid w:val="00343F8F"/>
    <w:rsid w:val="00344562"/>
    <w:rsid w:val="0034574A"/>
    <w:rsid w:val="00345D23"/>
    <w:rsid w:val="00346567"/>
    <w:rsid w:val="00346661"/>
    <w:rsid w:val="0034693D"/>
    <w:rsid w:val="0035010B"/>
    <w:rsid w:val="00351DAC"/>
    <w:rsid w:val="003520B7"/>
    <w:rsid w:val="00353C23"/>
    <w:rsid w:val="00354D7C"/>
    <w:rsid w:val="0035542F"/>
    <w:rsid w:val="00355B0F"/>
    <w:rsid w:val="00356487"/>
    <w:rsid w:val="00357827"/>
    <w:rsid w:val="00357AB3"/>
    <w:rsid w:val="00360A8E"/>
    <w:rsid w:val="00361FEA"/>
    <w:rsid w:val="00363706"/>
    <w:rsid w:val="00365795"/>
    <w:rsid w:val="00366CA3"/>
    <w:rsid w:val="00367F9A"/>
    <w:rsid w:val="00370BDF"/>
    <w:rsid w:val="00371BB1"/>
    <w:rsid w:val="003735C8"/>
    <w:rsid w:val="003736F1"/>
    <w:rsid w:val="00373843"/>
    <w:rsid w:val="0037670D"/>
    <w:rsid w:val="003778A2"/>
    <w:rsid w:val="00377945"/>
    <w:rsid w:val="00383421"/>
    <w:rsid w:val="00384042"/>
    <w:rsid w:val="00384A64"/>
    <w:rsid w:val="00385AEA"/>
    <w:rsid w:val="00385E1A"/>
    <w:rsid w:val="00387081"/>
    <w:rsid w:val="0039085F"/>
    <w:rsid w:val="003908B5"/>
    <w:rsid w:val="00391884"/>
    <w:rsid w:val="00392197"/>
    <w:rsid w:val="00392428"/>
    <w:rsid w:val="00393322"/>
    <w:rsid w:val="00394D74"/>
    <w:rsid w:val="003958E0"/>
    <w:rsid w:val="003A10CB"/>
    <w:rsid w:val="003A1123"/>
    <w:rsid w:val="003A3519"/>
    <w:rsid w:val="003A6BC3"/>
    <w:rsid w:val="003A6F24"/>
    <w:rsid w:val="003B02C4"/>
    <w:rsid w:val="003B0E57"/>
    <w:rsid w:val="003B248D"/>
    <w:rsid w:val="003B5A3B"/>
    <w:rsid w:val="003B64B2"/>
    <w:rsid w:val="003B6EA5"/>
    <w:rsid w:val="003C0007"/>
    <w:rsid w:val="003C1503"/>
    <w:rsid w:val="003C19F9"/>
    <w:rsid w:val="003C295A"/>
    <w:rsid w:val="003C3378"/>
    <w:rsid w:val="003C346D"/>
    <w:rsid w:val="003C372F"/>
    <w:rsid w:val="003C3F3D"/>
    <w:rsid w:val="003C425E"/>
    <w:rsid w:val="003C687F"/>
    <w:rsid w:val="003D063C"/>
    <w:rsid w:val="003D0FBC"/>
    <w:rsid w:val="003D0FEA"/>
    <w:rsid w:val="003D12FE"/>
    <w:rsid w:val="003D1511"/>
    <w:rsid w:val="003D248F"/>
    <w:rsid w:val="003D2FDA"/>
    <w:rsid w:val="003D412F"/>
    <w:rsid w:val="003D41AC"/>
    <w:rsid w:val="003E0524"/>
    <w:rsid w:val="003E0F5D"/>
    <w:rsid w:val="003E1B0E"/>
    <w:rsid w:val="003E2170"/>
    <w:rsid w:val="003E23C1"/>
    <w:rsid w:val="003E3698"/>
    <w:rsid w:val="003E39D2"/>
    <w:rsid w:val="003E6F61"/>
    <w:rsid w:val="003E706A"/>
    <w:rsid w:val="003E70BE"/>
    <w:rsid w:val="003E7890"/>
    <w:rsid w:val="003F0DC4"/>
    <w:rsid w:val="003F1F0A"/>
    <w:rsid w:val="003F4C57"/>
    <w:rsid w:val="00400E97"/>
    <w:rsid w:val="00401660"/>
    <w:rsid w:val="004031E9"/>
    <w:rsid w:val="00403E49"/>
    <w:rsid w:val="00406837"/>
    <w:rsid w:val="00407182"/>
    <w:rsid w:val="004111EA"/>
    <w:rsid w:val="00412419"/>
    <w:rsid w:val="00412867"/>
    <w:rsid w:val="00412D68"/>
    <w:rsid w:val="0041367E"/>
    <w:rsid w:val="00415408"/>
    <w:rsid w:val="00416C50"/>
    <w:rsid w:val="00417931"/>
    <w:rsid w:val="00417E33"/>
    <w:rsid w:val="004204FC"/>
    <w:rsid w:val="00420843"/>
    <w:rsid w:val="0042313D"/>
    <w:rsid w:val="00424134"/>
    <w:rsid w:val="00425AA0"/>
    <w:rsid w:val="00426236"/>
    <w:rsid w:val="00431EEC"/>
    <w:rsid w:val="00434078"/>
    <w:rsid w:val="004344F9"/>
    <w:rsid w:val="00435275"/>
    <w:rsid w:val="00435850"/>
    <w:rsid w:val="004371C6"/>
    <w:rsid w:val="004415FF"/>
    <w:rsid w:val="004418B0"/>
    <w:rsid w:val="00442CBF"/>
    <w:rsid w:val="004436CB"/>
    <w:rsid w:val="004447B8"/>
    <w:rsid w:val="00444D14"/>
    <w:rsid w:val="00445A70"/>
    <w:rsid w:val="00445D13"/>
    <w:rsid w:val="0045290A"/>
    <w:rsid w:val="00453842"/>
    <w:rsid w:val="0045456A"/>
    <w:rsid w:val="00456A34"/>
    <w:rsid w:val="00456F82"/>
    <w:rsid w:val="00460989"/>
    <w:rsid w:val="00460F17"/>
    <w:rsid w:val="0046167C"/>
    <w:rsid w:val="00461A96"/>
    <w:rsid w:val="00462258"/>
    <w:rsid w:val="00462EAA"/>
    <w:rsid w:val="004651E7"/>
    <w:rsid w:val="00466065"/>
    <w:rsid w:val="0046690D"/>
    <w:rsid w:val="00470213"/>
    <w:rsid w:val="00470864"/>
    <w:rsid w:val="0047341B"/>
    <w:rsid w:val="004736C3"/>
    <w:rsid w:val="004739B0"/>
    <w:rsid w:val="00475EE0"/>
    <w:rsid w:val="00481C1E"/>
    <w:rsid w:val="0048250F"/>
    <w:rsid w:val="004830F0"/>
    <w:rsid w:val="0048339E"/>
    <w:rsid w:val="00483A9B"/>
    <w:rsid w:val="00483AFC"/>
    <w:rsid w:val="00483E5D"/>
    <w:rsid w:val="00483FF2"/>
    <w:rsid w:val="00484F7F"/>
    <w:rsid w:val="00486588"/>
    <w:rsid w:val="0048667A"/>
    <w:rsid w:val="00486919"/>
    <w:rsid w:val="00486D0F"/>
    <w:rsid w:val="0048753D"/>
    <w:rsid w:val="0048782D"/>
    <w:rsid w:val="00487E1E"/>
    <w:rsid w:val="004924C7"/>
    <w:rsid w:val="00492A4E"/>
    <w:rsid w:val="00493A3B"/>
    <w:rsid w:val="00493EAD"/>
    <w:rsid w:val="004956F4"/>
    <w:rsid w:val="00495D1B"/>
    <w:rsid w:val="004971E2"/>
    <w:rsid w:val="004A0F6F"/>
    <w:rsid w:val="004A175E"/>
    <w:rsid w:val="004A1E4F"/>
    <w:rsid w:val="004A3473"/>
    <w:rsid w:val="004A3BD3"/>
    <w:rsid w:val="004A531B"/>
    <w:rsid w:val="004A69F4"/>
    <w:rsid w:val="004A7273"/>
    <w:rsid w:val="004A7E72"/>
    <w:rsid w:val="004B043B"/>
    <w:rsid w:val="004B1BF8"/>
    <w:rsid w:val="004B38BB"/>
    <w:rsid w:val="004B3CFB"/>
    <w:rsid w:val="004B3F46"/>
    <w:rsid w:val="004B65D7"/>
    <w:rsid w:val="004B79D9"/>
    <w:rsid w:val="004C0AE9"/>
    <w:rsid w:val="004C0CC5"/>
    <w:rsid w:val="004C4981"/>
    <w:rsid w:val="004C4BFA"/>
    <w:rsid w:val="004C700A"/>
    <w:rsid w:val="004C78ED"/>
    <w:rsid w:val="004D0FF9"/>
    <w:rsid w:val="004D2065"/>
    <w:rsid w:val="004D2507"/>
    <w:rsid w:val="004D5512"/>
    <w:rsid w:val="004E0190"/>
    <w:rsid w:val="004E0E18"/>
    <w:rsid w:val="004E30AC"/>
    <w:rsid w:val="004E438A"/>
    <w:rsid w:val="004E565A"/>
    <w:rsid w:val="004E65C8"/>
    <w:rsid w:val="004F31D2"/>
    <w:rsid w:val="004F337D"/>
    <w:rsid w:val="004F3B83"/>
    <w:rsid w:val="004F42E9"/>
    <w:rsid w:val="004F4353"/>
    <w:rsid w:val="004F69EC"/>
    <w:rsid w:val="004F7307"/>
    <w:rsid w:val="005001A8"/>
    <w:rsid w:val="0050054E"/>
    <w:rsid w:val="0050427E"/>
    <w:rsid w:val="00505648"/>
    <w:rsid w:val="00505BDB"/>
    <w:rsid w:val="00511345"/>
    <w:rsid w:val="00512D48"/>
    <w:rsid w:val="00514776"/>
    <w:rsid w:val="005148AD"/>
    <w:rsid w:val="00514ED1"/>
    <w:rsid w:val="00515952"/>
    <w:rsid w:val="00515C0B"/>
    <w:rsid w:val="00515D98"/>
    <w:rsid w:val="00515F68"/>
    <w:rsid w:val="00516C36"/>
    <w:rsid w:val="005173E7"/>
    <w:rsid w:val="00520E87"/>
    <w:rsid w:val="00524AA2"/>
    <w:rsid w:val="00525EFA"/>
    <w:rsid w:val="00526215"/>
    <w:rsid w:val="00527CDF"/>
    <w:rsid w:val="0053038B"/>
    <w:rsid w:val="005324B1"/>
    <w:rsid w:val="00533677"/>
    <w:rsid w:val="00533A38"/>
    <w:rsid w:val="00535D3F"/>
    <w:rsid w:val="005365E5"/>
    <w:rsid w:val="00537AFC"/>
    <w:rsid w:val="00540742"/>
    <w:rsid w:val="00540B82"/>
    <w:rsid w:val="00540CC6"/>
    <w:rsid w:val="00541699"/>
    <w:rsid w:val="00542DEC"/>
    <w:rsid w:val="00543CAB"/>
    <w:rsid w:val="00543F2A"/>
    <w:rsid w:val="00545239"/>
    <w:rsid w:val="00546378"/>
    <w:rsid w:val="00546963"/>
    <w:rsid w:val="00546CE1"/>
    <w:rsid w:val="00547307"/>
    <w:rsid w:val="005476D3"/>
    <w:rsid w:val="00550513"/>
    <w:rsid w:val="00551D81"/>
    <w:rsid w:val="00551E15"/>
    <w:rsid w:val="005527C1"/>
    <w:rsid w:val="005536DB"/>
    <w:rsid w:val="00553B12"/>
    <w:rsid w:val="005560B3"/>
    <w:rsid w:val="0055685D"/>
    <w:rsid w:val="00561666"/>
    <w:rsid w:val="005637B5"/>
    <w:rsid w:val="00567075"/>
    <w:rsid w:val="005672F3"/>
    <w:rsid w:val="00567B24"/>
    <w:rsid w:val="0057067F"/>
    <w:rsid w:val="005706CE"/>
    <w:rsid w:val="00572140"/>
    <w:rsid w:val="00572DBD"/>
    <w:rsid w:val="00574C12"/>
    <w:rsid w:val="00575669"/>
    <w:rsid w:val="00575B4F"/>
    <w:rsid w:val="0058078E"/>
    <w:rsid w:val="00580844"/>
    <w:rsid w:val="00581004"/>
    <w:rsid w:val="005812DE"/>
    <w:rsid w:val="005842AF"/>
    <w:rsid w:val="005935FF"/>
    <w:rsid w:val="0059426F"/>
    <w:rsid w:val="005971AC"/>
    <w:rsid w:val="0059720E"/>
    <w:rsid w:val="00597B94"/>
    <w:rsid w:val="005A19CC"/>
    <w:rsid w:val="005A23AE"/>
    <w:rsid w:val="005A2B68"/>
    <w:rsid w:val="005A3705"/>
    <w:rsid w:val="005A658F"/>
    <w:rsid w:val="005A682A"/>
    <w:rsid w:val="005A69FB"/>
    <w:rsid w:val="005B1BB4"/>
    <w:rsid w:val="005B222E"/>
    <w:rsid w:val="005B23C1"/>
    <w:rsid w:val="005B23D2"/>
    <w:rsid w:val="005B4AE5"/>
    <w:rsid w:val="005B6DD2"/>
    <w:rsid w:val="005C1554"/>
    <w:rsid w:val="005C1E41"/>
    <w:rsid w:val="005C2DFB"/>
    <w:rsid w:val="005C565C"/>
    <w:rsid w:val="005C5A2A"/>
    <w:rsid w:val="005C76F9"/>
    <w:rsid w:val="005D2D25"/>
    <w:rsid w:val="005D415A"/>
    <w:rsid w:val="005D4D92"/>
    <w:rsid w:val="005E1604"/>
    <w:rsid w:val="005E3852"/>
    <w:rsid w:val="005E6BAA"/>
    <w:rsid w:val="005E74F5"/>
    <w:rsid w:val="005E7A64"/>
    <w:rsid w:val="005E7DC3"/>
    <w:rsid w:val="005E7EF8"/>
    <w:rsid w:val="005F074B"/>
    <w:rsid w:val="005F0B3C"/>
    <w:rsid w:val="005F0C5C"/>
    <w:rsid w:val="005F18DD"/>
    <w:rsid w:val="005F28E6"/>
    <w:rsid w:val="005F38B5"/>
    <w:rsid w:val="005F3B0F"/>
    <w:rsid w:val="005F44DA"/>
    <w:rsid w:val="005F6434"/>
    <w:rsid w:val="005F6530"/>
    <w:rsid w:val="00600A99"/>
    <w:rsid w:val="00600DAE"/>
    <w:rsid w:val="00600E8C"/>
    <w:rsid w:val="0060146E"/>
    <w:rsid w:val="00601B0C"/>
    <w:rsid w:val="00601D74"/>
    <w:rsid w:val="0060229E"/>
    <w:rsid w:val="006063D2"/>
    <w:rsid w:val="00607232"/>
    <w:rsid w:val="006072C1"/>
    <w:rsid w:val="00607596"/>
    <w:rsid w:val="0060794D"/>
    <w:rsid w:val="00610063"/>
    <w:rsid w:val="00610E69"/>
    <w:rsid w:val="006112F1"/>
    <w:rsid w:val="00611C54"/>
    <w:rsid w:val="0061252F"/>
    <w:rsid w:val="0061356C"/>
    <w:rsid w:val="00614CEA"/>
    <w:rsid w:val="00616F01"/>
    <w:rsid w:val="00622BFE"/>
    <w:rsid w:val="00623593"/>
    <w:rsid w:val="00624534"/>
    <w:rsid w:val="00624901"/>
    <w:rsid w:val="00625BAB"/>
    <w:rsid w:val="006325BA"/>
    <w:rsid w:val="00634697"/>
    <w:rsid w:val="006358A1"/>
    <w:rsid w:val="00636AF8"/>
    <w:rsid w:val="00637016"/>
    <w:rsid w:val="0064018A"/>
    <w:rsid w:val="006433B0"/>
    <w:rsid w:val="0064370D"/>
    <w:rsid w:val="00643E27"/>
    <w:rsid w:val="00644703"/>
    <w:rsid w:val="00651C71"/>
    <w:rsid w:val="00652192"/>
    <w:rsid w:val="00652B60"/>
    <w:rsid w:val="00652D92"/>
    <w:rsid w:val="00652FC8"/>
    <w:rsid w:val="00653666"/>
    <w:rsid w:val="0065444C"/>
    <w:rsid w:val="006554ED"/>
    <w:rsid w:val="00656378"/>
    <w:rsid w:val="00661D8B"/>
    <w:rsid w:val="00662DBB"/>
    <w:rsid w:val="00663372"/>
    <w:rsid w:val="00663EC8"/>
    <w:rsid w:val="00663F6E"/>
    <w:rsid w:val="00664D29"/>
    <w:rsid w:val="00664F81"/>
    <w:rsid w:val="00665322"/>
    <w:rsid w:val="00665D1B"/>
    <w:rsid w:val="00666BED"/>
    <w:rsid w:val="00666C9B"/>
    <w:rsid w:val="00666DDB"/>
    <w:rsid w:val="00670487"/>
    <w:rsid w:val="006720F5"/>
    <w:rsid w:val="00673465"/>
    <w:rsid w:val="00674807"/>
    <w:rsid w:val="00675265"/>
    <w:rsid w:val="00676750"/>
    <w:rsid w:val="00676BA0"/>
    <w:rsid w:val="00677FA5"/>
    <w:rsid w:val="0068141D"/>
    <w:rsid w:val="00683D08"/>
    <w:rsid w:val="006856BA"/>
    <w:rsid w:val="006862AF"/>
    <w:rsid w:val="00687516"/>
    <w:rsid w:val="00687661"/>
    <w:rsid w:val="00687D5D"/>
    <w:rsid w:val="00687FE6"/>
    <w:rsid w:val="006908CF"/>
    <w:rsid w:val="006908FE"/>
    <w:rsid w:val="006913D7"/>
    <w:rsid w:val="00692901"/>
    <w:rsid w:val="00692B52"/>
    <w:rsid w:val="006931D7"/>
    <w:rsid w:val="00693F18"/>
    <w:rsid w:val="00695073"/>
    <w:rsid w:val="00697096"/>
    <w:rsid w:val="00697AD1"/>
    <w:rsid w:val="006A12F6"/>
    <w:rsid w:val="006A1720"/>
    <w:rsid w:val="006A2B00"/>
    <w:rsid w:val="006A3003"/>
    <w:rsid w:val="006A3267"/>
    <w:rsid w:val="006A37B9"/>
    <w:rsid w:val="006A3B86"/>
    <w:rsid w:val="006A6644"/>
    <w:rsid w:val="006A7019"/>
    <w:rsid w:val="006A743C"/>
    <w:rsid w:val="006B045F"/>
    <w:rsid w:val="006B0522"/>
    <w:rsid w:val="006B16DD"/>
    <w:rsid w:val="006B1E41"/>
    <w:rsid w:val="006B23EB"/>
    <w:rsid w:val="006B2469"/>
    <w:rsid w:val="006B25B0"/>
    <w:rsid w:val="006B4E95"/>
    <w:rsid w:val="006B5D57"/>
    <w:rsid w:val="006B606B"/>
    <w:rsid w:val="006B612F"/>
    <w:rsid w:val="006C03EB"/>
    <w:rsid w:val="006C303E"/>
    <w:rsid w:val="006C4412"/>
    <w:rsid w:val="006C6432"/>
    <w:rsid w:val="006C7515"/>
    <w:rsid w:val="006C7B80"/>
    <w:rsid w:val="006D0819"/>
    <w:rsid w:val="006D0DE9"/>
    <w:rsid w:val="006D2E76"/>
    <w:rsid w:val="006D307E"/>
    <w:rsid w:val="006D5309"/>
    <w:rsid w:val="006D7997"/>
    <w:rsid w:val="006E039B"/>
    <w:rsid w:val="006E4C3D"/>
    <w:rsid w:val="006E4CFC"/>
    <w:rsid w:val="006E4E32"/>
    <w:rsid w:val="006E5390"/>
    <w:rsid w:val="006E604E"/>
    <w:rsid w:val="006E6692"/>
    <w:rsid w:val="006E74F4"/>
    <w:rsid w:val="006E7F6F"/>
    <w:rsid w:val="006F016C"/>
    <w:rsid w:val="006F1D91"/>
    <w:rsid w:val="006F21B6"/>
    <w:rsid w:val="006F2AC1"/>
    <w:rsid w:val="006F3A83"/>
    <w:rsid w:val="006F5820"/>
    <w:rsid w:val="006F5B5F"/>
    <w:rsid w:val="006F636E"/>
    <w:rsid w:val="006F6843"/>
    <w:rsid w:val="0070048C"/>
    <w:rsid w:val="00702794"/>
    <w:rsid w:val="007057A6"/>
    <w:rsid w:val="007062F7"/>
    <w:rsid w:val="007074C2"/>
    <w:rsid w:val="00710B10"/>
    <w:rsid w:val="00711D56"/>
    <w:rsid w:val="0071285A"/>
    <w:rsid w:val="00713EAF"/>
    <w:rsid w:val="00715CA1"/>
    <w:rsid w:val="00715E13"/>
    <w:rsid w:val="007163D8"/>
    <w:rsid w:val="00723C10"/>
    <w:rsid w:val="00723E23"/>
    <w:rsid w:val="00723F37"/>
    <w:rsid w:val="00724864"/>
    <w:rsid w:val="0072499D"/>
    <w:rsid w:val="007267C0"/>
    <w:rsid w:val="00727A1E"/>
    <w:rsid w:val="00730E10"/>
    <w:rsid w:val="007321E7"/>
    <w:rsid w:val="007327D1"/>
    <w:rsid w:val="00734FE5"/>
    <w:rsid w:val="0073587C"/>
    <w:rsid w:val="007366B1"/>
    <w:rsid w:val="007374F7"/>
    <w:rsid w:val="007424B1"/>
    <w:rsid w:val="00742651"/>
    <w:rsid w:val="00744A30"/>
    <w:rsid w:val="00744D4D"/>
    <w:rsid w:val="0075013C"/>
    <w:rsid w:val="00750A32"/>
    <w:rsid w:val="007512CC"/>
    <w:rsid w:val="0075288B"/>
    <w:rsid w:val="0075388E"/>
    <w:rsid w:val="007550FC"/>
    <w:rsid w:val="00755643"/>
    <w:rsid w:val="00757506"/>
    <w:rsid w:val="00760E33"/>
    <w:rsid w:val="00762B5F"/>
    <w:rsid w:val="00762DFF"/>
    <w:rsid w:val="00765EB4"/>
    <w:rsid w:val="0076643B"/>
    <w:rsid w:val="007667EF"/>
    <w:rsid w:val="00766909"/>
    <w:rsid w:val="00767278"/>
    <w:rsid w:val="007672E9"/>
    <w:rsid w:val="00771174"/>
    <w:rsid w:val="007730BA"/>
    <w:rsid w:val="00777353"/>
    <w:rsid w:val="00781BD6"/>
    <w:rsid w:val="0078241F"/>
    <w:rsid w:val="00784DC7"/>
    <w:rsid w:val="0078577C"/>
    <w:rsid w:val="007858F3"/>
    <w:rsid w:val="007870AF"/>
    <w:rsid w:val="00787602"/>
    <w:rsid w:val="00787AEB"/>
    <w:rsid w:val="00790AF2"/>
    <w:rsid w:val="0079241F"/>
    <w:rsid w:val="007925E1"/>
    <w:rsid w:val="00793A19"/>
    <w:rsid w:val="00794B06"/>
    <w:rsid w:val="00797709"/>
    <w:rsid w:val="007A1E90"/>
    <w:rsid w:val="007A2178"/>
    <w:rsid w:val="007A2610"/>
    <w:rsid w:val="007A29AD"/>
    <w:rsid w:val="007A2E28"/>
    <w:rsid w:val="007A2F54"/>
    <w:rsid w:val="007A4752"/>
    <w:rsid w:val="007A7C73"/>
    <w:rsid w:val="007B0724"/>
    <w:rsid w:val="007B0787"/>
    <w:rsid w:val="007B1463"/>
    <w:rsid w:val="007B2634"/>
    <w:rsid w:val="007B2A84"/>
    <w:rsid w:val="007B483E"/>
    <w:rsid w:val="007B4CDB"/>
    <w:rsid w:val="007B6680"/>
    <w:rsid w:val="007B68EB"/>
    <w:rsid w:val="007C30EA"/>
    <w:rsid w:val="007C40CE"/>
    <w:rsid w:val="007C5954"/>
    <w:rsid w:val="007C6427"/>
    <w:rsid w:val="007C6559"/>
    <w:rsid w:val="007C6930"/>
    <w:rsid w:val="007C7D10"/>
    <w:rsid w:val="007D38CE"/>
    <w:rsid w:val="007D5603"/>
    <w:rsid w:val="007D7893"/>
    <w:rsid w:val="007E2F4A"/>
    <w:rsid w:val="007E3F23"/>
    <w:rsid w:val="007E43CE"/>
    <w:rsid w:val="007E63B0"/>
    <w:rsid w:val="007E7070"/>
    <w:rsid w:val="007E74D2"/>
    <w:rsid w:val="007F06DC"/>
    <w:rsid w:val="007F1265"/>
    <w:rsid w:val="007F18D7"/>
    <w:rsid w:val="007F35CF"/>
    <w:rsid w:val="007F64BD"/>
    <w:rsid w:val="008003E8"/>
    <w:rsid w:val="00800746"/>
    <w:rsid w:val="00803C8B"/>
    <w:rsid w:val="00803D14"/>
    <w:rsid w:val="00803F06"/>
    <w:rsid w:val="00804E59"/>
    <w:rsid w:val="00805BBE"/>
    <w:rsid w:val="00807B6F"/>
    <w:rsid w:val="008102B4"/>
    <w:rsid w:val="008108DA"/>
    <w:rsid w:val="0081179C"/>
    <w:rsid w:val="00812501"/>
    <w:rsid w:val="00814776"/>
    <w:rsid w:val="00815181"/>
    <w:rsid w:val="008156DC"/>
    <w:rsid w:val="00816553"/>
    <w:rsid w:val="00821EC6"/>
    <w:rsid w:val="008230EF"/>
    <w:rsid w:val="00826034"/>
    <w:rsid w:val="008265A6"/>
    <w:rsid w:val="00830A1E"/>
    <w:rsid w:val="008333C7"/>
    <w:rsid w:val="008337E7"/>
    <w:rsid w:val="00834009"/>
    <w:rsid w:val="0083406D"/>
    <w:rsid w:val="00834224"/>
    <w:rsid w:val="00834E9C"/>
    <w:rsid w:val="008363BF"/>
    <w:rsid w:val="008407DD"/>
    <w:rsid w:val="0084155D"/>
    <w:rsid w:val="0084168B"/>
    <w:rsid w:val="00842401"/>
    <w:rsid w:val="008426F4"/>
    <w:rsid w:val="0084328A"/>
    <w:rsid w:val="00843404"/>
    <w:rsid w:val="00846E44"/>
    <w:rsid w:val="008476E8"/>
    <w:rsid w:val="00850273"/>
    <w:rsid w:val="008508BA"/>
    <w:rsid w:val="00850BE6"/>
    <w:rsid w:val="0085188E"/>
    <w:rsid w:val="00852229"/>
    <w:rsid w:val="00852B9A"/>
    <w:rsid w:val="00852E5F"/>
    <w:rsid w:val="00853BC7"/>
    <w:rsid w:val="00854767"/>
    <w:rsid w:val="00854E94"/>
    <w:rsid w:val="00854FAB"/>
    <w:rsid w:val="0085629D"/>
    <w:rsid w:val="00857550"/>
    <w:rsid w:val="00861254"/>
    <w:rsid w:val="00863D4E"/>
    <w:rsid w:val="0086525C"/>
    <w:rsid w:val="00871076"/>
    <w:rsid w:val="00874638"/>
    <w:rsid w:val="00875023"/>
    <w:rsid w:val="008756F5"/>
    <w:rsid w:val="00875C80"/>
    <w:rsid w:val="00876ECC"/>
    <w:rsid w:val="00877F9D"/>
    <w:rsid w:val="00880354"/>
    <w:rsid w:val="0088280F"/>
    <w:rsid w:val="00883DAD"/>
    <w:rsid w:val="00883E4E"/>
    <w:rsid w:val="00884AFC"/>
    <w:rsid w:val="00885514"/>
    <w:rsid w:val="00886B1C"/>
    <w:rsid w:val="008871EC"/>
    <w:rsid w:val="00887582"/>
    <w:rsid w:val="0089004E"/>
    <w:rsid w:val="0089063A"/>
    <w:rsid w:val="0089109D"/>
    <w:rsid w:val="00892023"/>
    <w:rsid w:val="00892BB7"/>
    <w:rsid w:val="00893E5A"/>
    <w:rsid w:val="00894639"/>
    <w:rsid w:val="008947D8"/>
    <w:rsid w:val="008975BE"/>
    <w:rsid w:val="00897B97"/>
    <w:rsid w:val="008A1155"/>
    <w:rsid w:val="008A1DB3"/>
    <w:rsid w:val="008A221F"/>
    <w:rsid w:val="008A3DAC"/>
    <w:rsid w:val="008A4609"/>
    <w:rsid w:val="008A506B"/>
    <w:rsid w:val="008A521F"/>
    <w:rsid w:val="008A65CF"/>
    <w:rsid w:val="008A699D"/>
    <w:rsid w:val="008A6B9E"/>
    <w:rsid w:val="008A7BCF"/>
    <w:rsid w:val="008B0577"/>
    <w:rsid w:val="008B0A24"/>
    <w:rsid w:val="008B2E1E"/>
    <w:rsid w:val="008B3D17"/>
    <w:rsid w:val="008B413F"/>
    <w:rsid w:val="008B4EAE"/>
    <w:rsid w:val="008B4FD1"/>
    <w:rsid w:val="008B5879"/>
    <w:rsid w:val="008B5DD6"/>
    <w:rsid w:val="008C1400"/>
    <w:rsid w:val="008C432C"/>
    <w:rsid w:val="008C54C2"/>
    <w:rsid w:val="008C6428"/>
    <w:rsid w:val="008C7870"/>
    <w:rsid w:val="008C7B2D"/>
    <w:rsid w:val="008C7DA1"/>
    <w:rsid w:val="008D0062"/>
    <w:rsid w:val="008D1BB0"/>
    <w:rsid w:val="008D2433"/>
    <w:rsid w:val="008D24EE"/>
    <w:rsid w:val="008D73F4"/>
    <w:rsid w:val="008E1FA3"/>
    <w:rsid w:val="008E2D3D"/>
    <w:rsid w:val="008E4847"/>
    <w:rsid w:val="008E4F45"/>
    <w:rsid w:val="008E5F56"/>
    <w:rsid w:val="008E6CB7"/>
    <w:rsid w:val="008E704A"/>
    <w:rsid w:val="008F03F7"/>
    <w:rsid w:val="008F13AE"/>
    <w:rsid w:val="008F1D91"/>
    <w:rsid w:val="008F1F47"/>
    <w:rsid w:val="008F23CF"/>
    <w:rsid w:val="008F3EF6"/>
    <w:rsid w:val="008F53E7"/>
    <w:rsid w:val="008F6A64"/>
    <w:rsid w:val="00901782"/>
    <w:rsid w:val="0090452D"/>
    <w:rsid w:val="00905983"/>
    <w:rsid w:val="00906A87"/>
    <w:rsid w:val="00906B3C"/>
    <w:rsid w:val="00907897"/>
    <w:rsid w:val="009116A1"/>
    <w:rsid w:val="00912219"/>
    <w:rsid w:val="00912823"/>
    <w:rsid w:val="00913AAF"/>
    <w:rsid w:val="00917AB1"/>
    <w:rsid w:val="00917C48"/>
    <w:rsid w:val="00925DE3"/>
    <w:rsid w:val="009263C5"/>
    <w:rsid w:val="0092780C"/>
    <w:rsid w:val="00927C89"/>
    <w:rsid w:val="00934057"/>
    <w:rsid w:val="0093605B"/>
    <w:rsid w:val="00936400"/>
    <w:rsid w:val="0093738C"/>
    <w:rsid w:val="00942017"/>
    <w:rsid w:val="00942AFD"/>
    <w:rsid w:val="00942C86"/>
    <w:rsid w:val="0094347B"/>
    <w:rsid w:val="00943C15"/>
    <w:rsid w:val="009458C1"/>
    <w:rsid w:val="0094623D"/>
    <w:rsid w:val="0094687B"/>
    <w:rsid w:val="00950395"/>
    <w:rsid w:val="009516E2"/>
    <w:rsid w:val="009539BE"/>
    <w:rsid w:val="00957CB7"/>
    <w:rsid w:val="00957D28"/>
    <w:rsid w:val="009600A9"/>
    <w:rsid w:val="00961D59"/>
    <w:rsid w:val="009621A8"/>
    <w:rsid w:val="00962FE8"/>
    <w:rsid w:val="009633CC"/>
    <w:rsid w:val="00964F9C"/>
    <w:rsid w:val="00966A7E"/>
    <w:rsid w:val="009672D9"/>
    <w:rsid w:val="00972DFA"/>
    <w:rsid w:val="009736CC"/>
    <w:rsid w:val="00974950"/>
    <w:rsid w:val="009749E1"/>
    <w:rsid w:val="009761F4"/>
    <w:rsid w:val="00976674"/>
    <w:rsid w:val="00982D86"/>
    <w:rsid w:val="009842DC"/>
    <w:rsid w:val="00984A3E"/>
    <w:rsid w:val="00984F61"/>
    <w:rsid w:val="00985704"/>
    <w:rsid w:val="00985705"/>
    <w:rsid w:val="00985F85"/>
    <w:rsid w:val="00985F97"/>
    <w:rsid w:val="009914F9"/>
    <w:rsid w:val="00996A4D"/>
    <w:rsid w:val="009971E6"/>
    <w:rsid w:val="009A1DD2"/>
    <w:rsid w:val="009A2E2C"/>
    <w:rsid w:val="009A32AA"/>
    <w:rsid w:val="009A3655"/>
    <w:rsid w:val="009A3C13"/>
    <w:rsid w:val="009A43A4"/>
    <w:rsid w:val="009A712F"/>
    <w:rsid w:val="009A737C"/>
    <w:rsid w:val="009B3205"/>
    <w:rsid w:val="009B3DDB"/>
    <w:rsid w:val="009B4BB3"/>
    <w:rsid w:val="009B6FAD"/>
    <w:rsid w:val="009C3CAC"/>
    <w:rsid w:val="009C407E"/>
    <w:rsid w:val="009C467D"/>
    <w:rsid w:val="009C636F"/>
    <w:rsid w:val="009C6D31"/>
    <w:rsid w:val="009C7612"/>
    <w:rsid w:val="009D374E"/>
    <w:rsid w:val="009D3BAF"/>
    <w:rsid w:val="009D482F"/>
    <w:rsid w:val="009D5FE9"/>
    <w:rsid w:val="009E0CAA"/>
    <w:rsid w:val="009E0E68"/>
    <w:rsid w:val="009E18B6"/>
    <w:rsid w:val="009E209C"/>
    <w:rsid w:val="009E20EB"/>
    <w:rsid w:val="009E2B66"/>
    <w:rsid w:val="009E42E0"/>
    <w:rsid w:val="009E4997"/>
    <w:rsid w:val="009E4D00"/>
    <w:rsid w:val="009E56F8"/>
    <w:rsid w:val="009F073F"/>
    <w:rsid w:val="009F1143"/>
    <w:rsid w:val="009F2ED7"/>
    <w:rsid w:val="009F3B72"/>
    <w:rsid w:val="009F4C89"/>
    <w:rsid w:val="009F504E"/>
    <w:rsid w:val="009F77C0"/>
    <w:rsid w:val="00A00A41"/>
    <w:rsid w:val="00A0116B"/>
    <w:rsid w:val="00A01277"/>
    <w:rsid w:val="00A06C6C"/>
    <w:rsid w:val="00A07D88"/>
    <w:rsid w:val="00A07F3D"/>
    <w:rsid w:val="00A10341"/>
    <w:rsid w:val="00A10E1F"/>
    <w:rsid w:val="00A118EC"/>
    <w:rsid w:val="00A12C1C"/>
    <w:rsid w:val="00A13D7B"/>
    <w:rsid w:val="00A146F6"/>
    <w:rsid w:val="00A16ABE"/>
    <w:rsid w:val="00A23550"/>
    <w:rsid w:val="00A23EDD"/>
    <w:rsid w:val="00A248B5"/>
    <w:rsid w:val="00A276DD"/>
    <w:rsid w:val="00A30D10"/>
    <w:rsid w:val="00A32243"/>
    <w:rsid w:val="00A34BF5"/>
    <w:rsid w:val="00A34FB2"/>
    <w:rsid w:val="00A37B96"/>
    <w:rsid w:val="00A40C54"/>
    <w:rsid w:val="00A40D87"/>
    <w:rsid w:val="00A427B3"/>
    <w:rsid w:val="00A42DE3"/>
    <w:rsid w:val="00A45487"/>
    <w:rsid w:val="00A45BCF"/>
    <w:rsid w:val="00A46AD0"/>
    <w:rsid w:val="00A479D1"/>
    <w:rsid w:val="00A50059"/>
    <w:rsid w:val="00A51AC9"/>
    <w:rsid w:val="00A522D8"/>
    <w:rsid w:val="00A5351B"/>
    <w:rsid w:val="00A5385A"/>
    <w:rsid w:val="00A54CBA"/>
    <w:rsid w:val="00A603E6"/>
    <w:rsid w:val="00A66741"/>
    <w:rsid w:val="00A7063E"/>
    <w:rsid w:val="00A706B1"/>
    <w:rsid w:val="00A70D18"/>
    <w:rsid w:val="00A72D79"/>
    <w:rsid w:val="00A738AA"/>
    <w:rsid w:val="00A73B30"/>
    <w:rsid w:val="00A73FA8"/>
    <w:rsid w:val="00A74DEE"/>
    <w:rsid w:val="00A75420"/>
    <w:rsid w:val="00A76A2A"/>
    <w:rsid w:val="00A76CFB"/>
    <w:rsid w:val="00A77EE0"/>
    <w:rsid w:val="00A808F0"/>
    <w:rsid w:val="00A80AE6"/>
    <w:rsid w:val="00A80AF9"/>
    <w:rsid w:val="00A810FD"/>
    <w:rsid w:val="00A84CC6"/>
    <w:rsid w:val="00A8547D"/>
    <w:rsid w:val="00A8779D"/>
    <w:rsid w:val="00A94396"/>
    <w:rsid w:val="00A943E8"/>
    <w:rsid w:val="00A955A7"/>
    <w:rsid w:val="00A9624E"/>
    <w:rsid w:val="00AA0F8F"/>
    <w:rsid w:val="00AA194D"/>
    <w:rsid w:val="00AA270D"/>
    <w:rsid w:val="00AA2B1C"/>
    <w:rsid w:val="00AA2B4F"/>
    <w:rsid w:val="00AA3465"/>
    <w:rsid w:val="00AA3731"/>
    <w:rsid w:val="00AA4427"/>
    <w:rsid w:val="00AA584C"/>
    <w:rsid w:val="00AA653A"/>
    <w:rsid w:val="00AA763D"/>
    <w:rsid w:val="00AB03BA"/>
    <w:rsid w:val="00AB0A5D"/>
    <w:rsid w:val="00AB11D0"/>
    <w:rsid w:val="00AB2F87"/>
    <w:rsid w:val="00AB35E5"/>
    <w:rsid w:val="00AB3DFD"/>
    <w:rsid w:val="00AB413B"/>
    <w:rsid w:val="00AB541D"/>
    <w:rsid w:val="00AB5C65"/>
    <w:rsid w:val="00AB65F7"/>
    <w:rsid w:val="00AC0033"/>
    <w:rsid w:val="00AC12CA"/>
    <w:rsid w:val="00AC1B8A"/>
    <w:rsid w:val="00AC3AA2"/>
    <w:rsid w:val="00AC576C"/>
    <w:rsid w:val="00AC581E"/>
    <w:rsid w:val="00AC5CBF"/>
    <w:rsid w:val="00AC7977"/>
    <w:rsid w:val="00AD0061"/>
    <w:rsid w:val="00AD0262"/>
    <w:rsid w:val="00AD0555"/>
    <w:rsid w:val="00AD1A94"/>
    <w:rsid w:val="00AD1C44"/>
    <w:rsid w:val="00AD1E76"/>
    <w:rsid w:val="00AD1FB5"/>
    <w:rsid w:val="00AD2A98"/>
    <w:rsid w:val="00AD2D87"/>
    <w:rsid w:val="00AD46A1"/>
    <w:rsid w:val="00AD5C81"/>
    <w:rsid w:val="00AD671F"/>
    <w:rsid w:val="00AD73DB"/>
    <w:rsid w:val="00AD76B3"/>
    <w:rsid w:val="00AD7CAF"/>
    <w:rsid w:val="00AE021F"/>
    <w:rsid w:val="00AE0F8C"/>
    <w:rsid w:val="00AE13B6"/>
    <w:rsid w:val="00AE23F6"/>
    <w:rsid w:val="00AE3F91"/>
    <w:rsid w:val="00AE4678"/>
    <w:rsid w:val="00AE5B77"/>
    <w:rsid w:val="00AE5BE9"/>
    <w:rsid w:val="00AE62F5"/>
    <w:rsid w:val="00AF0FC0"/>
    <w:rsid w:val="00AF1992"/>
    <w:rsid w:val="00AF54B7"/>
    <w:rsid w:val="00AF64F0"/>
    <w:rsid w:val="00B00211"/>
    <w:rsid w:val="00B012CB"/>
    <w:rsid w:val="00B01C06"/>
    <w:rsid w:val="00B02C9E"/>
    <w:rsid w:val="00B04441"/>
    <w:rsid w:val="00B0508B"/>
    <w:rsid w:val="00B050DD"/>
    <w:rsid w:val="00B06904"/>
    <w:rsid w:val="00B06F23"/>
    <w:rsid w:val="00B076BA"/>
    <w:rsid w:val="00B105E1"/>
    <w:rsid w:val="00B10AD3"/>
    <w:rsid w:val="00B113A2"/>
    <w:rsid w:val="00B14FA3"/>
    <w:rsid w:val="00B16F30"/>
    <w:rsid w:val="00B17453"/>
    <w:rsid w:val="00B17C16"/>
    <w:rsid w:val="00B20004"/>
    <w:rsid w:val="00B220F5"/>
    <w:rsid w:val="00B22286"/>
    <w:rsid w:val="00B22C3B"/>
    <w:rsid w:val="00B244BD"/>
    <w:rsid w:val="00B249A2"/>
    <w:rsid w:val="00B24B17"/>
    <w:rsid w:val="00B305B4"/>
    <w:rsid w:val="00B325F4"/>
    <w:rsid w:val="00B33701"/>
    <w:rsid w:val="00B34265"/>
    <w:rsid w:val="00B36C94"/>
    <w:rsid w:val="00B372E3"/>
    <w:rsid w:val="00B40FED"/>
    <w:rsid w:val="00B425E2"/>
    <w:rsid w:val="00B434FB"/>
    <w:rsid w:val="00B43747"/>
    <w:rsid w:val="00B43A7E"/>
    <w:rsid w:val="00B452BD"/>
    <w:rsid w:val="00B45E8E"/>
    <w:rsid w:val="00B47E4C"/>
    <w:rsid w:val="00B5069E"/>
    <w:rsid w:val="00B50A32"/>
    <w:rsid w:val="00B50FB2"/>
    <w:rsid w:val="00B53833"/>
    <w:rsid w:val="00B57C4C"/>
    <w:rsid w:val="00B62729"/>
    <w:rsid w:val="00B6372A"/>
    <w:rsid w:val="00B64D0A"/>
    <w:rsid w:val="00B66823"/>
    <w:rsid w:val="00B73419"/>
    <w:rsid w:val="00B73D9F"/>
    <w:rsid w:val="00B7490B"/>
    <w:rsid w:val="00B773C0"/>
    <w:rsid w:val="00B82F3A"/>
    <w:rsid w:val="00B83720"/>
    <w:rsid w:val="00B84A78"/>
    <w:rsid w:val="00B857B8"/>
    <w:rsid w:val="00B87709"/>
    <w:rsid w:val="00B91584"/>
    <w:rsid w:val="00B9699B"/>
    <w:rsid w:val="00B96D0E"/>
    <w:rsid w:val="00B978B1"/>
    <w:rsid w:val="00BA00E0"/>
    <w:rsid w:val="00BA0A72"/>
    <w:rsid w:val="00BA0DBF"/>
    <w:rsid w:val="00BA185A"/>
    <w:rsid w:val="00BA1E1F"/>
    <w:rsid w:val="00BA2FA5"/>
    <w:rsid w:val="00BA4B00"/>
    <w:rsid w:val="00BA6498"/>
    <w:rsid w:val="00BB1890"/>
    <w:rsid w:val="00BB2B70"/>
    <w:rsid w:val="00BB47EE"/>
    <w:rsid w:val="00BB4848"/>
    <w:rsid w:val="00BB5984"/>
    <w:rsid w:val="00BB6367"/>
    <w:rsid w:val="00BB6A77"/>
    <w:rsid w:val="00BC0A1C"/>
    <w:rsid w:val="00BC0A76"/>
    <w:rsid w:val="00BC0AFC"/>
    <w:rsid w:val="00BC0F4B"/>
    <w:rsid w:val="00BC2068"/>
    <w:rsid w:val="00BC2209"/>
    <w:rsid w:val="00BC49B2"/>
    <w:rsid w:val="00BC4A06"/>
    <w:rsid w:val="00BC4E7B"/>
    <w:rsid w:val="00BC5733"/>
    <w:rsid w:val="00BC63F1"/>
    <w:rsid w:val="00BD2626"/>
    <w:rsid w:val="00BD2A1B"/>
    <w:rsid w:val="00BD38AB"/>
    <w:rsid w:val="00BD4AB1"/>
    <w:rsid w:val="00BD5056"/>
    <w:rsid w:val="00BD51CD"/>
    <w:rsid w:val="00BD6185"/>
    <w:rsid w:val="00BE1D41"/>
    <w:rsid w:val="00BE1F35"/>
    <w:rsid w:val="00BE2A09"/>
    <w:rsid w:val="00BE3E43"/>
    <w:rsid w:val="00BE422B"/>
    <w:rsid w:val="00BE5869"/>
    <w:rsid w:val="00BE5D76"/>
    <w:rsid w:val="00BE6E83"/>
    <w:rsid w:val="00BE6F05"/>
    <w:rsid w:val="00BE7E5C"/>
    <w:rsid w:val="00BF0CFA"/>
    <w:rsid w:val="00BF3A77"/>
    <w:rsid w:val="00BF3FE5"/>
    <w:rsid w:val="00BF5617"/>
    <w:rsid w:val="00BF595F"/>
    <w:rsid w:val="00BF5C8A"/>
    <w:rsid w:val="00C01250"/>
    <w:rsid w:val="00C0341E"/>
    <w:rsid w:val="00C034D5"/>
    <w:rsid w:val="00C04ED1"/>
    <w:rsid w:val="00C050F4"/>
    <w:rsid w:val="00C05BAB"/>
    <w:rsid w:val="00C066DE"/>
    <w:rsid w:val="00C06726"/>
    <w:rsid w:val="00C10365"/>
    <w:rsid w:val="00C10E4B"/>
    <w:rsid w:val="00C14FA6"/>
    <w:rsid w:val="00C15D6E"/>
    <w:rsid w:val="00C1647C"/>
    <w:rsid w:val="00C16ADB"/>
    <w:rsid w:val="00C211F1"/>
    <w:rsid w:val="00C21EF1"/>
    <w:rsid w:val="00C25E6C"/>
    <w:rsid w:val="00C268FE"/>
    <w:rsid w:val="00C279BF"/>
    <w:rsid w:val="00C279F6"/>
    <w:rsid w:val="00C27C45"/>
    <w:rsid w:val="00C31570"/>
    <w:rsid w:val="00C315A2"/>
    <w:rsid w:val="00C31C0E"/>
    <w:rsid w:val="00C32ADF"/>
    <w:rsid w:val="00C3365E"/>
    <w:rsid w:val="00C34194"/>
    <w:rsid w:val="00C34D76"/>
    <w:rsid w:val="00C34FEA"/>
    <w:rsid w:val="00C35562"/>
    <w:rsid w:val="00C40FE0"/>
    <w:rsid w:val="00C41397"/>
    <w:rsid w:val="00C420AD"/>
    <w:rsid w:val="00C4238E"/>
    <w:rsid w:val="00C43432"/>
    <w:rsid w:val="00C43B43"/>
    <w:rsid w:val="00C442FF"/>
    <w:rsid w:val="00C44C0C"/>
    <w:rsid w:val="00C45837"/>
    <w:rsid w:val="00C502AD"/>
    <w:rsid w:val="00C517F9"/>
    <w:rsid w:val="00C54518"/>
    <w:rsid w:val="00C54D51"/>
    <w:rsid w:val="00C55B9A"/>
    <w:rsid w:val="00C56CA3"/>
    <w:rsid w:val="00C6172A"/>
    <w:rsid w:val="00C61F0B"/>
    <w:rsid w:val="00C64BAA"/>
    <w:rsid w:val="00C65621"/>
    <w:rsid w:val="00C67B72"/>
    <w:rsid w:val="00C74ED5"/>
    <w:rsid w:val="00C75EA0"/>
    <w:rsid w:val="00C76440"/>
    <w:rsid w:val="00C82B07"/>
    <w:rsid w:val="00C84C9F"/>
    <w:rsid w:val="00C8518E"/>
    <w:rsid w:val="00C869BF"/>
    <w:rsid w:val="00C87B04"/>
    <w:rsid w:val="00C90305"/>
    <w:rsid w:val="00C90471"/>
    <w:rsid w:val="00C91544"/>
    <w:rsid w:val="00C9209D"/>
    <w:rsid w:val="00C94385"/>
    <w:rsid w:val="00C9458F"/>
    <w:rsid w:val="00C94BEC"/>
    <w:rsid w:val="00C9500F"/>
    <w:rsid w:val="00CA0326"/>
    <w:rsid w:val="00CA079F"/>
    <w:rsid w:val="00CA08B3"/>
    <w:rsid w:val="00CA1C84"/>
    <w:rsid w:val="00CA1E93"/>
    <w:rsid w:val="00CA3868"/>
    <w:rsid w:val="00CA3AB7"/>
    <w:rsid w:val="00CA4D2C"/>
    <w:rsid w:val="00CA503F"/>
    <w:rsid w:val="00CA5BA2"/>
    <w:rsid w:val="00CA7A48"/>
    <w:rsid w:val="00CB19CC"/>
    <w:rsid w:val="00CB1BB6"/>
    <w:rsid w:val="00CB52C3"/>
    <w:rsid w:val="00CB56B1"/>
    <w:rsid w:val="00CB68F6"/>
    <w:rsid w:val="00CB6DE0"/>
    <w:rsid w:val="00CC090B"/>
    <w:rsid w:val="00CC149F"/>
    <w:rsid w:val="00CC171B"/>
    <w:rsid w:val="00CC2D2F"/>
    <w:rsid w:val="00CC4A55"/>
    <w:rsid w:val="00CC532C"/>
    <w:rsid w:val="00CD0C83"/>
    <w:rsid w:val="00CD1DA0"/>
    <w:rsid w:val="00CD2D55"/>
    <w:rsid w:val="00CD35B1"/>
    <w:rsid w:val="00CD4185"/>
    <w:rsid w:val="00CD6DB8"/>
    <w:rsid w:val="00CE0F71"/>
    <w:rsid w:val="00CE18A1"/>
    <w:rsid w:val="00CE439A"/>
    <w:rsid w:val="00CE4CBA"/>
    <w:rsid w:val="00CE67CE"/>
    <w:rsid w:val="00CF035D"/>
    <w:rsid w:val="00CF10D2"/>
    <w:rsid w:val="00CF2E54"/>
    <w:rsid w:val="00CF6237"/>
    <w:rsid w:val="00CF62C8"/>
    <w:rsid w:val="00CF62D6"/>
    <w:rsid w:val="00CF7B45"/>
    <w:rsid w:val="00D032E6"/>
    <w:rsid w:val="00D0448B"/>
    <w:rsid w:val="00D06D2C"/>
    <w:rsid w:val="00D07201"/>
    <w:rsid w:val="00D07776"/>
    <w:rsid w:val="00D10051"/>
    <w:rsid w:val="00D11BF6"/>
    <w:rsid w:val="00D12484"/>
    <w:rsid w:val="00D13E2F"/>
    <w:rsid w:val="00D14AB8"/>
    <w:rsid w:val="00D15B50"/>
    <w:rsid w:val="00D168F1"/>
    <w:rsid w:val="00D173CF"/>
    <w:rsid w:val="00D17574"/>
    <w:rsid w:val="00D21067"/>
    <w:rsid w:val="00D2112F"/>
    <w:rsid w:val="00D22F8B"/>
    <w:rsid w:val="00D234E5"/>
    <w:rsid w:val="00D23EAF"/>
    <w:rsid w:val="00D244DB"/>
    <w:rsid w:val="00D250B9"/>
    <w:rsid w:val="00D27126"/>
    <w:rsid w:val="00D312EA"/>
    <w:rsid w:val="00D31E49"/>
    <w:rsid w:val="00D326CF"/>
    <w:rsid w:val="00D33E38"/>
    <w:rsid w:val="00D3471C"/>
    <w:rsid w:val="00D35599"/>
    <w:rsid w:val="00D3562A"/>
    <w:rsid w:val="00D35DF9"/>
    <w:rsid w:val="00D407C7"/>
    <w:rsid w:val="00D420B7"/>
    <w:rsid w:val="00D42DAA"/>
    <w:rsid w:val="00D451EB"/>
    <w:rsid w:val="00D45592"/>
    <w:rsid w:val="00D473B5"/>
    <w:rsid w:val="00D505E0"/>
    <w:rsid w:val="00D50759"/>
    <w:rsid w:val="00D53581"/>
    <w:rsid w:val="00D542D6"/>
    <w:rsid w:val="00D54CA5"/>
    <w:rsid w:val="00D552DB"/>
    <w:rsid w:val="00D55486"/>
    <w:rsid w:val="00D56770"/>
    <w:rsid w:val="00D62700"/>
    <w:rsid w:val="00D63523"/>
    <w:rsid w:val="00D64CA5"/>
    <w:rsid w:val="00D65165"/>
    <w:rsid w:val="00D65A64"/>
    <w:rsid w:val="00D6686E"/>
    <w:rsid w:val="00D66EBA"/>
    <w:rsid w:val="00D700FB"/>
    <w:rsid w:val="00D70FB6"/>
    <w:rsid w:val="00D7187A"/>
    <w:rsid w:val="00D7211A"/>
    <w:rsid w:val="00D7461B"/>
    <w:rsid w:val="00D77453"/>
    <w:rsid w:val="00D7774A"/>
    <w:rsid w:val="00D77B1D"/>
    <w:rsid w:val="00D817FF"/>
    <w:rsid w:val="00D81BC9"/>
    <w:rsid w:val="00D81FBC"/>
    <w:rsid w:val="00D83281"/>
    <w:rsid w:val="00D852A5"/>
    <w:rsid w:val="00D874DF"/>
    <w:rsid w:val="00D875B2"/>
    <w:rsid w:val="00D8766E"/>
    <w:rsid w:val="00D87D3F"/>
    <w:rsid w:val="00D903FE"/>
    <w:rsid w:val="00D90F4E"/>
    <w:rsid w:val="00D92E58"/>
    <w:rsid w:val="00D94098"/>
    <w:rsid w:val="00D96B1E"/>
    <w:rsid w:val="00D96CB5"/>
    <w:rsid w:val="00D96EFE"/>
    <w:rsid w:val="00D973DD"/>
    <w:rsid w:val="00DA1772"/>
    <w:rsid w:val="00DA2037"/>
    <w:rsid w:val="00DA22DC"/>
    <w:rsid w:val="00DA41C4"/>
    <w:rsid w:val="00DA4618"/>
    <w:rsid w:val="00DA4971"/>
    <w:rsid w:val="00DA49B4"/>
    <w:rsid w:val="00DA67F1"/>
    <w:rsid w:val="00DB0801"/>
    <w:rsid w:val="00DB0B1E"/>
    <w:rsid w:val="00DB0F31"/>
    <w:rsid w:val="00DB1651"/>
    <w:rsid w:val="00DB2340"/>
    <w:rsid w:val="00DB2434"/>
    <w:rsid w:val="00DB46BB"/>
    <w:rsid w:val="00DC034B"/>
    <w:rsid w:val="00DC09FD"/>
    <w:rsid w:val="00DC12B0"/>
    <w:rsid w:val="00DC1976"/>
    <w:rsid w:val="00DC23ED"/>
    <w:rsid w:val="00DC281C"/>
    <w:rsid w:val="00DC293B"/>
    <w:rsid w:val="00DC2DF2"/>
    <w:rsid w:val="00DC5643"/>
    <w:rsid w:val="00DD02E1"/>
    <w:rsid w:val="00DD0DCA"/>
    <w:rsid w:val="00DD0EBC"/>
    <w:rsid w:val="00DD1A24"/>
    <w:rsid w:val="00DD322B"/>
    <w:rsid w:val="00DD3B5C"/>
    <w:rsid w:val="00DD3F18"/>
    <w:rsid w:val="00DD6665"/>
    <w:rsid w:val="00DD66BA"/>
    <w:rsid w:val="00DD7F55"/>
    <w:rsid w:val="00DE08CF"/>
    <w:rsid w:val="00DE17AF"/>
    <w:rsid w:val="00DE311C"/>
    <w:rsid w:val="00DE583F"/>
    <w:rsid w:val="00DE6DF3"/>
    <w:rsid w:val="00DE75D0"/>
    <w:rsid w:val="00DE780C"/>
    <w:rsid w:val="00DF1882"/>
    <w:rsid w:val="00DF348E"/>
    <w:rsid w:val="00DF455A"/>
    <w:rsid w:val="00DF5E2B"/>
    <w:rsid w:val="00DF6B17"/>
    <w:rsid w:val="00DF6BE9"/>
    <w:rsid w:val="00DF7C59"/>
    <w:rsid w:val="00E00556"/>
    <w:rsid w:val="00E00772"/>
    <w:rsid w:val="00E00B95"/>
    <w:rsid w:val="00E00DAB"/>
    <w:rsid w:val="00E01EAE"/>
    <w:rsid w:val="00E02975"/>
    <w:rsid w:val="00E02FC5"/>
    <w:rsid w:val="00E04B70"/>
    <w:rsid w:val="00E06700"/>
    <w:rsid w:val="00E0754C"/>
    <w:rsid w:val="00E07C5B"/>
    <w:rsid w:val="00E1006E"/>
    <w:rsid w:val="00E101C2"/>
    <w:rsid w:val="00E12E9F"/>
    <w:rsid w:val="00E13D33"/>
    <w:rsid w:val="00E158A3"/>
    <w:rsid w:val="00E15E8A"/>
    <w:rsid w:val="00E1608B"/>
    <w:rsid w:val="00E1618D"/>
    <w:rsid w:val="00E1691C"/>
    <w:rsid w:val="00E2093E"/>
    <w:rsid w:val="00E26D18"/>
    <w:rsid w:val="00E32F80"/>
    <w:rsid w:val="00E3427D"/>
    <w:rsid w:val="00E3661F"/>
    <w:rsid w:val="00E36729"/>
    <w:rsid w:val="00E36999"/>
    <w:rsid w:val="00E44B43"/>
    <w:rsid w:val="00E44B93"/>
    <w:rsid w:val="00E453CE"/>
    <w:rsid w:val="00E45521"/>
    <w:rsid w:val="00E46E8B"/>
    <w:rsid w:val="00E50FF1"/>
    <w:rsid w:val="00E5153F"/>
    <w:rsid w:val="00E51E4C"/>
    <w:rsid w:val="00E53DAF"/>
    <w:rsid w:val="00E540BC"/>
    <w:rsid w:val="00E57E82"/>
    <w:rsid w:val="00E60988"/>
    <w:rsid w:val="00E63E55"/>
    <w:rsid w:val="00E66D30"/>
    <w:rsid w:val="00E6764F"/>
    <w:rsid w:val="00E67C29"/>
    <w:rsid w:val="00E71D1C"/>
    <w:rsid w:val="00E72E36"/>
    <w:rsid w:val="00E736BF"/>
    <w:rsid w:val="00E74587"/>
    <w:rsid w:val="00E74962"/>
    <w:rsid w:val="00E7537A"/>
    <w:rsid w:val="00E767AD"/>
    <w:rsid w:val="00E7720A"/>
    <w:rsid w:val="00E77ACE"/>
    <w:rsid w:val="00E8218B"/>
    <w:rsid w:val="00E8390C"/>
    <w:rsid w:val="00E84392"/>
    <w:rsid w:val="00E84518"/>
    <w:rsid w:val="00E84A3C"/>
    <w:rsid w:val="00E86428"/>
    <w:rsid w:val="00E87053"/>
    <w:rsid w:val="00E9201E"/>
    <w:rsid w:val="00E926AA"/>
    <w:rsid w:val="00E95871"/>
    <w:rsid w:val="00EA183E"/>
    <w:rsid w:val="00EA1866"/>
    <w:rsid w:val="00EA319F"/>
    <w:rsid w:val="00EA526E"/>
    <w:rsid w:val="00EA556E"/>
    <w:rsid w:val="00EA624D"/>
    <w:rsid w:val="00EA7409"/>
    <w:rsid w:val="00EA7A8D"/>
    <w:rsid w:val="00EB0974"/>
    <w:rsid w:val="00EB14F9"/>
    <w:rsid w:val="00EB4B5E"/>
    <w:rsid w:val="00EB4CE9"/>
    <w:rsid w:val="00EB58B0"/>
    <w:rsid w:val="00EB5CDF"/>
    <w:rsid w:val="00EC048A"/>
    <w:rsid w:val="00EC118D"/>
    <w:rsid w:val="00EC174D"/>
    <w:rsid w:val="00EC1D30"/>
    <w:rsid w:val="00EC1DAE"/>
    <w:rsid w:val="00EC2461"/>
    <w:rsid w:val="00EC3C35"/>
    <w:rsid w:val="00ED0BF9"/>
    <w:rsid w:val="00ED0C09"/>
    <w:rsid w:val="00ED1C76"/>
    <w:rsid w:val="00ED2E07"/>
    <w:rsid w:val="00ED3ADF"/>
    <w:rsid w:val="00ED453B"/>
    <w:rsid w:val="00ED48CE"/>
    <w:rsid w:val="00EE1241"/>
    <w:rsid w:val="00EE1B1B"/>
    <w:rsid w:val="00EE1C5B"/>
    <w:rsid w:val="00EE227E"/>
    <w:rsid w:val="00EE3A16"/>
    <w:rsid w:val="00EE3E76"/>
    <w:rsid w:val="00EE5060"/>
    <w:rsid w:val="00EE5888"/>
    <w:rsid w:val="00EE59CA"/>
    <w:rsid w:val="00EE68C0"/>
    <w:rsid w:val="00EE6B07"/>
    <w:rsid w:val="00EE770F"/>
    <w:rsid w:val="00EF1A30"/>
    <w:rsid w:val="00EF1FCC"/>
    <w:rsid w:val="00EF3AED"/>
    <w:rsid w:val="00EF6034"/>
    <w:rsid w:val="00EF64AD"/>
    <w:rsid w:val="00EF774F"/>
    <w:rsid w:val="00F00153"/>
    <w:rsid w:val="00F004FB"/>
    <w:rsid w:val="00F02243"/>
    <w:rsid w:val="00F032B5"/>
    <w:rsid w:val="00F045CE"/>
    <w:rsid w:val="00F05ECC"/>
    <w:rsid w:val="00F0607D"/>
    <w:rsid w:val="00F06462"/>
    <w:rsid w:val="00F067EF"/>
    <w:rsid w:val="00F10646"/>
    <w:rsid w:val="00F13CE1"/>
    <w:rsid w:val="00F15EA3"/>
    <w:rsid w:val="00F2000D"/>
    <w:rsid w:val="00F20B09"/>
    <w:rsid w:val="00F21368"/>
    <w:rsid w:val="00F22147"/>
    <w:rsid w:val="00F233FE"/>
    <w:rsid w:val="00F23430"/>
    <w:rsid w:val="00F26862"/>
    <w:rsid w:val="00F268E3"/>
    <w:rsid w:val="00F27396"/>
    <w:rsid w:val="00F3073C"/>
    <w:rsid w:val="00F31424"/>
    <w:rsid w:val="00F31A3F"/>
    <w:rsid w:val="00F3217F"/>
    <w:rsid w:val="00F3299D"/>
    <w:rsid w:val="00F334C1"/>
    <w:rsid w:val="00F33AEB"/>
    <w:rsid w:val="00F34341"/>
    <w:rsid w:val="00F34AFD"/>
    <w:rsid w:val="00F35E51"/>
    <w:rsid w:val="00F37605"/>
    <w:rsid w:val="00F40148"/>
    <w:rsid w:val="00F40349"/>
    <w:rsid w:val="00F4078A"/>
    <w:rsid w:val="00F41F0B"/>
    <w:rsid w:val="00F42CC6"/>
    <w:rsid w:val="00F44B04"/>
    <w:rsid w:val="00F45E37"/>
    <w:rsid w:val="00F46EBB"/>
    <w:rsid w:val="00F50A55"/>
    <w:rsid w:val="00F50C65"/>
    <w:rsid w:val="00F516FB"/>
    <w:rsid w:val="00F519E3"/>
    <w:rsid w:val="00F51C5D"/>
    <w:rsid w:val="00F52151"/>
    <w:rsid w:val="00F52551"/>
    <w:rsid w:val="00F529C7"/>
    <w:rsid w:val="00F53466"/>
    <w:rsid w:val="00F55877"/>
    <w:rsid w:val="00F55B79"/>
    <w:rsid w:val="00F5638C"/>
    <w:rsid w:val="00F6005C"/>
    <w:rsid w:val="00F620E4"/>
    <w:rsid w:val="00F64444"/>
    <w:rsid w:val="00F6743A"/>
    <w:rsid w:val="00F6795E"/>
    <w:rsid w:val="00F67FC4"/>
    <w:rsid w:val="00F705B7"/>
    <w:rsid w:val="00F73230"/>
    <w:rsid w:val="00F73EB7"/>
    <w:rsid w:val="00F74C60"/>
    <w:rsid w:val="00F75585"/>
    <w:rsid w:val="00F75E5E"/>
    <w:rsid w:val="00F77371"/>
    <w:rsid w:val="00F82735"/>
    <w:rsid w:val="00F84084"/>
    <w:rsid w:val="00F845CE"/>
    <w:rsid w:val="00F8740A"/>
    <w:rsid w:val="00F87522"/>
    <w:rsid w:val="00F87B7C"/>
    <w:rsid w:val="00F91775"/>
    <w:rsid w:val="00F94F39"/>
    <w:rsid w:val="00F95C75"/>
    <w:rsid w:val="00F96FC1"/>
    <w:rsid w:val="00FA05FE"/>
    <w:rsid w:val="00FA09CC"/>
    <w:rsid w:val="00FA1273"/>
    <w:rsid w:val="00FA1A56"/>
    <w:rsid w:val="00FA1A6C"/>
    <w:rsid w:val="00FA1B1F"/>
    <w:rsid w:val="00FA23FB"/>
    <w:rsid w:val="00FA309A"/>
    <w:rsid w:val="00FA6B35"/>
    <w:rsid w:val="00FA798F"/>
    <w:rsid w:val="00FB0E9C"/>
    <w:rsid w:val="00FC120C"/>
    <w:rsid w:val="00FC183A"/>
    <w:rsid w:val="00FC190A"/>
    <w:rsid w:val="00FC1C5B"/>
    <w:rsid w:val="00FC1E38"/>
    <w:rsid w:val="00FC5F09"/>
    <w:rsid w:val="00FC75C5"/>
    <w:rsid w:val="00FC7E05"/>
    <w:rsid w:val="00FD0EAE"/>
    <w:rsid w:val="00FD39DC"/>
    <w:rsid w:val="00FD746C"/>
    <w:rsid w:val="00FE1CFE"/>
    <w:rsid w:val="00FE25E6"/>
    <w:rsid w:val="00FE26E9"/>
    <w:rsid w:val="00FE2B2C"/>
    <w:rsid w:val="00FE494A"/>
    <w:rsid w:val="00FE61CD"/>
    <w:rsid w:val="00FE77C6"/>
    <w:rsid w:val="00FE7D00"/>
    <w:rsid w:val="00FF13C2"/>
    <w:rsid w:val="00FF2CC6"/>
    <w:rsid w:val="00FF3011"/>
    <w:rsid w:val="00FF4283"/>
    <w:rsid w:val="00FF4C09"/>
    <w:rsid w:val="00FF500F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0BC4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D2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D8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D8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D87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E58"/>
    <w:pPr>
      <w:ind w:left="720"/>
      <w:contextualSpacing/>
    </w:pPr>
  </w:style>
  <w:style w:type="character" w:customStyle="1" w:styleId="paragraphChar">
    <w:name w:val="paragraph Char"/>
    <w:aliases w:val="a Char"/>
    <w:link w:val="paragraph"/>
    <w:rsid w:val="00854FAB"/>
    <w:rPr>
      <w:rFonts w:ascii="Times New Roman" w:eastAsia="Times New Roman" w:hAnsi="Times New Roman" w:cs="Times New Roman"/>
      <w:szCs w:val="20"/>
      <w:lang w:eastAsia="en-AU"/>
    </w:rPr>
  </w:style>
  <w:style w:type="paragraph" w:styleId="Revision">
    <w:name w:val="Revision"/>
    <w:hidden/>
    <w:uiPriority w:val="99"/>
    <w:semiHidden/>
    <w:rsid w:val="00F705B7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39B2-B1A1-4E2B-8A96-4AAC2449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2877</Words>
  <Characters>15398</Characters>
  <Application>Microsoft Office Word</Application>
  <DocSecurity>0</DocSecurity>
  <Lines>260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Taxation (Multinational—Global and Domestic Minimum Tax) Amendment (2025 Measures No. 1) Rules 2025</vt:lpstr>
    </vt:vector>
  </TitlesOfParts>
  <Manager/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Taxation (Multinational—Global and Domestic Minimum Tax) Amendment (2025 Measures No. 1) Rules 2025</dc:title>
  <dc:subject/>
  <dc:creator>Australian Government</dc:creator>
  <cp:keywords/>
  <dc:description/>
  <cp:lastModifiedBy/>
  <cp:revision>1</cp:revision>
  <dcterms:created xsi:type="dcterms:W3CDTF">2025-10-23T01:43:00Z</dcterms:created>
  <dcterms:modified xsi:type="dcterms:W3CDTF">2025-10-23T01:44:00Z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2025-10-23T01:44:40Z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4a77ddb1-b700-4b7e-9108-d9c3f585267c</vt:lpwstr>
  </property>
  <property fmtid="{D5CDD505-2E9C-101B-9397-08002B2CF9AE}" pid="9" name="MSIP_Label_4f932d64-9ab1-4d9b-81d2-a3a8b82dd47d_ContentBits">
    <vt:lpwstr>0</vt:lpwstr>
  </property>
  <property fmtid="{D5CDD505-2E9C-101B-9397-08002B2CF9AE}" pid="10" name="MSIP_Label_4f932d64-9ab1-4d9b-81d2-a3a8b82dd47d_Tag">
    <vt:lpwstr>10, 0, 1, 1</vt:lpwstr>
  </property>
</Properties>
</file>