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8A296" w14:textId="77777777" w:rsidR="00F109D4" w:rsidRPr="00A506B5" w:rsidRDefault="00F109D4" w:rsidP="00A506B5">
      <w:pPr>
        <w:pStyle w:val="Heading1"/>
        <w:spacing w:after="360"/>
        <w:rPr>
          <w:rFonts w:ascii="Times New Roman" w:hAnsi="Times New Roman"/>
          <w:sz w:val="24"/>
          <w:szCs w:val="24"/>
        </w:rPr>
      </w:pPr>
      <w:r w:rsidRPr="00A506B5">
        <w:rPr>
          <w:rFonts w:ascii="Times New Roman" w:hAnsi="Times New Roman"/>
          <w:sz w:val="24"/>
          <w:szCs w:val="24"/>
        </w:rPr>
        <w:t>EXPLANATORY STATEMENT</w:t>
      </w:r>
    </w:p>
    <w:p w14:paraId="377234A0" w14:textId="5A7A164C" w:rsidR="007662C7" w:rsidRPr="00A506B5" w:rsidRDefault="00F109D4" w:rsidP="00A506B5">
      <w:pPr>
        <w:pStyle w:val="Heading2"/>
        <w:jc w:val="center"/>
        <w:rPr>
          <w:sz w:val="24"/>
          <w:szCs w:val="24"/>
        </w:rPr>
      </w:pPr>
      <w:r w:rsidRPr="00A506B5">
        <w:rPr>
          <w:sz w:val="24"/>
          <w:szCs w:val="24"/>
        </w:rPr>
        <w:t xml:space="preserve">Issued by authority of </w:t>
      </w:r>
      <w:sdt>
        <w:sdtPr>
          <w:rPr>
            <w:rStyle w:val="DefaultChar"/>
          </w:rPr>
          <w:id w:val="-1025254589"/>
          <w:placeholder>
            <w:docPart w:val="4BCE712176B74F0AAB77FCED0A28F8FB"/>
          </w:placeholder>
          <w:dropDownList>
            <w:listItem w:displayText="the Treasurer" w:value="the Treasurer"/>
            <w:listItem w:displayText="the Minister for Agriculture, Fisheries and Forestry and Minister for Small Business" w:value="the Minister for Agriculture, Fisheries and Forestry and Minister for Small Business"/>
            <w:listItem w:displayText="the Minister for Housing and Minister for Homelessness" w:value="the Minister for Housing and Minister for Homeless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 w:val="28"/>
            <w:szCs w:val="20"/>
          </w:rPr>
        </w:sdtEndPr>
        <w:sdtContent>
          <w:r w:rsidR="00677834" w:rsidRPr="00A506B5">
            <w:rPr>
              <w:rStyle w:val="DefaultChar"/>
            </w:rPr>
            <w:t>the Assistant Minister for Competition, Charities and Treasury</w:t>
          </w:r>
        </w:sdtContent>
      </w:sdt>
      <w:r w:rsidR="00076178" w:rsidRPr="00A506B5">
        <w:rPr>
          <w:sz w:val="24"/>
          <w:szCs w:val="24"/>
        </w:rPr>
        <w:t xml:space="preserve"> </w:t>
      </w:r>
    </w:p>
    <w:p w14:paraId="3359B9B0" w14:textId="34C95237" w:rsidR="00F109D4" w:rsidRPr="00A506B5" w:rsidRDefault="00CB3911" w:rsidP="00A506B5">
      <w:pPr>
        <w:spacing w:before="240" w:after="240"/>
        <w:jc w:val="center"/>
        <w:rPr>
          <w:i/>
        </w:rPr>
      </w:pPr>
      <w:r w:rsidRPr="00A506B5">
        <w:rPr>
          <w:i/>
        </w:rPr>
        <w:t xml:space="preserve">Taxation (Multinational—Global and Domestic Minimum Tax) Act 2024 </w:t>
      </w:r>
    </w:p>
    <w:p w14:paraId="14356D6E" w14:textId="10ED3464" w:rsidR="00F109D4" w:rsidRPr="00A506B5" w:rsidRDefault="00CB3911" w:rsidP="00A506B5">
      <w:pPr>
        <w:tabs>
          <w:tab w:val="left" w:pos="1418"/>
        </w:tabs>
        <w:spacing w:before="0" w:after="240"/>
        <w:jc w:val="center"/>
        <w:rPr>
          <w:i/>
        </w:rPr>
      </w:pPr>
      <w:r w:rsidRPr="00A506B5">
        <w:rPr>
          <w:i/>
        </w:rPr>
        <w:t>Taxation (Multinational—Global and Domestic Minimum Tax) Amendment (</w:t>
      </w:r>
      <w:r w:rsidR="00CA6353" w:rsidRPr="00A506B5">
        <w:rPr>
          <w:i/>
        </w:rPr>
        <w:t>2025 Measures No.1</w:t>
      </w:r>
      <w:r w:rsidRPr="00A506B5">
        <w:rPr>
          <w:i/>
        </w:rPr>
        <w:t>) Rules 202</w:t>
      </w:r>
      <w:r w:rsidR="00CA6353" w:rsidRPr="00A506B5">
        <w:rPr>
          <w:i/>
        </w:rPr>
        <w:t>5</w:t>
      </w:r>
      <w:r w:rsidRPr="00A506B5">
        <w:rPr>
          <w:i/>
        </w:rPr>
        <w:t xml:space="preserve"> </w:t>
      </w:r>
    </w:p>
    <w:p w14:paraId="60B3DC4A" w14:textId="0DE8B16D" w:rsidR="00892D3B" w:rsidRPr="00A506B5" w:rsidRDefault="00C55D29" w:rsidP="00A506B5">
      <w:pPr>
        <w:spacing w:before="240"/>
      </w:pPr>
      <w:r w:rsidRPr="00A506B5">
        <w:t xml:space="preserve">Section </w:t>
      </w:r>
      <w:r w:rsidR="00CB3911" w:rsidRPr="00A506B5">
        <w:t>29</w:t>
      </w:r>
      <w:r w:rsidR="005E4BAC" w:rsidRPr="00A506B5">
        <w:t xml:space="preserve"> </w:t>
      </w:r>
      <w:r w:rsidR="00F109D4" w:rsidRPr="00A506B5">
        <w:t xml:space="preserve">of the </w:t>
      </w:r>
      <w:r w:rsidR="00CB3911" w:rsidRPr="00A506B5">
        <w:rPr>
          <w:i/>
          <w:iCs/>
        </w:rPr>
        <w:t>Taxation (Multinational—Global and Domestic Minimum Tax) Act 2024</w:t>
      </w:r>
      <w:r w:rsidR="00CB3911" w:rsidRPr="00A506B5">
        <w:t xml:space="preserve"> </w:t>
      </w:r>
      <w:r w:rsidR="00F109D4" w:rsidRPr="00A506B5">
        <w:t>(</w:t>
      </w:r>
      <w:r w:rsidR="00BB49CC" w:rsidRPr="000D267A">
        <w:t>the Assessment Act</w:t>
      </w:r>
      <w:r w:rsidR="00F109D4" w:rsidRPr="00A506B5">
        <w:t xml:space="preserve">) provides that the </w:t>
      </w:r>
      <w:r w:rsidR="00CB3911" w:rsidRPr="00A506B5">
        <w:t xml:space="preserve">Minister </w:t>
      </w:r>
      <w:r w:rsidR="00F109D4" w:rsidRPr="00A506B5">
        <w:t xml:space="preserve">may make </w:t>
      </w:r>
      <w:r w:rsidR="00CB3911" w:rsidRPr="00A506B5">
        <w:t xml:space="preserve">Rules </w:t>
      </w:r>
      <w:r w:rsidR="00F109D4" w:rsidRPr="00A506B5">
        <w:t>prescribing matters required or permitted by the Act to be prescribed, or necessary or convenient to be prescribed for carrying out or giving effect to the Act.</w:t>
      </w:r>
    </w:p>
    <w:p w14:paraId="656671A8" w14:textId="6C2570C7" w:rsidR="00DE6700" w:rsidRDefault="004F03F4" w:rsidP="00F24C4B">
      <w:pPr>
        <w:spacing w:before="240"/>
      </w:pPr>
      <w:r w:rsidRPr="00A506B5">
        <w:t xml:space="preserve">The purpose of the </w:t>
      </w:r>
      <w:r w:rsidR="00CB3911" w:rsidRPr="00A506B5">
        <w:rPr>
          <w:i/>
          <w:iCs/>
        </w:rPr>
        <w:t xml:space="preserve">Taxation (Multinational—Global and Domestic Minimum Tax) </w:t>
      </w:r>
      <w:r w:rsidR="00CB3911" w:rsidRPr="00E54B9B">
        <w:rPr>
          <w:i/>
          <w:iCs/>
        </w:rPr>
        <w:t>Amendment (</w:t>
      </w:r>
      <w:r w:rsidR="00B0637B" w:rsidRPr="00E54B9B">
        <w:rPr>
          <w:i/>
          <w:iCs/>
        </w:rPr>
        <w:t>2025 Measures No.1</w:t>
      </w:r>
      <w:r w:rsidR="00CB3911" w:rsidRPr="00E54B9B">
        <w:rPr>
          <w:i/>
          <w:iCs/>
        </w:rPr>
        <w:t>)</w:t>
      </w:r>
      <w:r w:rsidR="00CB3911" w:rsidRPr="00A506B5">
        <w:rPr>
          <w:i/>
          <w:iCs/>
        </w:rPr>
        <w:t xml:space="preserve"> Rules</w:t>
      </w:r>
      <w:r w:rsidR="00EA6703" w:rsidRPr="00A506B5">
        <w:rPr>
          <w:i/>
          <w:iCs/>
        </w:rPr>
        <w:t xml:space="preserve"> 2025</w:t>
      </w:r>
      <w:r w:rsidR="00CB3911" w:rsidRPr="00A506B5">
        <w:t xml:space="preserve"> </w:t>
      </w:r>
      <w:r w:rsidR="00331A74" w:rsidRPr="00A506B5">
        <w:t xml:space="preserve">(Amending Rules) </w:t>
      </w:r>
      <w:r w:rsidRPr="00A506B5">
        <w:t>is to</w:t>
      </w:r>
      <w:r w:rsidR="00F0371B" w:rsidRPr="00A506B5">
        <w:t xml:space="preserve"> </w:t>
      </w:r>
      <w:r w:rsidR="00AC646D">
        <w:t xml:space="preserve">amend </w:t>
      </w:r>
      <w:r w:rsidR="00975F99" w:rsidRPr="00A506B5">
        <w:t xml:space="preserve">provisions in the </w:t>
      </w:r>
      <w:r w:rsidR="00975F99" w:rsidRPr="00A506B5">
        <w:rPr>
          <w:rFonts w:eastAsia="Calibri"/>
          <w:i/>
          <w:iCs/>
          <w:kern w:val="2"/>
          <w:szCs w:val="24"/>
          <w:lang w:eastAsia="en-US"/>
        </w:rPr>
        <w:t>Taxation (Multinational—Global and Domestic Minimum Tax) Rules 2024</w:t>
      </w:r>
      <w:r w:rsidR="00975F99" w:rsidRPr="00A506B5">
        <w:rPr>
          <w:rFonts w:eastAsia="Calibri"/>
          <w:kern w:val="2"/>
          <w:szCs w:val="24"/>
          <w:lang w:eastAsia="en-US"/>
        </w:rPr>
        <w:t xml:space="preserve"> (the Rules) </w:t>
      </w:r>
      <w:r w:rsidR="00692A3B" w:rsidRPr="00A506B5">
        <w:t>relating to</w:t>
      </w:r>
      <w:r w:rsidR="0038746D" w:rsidRPr="00A506B5">
        <w:t xml:space="preserve"> the</w:t>
      </w:r>
      <w:r w:rsidR="00AF302D">
        <w:t xml:space="preserve"> release of </w:t>
      </w:r>
      <w:r w:rsidR="00F5071C">
        <w:t xml:space="preserve">the OECD’s </w:t>
      </w:r>
      <w:r w:rsidR="00AF302D">
        <w:t>Administrative Guidance</w:t>
      </w:r>
      <w:r w:rsidR="00DE6700">
        <w:t>.</w:t>
      </w:r>
    </w:p>
    <w:p w14:paraId="7802337C" w14:textId="4BE89ACA" w:rsidR="00EE7AFF" w:rsidRDefault="00DE6700" w:rsidP="00EE7AFF">
      <w:pPr>
        <w:spacing w:before="240"/>
      </w:pPr>
      <w:r>
        <w:t>Specifically, this includes</w:t>
      </w:r>
      <w:r w:rsidR="00EE7AFF">
        <w:t>:</w:t>
      </w:r>
      <w:r w:rsidR="00D843AC" w:rsidRPr="00A506B5">
        <w:rPr>
          <w:rStyle w:val="References"/>
          <w:rFonts w:eastAsiaTheme="majorEastAsia"/>
        </w:rPr>
        <w:t xml:space="preserve"> </w:t>
      </w:r>
      <w:r w:rsidR="00D843AC" w:rsidRPr="00A506B5">
        <w:t xml:space="preserve"> </w:t>
      </w:r>
      <w:r w:rsidR="004F03F4" w:rsidRPr="00A506B5">
        <w:t xml:space="preserve"> </w:t>
      </w:r>
    </w:p>
    <w:p w14:paraId="6C609BE4" w14:textId="0D526146" w:rsidR="00166E61" w:rsidRPr="00166E61" w:rsidRDefault="00166E61" w:rsidP="00EE7AFF">
      <w:pPr>
        <w:pStyle w:val="Dash"/>
      </w:pPr>
      <w:r w:rsidRPr="00A506B5">
        <w:rPr>
          <w:rFonts w:eastAsia="Calibri"/>
          <w:kern w:val="2"/>
          <w:szCs w:val="24"/>
          <w:lang w:eastAsia="en-US"/>
        </w:rPr>
        <w:t>clarif</w:t>
      </w:r>
      <w:r>
        <w:rPr>
          <w:rFonts w:eastAsia="Calibri"/>
          <w:kern w:val="2"/>
          <w:szCs w:val="24"/>
          <w:lang w:eastAsia="en-US"/>
        </w:rPr>
        <w:t>ying</w:t>
      </w:r>
      <w:r w:rsidRPr="00A506B5">
        <w:rPr>
          <w:rFonts w:eastAsia="Calibri"/>
          <w:kern w:val="2"/>
          <w:szCs w:val="24"/>
          <w:lang w:eastAsia="en-US"/>
        </w:rPr>
        <w:t xml:space="preserve"> </w:t>
      </w:r>
      <w:r w:rsidR="001E374F">
        <w:rPr>
          <w:rFonts w:eastAsia="Calibri"/>
          <w:kern w:val="2"/>
          <w:szCs w:val="24"/>
          <w:lang w:eastAsia="en-US"/>
        </w:rPr>
        <w:t>the limited circumstances where</w:t>
      </w:r>
      <w:r w:rsidRPr="00A506B5">
        <w:rPr>
          <w:rFonts w:eastAsia="Calibri"/>
          <w:kern w:val="2"/>
          <w:szCs w:val="24"/>
          <w:lang w:eastAsia="en-US"/>
        </w:rPr>
        <w:t xml:space="preserve"> Securitisation Entities </w:t>
      </w:r>
      <w:r w:rsidR="001E374F">
        <w:rPr>
          <w:rFonts w:eastAsia="Calibri"/>
          <w:kern w:val="2"/>
          <w:szCs w:val="24"/>
          <w:lang w:eastAsia="en-US"/>
        </w:rPr>
        <w:t>would be</w:t>
      </w:r>
      <w:r w:rsidRPr="00A506B5">
        <w:rPr>
          <w:rFonts w:eastAsia="Calibri"/>
          <w:kern w:val="2"/>
          <w:szCs w:val="24"/>
          <w:lang w:eastAsia="en-US"/>
        </w:rPr>
        <w:t xml:space="preserve"> liable to pay </w:t>
      </w:r>
      <w:r w:rsidR="00AA1658" w:rsidRPr="000C23B6">
        <w:t>Undertaxed Profits Rules</w:t>
      </w:r>
      <w:r w:rsidR="00AA1658" w:rsidRPr="00A506B5">
        <w:rPr>
          <w:rFonts w:eastAsia="Calibri"/>
          <w:kern w:val="2"/>
          <w:szCs w:val="24"/>
          <w:lang w:eastAsia="en-US"/>
        </w:rPr>
        <w:t xml:space="preserve"> </w:t>
      </w:r>
      <w:r w:rsidR="00AA1658">
        <w:rPr>
          <w:rFonts w:eastAsia="Calibri"/>
          <w:kern w:val="2"/>
          <w:szCs w:val="24"/>
          <w:lang w:eastAsia="en-US"/>
        </w:rPr>
        <w:t>(</w:t>
      </w:r>
      <w:r w:rsidRPr="00A506B5">
        <w:rPr>
          <w:rFonts w:eastAsia="Calibri"/>
          <w:kern w:val="2"/>
          <w:szCs w:val="24"/>
          <w:lang w:eastAsia="en-US"/>
        </w:rPr>
        <w:t>UTPR</w:t>
      </w:r>
      <w:r w:rsidR="00AA1658">
        <w:rPr>
          <w:rFonts w:eastAsia="Calibri"/>
          <w:kern w:val="2"/>
          <w:szCs w:val="24"/>
          <w:lang w:eastAsia="en-US"/>
        </w:rPr>
        <w:t>)</w:t>
      </w:r>
      <w:r w:rsidRPr="00A506B5">
        <w:rPr>
          <w:rFonts w:eastAsia="Calibri"/>
          <w:kern w:val="2"/>
          <w:szCs w:val="24"/>
          <w:lang w:eastAsia="en-US"/>
        </w:rPr>
        <w:t xml:space="preserve"> top-up </w:t>
      </w:r>
      <w:proofErr w:type="gramStart"/>
      <w:r w:rsidRPr="00A506B5">
        <w:rPr>
          <w:rFonts w:eastAsia="Calibri"/>
          <w:kern w:val="2"/>
          <w:szCs w:val="24"/>
          <w:lang w:eastAsia="en-US"/>
        </w:rPr>
        <w:t>tax</w:t>
      </w:r>
      <w:r>
        <w:rPr>
          <w:rFonts w:eastAsia="Calibri"/>
          <w:kern w:val="2"/>
          <w:szCs w:val="24"/>
          <w:lang w:eastAsia="en-US"/>
        </w:rPr>
        <w:t>;</w:t>
      </w:r>
      <w:proofErr w:type="gramEnd"/>
      <w:r w:rsidR="00FD711F">
        <w:rPr>
          <w:rFonts w:eastAsia="Calibri"/>
          <w:kern w:val="2"/>
          <w:szCs w:val="24"/>
          <w:lang w:eastAsia="en-US"/>
        </w:rPr>
        <w:t xml:space="preserve"> </w:t>
      </w:r>
    </w:p>
    <w:p w14:paraId="70436814" w14:textId="66DE5A4F" w:rsidR="00FD711F" w:rsidRDefault="00FD711F" w:rsidP="00EE7AFF">
      <w:pPr>
        <w:pStyle w:val="Dash"/>
      </w:pPr>
      <w:r>
        <w:t xml:space="preserve">inserting an </w:t>
      </w:r>
      <w:r w:rsidR="00CB3911" w:rsidRPr="00A506B5">
        <w:t>Equity Investment Inclusion Election and the related rules on Qualified Flow</w:t>
      </w:r>
      <w:r w:rsidR="00CB3911" w:rsidRPr="00A506B5">
        <w:noBreakHyphen/>
        <w:t xml:space="preserve">through Tax </w:t>
      </w:r>
      <w:proofErr w:type="gramStart"/>
      <w:r w:rsidR="00CB3911" w:rsidRPr="00A506B5">
        <w:t>Benefits</w:t>
      </w:r>
      <w:r>
        <w:t>;</w:t>
      </w:r>
      <w:proofErr w:type="gramEnd"/>
      <w:r>
        <w:t xml:space="preserve"> </w:t>
      </w:r>
    </w:p>
    <w:p w14:paraId="66293A1B" w14:textId="0E0BDA27" w:rsidR="004B6DC6" w:rsidRDefault="00FD711F" w:rsidP="00EE7AFF">
      <w:pPr>
        <w:pStyle w:val="Dash"/>
      </w:pPr>
      <w:r>
        <w:t xml:space="preserve">minor amendments to </w:t>
      </w:r>
      <w:r w:rsidR="009E006C">
        <w:t>the</w:t>
      </w:r>
      <w:r w:rsidR="00CE160D">
        <w:t xml:space="preserve"> </w:t>
      </w:r>
      <w:r w:rsidR="00CE160D" w:rsidRPr="000C23B6">
        <w:t xml:space="preserve">Domestic </w:t>
      </w:r>
      <w:r w:rsidR="00CE160D">
        <w:t>M</w:t>
      </w:r>
      <w:r w:rsidR="00CE160D" w:rsidRPr="000C23B6">
        <w:t xml:space="preserve">inimum </w:t>
      </w:r>
      <w:r w:rsidR="00CE160D">
        <w:t>T</w:t>
      </w:r>
      <w:r w:rsidR="00CE160D" w:rsidRPr="000C23B6">
        <w:t>ax</w:t>
      </w:r>
      <w:r w:rsidR="009E006C">
        <w:t xml:space="preserve"> </w:t>
      </w:r>
      <w:r w:rsidR="00CE160D">
        <w:t>(</w:t>
      </w:r>
      <w:r w:rsidR="009E006C">
        <w:t>DMT</w:t>
      </w:r>
      <w:r w:rsidR="00CE160D">
        <w:t>)</w:t>
      </w:r>
      <w:r w:rsidR="009E006C">
        <w:t xml:space="preserve"> provisions</w:t>
      </w:r>
      <w:r w:rsidR="004B6DC6">
        <w:t>;</w:t>
      </w:r>
      <w:r w:rsidR="009E006C">
        <w:t xml:space="preserve"> and </w:t>
      </w:r>
    </w:p>
    <w:p w14:paraId="0B44B2AA" w14:textId="70966BDA" w:rsidR="006E3AB4" w:rsidRPr="00A506B5" w:rsidRDefault="004B6DC6" w:rsidP="00EE7AFF">
      <w:pPr>
        <w:pStyle w:val="Dash"/>
      </w:pPr>
      <w:r>
        <w:t xml:space="preserve">clarifying the </w:t>
      </w:r>
      <w:r w:rsidR="00573200" w:rsidRPr="00573200">
        <w:t>Investment Entity Transparency Election</w:t>
      </w:r>
      <w:r w:rsidR="00573200">
        <w:t xml:space="preserve"> for </w:t>
      </w:r>
      <w:r w:rsidR="00573200" w:rsidRPr="00573200">
        <w:t>Regulated Mutual Insurance Companies</w:t>
      </w:r>
      <w:r w:rsidR="004E3590" w:rsidRPr="00A506B5">
        <w:t xml:space="preserve">. </w:t>
      </w:r>
    </w:p>
    <w:p w14:paraId="2D2540FF" w14:textId="539DAD88" w:rsidR="00167B51" w:rsidRDefault="00167B51" w:rsidP="00BC3724">
      <w:pPr>
        <w:pStyle w:val="Bullet"/>
        <w:numPr>
          <w:ilvl w:val="0"/>
          <w:numId w:val="0"/>
        </w:numPr>
        <w:rPr>
          <w:rFonts w:eastAsia="Calibri"/>
          <w:kern w:val="2"/>
          <w:szCs w:val="24"/>
          <w:lang w:eastAsia="en-US"/>
        </w:rPr>
      </w:pPr>
      <w:r w:rsidRPr="00167B51">
        <w:rPr>
          <w:rFonts w:eastAsia="Calibri"/>
          <w:kern w:val="2"/>
          <w:szCs w:val="24"/>
          <w:lang w:eastAsia="en-US"/>
        </w:rPr>
        <w:t xml:space="preserve">The Rules </w:t>
      </w:r>
      <w:r w:rsidR="00E13B23">
        <w:rPr>
          <w:rFonts w:eastAsia="Calibri"/>
          <w:kern w:val="2"/>
          <w:szCs w:val="24"/>
          <w:lang w:eastAsia="en-US"/>
        </w:rPr>
        <w:t xml:space="preserve">were substantively enacted at the end of 2024 to </w:t>
      </w:r>
      <w:r w:rsidRPr="00167B51">
        <w:rPr>
          <w:rFonts w:eastAsia="Calibri"/>
          <w:kern w:val="2"/>
          <w:szCs w:val="24"/>
          <w:lang w:eastAsia="en-US"/>
        </w:rPr>
        <w:t xml:space="preserve">implement the domestic framework for a multinational top-up tax, by providing the computations of top-up tax </w:t>
      </w:r>
      <w:r w:rsidR="009E2F99">
        <w:rPr>
          <w:rFonts w:eastAsia="Calibri"/>
          <w:kern w:val="2"/>
          <w:szCs w:val="24"/>
          <w:lang w:eastAsia="en-US"/>
        </w:rPr>
        <w:t xml:space="preserve">as detailed </w:t>
      </w:r>
      <w:r w:rsidRPr="00167B51">
        <w:rPr>
          <w:rFonts w:eastAsia="Calibri"/>
          <w:kern w:val="2"/>
          <w:szCs w:val="24"/>
          <w:lang w:eastAsia="en-US"/>
        </w:rPr>
        <w:t xml:space="preserve">under the </w:t>
      </w:r>
      <w:r w:rsidR="00F777A5" w:rsidRPr="000C23B6">
        <w:t>OECD GloBE Model Rules (as modified by the Commentary, Agreed Administrative Guidance and Safe Harbours Rules)</w:t>
      </w:r>
      <w:r w:rsidR="00F777A5">
        <w:t xml:space="preserve"> (</w:t>
      </w:r>
      <w:r w:rsidRPr="00167B51">
        <w:rPr>
          <w:rFonts w:eastAsia="Calibri"/>
          <w:kern w:val="2"/>
          <w:szCs w:val="24"/>
          <w:lang w:eastAsia="en-US"/>
        </w:rPr>
        <w:t>GloBE Rules</w:t>
      </w:r>
      <w:r w:rsidR="00F777A5">
        <w:rPr>
          <w:rFonts w:eastAsia="Calibri"/>
          <w:kern w:val="2"/>
          <w:szCs w:val="24"/>
          <w:lang w:eastAsia="en-US"/>
        </w:rPr>
        <w:t>)</w:t>
      </w:r>
      <w:r w:rsidR="009E2F99">
        <w:rPr>
          <w:rFonts w:eastAsia="Calibri"/>
          <w:kern w:val="2"/>
          <w:szCs w:val="24"/>
          <w:lang w:eastAsia="en-US"/>
        </w:rPr>
        <w:t>. The Amending Rules</w:t>
      </w:r>
      <w:r w:rsidR="00610544">
        <w:rPr>
          <w:rFonts w:eastAsia="Calibri"/>
          <w:kern w:val="2"/>
          <w:szCs w:val="24"/>
          <w:lang w:eastAsia="en-US"/>
        </w:rPr>
        <w:t xml:space="preserve"> aim to</w:t>
      </w:r>
      <w:r w:rsidRPr="00167B51">
        <w:rPr>
          <w:rFonts w:eastAsia="Calibri"/>
          <w:kern w:val="2"/>
          <w:szCs w:val="24"/>
          <w:lang w:eastAsia="en-US"/>
        </w:rPr>
        <w:t xml:space="preserve"> ensure that administrative guidance released by the OECD </w:t>
      </w:r>
      <w:r w:rsidR="00E77909">
        <w:rPr>
          <w:rFonts w:eastAsia="Calibri"/>
          <w:kern w:val="2"/>
          <w:szCs w:val="24"/>
          <w:lang w:eastAsia="en-US"/>
        </w:rPr>
        <w:t>is</w:t>
      </w:r>
      <w:r w:rsidRPr="00167B51">
        <w:rPr>
          <w:rFonts w:eastAsia="Calibri"/>
          <w:kern w:val="2"/>
          <w:szCs w:val="24"/>
          <w:lang w:eastAsia="en-US"/>
        </w:rPr>
        <w:t xml:space="preserve"> incorporated </w:t>
      </w:r>
      <w:r w:rsidR="00E77909">
        <w:rPr>
          <w:rFonts w:eastAsia="Calibri"/>
          <w:kern w:val="2"/>
          <w:szCs w:val="24"/>
          <w:lang w:eastAsia="en-US"/>
        </w:rPr>
        <w:t>appropriately</w:t>
      </w:r>
      <w:r w:rsidRPr="00167B51">
        <w:rPr>
          <w:rFonts w:eastAsia="Calibri"/>
          <w:kern w:val="2"/>
          <w:szCs w:val="24"/>
          <w:lang w:eastAsia="en-US"/>
        </w:rPr>
        <w:t>. It is imperative that the Rules reflect OECD approved documents so that Australia’s implementation of the GloBE Rules achieves qualified status, which can only be achieved if the Rules are implemented in a manner consistent with the GloBE Rules. All OECD documents are publicly available from the OECD website and could be, in 202</w:t>
      </w:r>
      <w:r w:rsidR="009E485D">
        <w:rPr>
          <w:rFonts w:eastAsia="Calibri"/>
          <w:kern w:val="2"/>
          <w:szCs w:val="24"/>
          <w:lang w:eastAsia="en-US"/>
        </w:rPr>
        <w:t>5</w:t>
      </w:r>
      <w:r w:rsidRPr="00167B51">
        <w:rPr>
          <w:rFonts w:eastAsia="Calibri"/>
          <w:kern w:val="2"/>
          <w:szCs w:val="24"/>
          <w:lang w:eastAsia="en-US"/>
        </w:rPr>
        <w:t xml:space="preserve"> accessed freely from </w:t>
      </w:r>
      <w:hyperlink r:id="rId7" w:history="1">
        <w:r w:rsidRPr="00C734FD">
          <w:rPr>
            <w:rStyle w:val="Hyperlink"/>
            <w:rFonts w:eastAsia="Calibri"/>
            <w:kern w:val="2"/>
            <w:szCs w:val="24"/>
            <w:lang w:eastAsia="en-US"/>
          </w:rPr>
          <w:t>https://oecd.org</w:t>
        </w:r>
      </w:hyperlink>
      <w:r w:rsidRPr="00167B51">
        <w:rPr>
          <w:rFonts w:eastAsia="Calibri"/>
          <w:kern w:val="2"/>
          <w:szCs w:val="24"/>
          <w:lang w:eastAsia="en-US"/>
        </w:rPr>
        <w:t>.</w:t>
      </w:r>
    </w:p>
    <w:p w14:paraId="0402223D" w14:textId="0593890E" w:rsidR="00F343AA" w:rsidRPr="00A506B5" w:rsidRDefault="00F343AA" w:rsidP="00A506B5">
      <w:pPr>
        <w:pStyle w:val="Bullet"/>
        <w:numPr>
          <w:ilvl w:val="0"/>
          <w:numId w:val="0"/>
        </w:numPr>
      </w:pPr>
      <w:r w:rsidRPr="00A506B5">
        <w:t xml:space="preserve">The Act </w:t>
      </w:r>
      <w:r w:rsidR="008B33DF" w:rsidRPr="00A506B5">
        <w:t xml:space="preserve">does not </w:t>
      </w:r>
      <w:r w:rsidRPr="00A506B5">
        <w:t>specif</w:t>
      </w:r>
      <w:r w:rsidR="008B33DF" w:rsidRPr="00A506B5">
        <w:t>y</w:t>
      </w:r>
      <w:r w:rsidRPr="00A506B5">
        <w:t xml:space="preserve"> </w:t>
      </w:r>
      <w:r w:rsidR="008B33DF" w:rsidRPr="00A506B5">
        <w:t xml:space="preserve">any </w:t>
      </w:r>
      <w:r w:rsidRPr="00A506B5">
        <w:t xml:space="preserve">conditions that need to be satisfied before the power to make the </w:t>
      </w:r>
      <w:r w:rsidR="001000D4">
        <w:t>Amending</w:t>
      </w:r>
      <w:r w:rsidR="006F7969">
        <w:t xml:space="preserve"> Rules</w:t>
      </w:r>
      <w:r w:rsidRPr="00A506B5">
        <w:t xml:space="preserve"> may be exercised.</w:t>
      </w:r>
      <w:r w:rsidR="007D6771" w:rsidRPr="00A506B5">
        <w:t xml:space="preserve"> </w:t>
      </w:r>
    </w:p>
    <w:p w14:paraId="313B6F06" w14:textId="49B2B607" w:rsidR="00F5363D" w:rsidRPr="00A506B5" w:rsidRDefault="00F5363D" w:rsidP="00A506B5">
      <w:pPr>
        <w:spacing w:before="240"/>
      </w:pPr>
      <w:r w:rsidRPr="00A506B5">
        <w:t xml:space="preserve">The </w:t>
      </w:r>
      <w:r w:rsidR="00F8128B" w:rsidRPr="00A506B5">
        <w:t xml:space="preserve">Amending </w:t>
      </w:r>
      <w:r w:rsidRPr="00A506B5">
        <w:t xml:space="preserve">Rules are a legislative instrument for the purposes of the </w:t>
      </w:r>
      <w:r w:rsidRPr="00A506B5">
        <w:rPr>
          <w:i/>
          <w:iCs/>
        </w:rPr>
        <w:t>Legislation Act 2003</w:t>
      </w:r>
      <w:r w:rsidRPr="00A506B5">
        <w:t xml:space="preserve">. The </w:t>
      </w:r>
      <w:r w:rsidR="006F7969">
        <w:t xml:space="preserve">Amending </w:t>
      </w:r>
      <w:r w:rsidRPr="00A506B5">
        <w:t xml:space="preserve">Rules are subject to disallowance and sunsetting in accordance with sections 42 and 50, respectively, of the </w:t>
      </w:r>
      <w:r w:rsidRPr="00A506B5">
        <w:rPr>
          <w:i/>
          <w:iCs/>
        </w:rPr>
        <w:t>Legislation Act 2003</w:t>
      </w:r>
      <w:r w:rsidRPr="00A506B5">
        <w:t>.</w:t>
      </w:r>
    </w:p>
    <w:p w14:paraId="022649E2" w14:textId="4B10FFDA" w:rsidR="00EA7E86" w:rsidRPr="00A506B5" w:rsidRDefault="00F109D4" w:rsidP="00A506B5">
      <w:pPr>
        <w:spacing w:before="240"/>
      </w:pPr>
      <w:r w:rsidRPr="00A506B5">
        <w:t xml:space="preserve">The </w:t>
      </w:r>
      <w:r w:rsidR="00F8128B" w:rsidRPr="00A506B5">
        <w:t xml:space="preserve">Amending </w:t>
      </w:r>
      <w:r w:rsidR="00EA7E86" w:rsidRPr="00A506B5">
        <w:t xml:space="preserve">Rules </w:t>
      </w:r>
      <w:r w:rsidRPr="00A506B5">
        <w:t xml:space="preserve">commence on </w:t>
      </w:r>
      <w:r w:rsidR="00EA7E86" w:rsidRPr="00A506B5">
        <w:t>the day after registration</w:t>
      </w:r>
      <w:r w:rsidR="008F0C50" w:rsidRPr="00A506B5">
        <w:t>.</w:t>
      </w:r>
    </w:p>
    <w:p w14:paraId="60868D48" w14:textId="5C176259" w:rsidR="009143A0" w:rsidRPr="00A506B5" w:rsidRDefault="00EA7E86" w:rsidP="00A506B5">
      <w:pPr>
        <w:spacing w:before="240"/>
      </w:pPr>
      <w:r w:rsidRPr="00A506B5">
        <w:lastRenderedPageBreak/>
        <w:t xml:space="preserve">The </w:t>
      </w:r>
      <w:r w:rsidR="00F8128B" w:rsidRPr="00A506B5">
        <w:t xml:space="preserve">Amending </w:t>
      </w:r>
      <w:r w:rsidRPr="00A506B5">
        <w:t xml:space="preserve">Rules apply to Fiscal Years commencing on or after 1 January 2024. The </w:t>
      </w:r>
      <w:r w:rsidR="005709DE" w:rsidRPr="00A506B5">
        <w:t xml:space="preserve">retrospective </w:t>
      </w:r>
      <w:r w:rsidR="00B02E9A" w:rsidRPr="00A506B5">
        <w:t xml:space="preserve">application </w:t>
      </w:r>
      <w:r w:rsidR="005709DE" w:rsidRPr="00A506B5">
        <w:t>is</w:t>
      </w:r>
      <w:r w:rsidR="00D1233E">
        <w:t xml:space="preserve"> consistent with the policy provided in the </w:t>
      </w:r>
      <w:r w:rsidR="00A83F5E" w:rsidRPr="00A83F5E">
        <w:t xml:space="preserve">OECD’s Two Pillar Solution and </w:t>
      </w:r>
      <w:r w:rsidR="00F077BA">
        <w:t>is expected as</w:t>
      </w:r>
      <w:r w:rsidR="00F077BA" w:rsidRPr="00A83F5E">
        <w:t xml:space="preserve"> part of the coordinated international approach</w:t>
      </w:r>
      <w:r w:rsidR="00F077BA">
        <w:t xml:space="preserve"> </w:t>
      </w:r>
      <w:r w:rsidR="00524004">
        <w:t xml:space="preserve">for </w:t>
      </w:r>
      <w:r w:rsidR="00A83F5E" w:rsidRPr="00A83F5E">
        <w:t>jurisdictions implementing the GloBE Rules.</w:t>
      </w:r>
      <w:r w:rsidR="00A83F5E">
        <w:t xml:space="preserve"> </w:t>
      </w:r>
      <w:r w:rsidR="00080E54">
        <w:t>The application to Fiscal Years commencing on or after 1 January 2024 is</w:t>
      </w:r>
      <w:r w:rsidR="005709DE" w:rsidRPr="00A506B5">
        <w:t xml:space="preserve"> appropriate </w:t>
      </w:r>
      <w:r w:rsidRPr="00A506B5">
        <w:t>due to section 32 of the Assessment Act</w:t>
      </w:r>
      <w:r w:rsidR="00F835C1">
        <w:t>, which</w:t>
      </w:r>
      <w:r w:rsidR="00C5440E" w:rsidRPr="00A506B5">
        <w:t xml:space="preserve"> </w:t>
      </w:r>
      <w:r w:rsidR="00F835C1">
        <w:t xml:space="preserve">allows </w:t>
      </w:r>
      <w:r w:rsidR="00C5440E" w:rsidRPr="00A506B5">
        <w:t>legislative instrument</w:t>
      </w:r>
      <w:r w:rsidR="00F835C1">
        <w:t xml:space="preserve">s to </w:t>
      </w:r>
      <w:r w:rsidR="007D58C6">
        <w:t>apply retrospectively</w:t>
      </w:r>
      <w:r w:rsidR="00A8441E">
        <w:t>, effectively overriding</w:t>
      </w:r>
      <w:r w:rsidR="007D58C6">
        <w:t xml:space="preserve"> </w:t>
      </w:r>
      <w:r w:rsidR="005709DE" w:rsidRPr="00A506B5">
        <w:t xml:space="preserve">subsection 12(2) of the </w:t>
      </w:r>
      <w:r w:rsidR="005709DE" w:rsidRPr="00A506B5">
        <w:rPr>
          <w:i/>
          <w:iCs/>
        </w:rPr>
        <w:t>L</w:t>
      </w:r>
      <w:r w:rsidR="009A2167" w:rsidRPr="00A506B5">
        <w:rPr>
          <w:i/>
          <w:iCs/>
        </w:rPr>
        <w:t xml:space="preserve">egislation </w:t>
      </w:r>
      <w:r w:rsidR="005709DE" w:rsidRPr="00A506B5">
        <w:rPr>
          <w:i/>
          <w:iCs/>
        </w:rPr>
        <w:t>A</w:t>
      </w:r>
      <w:r w:rsidR="009A2167" w:rsidRPr="00A506B5">
        <w:rPr>
          <w:i/>
          <w:iCs/>
        </w:rPr>
        <w:t>ct 2003</w:t>
      </w:r>
      <w:r w:rsidRPr="00A506B5">
        <w:t>.</w:t>
      </w:r>
    </w:p>
    <w:p w14:paraId="24E6DAAD" w14:textId="229D3875" w:rsidR="0011527C" w:rsidRPr="00A506B5" w:rsidRDefault="0011527C" w:rsidP="00A506B5">
      <w:pPr>
        <w:spacing w:before="240"/>
      </w:pPr>
      <w:r w:rsidRPr="00A506B5">
        <w:t xml:space="preserve">Details of the </w:t>
      </w:r>
      <w:r w:rsidR="00F8128B" w:rsidRPr="00A506B5">
        <w:t>Amending Rules</w:t>
      </w:r>
      <w:r w:rsidRPr="00A506B5">
        <w:t xml:space="preserve"> are set out in </w:t>
      </w:r>
      <w:r w:rsidRPr="00A506B5">
        <w:rPr>
          <w:u w:val="single"/>
        </w:rPr>
        <w:t xml:space="preserve">Attachment </w:t>
      </w:r>
      <w:r w:rsidR="000E540D" w:rsidRPr="00A506B5">
        <w:rPr>
          <w:u w:val="single"/>
        </w:rPr>
        <w:t>A</w:t>
      </w:r>
      <w:r w:rsidRPr="00A506B5">
        <w:t xml:space="preserve">. </w:t>
      </w:r>
    </w:p>
    <w:p w14:paraId="475FD851" w14:textId="55AF9378" w:rsidR="0000628C" w:rsidRPr="00A506B5" w:rsidRDefault="00EB2AEF" w:rsidP="00A506B5">
      <w:pPr>
        <w:spacing w:before="240"/>
      </w:pPr>
      <w:r w:rsidRPr="00A506B5">
        <w:t xml:space="preserve">A statement of Compatibility with Human Rights is at </w:t>
      </w:r>
      <w:r w:rsidRPr="00A506B5">
        <w:rPr>
          <w:u w:val="single"/>
        </w:rPr>
        <w:t xml:space="preserve">Attachment </w:t>
      </w:r>
      <w:r w:rsidR="000E540D" w:rsidRPr="00A506B5">
        <w:rPr>
          <w:u w:val="single"/>
        </w:rPr>
        <w:t>B</w:t>
      </w:r>
      <w:r w:rsidR="00CE4EFB" w:rsidRPr="00A506B5">
        <w:rPr>
          <w:u w:val="single"/>
        </w:rPr>
        <w:t>.</w:t>
      </w:r>
      <w:r w:rsidR="00013390" w:rsidRPr="00A506B5">
        <w:t xml:space="preserve"> </w:t>
      </w:r>
    </w:p>
    <w:p w14:paraId="53F74C90" w14:textId="2BEEB18F" w:rsidR="000011EA" w:rsidRPr="00A506B5" w:rsidRDefault="000011EA" w:rsidP="00A506B5">
      <w:pPr>
        <w:spacing w:before="240"/>
      </w:pPr>
      <w:r w:rsidRPr="00A506B5">
        <w:t>The Office of Impact (OIA) Analysis has been consulted. A list of reports certified as equivalent to a Policy Impact Analysis can be found at https://oia.pmc.gov.au/published-impact-analyses-and-reports/two-pillar-solution-addressing-tax-challenges-arising. The full list of reports and executive summaries of those reports are also available in the Explanatory Memorandum for the</w:t>
      </w:r>
      <w:r w:rsidR="00446BF1" w:rsidRPr="00A506B5">
        <w:t xml:space="preserve"> Act </w:t>
      </w:r>
      <w:r w:rsidRPr="00A506B5">
        <w:t xml:space="preserve">as these reports have been certified for both the Act and the </w:t>
      </w:r>
      <w:r w:rsidR="004D79C2" w:rsidRPr="00A506B5">
        <w:t>Rules.</w:t>
      </w:r>
    </w:p>
    <w:p w14:paraId="4151B6FB" w14:textId="77777777" w:rsidR="00EB2AEF" w:rsidRPr="00A506B5" w:rsidRDefault="00EB2AEF" w:rsidP="00A506B5">
      <w:pPr>
        <w:spacing w:before="240"/>
      </w:pPr>
    </w:p>
    <w:p w14:paraId="76E5885B" w14:textId="6A7D4807" w:rsidR="00EA4DD8" w:rsidRPr="00A506B5" w:rsidRDefault="00EA4DD8" w:rsidP="00A506B5">
      <w:pPr>
        <w:pageBreakBefore/>
        <w:spacing w:before="240"/>
        <w:jc w:val="right"/>
        <w:rPr>
          <w:b/>
          <w:u w:val="single"/>
        </w:rPr>
      </w:pPr>
      <w:r w:rsidRPr="00A506B5">
        <w:rPr>
          <w:b/>
          <w:u w:val="single"/>
        </w:rPr>
        <w:lastRenderedPageBreak/>
        <w:t xml:space="preserve">ATTACHMENT </w:t>
      </w:r>
      <w:r w:rsidR="000E540D" w:rsidRPr="00A506B5">
        <w:rPr>
          <w:b/>
          <w:u w:val="single"/>
        </w:rPr>
        <w:t>A</w:t>
      </w:r>
    </w:p>
    <w:p w14:paraId="5EAD0EB5" w14:textId="1FF0F435" w:rsidR="00EA4DD8" w:rsidRPr="00A506B5" w:rsidRDefault="00EA4DD8" w:rsidP="00A506B5">
      <w:pPr>
        <w:spacing w:before="240"/>
        <w:rPr>
          <w:b/>
          <w:bCs/>
          <w:szCs w:val="24"/>
          <w:u w:val="single"/>
        </w:rPr>
      </w:pPr>
      <w:r w:rsidRPr="00A506B5">
        <w:rPr>
          <w:b/>
          <w:bCs/>
          <w:u w:val="single"/>
        </w:rPr>
        <w:t xml:space="preserve">Details of the </w:t>
      </w:r>
      <w:r w:rsidR="003D1838" w:rsidRPr="005068D8">
        <w:rPr>
          <w:b/>
          <w:bCs/>
          <w:i/>
          <w:iCs/>
          <w:u w:val="single"/>
        </w:rPr>
        <w:t>Taxation (Multinational—Global and Domestic Minimum Tax) Amendment (2025 Measures No.1) Rules</w:t>
      </w:r>
      <w:r w:rsidR="003D1838" w:rsidRPr="00A506B5">
        <w:rPr>
          <w:b/>
          <w:bCs/>
          <w:u w:val="single"/>
        </w:rPr>
        <w:t xml:space="preserve"> </w:t>
      </w:r>
    </w:p>
    <w:p w14:paraId="301A1524" w14:textId="77777777" w:rsidR="00EA4DD8" w:rsidRPr="00A506B5" w:rsidRDefault="00EA4DD8" w:rsidP="00A506B5">
      <w:pPr>
        <w:spacing w:before="240"/>
        <w:rPr>
          <w:rFonts w:ascii="Calibri" w:hAnsi="Calibri"/>
          <w:sz w:val="22"/>
          <w:szCs w:val="22"/>
          <w:u w:val="single"/>
          <w:lang w:eastAsia="en-US"/>
        </w:rPr>
      </w:pPr>
      <w:r w:rsidRPr="00A506B5">
        <w:rPr>
          <w:u w:val="single"/>
        </w:rPr>
        <w:t xml:space="preserve">Section 1 – Name </w:t>
      </w:r>
    </w:p>
    <w:p w14:paraId="73A9C251" w14:textId="7E8AF021" w:rsidR="00EA4DD8" w:rsidRPr="00A506B5" w:rsidRDefault="00EA4DD8" w:rsidP="00A506B5">
      <w:pPr>
        <w:spacing w:before="240"/>
      </w:pPr>
      <w:r w:rsidRPr="00A506B5">
        <w:t xml:space="preserve">This section provides that the name of the </w:t>
      </w:r>
      <w:r w:rsidR="00A760F0" w:rsidRPr="00A506B5">
        <w:t>r</w:t>
      </w:r>
      <w:r w:rsidRPr="00A506B5">
        <w:t xml:space="preserve">egulations is the </w:t>
      </w:r>
      <w:r w:rsidR="00331A74" w:rsidRPr="00A506B5">
        <w:rPr>
          <w:i/>
        </w:rPr>
        <w:t xml:space="preserve">Taxation (Multinational—Global and Domestic Minimum Tax) </w:t>
      </w:r>
      <w:r w:rsidR="00331A74" w:rsidRPr="00F070D0">
        <w:rPr>
          <w:i/>
        </w:rPr>
        <w:t>Amendment (</w:t>
      </w:r>
      <w:r w:rsidR="00F80743" w:rsidRPr="00F070D0">
        <w:rPr>
          <w:i/>
        </w:rPr>
        <w:t>2025 Measures No.1</w:t>
      </w:r>
      <w:r w:rsidR="00331A74" w:rsidRPr="00F070D0">
        <w:rPr>
          <w:i/>
        </w:rPr>
        <w:t xml:space="preserve">) </w:t>
      </w:r>
      <w:r w:rsidR="00331A74" w:rsidRPr="00594AAB">
        <w:rPr>
          <w:i/>
        </w:rPr>
        <w:t xml:space="preserve">Rules </w:t>
      </w:r>
      <w:r w:rsidR="00331A74" w:rsidRPr="00A506B5">
        <w:rPr>
          <w:iCs/>
        </w:rPr>
        <w:t>(Amending Rules)</w:t>
      </w:r>
    </w:p>
    <w:p w14:paraId="52909F20" w14:textId="77777777" w:rsidR="00EA4DD8" w:rsidRPr="00A506B5" w:rsidRDefault="00EA4DD8" w:rsidP="00A506B5">
      <w:pPr>
        <w:spacing w:before="240"/>
        <w:rPr>
          <w:u w:val="single"/>
        </w:rPr>
      </w:pPr>
      <w:r w:rsidRPr="00A506B5">
        <w:rPr>
          <w:u w:val="single"/>
        </w:rPr>
        <w:t>Section 2 – Commencement</w:t>
      </w:r>
    </w:p>
    <w:p w14:paraId="113578A7" w14:textId="2F1D0E16" w:rsidR="00EA4DD8" w:rsidRPr="00A506B5" w:rsidRDefault="00EA4DD8" w:rsidP="00A506B5">
      <w:pPr>
        <w:spacing w:before="240"/>
      </w:pPr>
      <w:r w:rsidRPr="00A506B5">
        <w:t xml:space="preserve">Schedule 1 to the </w:t>
      </w:r>
      <w:r w:rsidR="00F070D0">
        <w:t xml:space="preserve">Amending </w:t>
      </w:r>
      <w:r w:rsidR="00331A74" w:rsidRPr="00A506B5">
        <w:t>Rules</w:t>
      </w:r>
      <w:r w:rsidRPr="00A506B5">
        <w:t xml:space="preserve"> commence</w:t>
      </w:r>
      <w:r w:rsidR="00EA4125">
        <w:t>s</w:t>
      </w:r>
      <w:r w:rsidRPr="00A506B5">
        <w:t xml:space="preserve"> the day after the instrument is registered on the Federal Register of Legislation.</w:t>
      </w:r>
      <w:r w:rsidR="005858FB" w:rsidRPr="00A506B5">
        <w:t xml:space="preserve"> </w:t>
      </w:r>
    </w:p>
    <w:p w14:paraId="4B6252F8" w14:textId="77777777" w:rsidR="00EA4DD8" w:rsidRPr="00A506B5" w:rsidRDefault="00EA4DD8" w:rsidP="00A506B5">
      <w:pPr>
        <w:spacing w:before="240"/>
        <w:rPr>
          <w:u w:val="single"/>
        </w:rPr>
      </w:pPr>
      <w:r w:rsidRPr="00A506B5">
        <w:rPr>
          <w:u w:val="single"/>
        </w:rPr>
        <w:t>Section 3 – Authority</w:t>
      </w:r>
    </w:p>
    <w:p w14:paraId="1615C5B2" w14:textId="76E5A87E" w:rsidR="00EA4DD8" w:rsidRPr="00A506B5" w:rsidRDefault="00EA4DD8" w:rsidP="00A506B5">
      <w:pPr>
        <w:spacing w:before="240"/>
      </w:pPr>
      <w:r w:rsidRPr="00A506B5">
        <w:t xml:space="preserve">The </w:t>
      </w:r>
      <w:r w:rsidR="00F070D0">
        <w:t>Amending Rules</w:t>
      </w:r>
      <w:r w:rsidRPr="00A506B5">
        <w:t xml:space="preserve"> are made under </w:t>
      </w:r>
      <w:r w:rsidR="40719B65" w:rsidRPr="00A506B5">
        <w:t xml:space="preserve">section 29 of </w:t>
      </w:r>
      <w:r w:rsidR="00331A74" w:rsidRPr="00A506B5">
        <w:rPr>
          <w:i/>
          <w:iCs/>
        </w:rPr>
        <w:t>Taxation (Multinational—Global and Domestic Minimum Tax) Act 2024</w:t>
      </w:r>
      <w:r w:rsidR="00331A74" w:rsidRPr="00A506B5">
        <w:t xml:space="preserve"> </w:t>
      </w:r>
      <w:r w:rsidRPr="00A506B5">
        <w:t xml:space="preserve">(the </w:t>
      </w:r>
      <w:r w:rsidR="00F070D0">
        <w:t xml:space="preserve">Assessment </w:t>
      </w:r>
      <w:r w:rsidRPr="00A506B5">
        <w:t>Act).</w:t>
      </w:r>
    </w:p>
    <w:p w14:paraId="5C4DE9B8" w14:textId="2E136576" w:rsidR="00EA4DD8" w:rsidRPr="00A506B5" w:rsidRDefault="00EA4DD8" w:rsidP="00A506B5">
      <w:pPr>
        <w:spacing w:before="240"/>
        <w:rPr>
          <w:u w:val="single"/>
        </w:rPr>
      </w:pPr>
      <w:r w:rsidRPr="00A506B5">
        <w:rPr>
          <w:u w:val="single"/>
        </w:rPr>
        <w:t>Section 4 – Schedule</w:t>
      </w:r>
    </w:p>
    <w:p w14:paraId="2366067E" w14:textId="700C7F2B" w:rsidR="00CE4AFA" w:rsidRPr="00A506B5" w:rsidRDefault="00EA4DD8" w:rsidP="00A506B5">
      <w:pPr>
        <w:spacing w:before="0" w:after="160" w:line="256" w:lineRule="auto"/>
        <w:rPr>
          <w:rFonts w:ascii="Calibri" w:eastAsia="Calibri" w:hAnsi="Calibri" w:cs="Arial"/>
          <w:b/>
          <w:bCs/>
          <w:iCs/>
          <w:kern w:val="2"/>
          <w:sz w:val="22"/>
          <w:szCs w:val="22"/>
          <w:lang w:eastAsia="en-US"/>
        </w:rPr>
      </w:pPr>
      <w:r w:rsidRPr="00A506B5">
        <w:t xml:space="preserve">This section provides that each instrument that is specified in the Schedules to this instrument </w:t>
      </w:r>
      <w:r w:rsidR="00EE6629">
        <w:t>is</w:t>
      </w:r>
      <w:r w:rsidR="005D7E35" w:rsidRPr="00A506B5">
        <w:t xml:space="preserve"> </w:t>
      </w:r>
      <w:r w:rsidRPr="00A506B5">
        <w:t>amended or repealed as set out in the applicable items in the Schedules, and any other item in the Schedules to this instrument has effect according to its terms.</w:t>
      </w:r>
      <w:r w:rsidR="00CE4AFA" w:rsidRPr="00A506B5">
        <w:rPr>
          <w:rFonts w:ascii="Calibri" w:eastAsia="Calibri" w:hAnsi="Calibri" w:cs="Arial"/>
          <w:b/>
          <w:bCs/>
          <w:iCs/>
          <w:kern w:val="2"/>
          <w:sz w:val="22"/>
          <w:szCs w:val="22"/>
          <w:lang w:eastAsia="en-US"/>
        </w:rPr>
        <w:t xml:space="preserve"> </w:t>
      </w:r>
    </w:p>
    <w:p w14:paraId="316821F1" w14:textId="77777777" w:rsidR="00CD2FED" w:rsidRPr="00CF4889" w:rsidRDefault="00CD2FED" w:rsidP="00CD2FED">
      <w:pPr>
        <w:spacing w:before="240" w:after="200"/>
        <w:rPr>
          <w:rFonts w:eastAsia="Calibri"/>
          <w:b/>
          <w:bCs/>
          <w:kern w:val="2"/>
          <w:szCs w:val="24"/>
          <w:lang w:eastAsia="en-US"/>
        </w:rPr>
      </w:pPr>
      <w:r w:rsidRPr="00CF4889">
        <w:rPr>
          <w:rFonts w:eastAsia="Calibri"/>
          <w:b/>
          <w:bCs/>
          <w:kern w:val="2"/>
          <w:szCs w:val="24"/>
          <w:lang w:eastAsia="en-US"/>
        </w:rPr>
        <w:t>Adjustments for Excluded Equity Gain or Loss Election</w:t>
      </w:r>
    </w:p>
    <w:p w14:paraId="09A5FDE7" w14:textId="477F7EE1" w:rsidR="00CD2FED" w:rsidRPr="00733DFE" w:rsidRDefault="00CD2FED" w:rsidP="00733DFE">
      <w:pPr>
        <w:pStyle w:val="Bullet"/>
        <w:numPr>
          <w:ilvl w:val="0"/>
          <w:numId w:val="0"/>
        </w:numPr>
        <w:rPr>
          <w:bCs/>
        </w:rPr>
      </w:pPr>
      <w:r w:rsidRPr="00A506B5">
        <w:rPr>
          <w:bCs/>
        </w:rPr>
        <w:t xml:space="preserve">The Amending Rules </w:t>
      </w:r>
      <w:r w:rsidR="00B90522">
        <w:rPr>
          <w:bCs/>
        </w:rPr>
        <w:t>include further adjustments to GloBE Income or Loss by including an</w:t>
      </w:r>
      <w:r w:rsidRPr="00A506B5">
        <w:rPr>
          <w:bCs/>
        </w:rPr>
        <w:t xml:space="preserve"> Equity Investment Inclusion Election. </w:t>
      </w:r>
      <w:r w:rsidRPr="00A506B5">
        <w:rPr>
          <w:rFonts w:eastAsia="Calibri"/>
          <w:kern w:val="2"/>
          <w:szCs w:val="24"/>
          <w:lang w:eastAsia="en-US"/>
        </w:rPr>
        <w:t xml:space="preserve">Broadly, a Constituent </w:t>
      </w:r>
      <w:r w:rsidR="00733DFE">
        <w:rPr>
          <w:rFonts w:eastAsia="Calibri"/>
          <w:kern w:val="2"/>
          <w:szCs w:val="24"/>
          <w:lang w:eastAsia="en-US"/>
        </w:rPr>
        <w:t>E</w:t>
      </w:r>
      <w:r w:rsidRPr="00A506B5">
        <w:rPr>
          <w:rFonts w:eastAsia="Calibri"/>
          <w:kern w:val="2"/>
          <w:szCs w:val="24"/>
          <w:lang w:eastAsia="en-US"/>
        </w:rPr>
        <w:t>ntity</w:t>
      </w:r>
      <w:r w:rsidR="00DF7436">
        <w:rPr>
          <w:rFonts w:eastAsia="Calibri"/>
          <w:kern w:val="2"/>
          <w:szCs w:val="24"/>
          <w:lang w:eastAsia="en-US"/>
        </w:rPr>
        <w:t xml:space="preserve"> o</w:t>
      </w:r>
      <w:r w:rsidRPr="00A506B5">
        <w:rPr>
          <w:rFonts w:eastAsia="Calibri"/>
          <w:kern w:val="2"/>
          <w:szCs w:val="24"/>
          <w:lang w:eastAsia="en-US"/>
        </w:rPr>
        <w:t xml:space="preserve">wner that is subject to an Equity Investment Inclusion Election </w:t>
      </w:r>
      <w:r w:rsidR="00E6409C">
        <w:rPr>
          <w:rFonts w:eastAsia="Calibri"/>
          <w:kern w:val="2"/>
          <w:szCs w:val="24"/>
          <w:lang w:eastAsia="en-US"/>
        </w:rPr>
        <w:t>includes in its GloBE Income or Loss certain accounting gains</w:t>
      </w:r>
      <w:r w:rsidR="00F963FB">
        <w:rPr>
          <w:rFonts w:eastAsia="Calibri"/>
          <w:kern w:val="2"/>
          <w:szCs w:val="24"/>
          <w:lang w:eastAsia="en-US"/>
        </w:rPr>
        <w:t xml:space="preserve">, profits, and losses on its Ownership Interest. </w:t>
      </w:r>
    </w:p>
    <w:p w14:paraId="79F53E87" w14:textId="3E3D82D1" w:rsidR="00CE4AFA" w:rsidRPr="00A506B5" w:rsidRDefault="00CE4AFA" w:rsidP="00A506B5">
      <w:pPr>
        <w:spacing w:before="0" w:after="160" w:line="256" w:lineRule="auto"/>
        <w:rPr>
          <w:rFonts w:eastAsia="Calibri"/>
          <w:b/>
          <w:bCs/>
          <w:iCs/>
          <w:kern w:val="2"/>
          <w:szCs w:val="24"/>
          <w:lang w:eastAsia="en-US"/>
        </w:rPr>
      </w:pPr>
      <w:r w:rsidRPr="00A506B5">
        <w:rPr>
          <w:rFonts w:eastAsia="Calibri"/>
          <w:b/>
          <w:bCs/>
          <w:iCs/>
          <w:kern w:val="2"/>
          <w:szCs w:val="24"/>
          <w:lang w:eastAsia="en-US"/>
        </w:rPr>
        <w:t xml:space="preserve">Equity Investment Inclusion Election (General) </w:t>
      </w:r>
    </w:p>
    <w:p w14:paraId="506CB7E1" w14:textId="46877197" w:rsidR="00CE4AFA" w:rsidRPr="00A506B5" w:rsidRDefault="006830D6" w:rsidP="002D057D">
      <w:pPr>
        <w:spacing w:before="0" w:after="0" w:line="256" w:lineRule="auto"/>
        <w:rPr>
          <w:rFonts w:eastAsia="Calibri"/>
          <w:iCs/>
          <w:kern w:val="2"/>
          <w:szCs w:val="24"/>
          <w:lang w:eastAsia="en-US"/>
        </w:rPr>
      </w:pPr>
      <w:r>
        <w:rPr>
          <w:rFonts w:eastAsia="Calibri"/>
          <w:iCs/>
          <w:kern w:val="2"/>
          <w:szCs w:val="24"/>
          <w:lang w:eastAsia="en-US"/>
        </w:rPr>
        <w:t>Item 9</w:t>
      </w:r>
      <w:r w:rsidR="00EB4B4C">
        <w:rPr>
          <w:rFonts w:eastAsia="Calibri"/>
          <w:iCs/>
          <w:kern w:val="2"/>
          <w:szCs w:val="24"/>
          <w:lang w:eastAsia="en-US"/>
        </w:rPr>
        <w:t xml:space="preserve">, section 3-31 of the Amending Rules provides </w:t>
      </w:r>
      <w:r w:rsidR="001D15E3">
        <w:rPr>
          <w:rFonts w:eastAsia="Calibri"/>
          <w:iCs/>
          <w:kern w:val="2"/>
          <w:szCs w:val="24"/>
          <w:lang w:eastAsia="en-US"/>
        </w:rPr>
        <w:t>that a</w:t>
      </w:r>
      <w:r w:rsidR="00106712">
        <w:rPr>
          <w:rFonts w:eastAsia="Calibri"/>
          <w:iCs/>
          <w:kern w:val="2"/>
          <w:szCs w:val="24"/>
          <w:lang w:eastAsia="en-US"/>
        </w:rPr>
        <w:t xml:space="preserve"> </w:t>
      </w:r>
      <w:r w:rsidR="00CE4AFA" w:rsidRPr="00A506B5">
        <w:rPr>
          <w:rFonts w:eastAsia="Calibri"/>
          <w:iCs/>
          <w:kern w:val="2"/>
          <w:szCs w:val="24"/>
          <w:lang w:eastAsia="en-US"/>
        </w:rPr>
        <w:t>Filing Constituent Entity may make a Five</w:t>
      </w:r>
      <w:r w:rsidR="6C8151B1" w:rsidRPr="1072DD86">
        <w:rPr>
          <w:rFonts w:eastAsia="Calibri"/>
          <w:kern w:val="2"/>
          <w:lang w:eastAsia="en-US"/>
        </w:rPr>
        <w:t xml:space="preserve"> </w:t>
      </w:r>
      <w:r w:rsidR="00CE4AFA" w:rsidRPr="00A506B5">
        <w:rPr>
          <w:rFonts w:eastAsia="Calibri"/>
          <w:iCs/>
          <w:kern w:val="2"/>
          <w:szCs w:val="24"/>
          <w:lang w:eastAsia="en-US"/>
        </w:rPr>
        <w:t>Year</w:t>
      </w:r>
      <w:r w:rsidR="00CE4AFA" w:rsidRPr="1072DD86">
        <w:rPr>
          <w:rFonts w:eastAsia="Calibri"/>
          <w:kern w:val="2"/>
          <w:lang w:eastAsia="en-US"/>
        </w:rPr>
        <w:noBreakHyphen/>
      </w:r>
      <w:r w:rsidR="00CE4AFA" w:rsidRPr="00A506B5">
        <w:rPr>
          <w:rFonts w:eastAsia="Calibri"/>
          <w:iCs/>
          <w:kern w:val="2"/>
          <w:szCs w:val="24"/>
          <w:lang w:eastAsia="en-US"/>
        </w:rPr>
        <w:t xml:space="preserve"> Equity Investment Inclusion Election that applies on a jurisdictional basis to all Ownership Interests (excluding Portfolio Shareholding) owned by Constituent </w:t>
      </w:r>
      <w:r w:rsidR="00CE4AFA" w:rsidRPr="001129CF">
        <w:rPr>
          <w:rFonts w:eastAsia="Calibri"/>
          <w:iCs/>
          <w:kern w:val="2"/>
          <w:szCs w:val="24"/>
          <w:lang w:eastAsia="en-US"/>
        </w:rPr>
        <w:t>Entities located in the jurisdiction</w:t>
      </w:r>
      <w:r w:rsidR="001D15E3" w:rsidRPr="001129CF">
        <w:rPr>
          <w:rFonts w:eastAsia="Calibri"/>
          <w:iCs/>
          <w:kern w:val="2"/>
          <w:szCs w:val="24"/>
          <w:lang w:eastAsia="en-US"/>
        </w:rPr>
        <w:t xml:space="preserve">. This </w:t>
      </w:r>
      <w:r w:rsidR="00D219C4">
        <w:rPr>
          <w:rFonts w:eastAsia="Calibri"/>
          <w:iCs/>
          <w:kern w:val="2"/>
          <w:szCs w:val="24"/>
          <w:lang w:eastAsia="en-US"/>
        </w:rPr>
        <w:t xml:space="preserve">amendment </w:t>
      </w:r>
      <w:r w:rsidR="001D15E3" w:rsidRPr="001129CF">
        <w:rPr>
          <w:rFonts w:eastAsia="Calibri"/>
          <w:iCs/>
          <w:kern w:val="2"/>
          <w:szCs w:val="24"/>
          <w:lang w:eastAsia="en-US"/>
        </w:rPr>
        <w:t xml:space="preserve">is consistent </w:t>
      </w:r>
      <w:r w:rsidR="006F54EF" w:rsidRPr="001129CF">
        <w:rPr>
          <w:rFonts w:eastAsia="Calibri"/>
          <w:iCs/>
          <w:kern w:val="2"/>
          <w:szCs w:val="24"/>
          <w:lang w:eastAsia="en-US"/>
        </w:rPr>
        <w:t xml:space="preserve">with </w:t>
      </w:r>
      <w:r w:rsidR="00CE4AFA" w:rsidRPr="001129CF">
        <w:rPr>
          <w:rFonts w:eastAsia="Calibri"/>
          <w:iCs/>
          <w:kern w:val="2"/>
          <w:szCs w:val="24"/>
          <w:lang w:eastAsia="en-US"/>
        </w:rPr>
        <w:t xml:space="preserve">paragraph 57.5 on page 68 of the </w:t>
      </w:r>
      <w:r w:rsidR="001129CF">
        <w:rPr>
          <w:rFonts w:eastAsia="Calibri"/>
          <w:iCs/>
          <w:kern w:val="2"/>
          <w:szCs w:val="24"/>
          <w:lang w:eastAsia="en-US"/>
        </w:rPr>
        <w:t xml:space="preserve">OECD’s </w:t>
      </w:r>
      <w:hyperlink r:id="rId8" w:history="1">
        <w:r w:rsidR="006F54EF" w:rsidRPr="001129CF">
          <w:rPr>
            <w:rStyle w:val="Hyperlink"/>
            <w:rFonts w:eastAsia="Calibri"/>
            <w:iCs/>
            <w:color w:val="auto"/>
            <w:kern w:val="2"/>
            <w:szCs w:val="24"/>
            <w:u w:val="none"/>
            <w:lang w:eastAsia="en-US"/>
          </w:rPr>
          <w:t>C</w:t>
        </w:r>
        <w:r w:rsidR="00CE4AFA" w:rsidRPr="001129CF">
          <w:rPr>
            <w:rStyle w:val="Hyperlink"/>
            <w:rFonts w:eastAsia="Calibri"/>
            <w:iCs/>
            <w:color w:val="auto"/>
            <w:kern w:val="2"/>
            <w:szCs w:val="24"/>
            <w:u w:val="none"/>
            <w:lang w:eastAsia="en-US"/>
          </w:rPr>
          <w:t xml:space="preserve">onsolidated </w:t>
        </w:r>
        <w:r w:rsidR="006F54EF" w:rsidRPr="001129CF">
          <w:rPr>
            <w:rStyle w:val="Hyperlink"/>
            <w:rFonts w:eastAsia="Calibri"/>
            <w:iCs/>
            <w:color w:val="auto"/>
            <w:kern w:val="2"/>
            <w:szCs w:val="24"/>
            <w:u w:val="none"/>
            <w:lang w:eastAsia="en-US"/>
          </w:rPr>
          <w:t>C</w:t>
        </w:r>
        <w:r w:rsidR="00CE4AFA" w:rsidRPr="001129CF">
          <w:rPr>
            <w:rStyle w:val="Hyperlink"/>
            <w:rFonts w:eastAsia="Calibri"/>
            <w:iCs/>
            <w:color w:val="auto"/>
            <w:kern w:val="2"/>
            <w:szCs w:val="24"/>
            <w:u w:val="none"/>
            <w:lang w:eastAsia="en-US"/>
          </w:rPr>
          <w:t>ommentar</w:t>
        </w:r>
        <w:r w:rsidR="002D057D" w:rsidRPr="001129CF">
          <w:rPr>
            <w:rStyle w:val="Hyperlink"/>
            <w:rFonts w:eastAsia="Calibri"/>
            <w:iCs/>
            <w:color w:val="auto"/>
            <w:kern w:val="2"/>
            <w:szCs w:val="24"/>
            <w:u w:val="none"/>
            <w:lang w:eastAsia="en-US"/>
          </w:rPr>
          <w:t>y (2025).</w:t>
        </w:r>
      </w:hyperlink>
      <w:r w:rsidR="002D057D">
        <w:rPr>
          <w:rFonts w:eastAsia="Calibri"/>
          <w:iCs/>
          <w:kern w:val="2"/>
          <w:szCs w:val="24"/>
          <w:lang w:eastAsia="en-US"/>
        </w:rPr>
        <w:t xml:space="preserve"> </w:t>
      </w:r>
    </w:p>
    <w:p w14:paraId="4B3557E9" w14:textId="77777777" w:rsidR="002D057D" w:rsidRPr="002D057D" w:rsidRDefault="002D057D" w:rsidP="00967C7B">
      <w:pPr>
        <w:spacing w:before="0" w:after="0" w:line="256" w:lineRule="auto"/>
        <w:rPr>
          <w:rStyle w:val="References"/>
          <w:rFonts w:eastAsiaTheme="majorEastAsia"/>
          <w:i w:val="0"/>
          <w:iCs w:val="0"/>
        </w:rPr>
      </w:pPr>
    </w:p>
    <w:p w14:paraId="7B4F9A3A" w14:textId="3166AC43" w:rsidR="00967C7B" w:rsidRDefault="00CE4AFA" w:rsidP="00967C7B">
      <w:pPr>
        <w:spacing w:before="0" w:after="0" w:line="256" w:lineRule="auto"/>
        <w:rPr>
          <w:rFonts w:eastAsia="Calibri"/>
          <w:iCs/>
          <w:kern w:val="2"/>
          <w:szCs w:val="24"/>
          <w:lang w:eastAsia="en-US"/>
        </w:rPr>
      </w:pPr>
      <w:r w:rsidRPr="00A506B5">
        <w:rPr>
          <w:rFonts w:eastAsia="Calibri"/>
          <w:iCs/>
          <w:kern w:val="2"/>
          <w:szCs w:val="24"/>
          <w:lang w:eastAsia="en-US"/>
        </w:rPr>
        <w:t xml:space="preserve">The election cannot be revoked </w:t>
      </w:r>
      <w:r w:rsidR="00714BA0" w:rsidRPr="00A506B5">
        <w:rPr>
          <w:rFonts w:eastAsia="Calibri"/>
          <w:iCs/>
          <w:kern w:val="2"/>
          <w:szCs w:val="24"/>
          <w:lang w:eastAsia="en-US"/>
        </w:rPr>
        <w:t xml:space="preserve">with respect to </w:t>
      </w:r>
      <w:r w:rsidRPr="00A506B5">
        <w:rPr>
          <w:rFonts w:eastAsia="Calibri"/>
          <w:iCs/>
          <w:kern w:val="2"/>
          <w:szCs w:val="24"/>
          <w:lang w:eastAsia="en-US"/>
        </w:rPr>
        <w:t xml:space="preserve">an Ownership Interest </w:t>
      </w:r>
      <w:r w:rsidR="009746EA">
        <w:rPr>
          <w:rFonts w:eastAsia="Calibri"/>
          <w:iCs/>
          <w:kern w:val="2"/>
          <w:szCs w:val="24"/>
          <w:lang w:eastAsia="en-US"/>
        </w:rPr>
        <w:t>where a</w:t>
      </w:r>
      <w:r w:rsidRPr="00A506B5">
        <w:rPr>
          <w:rFonts w:eastAsia="Calibri"/>
          <w:iCs/>
          <w:kern w:val="2"/>
          <w:szCs w:val="24"/>
          <w:lang w:eastAsia="en-US"/>
        </w:rPr>
        <w:t xml:space="preserve"> loss </w:t>
      </w:r>
      <w:r w:rsidR="006D1E26">
        <w:rPr>
          <w:rFonts w:eastAsia="Calibri"/>
          <w:iCs/>
          <w:kern w:val="2"/>
          <w:szCs w:val="24"/>
          <w:lang w:eastAsia="en-US"/>
        </w:rPr>
        <w:t>with respect to that Ownership Interest</w:t>
      </w:r>
      <w:r w:rsidRPr="00A506B5">
        <w:rPr>
          <w:rFonts w:eastAsia="Calibri"/>
          <w:iCs/>
          <w:kern w:val="2"/>
          <w:szCs w:val="24"/>
          <w:lang w:eastAsia="en-US"/>
        </w:rPr>
        <w:t xml:space="preserve"> has been </w:t>
      </w:r>
      <w:r w:rsidR="006D1E26">
        <w:rPr>
          <w:rFonts w:eastAsia="Calibri"/>
          <w:iCs/>
          <w:kern w:val="2"/>
          <w:szCs w:val="24"/>
          <w:lang w:eastAsia="en-US"/>
        </w:rPr>
        <w:t xml:space="preserve">taken in account </w:t>
      </w:r>
      <w:r w:rsidRPr="00A506B5">
        <w:rPr>
          <w:rFonts w:eastAsia="Calibri"/>
          <w:iCs/>
          <w:kern w:val="2"/>
          <w:szCs w:val="24"/>
          <w:lang w:eastAsia="en-US"/>
        </w:rPr>
        <w:t>in the computation of the GloBE Income or Loss during the time the Equity Investment Inclusion Election was in effect.</w:t>
      </w:r>
    </w:p>
    <w:p w14:paraId="78CBE8DE" w14:textId="77777777" w:rsidR="00967C7B" w:rsidRDefault="00967C7B" w:rsidP="00967C7B">
      <w:pPr>
        <w:spacing w:before="0" w:after="0" w:line="256" w:lineRule="auto"/>
        <w:rPr>
          <w:rFonts w:eastAsia="Calibri"/>
          <w:iCs/>
          <w:kern w:val="2"/>
          <w:szCs w:val="24"/>
          <w:lang w:eastAsia="en-US"/>
        </w:rPr>
      </w:pPr>
    </w:p>
    <w:p w14:paraId="5688D5BF" w14:textId="359FEF04" w:rsidR="00CE4AFA" w:rsidRPr="00A506B5" w:rsidRDefault="00CE4AFA" w:rsidP="002D057D">
      <w:pPr>
        <w:spacing w:before="0" w:afterLines="120" w:after="288" w:line="256" w:lineRule="auto"/>
        <w:rPr>
          <w:rFonts w:eastAsia="Calibri"/>
          <w:iCs/>
          <w:kern w:val="2"/>
          <w:szCs w:val="24"/>
          <w:lang w:eastAsia="en-US"/>
        </w:rPr>
      </w:pPr>
      <w:r w:rsidRPr="00A506B5">
        <w:rPr>
          <w:rFonts w:eastAsia="Calibri"/>
          <w:iCs/>
          <w:kern w:val="2"/>
          <w:szCs w:val="24"/>
          <w:lang w:eastAsia="en-US"/>
        </w:rPr>
        <w:t xml:space="preserve">The effect of the election is that </w:t>
      </w:r>
      <w:r w:rsidR="009F29DD" w:rsidRPr="00A506B5">
        <w:rPr>
          <w:rFonts w:eastAsia="Calibri"/>
          <w:iCs/>
          <w:kern w:val="2"/>
          <w:szCs w:val="24"/>
          <w:lang w:eastAsia="en-US"/>
        </w:rPr>
        <w:t>a Constituent Entity</w:t>
      </w:r>
      <w:r w:rsidR="00DA37AB">
        <w:rPr>
          <w:rFonts w:eastAsia="Calibri"/>
          <w:iCs/>
          <w:kern w:val="2"/>
          <w:szCs w:val="24"/>
          <w:lang w:eastAsia="en-US"/>
        </w:rPr>
        <w:t xml:space="preserve"> o</w:t>
      </w:r>
      <w:r w:rsidR="002D057D">
        <w:rPr>
          <w:rFonts w:eastAsia="Calibri"/>
          <w:iCs/>
          <w:kern w:val="2"/>
          <w:szCs w:val="24"/>
          <w:lang w:eastAsia="en-US"/>
        </w:rPr>
        <w:t xml:space="preserve">wner </w:t>
      </w:r>
      <w:r w:rsidRPr="00A506B5">
        <w:rPr>
          <w:rFonts w:eastAsia="Calibri"/>
          <w:iCs/>
          <w:kern w:val="2"/>
          <w:szCs w:val="24"/>
          <w:lang w:eastAsia="en-US"/>
        </w:rPr>
        <w:t xml:space="preserve">of an </w:t>
      </w:r>
      <w:r w:rsidR="00E848A6" w:rsidRPr="00A506B5">
        <w:rPr>
          <w:rFonts w:eastAsia="Calibri"/>
          <w:iCs/>
          <w:kern w:val="2"/>
          <w:szCs w:val="24"/>
          <w:lang w:eastAsia="en-US"/>
        </w:rPr>
        <w:t>Ownership Interest</w:t>
      </w:r>
      <w:r w:rsidRPr="00A506B5">
        <w:rPr>
          <w:rFonts w:eastAsia="Calibri"/>
          <w:iCs/>
          <w:kern w:val="2"/>
          <w:szCs w:val="24"/>
          <w:lang w:eastAsia="en-US"/>
        </w:rPr>
        <w:t xml:space="preserve">: </w:t>
      </w:r>
    </w:p>
    <w:p w14:paraId="5A7CE46A" w14:textId="2CDA808E" w:rsidR="00CE4AFA" w:rsidRPr="00A506B5" w:rsidRDefault="00CE4AFA" w:rsidP="00A506B5">
      <w:pPr>
        <w:pStyle w:val="Bullet"/>
        <w:rPr>
          <w:rFonts w:eastAsia="Calibri"/>
          <w:lang w:eastAsia="en-US"/>
        </w:rPr>
      </w:pPr>
      <w:r w:rsidRPr="00A506B5">
        <w:rPr>
          <w:rFonts w:eastAsia="Calibri"/>
          <w:lang w:eastAsia="en-US"/>
        </w:rPr>
        <w:t>include</w:t>
      </w:r>
      <w:r w:rsidR="005B12E4" w:rsidRPr="00A506B5">
        <w:rPr>
          <w:rFonts w:eastAsia="Calibri"/>
          <w:lang w:eastAsia="en-US"/>
        </w:rPr>
        <w:t>s</w:t>
      </w:r>
      <w:r w:rsidRPr="00A506B5">
        <w:rPr>
          <w:rFonts w:eastAsia="Calibri"/>
          <w:lang w:eastAsia="en-US"/>
        </w:rPr>
        <w:t xml:space="preserve"> the accounting gain, profit, or loss </w:t>
      </w:r>
      <w:r w:rsidR="005B12E4" w:rsidRPr="00A506B5">
        <w:rPr>
          <w:rFonts w:eastAsia="Calibri"/>
          <w:lang w:eastAsia="en-US"/>
        </w:rPr>
        <w:t xml:space="preserve">as an adjustment to </w:t>
      </w:r>
      <w:r w:rsidR="00C94E1B" w:rsidRPr="00A506B5">
        <w:t>Financial Accounting Net Income or Loss</w:t>
      </w:r>
      <w:r w:rsidR="00C94E1B" w:rsidRPr="00A506B5">
        <w:rPr>
          <w:rFonts w:eastAsia="Calibri"/>
          <w:lang w:eastAsia="en-US"/>
        </w:rPr>
        <w:t xml:space="preserve"> (</w:t>
      </w:r>
      <w:r w:rsidR="005B12E4" w:rsidRPr="00A506B5">
        <w:rPr>
          <w:rFonts w:eastAsia="Calibri"/>
          <w:lang w:eastAsia="en-US"/>
        </w:rPr>
        <w:t>FANIL</w:t>
      </w:r>
      <w:r w:rsidR="00C94E1B" w:rsidRPr="00A506B5">
        <w:rPr>
          <w:rFonts w:eastAsia="Calibri"/>
          <w:lang w:eastAsia="en-US"/>
        </w:rPr>
        <w:t>)</w:t>
      </w:r>
      <w:r w:rsidR="005B12E4" w:rsidRPr="00A506B5">
        <w:rPr>
          <w:rFonts w:eastAsia="Calibri"/>
          <w:lang w:eastAsia="en-US"/>
        </w:rPr>
        <w:t xml:space="preserve"> </w:t>
      </w:r>
      <w:r w:rsidRPr="00A506B5">
        <w:rPr>
          <w:rFonts w:eastAsia="Calibri"/>
          <w:lang w:eastAsia="en-US"/>
        </w:rPr>
        <w:t>(adjusted as required by Part 3</w:t>
      </w:r>
      <w:r w:rsidRPr="00A506B5">
        <w:rPr>
          <w:rFonts w:eastAsia="Calibri"/>
          <w:lang w:eastAsia="en-US"/>
        </w:rPr>
        <w:noBreakHyphen/>
        <w:t xml:space="preserve">2 excluding section </w:t>
      </w:r>
      <w:r w:rsidRPr="00DA48FB">
        <w:rPr>
          <w:rFonts w:eastAsia="Calibri"/>
          <w:lang w:eastAsia="en-US"/>
        </w:rPr>
        <w:t>3</w:t>
      </w:r>
      <w:r w:rsidR="00CC11E3" w:rsidRPr="00DA48FB">
        <w:rPr>
          <w:rFonts w:eastAsia="Calibri"/>
          <w:lang w:eastAsia="en-US"/>
        </w:rPr>
        <w:noBreakHyphen/>
      </w:r>
      <w:r w:rsidR="00DA48FB" w:rsidRPr="00DA48FB">
        <w:rPr>
          <w:rFonts w:eastAsia="Calibri"/>
          <w:lang w:eastAsia="en-US"/>
        </w:rPr>
        <w:t>3</w:t>
      </w:r>
      <w:r w:rsidR="00D60A80" w:rsidRPr="00DA48FB">
        <w:rPr>
          <w:rFonts w:eastAsia="Calibri"/>
          <w:lang w:eastAsia="en-US"/>
        </w:rPr>
        <w:t>0</w:t>
      </w:r>
      <w:r w:rsidR="00AC6AD9" w:rsidRPr="00A506B5">
        <w:rPr>
          <w:rFonts w:eastAsia="Calibri"/>
          <w:lang w:eastAsia="en-US"/>
        </w:rPr>
        <w:t xml:space="preserve"> of the Rules</w:t>
      </w:r>
      <w:r w:rsidRPr="00A506B5">
        <w:rPr>
          <w:rFonts w:eastAsia="Calibri"/>
          <w:lang w:eastAsia="en-US"/>
        </w:rPr>
        <w:t>) with respect to any:</w:t>
      </w:r>
    </w:p>
    <w:p w14:paraId="0453A328" w14:textId="77777777" w:rsidR="00CE4AFA" w:rsidRPr="00A506B5" w:rsidRDefault="00CE4AFA" w:rsidP="00A506B5">
      <w:pPr>
        <w:pStyle w:val="Dash"/>
        <w:rPr>
          <w:rFonts w:eastAsia="Calibri"/>
          <w:lang w:eastAsia="en-US"/>
        </w:rPr>
      </w:pPr>
      <w:r w:rsidRPr="00A506B5">
        <w:rPr>
          <w:rFonts w:eastAsia="Calibri"/>
          <w:lang w:eastAsia="en-US"/>
        </w:rPr>
        <w:lastRenderedPageBreak/>
        <w:t xml:space="preserve">fair value gains and losses and impairments on that Ownership Interest where the owner is taxable: </w:t>
      </w:r>
    </w:p>
    <w:p w14:paraId="17A6F78C" w14:textId="77777777" w:rsidR="00CE4AFA" w:rsidRPr="00A506B5" w:rsidRDefault="00CE4AFA" w:rsidP="00A506B5">
      <w:pPr>
        <w:spacing w:before="0" w:after="160" w:line="256" w:lineRule="auto"/>
        <w:ind w:left="2160"/>
        <w:rPr>
          <w:rFonts w:eastAsia="Calibri"/>
          <w:iCs/>
          <w:kern w:val="2"/>
          <w:szCs w:val="24"/>
          <w:lang w:eastAsia="en-US"/>
        </w:rPr>
      </w:pPr>
      <w:r w:rsidRPr="00A506B5">
        <w:rPr>
          <w:rFonts w:eastAsia="Calibri"/>
          <w:iCs/>
          <w:kern w:val="2"/>
          <w:szCs w:val="24"/>
          <w:lang w:eastAsia="en-US"/>
        </w:rPr>
        <w:t xml:space="preserve">on a mark-to-market basis; or </w:t>
      </w:r>
    </w:p>
    <w:p w14:paraId="7B736A4E" w14:textId="77777777" w:rsidR="00CE4AFA" w:rsidRPr="00A506B5" w:rsidRDefault="00CE4AFA" w:rsidP="00A506B5">
      <w:pPr>
        <w:spacing w:before="0" w:after="160" w:line="256" w:lineRule="auto"/>
        <w:ind w:left="2160"/>
        <w:rPr>
          <w:rFonts w:eastAsia="Calibri"/>
          <w:iCs/>
          <w:kern w:val="2"/>
          <w:szCs w:val="24"/>
          <w:lang w:eastAsia="en-US"/>
        </w:rPr>
      </w:pPr>
      <w:r w:rsidRPr="00A506B5">
        <w:rPr>
          <w:rFonts w:eastAsia="Calibri"/>
          <w:iCs/>
          <w:kern w:val="2"/>
          <w:szCs w:val="24"/>
          <w:lang w:eastAsia="en-US"/>
        </w:rPr>
        <w:t xml:space="preserve">on impairment; or </w:t>
      </w:r>
    </w:p>
    <w:p w14:paraId="15C2383C" w14:textId="0090100B" w:rsidR="00CE4AFA" w:rsidRPr="00A506B5" w:rsidRDefault="00CE4AFA" w:rsidP="00A506B5">
      <w:pPr>
        <w:spacing w:before="0" w:after="160" w:line="256" w:lineRule="auto"/>
        <w:ind w:left="2160"/>
        <w:rPr>
          <w:rFonts w:eastAsia="Calibri"/>
          <w:iCs/>
          <w:kern w:val="2"/>
          <w:szCs w:val="24"/>
          <w:lang w:eastAsia="en-US"/>
        </w:rPr>
      </w:pPr>
      <w:r w:rsidRPr="00A506B5">
        <w:rPr>
          <w:rFonts w:eastAsia="Calibri"/>
          <w:iCs/>
          <w:kern w:val="2"/>
          <w:szCs w:val="24"/>
          <w:lang w:eastAsia="en-US"/>
        </w:rPr>
        <w:t>on a reali</w:t>
      </w:r>
      <w:r w:rsidR="002E1F5E">
        <w:rPr>
          <w:rFonts w:eastAsia="Calibri"/>
          <w:iCs/>
          <w:kern w:val="2"/>
          <w:szCs w:val="24"/>
          <w:lang w:eastAsia="en-US"/>
        </w:rPr>
        <w:t>s</w:t>
      </w:r>
      <w:r w:rsidRPr="00A506B5">
        <w:rPr>
          <w:rFonts w:eastAsia="Calibri"/>
          <w:iCs/>
          <w:kern w:val="2"/>
          <w:szCs w:val="24"/>
          <w:lang w:eastAsia="en-US"/>
        </w:rPr>
        <w:t xml:space="preserve">ation basis, </w:t>
      </w:r>
      <w:r w:rsidR="00876359" w:rsidRPr="00A506B5">
        <w:rPr>
          <w:rFonts w:eastAsia="Calibri"/>
          <w:iCs/>
          <w:kern w:val="2"/>
          <w:szCs w:val="24"/>
          <w:lang w:eastAsia="en-US"/>
        </w:rPr>
        <w:t>and</w:t>
      </w:r>
    </w:p>
    <w:p w14:paraId="56F4200D" w14:textId="1D3883E5" w:rsidR="00CE4AFA" w:rsidRPr="00A506B5" w:rsidRDefault="00CE4AFA" w:rsidP="00A506B5">
      <w:pPr>
        <w:pStyle w:val="Dash"/>
        <w:rPr>
          <w:rFonts w:eastAsia="Calibri"/>
          <w:lang w:eastAsia="en-US"/>
        </w:rPr>
      </w:pPr>
      <w:r w:rsidRPr="00A506B5">
        <w:rPr>
          <w:rFonts w:eastAsia="Calibri"/>
          <w:lang w:eastAsia="en-US"/>
        </w:rPr>
        <w:t>the income tax expense reflects the tax consequences of the mark</w:t>
      </w:r>
      <w:r w:rsidR="002646C7">
        <w:rPr>
          <w:rFonts w:eastAsia="Calibri"/>
          <w:lang w:eastAsia="en-US"/>
        </w:rPr>
        <w:noBreakHyphen/>
      </w:r>
      <w:r w:rsidRPr="2AA9DD01">
        <w:rPr>
          <w:rFonts w:eastAsia="Calibri"/>
          <w:lang w:eastAsia="en-US"/>
        </w:rPr>
        <w:t>to</w:t>
      </w:r>
      <w:r w:rsidR="002646C7">
        <w:rPr>
          <w:rFonts w:eastAsia="Calibri"/>
          <w:lang w:eastAsia="en-US"/>
        </w:rPr>
        <w:noBreakHyphen/>
      </w:r>
      <w:r w:rsidRPr="2AA9DD01">
        <w:rPr>
          <w:rFonts w:eastAsia="Calibri"/>
          <w:lang w:eastAsia="en-US"/>
        </w:rPr>
        <w:t>market</w:t>
      </w:r>
      <w:r w:rsidRPr="00A506B5">
        <w:rPr>
          <w:rFonts w:eastAsia="Calibri"/>
          <w:lang w:eastAsia="en-US"/>
        </w:rPr>
        <w:t xml:space="preserve"> movements or impairments on Ownership </w:t>
      </w:r>
      <w:proofErr w:type="gramStart"/>
      <w:r w:rsidRPr="00A506B5">
        <w:rPr>
          <w:rFonts w:eastAsia="Calibri"/>
          <w:lang w:eastAsia="en-US"/>
        </w:rPr>
        <w:t>Interest;</w:t>
      </w:r>
      <w:proofErr w:type="gramEnd"/>
      <w:r w:rsidRPr="00A506B5">
        <w:rPr>
          <w:rFonts w:eastAsia="Calibri"/>
          <w:lang w:eastAsia="en-US"/>
        </w:rPr>
        <w:t xml:space="preserve"> </w:t>
      </w:r>
    </w:p>
    <w:p w14:paraId="6E7E6CC9" w14:textId="65C6C162" w:rsidR="00CE4AFA" w:rsidRPr="00A506B5" w:rsidRDefault="00CE4AFA" w:rsidP="00A506B5">
      <w:pPr>
        <w:pStyle w:val="Dash"/>
        <w:rPr>
          <w:rFonts w:eastAsia="Calibri"/>
          <w:lang w:eastAsia="en-US"/>
        </w:rPr>
      </w:pPr>
      <w:r w:rsidRPr="00A506B5">
        <w:rPr>
          <w:rFonts w:eastAsia="Calibri"/>
          <w:lang w:eastAsia="en-US"/>
        </w:rPr>
        <w:t xml:space="preserve">profit and loss attributable to that Ownership Interest </w:t>
      </w:r>
      <w:r w:rsidR="00D72CE6" w:rsidRPr="00A506B5">
        <w:rPr>
          <w:rFonts w:eastAsia="Calibri"/>
          <w:lang w:eastAsia="en-US"/>
        </w:rPr>
        <w:t>where the interest is in a Tax Transparent Entity</w:t>
      </w:r>
      <w:r w:rsidRPr="00A506B5">
        <w:rPr>
          <w:rFonts w:eastAsia="Calibri"/>
          <w:lang w:eastAsia="en-US"/>
        </w:rPr>
        <w:t xml:space="preserve"> that the owner accounts for using the equity method; and</w:t>
      </w:r>
    </w:p>
    <w:p w14:paraId="0320419A" w14:textId="77777777" w:rsidR="00CE4AFA" w:rsidRPr="00A506B5" w:rsidRDefault="00CE4AFA" w:rsidP="00A506B5">
      <w:pPr>
        <w:pStyle w:val="Dash"/>
        <w:rPr>
          <w:rFonts w:eastAsia="Calibri"/>
          <w:lang w:eastAsia="en-US"/>
        </w:rPr>
      </w:pPr>
      <w:r w:rsidRPr="00A506B5">
        <w:rPr>
          <w:rFonts w:eastAsia="Calibri"/>
          <w:lang w:eastAsia="en-US"/>
        </w:rPr>
        <w:t>dispositions of the Ownership Interest that give rise to gains or losses that are included in the owner’s domestic taxable income, excluding any gain fully offset, and the proportionate share of any gain partially offset, by any deduction or other similar relief particular to the type of gain; and</w:t>
      </w:r>
    </w:p>
    <w:p w14:paraId="078157B0" w14:textId="0AB57B56" w:rsidR="00CE4AFA" w:rsidRDefault="00CE4AFA" w:rsidP="00A506B5">
      <w:pPr>
        <w:pStyle w:val="Bullet"/>
        <w:rPr>
          <w:rFonts w:eastAsia="Calibri"/>
          <w:lang w:eastAsia="en-US"/>
        </w:rPr>
      </w:pPr>
      <w:r w:rsidRPr="00A506B5">
        <w:rPr>
          <w:rFonts w:eastAsia="Calibri"/>
          <w:lang w:eastAsia="en-US"/>
        </w:rPr>
        <w:t>notwithstanding paragraph 4-20</w:t>
      </w:r>
      <w:r w:rsidR="0042603F" w:rsidRPr="00A506B5">
        <w:rPr>
          <w:rFonts w:eastAsia="Calibri"/>
          <w:lang w:eastAsia="en-US"/>
        </w:rPr>
        <w:t>(1)</w:t>
      </w:r>
      <w:r w:rsidRPr="00A506B5">
        <w:rPr>
          <w:rFonts w:eastAsia="Calibri"/>
          <w:lang w:eastAsia="en-US"/>
        </w:rPr>
        <w:t xml:space="preserve">(a) and </w:t>
      </w:r>
      <w:r w:rsidR="00E2444B" w:rsidRPr="00A506B5">
        <w:rPr>
          <w:rFonts w:eastAsia="Calibri"/>
          <w:lang w:eastAsia="en-US"/>
        </w:rPr>
        <w:t xml:space="preserve">section </w:t>
      </w:r>
      <w:r w:rsidRPr="00A506B5">
        <w:rPr>
          <w:rFonts w:eastAsia="Calibri"/>
          <w:lang w:eastAsia="en-US"/>
        </w:rPr>
        <w:t>4-</w:t>
      </w:r>
      <w:r w:rsidR="00463777" w:rsidRPr="00463777">
        <w:rPr>
          <w:rFonts w:eastAsia="Calibri"/>
          <w:lang w:eastAsia="en-US"/>
        </w:rPr>
        <w:t>8</w:t>
      </w:r>
      <w:r w:rsidRPr="00A506B5">
        <w:rPr>
          <w:rFonts w:eastAsia="Calibri"/>
          <w:lang w:eastAsia="en-US"/>
        </w:rPr>
        <w:t>5</w:t>
      </w:r>
      <w:r w:rsidR="0042603F" w:rsidRPr="00A506B5">
        <w:rPr>
          <w:rFonts w:eastAsia="Calibri"/>
          <w:lang w:eastAsia="en-US"/>
        </w:rPr>
        <w:t>(2)(a)</w:t>
      </w:r>
      <w:r w:rsidRPr="00A506B5">
        <w:rPr>
          <w:rFonts w:eastAsia="Calibri"/>
          <w:lang w:eastAsia="en-US"/>
        </w:rPr>
        <w:t xml:space="preserve"> includes all current and deferred tax expense or benefits associated with these income items in the computation of its Adjusted Covered Taxes subject to the relevant provisions of the GloBE Rules.</w:t>
      </w:r>
    </w:p>
    <w:p w14:paraId="5A6F696F" w14:textId="5CBFDB23" w:rsidR="00F85CB5" w:rsidRPr="00A506B5" w:rsidRDefault="00F85CB5" w:rsidP="00B4582B">
      <w:pPr>
        <w:pStyle w:val="Bullet"/>
        <w:numPr>
          <w:ilvl w:val="0"/>
          <w:numId w:val="0"/>
        </w:numPr>
        <w:rPr>
          <w:rFonts w:eastAsia="Calibri"/>
          <w:lang w:eastAsia="en-US"/>
        </w:rPr>
      </w:pPr>
      <w:r>
        <w:rPr>
          <w:rFonts w:eastAsia="Calibri"/>
          <w:lang w:eastAsia="en-US"/>
        </w:rPr>
        <w:t>This treatment does not apply in respect of an Ownership Interest that is a qualified flow</w:t>
      </w:r>
      <w:r w:rsidR="00B4582B">
        <w:rPr>
          <w:rFonts w:eastAsia="Calibri"/>
          <w:lang w:eastAsia="en-US"/>
        </w:rPr>
        <w:noBreakHyphen/>
      </w:r>
      <w:r>
        <w:rPr>
          <w:rFonts w:eastAsia="Calibri"/>
          <w:lang w:eastAsia="en-US"/>
        </w:rPr>
        <w:t>through ownership interest</w:t>
      </w:r>
      <w:r w:rsidR="005B16C3">
        <w:rPr>
          <w:rFonts w:eastAsia="Calibri"/>
          <w:lang w:eastAsia="en-US"/>
        </w:rPr>
        <w:t xml:space="preserve"> </w:t>
      </w:r>
      <w:r w:rsidR="00B4582B">
        <w:rPr>
          <w:rFonts w:eastAsia="Calibri"/>
          <w:lang w:eastAsia="en-US"/>
        </w:rPr>
        <w:t xml:space="preserve">as </w:t>
      </w:r>
      <w:r w:rsidR="005B16C3">
        <w:rPr>
          <w:rFonts w:eastAsia="Calibri"/>
          <w:lang w:eastAsia="en-US"/>
        </w:rPr>
        <w:t>defined in section 4-</w:t>
      </w:r>
      <w:r w:rsidR="002D0CC2">
        <w:rPr>
          <w:rFonts w:eastAsia="Calibri"/>
          <w:lang w:eastAsia="en-US"/>
        </w:rPr>
        <w:t>37. In this scenario</w:t>
      </w:r>
      <w:r w:rsidR="009F3779">
        <w:rPr>
          <w:rFonts w:eastAsia="Calibri"/>
          <w:lang w:eastAsia="en-US"/>
        </w:rPr>
        <w:t>,</w:t>
      </w:r>
      <w:r>
        <w:rPr>
          <w:rFonts w:eastAsia="Calibri"/>
          <w:lang w:eastAsia="en-US"/>
        </w:rPr>
        <w:t xml:space="preserve"> </w:t>
      </w:r>
      <w:r w:rsidR="001D0118">
        <w:rPr>
          <w:rFonts w:eastAsia="Calibri"/>
          <w:lang w:eastAsia="en-US"/>
        </w:rPr>
        <w:t xml:space="preserve">the modified treatment under </w:t>
      </w:r>
      <w:r w:rsidR="009F3779">
        <w:rPr>
          <w:rFonts w:eastAsia="Calibri"/>
          <w:lang w:eastAsia="en-US"/>
        </w:rPr>
        <w:t>section</w:t>
      </w:r>
      <w:r w:rsidR="00CC7CD2">
        <w:rPr>
          <w:rFonts w:eastAsia="Calibri"/>
          <w:lang w:eastAsia="en-US"/>
        </w:rPr>
        <w:t xml:space="preserve"> </w:t>
      </w:r>
      <w:r w:rsidR="009F3779">
        <w:rPr>
          <w:rFonts w:eastAsia="Calibri"/>
          <w:lang w:eastAsia="en-US"/>
        </w:rPr>
        <w:t>4</w:t>
      </w:r>
      <w:r w:rsidR="002D0CC2">
        <w:rPr>
          <w:rFonts w:eastAsia="Calibri"/>
          <w:lang w:eastAsia="en-US"/>
        </w:rPr>
        <w:t>-</w:t>
      </w:r>
      <w:r w:rsidR="009F3779">
        <w:rPr>
          <w:rFonts w:eastAsia="Calibri"/>
          <w:lang w:eastAsia="en-US"/>
        </w:rPr>
        <w:t xml:space="preserve">36 or 4-38 </w:t>
      </w:r>
      <w:r w:rsidR="00B4582B">
        <w:rPr>
          <w:rFonts w:eastAsia="Calibri"/>
          <w:lang w:eastAsia="en-US"/>
        </w:rPr>
        <w:t xml:space="preserve">of the Amending Rules </w:t>
      </w:r>
      <w:r w:rsidR="002D0CC2">
        <w:rPr>
          <w:rFonts w:eastAsia="Calibri"/>
          <w:lang w:eastAsia="en-US"/>
        </w:rPr>
        <w:t>would apply</w:t>
      </w:r>
      <w:r w:rsidR="00B4582B">
        <w:rPr>
          <w:rFonts w:eastAsia="Calibri"/>
          <w:lang w:eastAsia="en-US"/>
        </w:rPr>
        <w:t xml:space="preserve"> instead</w:t>
      </w:r>
      <w:r w:rsidR="009F3779">
        <w:rPr>
          <w:rFonts w:eastAsia="Calibri"/>
          <w:lang w:eastAsia="en-US"/>
        </w:rPr>
        <w:t>.</w:t>
      </w:r>
      <w:r w:rsidR="003F5DFB">
        <w:rPr>
          <w:rFonts w:eastAsia="Calibri"/>
          <w:lang w:eastAsia="en-US"/>
        </w:rPr>
        <w:t xml:space="preserve"> </w:t>
      </w:r>
    </w:p>
    <w:p w14:paraId="080DAAE6" w14:textId="6076C48F" w:rsidR="00CE4AFA" w:rsidRPr="00A506B5" w:rsidRDefault="00C86587" w:rsidP="00A506B5">
      <w:pPr>
        <w:spacing w:after="160" w:line="256" w:lineRule="auto"/>
        <w:rPr>
          <w:rFonts w:eastAsia="Calibri"/>
          <w:b/>
          <w:bCs/>
          <w:iCs/>
          <w:kern w:val="2"/>
          <w:szCs w:val="24"/>
          <w:lang w:eastAsia="en-US"/>
        </w:rPr>
      </w:pPr>
      <w:r w:rsidRPr="00A506B5">
        <w:rPr>
          <w:rFonts w:eastAsia="Calibri"/>
          <w:b/>
          <w:bCs/>
          <w:iCs/>
          <w:kern w:val="2"/>
          <w:szCs w:val="24"/>
          <w:lang w:eastAsia="en-US"/>
        </w:rPr>
        <w:t xml:space="preserve">Modified treatment for an </w:t>
      </w:r>
      <w:r w:rsidR="00CE4AFA" w:rsidRPr="00A506B5">
        <w:rPr>
          <w:rFonts w:eastAsia="Calibri"/>
          <w:b/>
          <w:bCs/>
          <w:iCs/>
          <w:kern w:val="2"/>
          <w:szCs w:val="24"/>
          <w:lang w:eastAsia="en-US"/>
        </w:rPr>
        <w:t xml:space="preserve">owner of a </w:t>
      </w:r>
      <w:r w:rsidR="00C51936">
        <w:rPr>
          <w:rFonts w:eastAsia="Calibri"/>
          <w:b/>
          <w:bCs/>
          <w:iCs/>
          <w:kern w:val="2"/>
          <w:szCs w:val="24"/>
          <w:lang w:eastAsia="en-US"/>
        </w:rPr>
        <w:t>qualified flow-through ownership interest</w:t>
      </w:r>
    </w:p>
    <w:p w14:paraId="7DB7E958" w14:textId="6585E1C8" w:rsidR="00CE4AFA" w:rsidRPr="00A506B5" w:rsidRDefault="002D057D" w:rsidP="00A506B5">
      <w:pPr>
        <w:spacing w:before="0" w:after="160" w:line="256" w:lineRule="auto"/>
        <w:rPr>
          <w:rFonts w:eastAsia="Calibri"/>
          <w:iCs/>
          <w:kern w:val="2"/>
          <w:szCs w:val="24"/>
          <w:lang w:eastAsia="en-US"/>
        </w:rPr>
      </w:pPr>
      <w:r>
        <w:rPr>
          <w:rFonts w:eastAsia="Calibri"/>
          <w:iCs/>
          <w:kern w:val="2"/>
          <w:szCs w:val="24"/>
          <w:lang w:eastAsia="en-US"/>
        </w:rPr>
        <w:t>A</w:t>
      </w:r>
      <w:r w:rsidR="00CE4AFA" w:rsidRPr="00A506B5">
        <w:rPr>
          <w:rFonts w:eastAsia="Calibri"/>
          <w:iCs/>
          <w:kern w:val="2"/>
          <w:szCs w:val="24"/>
          <w:lang w:eastAsia="en-US"/>
        </w:rPr>
        <w:t xml:space="preserve"> </w:t>
      </w:r>
      <w:r w:rsidR="00C245BF">
        <w:rPr>
          <w:rFonts w:eastAsia="Calibri"/>
          <w:iCs/>
          <w:kern w:val="2"/>
          <w:szCs w:val="24"/>
          <w:lang w:eastAsia="en-US"/>
        </w:rPr>
        <w:t>Constituent Entity</w:t>
      </w:r>
      <w:r w:rsidR="00CE4AFA" w:rsidRPr="00A506B5">
        <w:rPr>
          <w:rFonts w:eastAsia="Calibri"/>
          <w:iCs/>
          <w:kern w:val="2"/>
          <w:szCs w:val="24"/>
          <w:lang w:eastAsia="en-US"/>
        </w:rPr>
        <w:t xml:space="preserve"> that is subject to an Equity Investment Inclusion Election </w:t>
      </w:r>
      <w:r w:rsidR="00C245BF">
        <w:rPr>
          <w:rFonts w:eastAsia="Calibri"/>
          <w:iCs/>
          <w:kern w:val="2"/>
          <w:szCs w:val="24"/>
          <w:lang w:eastAsia="en-US"/>
        </w:rPr>
        <w:t xml:space="preserve">for a Fiscal Year </w:t>
      </w:r>
      <w:r w:rsidR="00CE4AFA" w:rsidRPr="00A506B5">
        <w:rPr>
          <w:rFonts w:eastAsia="Calibri"/>
          <w:iCs/>
          <w:kern w:val="2"/>
          <w:szCs w:val="24"/>
          <w:lang w:eastAsia="en-US"/>
        </w:rPr>
        <w:t xml:space="preserve">must apply </w:t>
      </w:r>
      <w:r w:rsidR="004D6B8B" w:rsidRPr="00A506B5">
        <w:rPr>
          <w:rFonts w:eastAsia="Calibri"/>
          <w:iCs/>
          <w:kern w:val="2"/>
          <w:szCs w:val="24"/>
          <w:lang w:eastAsia="en-US"/>
        </w:rPr>
        <w:t xml:space="preserve">a different treatment </w:t>
      </w:r>
      <w:r w:rsidR="00B3485A">
        <w:rPr>
          <w:rFonts w:eastAsia="Calibri"/>
          <w:iCs/>
          <w:kern w:val="2"/>
          <w:szCs w:val="24"/>
          <w:lang w:eastAsia="en-US"/>
        </w:rPr>
        <w:t>in respect of qualified flow-through ownership interests</w:t>
      </w:r>
      <w:r w:rsidR="00843D4F">
        <w:rPr>
          <w:rFonts w:eastAsia="Calibri"/>
          <w:iCs/>
          <w:kern w:val="2"/>
          <w:szCs w:val="24"/>
          <w:lang w:eastAsia="en-US"/>
        </w:rPr>
        <w:t>.</w:t>
      </w:r>
    </w:p>
    <w:p w14:paraId="137FCF1B" w14:textId="75C1B2ED" w:rsidR="00CE4AFA" w:rsidRPr="00A506B5" w:rsidRDefault="001B7D25" w:rsidP="00A506B5">
      <w:pPr>
        <w:spacing w:before="0" w:after="160" w:line="256" w:lineRule="auto"/>
        <w:rPr>
          <w:rFonts w:eastAsia="Calibri"/>
          <w:iCs/>
          <w:kern w:val="2"/>
          <w:szCs w:val="24"/>
          <w:lang w:eastAsia="en-US"/>
        </w:rPr>
      </w:pPr>
      <w:r>
        <w:rPr>
          <w:rFonts w:eastAsia="Calibri"/>
          <w:iCs/>
          <w:kern w:val="2"/>
          <w:szCs w:val="24"/>
          <w:lang w:eastAsia="en-US"/>
        </w:rPr>
        <w:t>Pursuant to section 4-36 of the Amending Rules, w</w:t>
      </w:r>
      <w:r w:rsidR="00CE4AFA" w:rsidRPr="00A506B5">
        <w:rPr>
          <w:rFonts w:eastAsia="Calibri"/>
          <w:iCs/>
          <w:kern w:val="2"/>
          <w:szCs w:val="24"/>
          <w:lang w:eastAsia="en-US"/>
        </w:rPr>
        <w:t xml:space="preserve">here income flows through a </w:t>
      </w:r>
      <w:r w:rsidR="002D768D" w:rsidRPr="00A506B5">
        <w:rPr>
          <w:rFonts w:eastAsia="Calibri"/>
          <w:iCs/>
          <w:kern w:val="2"/>
          <w:szCs w:val="24"/>
          <w:lang w:eastAsia="en-US"/>
        </w:rPr>
        <w:t>qualified flow-through ownership interest</w:t>
      </w:r>
      <w:r w:rsidR="00CE4AFA" w:rsidRPr="00A506B5">
        <w:rPr>
          <w:rFonts w:eastAsia="Calibri"/>
          <w:iCs/>
          <w:kern w:val="2"/>
          <w:szCs w:val="24"/>
          <w:lang w:eastAsia="en-US"/>
        </w:rPr>
        <w:t xml:space="preserve">, the owner’s GloBE Income or Loss is not increased to reflect such income and the owner’s Covered Taxes are reduced by the amount of any tax expense with respect to such income. Similarly, where losses flow through a </w:t>
      </w:r>
      <w:r w:rsidR="00EA72A7" w:rsidRPr="00A506B5">
        <w:rPr>
          <w:rFonts w:eastAsia="Calibri"/>
          <w:iCs/>
          <w:kern w:val="2"/>
          <w:szCs w:val="24"/>
          <w:lang w:eastAsia="en-US"/>
        </w:rPr>
        <w:t xml:space="preserve">qualified flow-through ownership interest </w:t>
      </w:r>
      <w:r w:rsidR="00CE4AFA" w:rsidRPr="00A506B5">
        <w:rPr>
          <w:rFonts w:eastAsia="Calibri"/>
          <w:iCs/>
          <w:kern w:val="2"/>
          <w:szCs w:val="24"/>
          <w:lang w:eastAsia="en-US"/>
        </w:rPr>
        <w:t>the owner’s GloBE Income or Loss is not reduced to reflect such loss and, to the extent provided in paragraph 57.8</w:t>
      </w:r>
      <w:r w:rsidR="00A60EBC" w:rsidRPr="00A506B5">
        <w:rPr>
          <w:rFonts w:eastAsia="Calibri"/>
          <w:iCs/>
          <w:kern w:val="2"/>
          <w:szCs w:val="24"/>
          <w:lang w:eastAsia="en-US"/>
        </w:rPr>
        <w:t xml:space="preserve"> </w:t>
      </w:r>
      <w:r w:rsidR="000949FA">
        <w:rPr>
          <w:rFonts w:eastAsia="Calibri"/>
          <w:iCs/>
          <w:kern w:val="2"/>
          <w:szCs w:val="24"/>
          <w:lang w:eastAsia="en-US"/>
        </w:rPr>
        <w:t xml:space="preserve">on page 69 </w:t>
      </w:r>
      <w:r w:rsidR="00A60EBC" w:rsidRPr="00A506B5">
        <w:rPr>
          <w:rFonts w:eastAsia="Calibri"/>
          <w:iCs/>
          <w:kern w:val="2"/>
          <w:szCs w:val="24"/>
          <w:lang w:eastAsia="en-US"/>
        </w:rPr>
        <w:t>of the Consolidated Commentary</w:t>
      </w:r>
      <w:r w:rsidR="00777992">
        <w:rPr>
          <w:rFonts w:eastAsia="Calibri"/>
          <w:iCs/>
          <w:kern w:val="2"/>
          <w:szCs w:val="24"/>
          <w:lang w:eastAsia="en-US"/>
        </w:rPr>
        <w:t xml:space="preserve"> (2025)</w:t>
      </w:r>
      <w:r w:rsidR="00CE4AFA" w:rsidRPr="00A506B5">
        <w:rPr>
          <w:rFonts w:eastAsia="Calibri"/>
          <w:iCs/>
          <w:kern w:val="2"/>
          <w:szCs w:val="24"/>
          <w:lang w:eastAsia="en-US"/>
        </w:rPr>
        <w:t xml:space="preserve">, the amount of any tax benefit of the owner with respect to such loss </w:t>
      </w:r>
      <w:r w:rsidR="00D770E9">
        <w:rPr>
          <w:rFonts w:eastAsia="Calibri"/>
          <w:iCs/>
          <w:kern w:val="2"/>
          <w:szCs w:val="24"/>
          <w:lang w:eastAsia="en-US"/>
        </w:rPr>
        <w:t>(</w:t>
      </w:r>
      <w:r w:rsidR="00C21C44">
        <w:rPr>
          <w:rFonts w:eastAsia="Calibri"/>
          <w:iCs/>
          <w:kern w:val="2"/>
          <w:szCs w:val="24"/>
          <w:lang w:eastAsia="en-US"/>
        </w:rPr>
        <w:t xml:space="preserve">a qualified flow-through tax benefit as described below) </w:t>
      </w:r>
      <w:r w:rsidR="00CE4AFA" w:rsidRPr="00A506B5">
        <w:rPr>
          <w:rFonts w:eastAsia="Calibri"/>
          <w:iCs/>
          <w:kern w:val="2"/>
          <w:szCs w:val="24"/>
          <w:lang w:eastAsia="en-US"/>
        </w:rPr>
        <w:t xml:space="preserve">is effectively excluded from the owner’s Adjusted Covered Taxes </w:t>
      </w:r>
      <w:r w:rsidR="00C74C66" w:rsidRPr="00A506B5">
        <w:rPr>
          <w:rFonts w:eastAsia="Calibri"/>
          <w:iCs/>
          <w:kern w:val="2"/>
          <w:szCs w:val="24"/>
          <w:lang w:eastAsia="en-US"/>
        </w:rPr>
        <w:t xml:space="preserve">by </w:t>
      </w:r>
      <w:r w:rsidR="00CE4AFA" w:rsidRPr="00A506B5">
        <w:rPr>
          <w:rFonts w:eastAsia="Calibri"/>
          <w:iCs/>
          <w:kern w:val="2"/>
          <w:szCs w:val="24"/>
          <w:lang w:eastAsia="en-US"/>
        </w:rPr>
        <w:t xml:space="preserve">being treated as a positive amount in the Adjusted Covered Taxes of the owner. </w:t>
      </w:r>
    </w:p>
    <w:p w14:paraId="2938F548" w14:textId="59F4BA54" w:rsidR="00CE4AFA" w:rsidRPr="00A506B5" w:rsidRDefault="00CE4AFA" w:rsidP="00A506B5">
      <w:pPr>
        <w:spacing w:before="0" w:after="160" w:line="256" w:lineRule="auto"/>
        <w:rPr>
          <w:rFonts w:eastAsia="Calibri"/>
          <w:iCs/>
          <w:kern w:val="2"/>
          <w:szCs w:val="24"/>
          <w:lang w:eastAsia="en-US"/>
        </w:rPr>
      </w:pPr>
      <w:r w:rsidRPr="00A506B5">
        <w:rPr>
          <w:rFonts w:eastAsia="Calibri"/>
          <w:iCs/>
          <w:kern w:val="2"/>
          <w:szCs w:val="24"/>
          <w:lang w:eastAsia="en-US"/>
        </w:rPr>
        <w:t xml:space="preserve">A </w:t>
      </w:r>
      <w:r w:rsidR="003F754E" w:rsidRPr="00A506B5">
        <w:rPr>
          <w:rFonts w:eastAsia="Calibri"/>
          <w:i/>
          <w:kern w:val="2"/>
          <w:szCs w:val="24"/>
          <w:lang w:eastAsia="en-US"/>
        </w:rPr>
        <w:t>qualified flow-through ownership interest</w:t>
      </w:r>
      <w:r w:rsidRPr="00A506B5">
        <w:rPr>
          <w:rFonts w:eastAsia="Calibri"/>
          <w:b/>
          <w:bCs/>
          <w:iCs/>
          <w:kern w:val="2"/>
          <w:szCs w:val="24"/>
          <w:lang w:eastAsia="en-US"/>
        </w:rPr>
        <w:t xml:space="preserve"> </w:t>
      </w:r>
      <w:r w:rsidRPr="00A506B5">
        <w:rPr>
          <w:rFonts w:eastAsia="Calibri"/>
          <w:iCs/>
          <w:kern w:val="2"/>
          <w:szCs w:val="24"/>
          <w:lang w:eastAsia="en-US"/>
        </w:rPr>
        <w:t>is</w:t>
      </w:r>
      <w:r w:rsidR="008C4BF9">
        <w:rPr>
          <w:rFonts w:eastAsia="Calibri"/>
          <w:iCs/>
          <w:kern w:val="2"/>
          <w:szCs w:val="24"/>
          <w:lang w:eastAsia="en-US"/>
        </w:rPr>
        <w:t xml:space="preserve"> defined in section 4-37 of the Amending Rules</w:t>
      </w:r>
      <w:r w:rsidR="002D5924">
        <w:rPr>
          <w:rFonts w:eastAsia="Calibri"/>
          <w:iCs/>
          <w:kern w:val="2"/>
          <w:szCs w:val="24"/>
          <w:lang w:eastAsia="en-US"/>
        </w:rPr>
        <w:t xml:space="preserve"> as</w:t>
      </w:r>
      <w:r w:rsidRPr="00A506B5">
        <w:rPr>
          <w:rFonts w:eastAsia="Calibri"/>
          <w:iCs/>
          <w:kern w:val="2"/>
          <w:szCs w:val="24"/>
          <w:lang w:eastAsia="en-US"/>
        </w:rPr>
        <w:t xml:space="preserve">: </w:t>
      </w:r>
    </w:p>
    <w:p w14:paraId="299D3780" w14:textId="711C95D9" w:rsidR="0018767E" w:rsidRPr="00A506B5" w:rsidRDefault="00CE4AFA" w:rsidP="00A506B5">
      <w:pPr>
        <w:pStyle w:val="Bullet"/>
        <w:rPr>
          <w:rFonts w:eastAsia="Calibri"/>
          <w:lang w:eastAsia="en-US"/>
        </w:rPr>
      </w:pPr>
      <w:r w:rsidRPr="00A506B5">
        <w:rPr>
          <w:rFonts w:eastAsia="Calibri"/>
          <w:lang w:eastAsia="en-US"/>
        </w:rPr>
        <w:t xml:space="preserve">an investment in a </w:t>
      </w:r>
      <w:r w:rsidR="001B60DE" w:rsidRPr="00A506B5">
        <w:rPr>
          <w:rFonts w:eastAsia="Calibri"/>
          <w:lang w:eastAsia="en-US"/>
        </w:rPr>
        <w:t>T</w:t>
      </w:r>
      <w:r w:rsidRPr="00A506B5">
        <w:rPr>
          <w:rFonts w:eastAsia="Calibri"/>
          <w:lang w:eastAsia="en-US"/>
        </w:rPr>
        <w:t xml:space="preserve">ax </w:t>
      </w:r>
      <w:r w:rsidR="001B60DE" w:rsidRPr="00A506B5">
        <w:rPr>
          <w:rFonts w:eastAsia="Calibri"/>
          <w:lang w:eastAsia="en-US"/>
        </w:rPr>
        <w:t>T</w:t>
      </w:r>
      <w:r w:rsidRPr="00A506B5">
        <w:rPr>
          <w:rFonts w:eastAsia="Calibri"/>
          <w:lang w:eastAsia="en-US"/>
        </w:rPr>
        <w:t xml:space="preserve">ransparent </w:t>
      </w:r>
      <w:r w:rsidR="001B60DE" w:rsidRPr="00A506B5">
        <w:rPr>
          <w:rFonts w:eastAsia="Calibri"/>
          <w:lang w:eastAsia="en-US"/>
        </w:rPr>
        <w:t>E</w:t>
      </w:r>
      <w:r w:rsidRPr="00A506B5">
        <w:rPr>
          <w:rFonts w:eastAsia="Calibri"/>
          <w:lang w:eastAsia="en-US"/>
        </w:rPr>
        <w:t>ntity</w:t>
      </w:r>
      <w:r w:rsidR="0018767E" w:rsidRPr="00A506B5">
        <w:rPr>
          <w:rFonts w:eastAsia="Calibri"/>
          <w:lang w:eastAsia="en-US"/>
        </w:rPr>
        <w:t>:</w:t>
      </w:r>
      <w:r w:rsidRPr="00A506B5">
        <w:rPr>
          <w:rFonts w:eastAsia="Calibri"/>
          <w:lang w:eastAsia="en-US"/>
        </w:rPr>
        <w:t xml:space="preserve"> </w:t>
      </w:r>
    </w:p>
    <w:p w14:paraId="307D4636" w14:textId="70AD95B3" w:rsidR="00B7225C" w:rsidRPr="00A506B5" w:rsidRDefault="00CE4AFA" w:rsidP="00A506B5">
      <w:pPr>
        <w:pStyle w:val="Dash"/>
        <w:rPr>
          <w:rFonts w:eastAsia="Calibri"/>
          <w:lang w:eastAsia="en-US"/>
        </w:rPr>
      </w:pPr>
      <w:r w:rsidRPr="00A506B5">
        <w:rPr>
          <w:rFonts w:eastAsia="Calibri"/>
          <w:lang w:eastAsia="en-US"/>
        </w:rPr>
        <w:t>that is treated as an equity interest for local tax purposes</w:t>
      </w:r>
      <w:r w:rsidR="00B7225C" w:rsidRPr="00A506B5">
        <w:rPr>
          <w:rFonts w:eastAsia="Calibri"/>
          <w:lang w:eastAsia="en-US"/>
        </w:rPr>
        <w:t>; and</w:t>
      </w:r>
      <w:r w:rsidRPr="00A506B5">
        <w:rPr>
          <w:rFonts w:eastAsia="Calibri"/>
          <w:lang w:eastAsia="en-US"/>
        </w:rPr>
        <w:t xml:space="preserve"> </w:t>
      </w:r>
    </w:p>
    <w:p w14:paraId="0926A706" w14:textId="278442B9" w:rsidR="00CE4AFA" w:rsidRPr="00A506B5" w:rsidRDefault="00CE4AFA" w:rsidP="00085B20">
      <w:pPr>
        <w:pStyle w:val="Dash"/>
        <w:rPr>
          <w:rFonts w:eastAsia="Calibri"/>
          <w:lang w:eastAsia="en-US"/>
        </w:rPr>
      </w:pPr>
      <w:r w:rsidRPr="00A506B5">
        <w:rPr>
          <w:rFonts w:eastAsia="Calibri"/>
          <w:lang w:eastAsia="en-US"/>
        </w:rPr>
        <w:lastRenderedPageBreak/>
        <w:t xml:space="preserve">that would be treated as equity interest under an Authorised </w:t>
      </w:r>
      <w:r w:rsidR="00697D6A" w:rsidRPr="00A506B5">
        <w:t>Financial Accounting Standard</w:t>
      </w:r>
      <w:r w:rsidR="00697D6A" w:rsidRPr="00A506B5" w:rsidDel="00697D6A">
        <w:rPr>
          <w:rFonts w:eastAsia="Calibri"/>
          <w:lang w:eastAsia="en-US"/>
        </w:rPr>
        <w:t xml:space="preserve"> </w:t>
      </w:r>
      <w:r w:rsidRPr="00A506B5">
        <w:rPr>
          <w:rFonts w:eastAsia="Calibri"/>
          <w:lang w:eastAsia="en-US"/>
        </w:rPr>
        <w:t>in the Tax Transparent Entity’s jurisdiction where the Tax Transparent Entity is not consolidated on a line</w:t>
      </w:r>
      <w:r w:rsidR="00760036" w:rsidRPr="00A506B5">
        <w:rPr>
          <w:rFonts w:eastAsia="Calibri"/>
          <w:lang w:eastAsia="en-US"/>
        </w:rPr>
        <w:noBreakHyphen/>
      </w:r>
      <w:r w:rsidRPr="00A506B5">
        <w:rPr>
          <w:rFonts w:eastAsia="Calibri"/>
          <w:lang w:eastAsia="en-US"/>
        </w:rPr>
        <w:t>by</w:t>
      </w:r>
      <w:r w:rsidR="00760036" w:rsidRPr="00A506B5">
        <w:rPr>
          <w:rFonts w:eastAsia="Calibri"/>
          <w:lang w:eastAsia="en-US"/>
        </w:rPr>
        <w:noBreakHyphen/>
      </w:r>
      <w:r w:rsidRPr="00A506B5">
        <w:rPr>
          <w:rFonts w:eastAsia="Calibri"/>
          <w:lang w:eastAsia="en-US"/>
        </w:rPr>
        <w:t xml:space="preserve">line basis in the </w:t>
      </w:r>
      <w:r w:rsidR="00A60EBC" w:rsidRPr="00A506B5">
        <w:rPr>
          <w:rFonts w:eastAsia="Calibri"/>
          <w:lang w:eastAsia="en-US"/>
        </w:rPr>
        <w:t>Consolidated Financial Statement (CFS)</w:t>
      </w:r>
      <w:r w:rsidRPr="00A506B5">
        <w:rPr>
          <w:rFonts w:eastAsia="Calibri"/>
          <w:lang w:eastAsia="en-US"/>
        </w:rPr>
        <w:t xml:space="preserve">; and </w:t>
      </w:r>
    </w:p>
    <w:p w14:paraId="2AE238D2" w14:textId="72565346" w:rsidR="00CE4AFA" w:rsidRDefault="00CE4AFA" w:rsidP="00E80A34">
      <w:pPr>
        <w:pStyle w:val="Bullet"/>
        <w:rPr>
          <w:rFonts w:eastAsia="Calibri"/>
          <w:lang w:eastAsia="en-US"/>
        </w:rPr>
      </w:pPr>
      <w:r w:rsidRPr="00447CB0">
        <w:rPr>
          <w:rFonts w:eastAsia="Calibri"/>
          <w:lang w:eastAsia="en-US"/>
        </w:rPr>
        <w:t xml:space="preserve">the total return </w:t>
      </w:r>
      <w:r w:rsidR="00447CB0" w:rsidRPr="00447CB0">
        <w:rPr>
          <w:rFonts w:eastAsia="Calibri"/>
          <w:lang w:eastAsia="en-US"/>
        </w:rPr>
        <w:t xml:space="preserve">with respect to that Ownership Interest (including distributions and benefits of tax losses and Qualified Refundable Tax Credits derived through the Tax Transparent Entity, but excluding tax credits other than Qualified Refundable Tax Credits) </w:t>
      </w:r>
      <w:r w:rsidRPr="00447CB0">
        <w:rPr>
          <w:rFonts w:eastAsia="Calibri"/>
          <w:lang w:eastAsia="en-US"/>
        </w:rPr>
        <w:t xml:space="preserve">is expected to be less than the total amount invested by the owner </w:t>
      </w:r>
      <w:r w:rsidR="000C7D01" w:rsidRPr="00447CB0">
        <w:rPr>
          <w:rFonts w:eastAsia="Calibri"/>
          <w:lang w:eastAsia="en-US"/>
        </w:rPr>
        <w:t>such</w:t>
      </w:r>
      <w:r w:rsidRPr="00447CB0">
        <w:rPr>
          <w:rFonts w:eastAsia="Calibri"/>
          <w:lang w:eastAsia="en-US"/>
        </w:rPr>
        <w:t xml:space="preserve"> that the portion of</w:t>
      </w:r>
      <w:r w:rsidR="00E92B4D">
        <w:rPr>
          <w:rFonts w:eastAsia="Calibri"/>
          <w:lang w:eastAsia="en-US"/>
        </w:rPr>
        <w:t xml:space="preserve"> the</w:t>
      </w:r>
      <w:r w:rsidRPr="00447CB0">
        <w:rPr>
          <w:rFonts w:eastAsia="Calibri"/>
          <w:lang w:eastAsia="en-US"/>
        </w:rPr>
        <w:t xml:space="preserve"> investment will be returned in the form of tax credits that are not </w:t>
      </w:r>
      <w:r w:rsidR="00E92B4D" w:rsidRPr="00447CB0">
        <w:rPr>
          <w:rFonts w:eastAsia="Calibri"/>
          <w:lang w:eastAsia="en-US"/>
        </w:rPr>
        <w:t>Qualified Refundable Tax Credits</w:t>
      </w:r>
      <w:r w:rsidRPr="00447CB0">
        <w:rPr>
          <w:rFonts w:eastAsia="Calibri"/>
          <w:lang w:eastAsia="en-US"/>
        </w:rPr>
        <w:t xml:space="preserve">. </w:t>
      </w:r>
      <w:r w:rsidR="00057799">
        <w:rPr>
          <w:rFonts w:eastAsia="Calibri"/>
          <w:lang w:eastAsia="en-US"/>
        </w:rPr>
        <w:t>This applies regardless</w:t>
      </w:r>
      <w:r w:rsidR="00057799" w:rsidRPr="00057799">
        <w:rPr>
          <w:rFonts w:eastAsia="Calibri"/>
          <w:lang w:eastAsia="en-US"/>
        </w:rPr>
        <w:t xml:space="preserve"> of whether such tax credits are expected to be transferred or used to reduce the investor’s Covered Tax liability</w:t>
      </w:r>
      <w:r w:rsidR="00057799">
        <w:rPr>
          <w:rFonts w:eastAsia="Calibri"/>
          <w:lang w:eastAsia="en-US"/>
        </w:rPr>
        <w:t xml:space="preserve">. </w:t>
      </w:r>
    </w:p>
    <w:p w14:paraId="5DF624D6" w14:textId="79F00CA9" w:rsidR="00057799" w:rsidRPr="00447CB0" w:rsidRDefault="00057799" w:rsidP="007950C8">
      <w:pPr>
        <w:pStyle w:val="Bullet"/>
        <w:numPr>
          <w:ilvl w:val="0"/>
          <w:numId w:val="0"/>
        </w:numPr>
        <w:rPr>
          <w:rFonts w:eastAsia="Calibri"/>
          <w:lang w:eastAsia="en-US"/>
        </w:rPr>
      </w:pPr>
      <w:r w:rsidRPr="00057799">
        <w:rPr>
          <w:rFonts w:eastAsia="Calibri"/>
          <w:lang w:eastAsia="en-US"/>
        </w:rPr>
        <w:t xml:space="preserve">The determination of the expected total return is made at the time the investment is entered into and is based on facts and circumstances, including the terms of the investment. An interest will not be considered a Qualified Ownership Interest unless the investor has a bona fide economic interest in the Flow-Through Entity and is not protected from loss of its investment. </w:t>
      </w:r>
      <w:r w:rsidR="00BC6D38">
        <w:rPr>
          <w:rFonts w:eastAsia="Calibri"/>
          <w:lang w:eastAsia="en-US"/>
        </w:rPr>
        <w:t>In addition</w:t>
      </w:r>
      <w:r w:rsidRPr="00057799">
        <w:rPr>
          <w:rFonts w:eastAsia="Calibri"/>
          <w:lang w:eastAsia="en-US"/>
        </w:rPr>
        <w:t xml:space="preserve">, an interest will not be considered a Qualified Ownership Interest where a jurisdiction only permits the benefits of tax credits to be transferred through such interests when the developer or investor is subject to the </w:t>
      </w:r>
      <w:r w:rsidR="004262E3">
        <w:rPr>
          <w:rFonts w:eastAsia="Calibri"/>
          <w:lang w:eastAsia="en-US"/>
        </w:rPr>
        <w:t xml:space="preserve">GloBE </w:t>
      </w:r>
      <w:r w:rsidRPr="00057799">
        <w:rPr>
          <w:rFonts w:eastAsia="Calibri"/>
          <w:lang w:eastAsia="en-US"/>
        </w:rPr>
        <w:t>Rules.</w:t>
      </w:r>
    </w:p>
    <w:p w14:paraId="43AA8723" w14:textId="69F9D214" w:rsidR="00CE4AFA" w:rsidRPr="00A506B5" w:rsidRDefault="00C514A3" w:rsidP="00A506B5">
      <w:pPr>
        <w:spacing w:before="0" w:after="160" w:line="256" w:lineRule="auto"/>
        <w:rPr>
          <w:rFonts w:eastAsia="Calibri"/>
          <w:iCs/>
          <w:kern w:val="2"/>
          <w:szCs w:val="24"/>
          <w:lang w:eastAsia="en-US"/>
        </w:rPr>
      </w:pPr>
      <w:r>
        <w:rPr>
          <w:rFonts w:eastAsia="Calibri"/>
          <w:iCs/>
          <w:kern w:val="2"/>
          <w:szCs w:val="24"/>
          <w:lang w:eastAsia="en-US"/>
        </w:rPr>
        <w:t xml:space="preserve">The amounts described in subsection 4-36(3) of the Amending Rules are </w:t>
      </w:r>
      <w:r w:rsidR="00CD3ABE">
        <w:rPr>
          <w:rFonts w:eastAsia="Calibri"/>
          <w:iCs/>
          <w:kern w:val="2"/>
          <w:szCs w:val="24"/>
          <w:lang w:eastAsia="en-US"/>
        </w:rPr>
        <w:t xml:space="preserve">a </w:t>
      </w:r>
      <w:r w:rsidR="00CD3ABE" w:rsidRPr="00D030F0">
        <w:rPr>
          <w:rFonts w:eastAsia="Calibri"/>
          <w:iCs/>
          <w:kern w:val="2"/>
          <w:szCs w:val="24"/>
          <w:lang w:eastAsia="en-US"/>
        </w:rPr>
        <w:t>qualified flow</w:t>
      </w:r>
      <w:r w:rsidR="00CD3ABE">
        <w:rPr>
          <w:rFonts w:eastAsia="Calibri"/>
          <w:iCs/>
          <w:kern w:val="2"/>
          <w:szCs w:val="24"/>
          <w:lang w:eastAsia="en-US"/>
        </w:rPr>
        <w:noBreakHyphen/>
      </w:r>
      <w:r w:rsidR="00CD3ABE" w:rsidRPr="00D030F0">
        <w:rPr>
          <w:rFonts w:eastAsia="Calibri"/>
          <w:iCs/>
          <w:kern w:val="2"/>
          <w:szCs w:val="24"/>
          <w:lang w:eastAsia="en-US"/>
        </w:rPr>
        <w:t>through tax benefit</w:t>
      </w:r>
      <w:r w:rsidR="00CD3ABE">
        <w:rPr>
          <w:rFonts w:eastAsia="Calibri"/>
          <w:iCs/>
          <w:kern w:val="2"/>
          <w:szCs w:val="24"/>
          <w:lang w:eastAsia="en-US"/>
        </w:rPr>
        <w:t xml:space="preserve"> and covers </w:t>
      </w:r>
      <w:r w:rsidR="00F57B70">
        <w:rPr>
          <w:rFonts w:eastAsia="Calibri"/>
          <w:iCs/>
          <w:kern w:val="2"/>
          <w:szCs w:val="24"/>
          <w:lang w:eastAsia="en-US"/>
        </w:rPr>
        <w:t xml:space="preserve">the following </w:t>
      </w:r>
      <w:r w:rsidR="002B3BEF">
        <w:rPr>
          <w:rFonts w:eastAsia="Calibri"/>
          <w:iCs/>
          <w:kern w:val="2"/>
          <w:szCs w:val="24"/>
          <w:lang w:eastAsia="en-US"/>
        </w:rPr>
        <w:t>amount</w:t>
      </w:r>
      <w:r w:rsidR="00F57B70">
        <w:rPr>
          <w:rFonts w:eastAsia="Calibri"/>
          <w:iCs/>
          <w:kern w:val="2"/>
          <w:szCs w:val="24"/>
          <w:lang w:eastAsia="en-US"/>
        </w:rPr>
        <w:t>s</w:t>
      </w:r>
      <w:r w:rsidR="002B3BEF">
        <w:rPr>
          <w:rFonts w:eastAsia="Calibri"/>
          <w:iCs/>
          <w:kern w:val="2"/>
          <w:szCs w:val="24"/>
          <w:lang w:eastAsia="en-US"/>
        </w:rPr>
        <w:t xml:space="preserve"> that </w:t>
      </w:r>
      <w:r w:rsidR="00F57B70">
        <w:rPr>
          <w:rFonts w:eastAsia="Calibri"/>
          <w:iCs/>
          <w:kern w:val="2"/>
          <w:szCs w:val="24"/>
          <w:lang w:eastAsia="en-US"/>
        </w:rPr>
        <w:t xml:space="preserve">are </w:t>
      </w:r>
      <w:r w:rsidR="002B3BEF">
        <w:rPr>
          <w:rFonts w:eastAsia="Calibri"/>
          <w:iCs/>
          <w:kern w:val="2"/>
          <w:szCs w:val="24"/>
          <w:lang w:eastAsia="en-US"/>
        </w:rPr>
        <w:t>not a</w:t>
      </w:r>
      <w:r w:rsidR="00F74B0F">
        <w:rPr>
          <w:rFonts w:eastAsia="Calibri"/>
          <w:iCs/>
          <w:kern w:val="2"/>
          <w:szCs w:val="24"/>
          <w:lang w:eastAsia="en-US"/>
        </w:rPr>
        <w:t xml:space="preserve"> </w:t>
      </w:r>
      <w:r w:rsidR="00F74B0F" w:rsidRPr="00F74B0F">
        <w:rPr>
          <w:rFonts w:eastAsia="Calibri"/>
          <w:iCs/>
          <w:kern w:val="2"/>
          <w:szCs w:val="24"/>
          <w:lang w:eastAsia="en-US"/>
        </w:rPr>
        <w:t>Qualified Refundable Tax Credit</w:t>
      </w:r>
      <w:r w:rsidR="00F57B70">
        <w:rPr>
          <w:rFonts w:eastAsia="Calibri"/>
          <w:iCs/>
          <w:kern w:val="2"/>
          <w:szCs w:val="24"/>
          <w:lang w:eastAsia="en-US"/>
        </w:rPr>
        <w:t xml:space="preserve"> and that </w:t>
      </w:r>
      <w:r w:rsidR="00F57B70" w:rsidRPr="00F57B70">
        <w:rPr>
          <w:rFonts w:eastAsia="Calibri"/>
          <w:iCs/>
          <w:kern w:val="2"/>
          <w:szCs w:val="24"/>
          <w:lang w:eastAsia="en-US"/>
        </w:rPr>
        <w:t>flow</w:t>
      </w:r>
      <w:r w:rsidR="00F57B70">
        <w:rPr>
          <w:rFonts w:eastAsia="Calibri"/>
          <w:iCs/>
          <w:kern w:val="2"/>
          <w:szCs w:val="24"/>
          <w:lang w:eastAsia="en-US"/>
        </w:rPr>
        <w:t>s</w:t>
      </w:r>
      <w:r w:rsidR="00F57B70" w:rsidRPr="00F57B70">
        <w:rPr>
          <w:rFonts w:eastAsia="Calibri"/>
          <w:iCs/>
          <w:kern w:val="2"/>
          <w:szCs w:val="24"/>
          <w:lang w:eastAsia="en-US"/>
        </w:rPr>
        <w:t xml:space="preserve"> through a qualified flow-through ownership interest to the extent it reduces the owner’s investment in the qualified flow-through ownership interest</w:t>
      </w:r>
      <w:r w:rsidR="00E75446">
        <w:rPr>
          <w:rFonts w:eastAsia="Calibri"/>
          <w:iCs/>
          <w:kern w:val="2"/>
          <w:szCs w:val="24"/>
          <w:lang w:eastAsia="en-US"/>
        </w:rPr>
        <w:t xml:space="preserve"> </w:t>
      </w:r>
      <w:r w:rsidR="00B76E22">
        <w:rPr>
          <w:rFonts w:eastAsia="Calibri"/>
          <w:iCs/>
          <w:kern w:val="2"/>
          <w:szCs w:val="24"/>
          <w:lang w:eastAsia="en-US"/>
        </w:rPr>
        <w:t>(but not below zero):</w:t>
      </w:r>
    </w:p>
    <w:p w14:paraId="000F220F" w14:textId="684FD0E3" w:rsidR="00CE4AFA" w:rsidRPr="00A506B5" w:rsidRDefault="00CE4AFA" w:rsidP="00A506B5">
      <w:pPr>
        <w:pStyle w:val="Bullet"/>
      </w:pPr>
      <w:r w:rsidRPr="00A506B5">
        <w:t xml:space="preserve">tax credits that have flowed through to the owner; </w:t>
      </w:r>
      <w:r w:rsidR="00676E51">
        <w:t>or</w:t>
      </w:r>
    </w:p>
    <w:p w14:paraId="5F9A52D8" w14:textId="3E6932E1" w:rsidR="00CE4AFA" w:rsidRPr="00A506B5" w:rsidRDefault="00CE4AFA" w:rsidP="00A506B5">
      <w:pPr>
        <w:pStyle w:val="Bullet"/>
      </w:pPr>
      <w:r w:rsidRPr="00A506B5">
        <w:t>tax-deductible losses that have flowed through to the owner multiplied by the domestic tax rate applicable to the owner</w:t>
      </w:r>
      <w:r w:rsidR="0075329D">
        <w:t>.</w:t>
      </w:r>
      <w:r w:rsidRPr="00A506B5">
        <w:t xml:space="preserve"> </w:t>
      </w:r>
    </w:p>
    <w:p w14:paraId="00123571" w14:textId="6CA11B42" w:rsidR="00CE4AFA" w:rsidRPr="00A506B5" w:rsidRDefault="00D35FFD" w:rsidP="00A506B5">
      <w:pPr>
        <w:spacing w:before="0" w:after="160" w:line="256" w:lineRule="auto"/>
        <w:rPr>
          <w:rFonts w:eastAsia="Calibri"/>
          <w:iCs/>
          <w:kern w:val="2"/>
          <w:szCs w:val="24"/>
          <w:lang w:eastAsia="en-US"/>
        </w:rPr>
      </w:pPr>
      <w:r>
        <w:rPr>
          <w:rFonts w:eastAsia="Calibri"/>
          <w:iCs/>
          <w:kern w:val="2"/>
          <w:szCs w:val="24"/>
          <w:lang w:eastAsia="en-US"/>
        </w:rPr>
        <w:t>Q</w:t>
      </w:r>
      <w:r w:rsidRPr="00A506B5">
        <w:rPr>
          <w:rFonts w:eastAsia="Calibri"/>
          <w:iCs/>
          <w:kern w:val="2"/>
          <w:szCs w:val="24"/>
          <w:lang w:eastAsia="en-US"/>
        </w:rPr>
        <w:t xml:space="preserve">ualified flow-through tax benefits </w:t>
      </w:r>
      <w:r w:rsidR="00CE4AFA" w:rsidRPr="00A506B5">
        <w:rPr>
          <w:rFonts w:eastAsia="Calibri"/>
          <w:iCs/>
          <w:kern w:val="2"/>
          <w:szCs w:val="24"/>
          <w:lang w:eastAsia="en-US"/>
        </w:rPr>
        <w:t>are a positive adjustment to Adjusted Covered Taxes of the</w:t>
      </w:r>
      <w:r w:rsidR="004F1F5E">
        <w:rPr>
          <w:rFonts w:eastAsia="Calibri"/>
          <w:iCs/>
          <w:kern w:val="2"/>
          <w:szCs w:val="24"/>
          <w:lang w:eastAsia="en-US"/>
        </w:rPr>
        <w:t xml:space="preserve"> direct</w:t>
      </w:r>
      <w:r w:rsidR="00CE4AFA" w:rsidRPr="00A506B5">
        <w:rPr>
          <w:rFonts w:eastAsia="Calibri"/>
          <w:iCs/>
          <w:kern w:val="2"/>
          <w:szCs w:val="24"/>
          <w:lang w:eastAsia="en-US"/>
        </w:rPr>
        <w:t xml:space="preserve"> owner of a</w:t>
      </w:r>
      <w:r w:rsidR="00917D93">
        <w:rPr>
          <w:rFonts w:eastAsia="Calibri"/>
          <w:iCs/>
          <w:kern w:val="2"/>
          <w:szCs w:val="24"/>
          <w:lang w:eastAsia="en-US"/>
        </w:rPr>
        <w:t xml:space="preserve"> Qualified Ownership Interest or an indirect</w:t>
      </w:r>
      <w:r w:rsidR="0030294A">
        <w:rPr>
          <w:rFonts w:eastAsia="Calibri"/>
          <w:iCs/>
          <w:kern w:val="2"/>
          <w:szCs w:val="24"/>
          <w:lang w:eastAsia="en-US"/>
        </w:rPr>
        <w:t xml:space="preserve"> owner of such an interest</w:t>
      </w:r>
      <w:r w:rsidR="00CE4AFA" w:rsidRPr="00A506B5">
        <w:rPr>
          <w:rFonts w:eastAsia="Calibri"/>
          <w:iCs/>
          <w:kern w:val="2"/>
          <w:szCs w:val="24"/>
          <w:lang w:eastAsia="en-US"/>
        </w:rPr>
        <w:t xml:space="preserve"> through a chain of Tax Transparent Entities, that are not </w:t>
      </w:r>
      <w:r w:rsidR="003B018C" w:rsidRPr="00A506B5">
        <w:rPr>
          <w:rFonts w:eastAsia="Calibri"/>
          <w:iCs/>
          <w:kern w:val="2"/>
          <w:szCs w:val="24"/>
          <w:lang w:eastAsia="en-US"/>
        </w:rPr>
        <w:t xml:space="preserve">Constituent Entities </w:t>
      </w:r>
      <w:r w:rsidR="00CE4AFA" w:rsidRPr="00A506B5">
        <w:rPr>
          <w:rFonts w:eastAsia="Calibri"/>
          <w:iCs/>
          <w:kern w:val="2"/>
          <w:szCs w:val="24"/>
          <w:lang w:eastAsia="en-US"/>
        </w:rPr>
        <w:t xml:space="preserve">of </w:t>
      </w:r>
      <w:r w:rsidR="00CF0933">
        <w:rPr>
          <w:rFonts w:eastAsia="Calibri"/>
          <w:iCs/>
          <w:kern w:val="2"/>
          <w:szCs w:val="24"/>
          <w:lang w:eastAsia="en-US"/>
        </w:rPr>
        <w:t>an</w:t>
      </w:r>
      <w:r w:rsidR="00CE4AFA" w:rsidRPr="00A506B5">
        <w:rPr>
          <w:rFonts w:eastAsia="Calibri"/>
          <w:iCs/>
          <w:kern w:val="2"/>
          <w:szCs w:val="24"/>
          <w:lang w:eastAsia="en-US"/>
        </w:rPr>
        <w:t xml:space="preserve"> </w:t>
      </w:r>
      <w:r w:rsidR="003B018C" w:rsidRPr="00A506B5">
        <w:rPr>
          <w:rFonts w:eastAsia="Calibri"/>
          <w:iCs/>
          <w:kern w:val="2"/>
          <w:szCs w:val="24"/>
          <w:lang w:eastAsia="en-US"/>
        </w:rPr>
        <w:t>MNE Group</w:t>
      </w:r>
      <w:r w:rsidR="00CE4AFA" w:rsidRPr="00A506B5">
        <w:rPr>
          <w:rFonts w:eastAsia="Calibri"/>
          <w:iCs/>
          <w:kern w:val="2"/>
          <w:szCs w:val="24"/>
          <w:lang w:eastAsia="en-US"/>
        </w:rPr>
        <w:t xml:space="preserve">, to the extent the </w:t>
      </w:r>
      <w:r w:rsidRPr="00A506B5">
        <w:rPr>
          <w:rFonts w:eastAsia="Calibri"/>
          <w:iCs/>
          <w:kern w:val="2"/>
          <w:szCs w:val="24"/>
          <w:lang w:eastAsia="en-US"/>
        </w:rPr>
        <w:t xml:space="preserve">qualified flow-through tax benefit </w:t>
      </w:r>
      <w:r w:rsidR="00CE4AFA" w:rsidRPr="00A506B5">
        <w:rPr>
          <w:rFonts w:eastAsia="Calibri"/>
          <w:iCs/>
          <w:kern w:val="2"/>
          <w:szCs w:val="24"/>
          <w:lang w:eastAsia="en-US"/>
        </w:rPr>
        <w:t xml:space="preserve">was treated for financial accounting purposes as reducing tax expense. </w:t>
      </w:r>
    </w:p>
    <w:p w14:paraId="213A3C7B" w14:textId="6EF708E6" w:rsidR="000E540D" w:rsidRPr="00A506B5" w:rsidRDefault="00CE4AFA" w:rsidP="00A506B5">
      <w:pPr>
        <w:spacing w:before="0" w:after="160" w:line="256" w:lineRule="auto"/>
        <w:rPr>
          <w:rFonts w:eastAsia="Calibri"/>
          <w:iCs/>
          <w:kern w:val="2"/>
          <w:szCs w:val="24"/>
          <w:lang w:eastAsia="en-US"/>
        </w:rPr>
      </w:pPr>
      <w:r w:rsidRPr="00A506B5">
        <w:rPr>
          <w:rFonts w:eastAsia="Calibri"/>
          <w:iCs/>
          <w:kern w:val="2"/>
          <w:szCs w:val="24"/>
          <w:lang w:eastAsia="en-US"/>
        </w:rPr>
        <w:t>If</w:t>
      </w:r>
      <w:r w:rsidR="005A45A6">
        <w:rPr>
          <w:rFonts w:eastAsia="Calibri"/>
          <w:iCs/>
          <w:kern w:val="2"/>
          <w:szCs w:val="24"/>
          <w:lang w:eastAsia="en-US"/>
        </w:rPr>
        <w:t>,</w:t>
      </w:r>
      <w:r w:rsidRPr="00A506B5">
        <w:rPr>
          <w:rFonts w:eastAsia="Calibri"/>
          <w:iCs/>
          <w:kern w:val="2"/>
          <w:szCs w:val="24"/>
          <w:lang w:eastAsia="en-US"/>
        </w:rPr>
        <w:t xml:space="preserve"> after the owner’s investment has been reduced</w:t>
      </w:r>
      <w:r w:rsidR="008B7FCD">
        <w:rPr>
          <w:rFonts w:eastAsia="Calibri"/>
          <w:iCs/>
          <w:kern w:val="2"/>
          <w:szCs w:val="24"/>
          <w:lang w:eastAsia="en-US"/>
        </w:rPr>
        <w:t xml:space="preserve"> to nil</w:t>
      </w:r>
      <w:r w:rsidRPr="00A506B5">
        <w:rPr>
          <w:rFonts w:eastAsia="Calibri"/>
          <w:iCs/>
          <w:kern w:val="2"/>
          <w:szCs w:val="24"/>
          <w:lang w:eastAsia="en-US"/>
        </w:rPr>
        <w:t xml:space="preserve">, an amount of </w:t>
      </w:r>
      <w:r w:rsidR="00C84A9D" w:rsidRPr="00A506B5">
        <w:rPr>
          <w:rFonts w:eastAsia="Calibri"/>
          <w:iCs/>
          <w:kern w:val="2"/>
          <w:szCs w:val="24"/>
          <w:lang w:eastAsia="en-US"/>
        </w:rPr>
        <w:t xml:space="preserve">qualified flow-through tax benefit </w:t>
      </w:r>
      <w:r w:rsidRPr="00A506B5">
        <w:rPr>
          <w:rFonts w:eastAsia="Calibri"/>
          <w:iCs/>
          <w:kern w:val="2"/>
          <w:szCs w:val="24"/>
          <w:lang w:eastAsia="en-US"/>
        </w:rPr>
        <w:t xml:space="preserve">flows through or is received in respect of the </w:t>
      </w:r>
      <w:r w:rsidR="00EF0226" w:rsidRPr="00A506B5">
        <w:t>qualified flow-through tax benefit</w:t>
      </w:r>
      <w:r w:rsidRPr="00A506B5">
        <w:rPr>
          <w:rFonts w:eastAsia="Calibri"/>
          <w:iCs/>
          <w:kern w:val="2"/>
          <w:szCs w:val="24"/>
          <w:lang w:eastAsia="en-US"/>
        </w:rPr>
        <w:t>, then a negative adjustment to Adjusted Covered Taxes is required</w:t>
      </w:r>
      <w:r w:rsidR="00A728C0">
        <w:rPr>
          <w:rFonts w:eastAsia="Calibri"/>
          <w:iCs/>
          <w:kern w:val="2"/>
          <w:szCs w:val="24"/>
          <w:lang w:eastAsia="en-US"/>
        </w:rPr>
        <w:t xml:space="preserve">, to the extent that excess is not already included as a negative </w:t>
      </w:r>
      <w:r w:rsidR="00000F9D">
        <w:rPr>
          <w:rFonts w:eastAsia="Calibri"/>
          <w:iCs/>
          <w:kern w:val="2"/>
          <w:szCs w:val="24"/>
          <w:lang w:eastAsia="en-US"/>
        </w:rPr>
        <w:t>amount in Adjusted Covered Taxes.</w:t>
      </w:r>
      <w:r w:rsidRPr="00A506B5">
        <w:rPr>
          <w:rFonts w:eastAsia="Calibri"/>
          <w:iCs/>
          <w:kern w:val="2"/>
          <w:szCs w:val="24"/>
          <w:lang w:eastAsia="en-US"/>
        </w:rPr>
        <w:t xml:space="preserve">  </w:t>
      </w:r>
    </w:p>
    <w:p w14:paraId="5598E2ED" w14:textId="2E617957" w:rsidR="00CE4AFA" w:rsidRPr="00A506B5" w:rsidRDefault="00FA6694" w:rsidP="00A506B5">
      <w:pPr>
        <w:spacing w:before="0" w:after="160" w:line="256" w:lineRule="auto"/>
        <w:rPr>
          <w:rFonts w:eastAsia="Calibri"/>
          <w:iCs/>
          <w:kern w:val="2"/>
          <w:szCs w:val="24"/>
          <w:lang w:eastAsia="en-US"/>
        </w:rPr>
      </w:pPr>
      <w:r>
        <w:rPr>
          <w:rFonts w:eastAsia="Calibri"/>
          <w:iCs/>
          <w:kern w:val="2"/>
          <w:szCs w:val="24"/>
          <w:lang w:eastAsia="en-US"/>
        </w:rPr>
        <w:t xml:space="preserve">However, if after the owner’s </w:t>
      </w:r>
      <w:r w:rsidR="008B58DA">
        <w:rPr>
          <w:rFonts w:eastAsia="Calibri"/>
          <w:iCs/>
          <w:kern w:val="2"/>
          <w:szCs w:val="24"/>
          <w:lang w:eastAsia="en-US"/>
        </w:rPr>
        <w:t>investment has been reduced to nil, any of</w:t>
      </w:r>
      <w:r w:rsidR="00CE4AFA" w:rsidRPr="00A506B5">
        <w:rPr>
          <w:rFonts w:eastAsia="Calibri"/>
          <w:iCs/>
          <w:kern w:val="2"/>
          <w:szCs w:val="24"/>
          <w:lang w:eastAsia="en-US"/>
        </w:rPr>
        <w:t xml:space="preserve"> the following </w:t>
      </w:r>
      <w:r w:rsidR="008B58DA">
        <w:rPr>
          <w:rFonts w:eastAsia="Calibri"/>
          <w:iCs/>
          <w:kern w:val="2"/>
          <w:szCs w:val="24"/>
          <w:lang w:eastAsia="en-US"/>
        </w:rPr>
        <w:t>items</w:t>
      </w:r>
      <w:r w:rsidR="00CE4AFA" w:rsidRPr="00A506B5">
        <w:rPr>
          <w:rFonts w:eastAsia="Calibri"/>
          <w:iCs/>
          <w:kern w:val="2"/>
          <w:szCs w:val="24"/>
          <w:lang w:eastAsia="en-US"/>
        </w:rPr>
        <w:t xml:space="preserve"> flowed through </w:t>
      </w:r>
      <w:r w:rsidR="00375F26">
        <w:rPr>
          <w:rFonts w:eastAsia="Calibri"/>
          <w:iCs/>
          <w:kern w:val="2"/>
          <w:szCs w:val="24"/>
          <w:lang w:eastAsia="en-US"/>
        </w:rPr>
        <w:t xml:space="preserve">or are received in respect of </w:t>
      </w:r>
      <w:r w:rsidR="00CE4AFA" w:rsidRPr="00A506B5">
        <w:rPr>
          <w:rFonts w:eastAsia="Calibri"/>
          <w:iCs/>
          <w:kern w:val="2"/>
          <w:szCs w:val="24"/>
          <w:lang w:eastAsia="en-US"/>
        </w:rPr>
        <w:t xml:space="preserve">the </w:t>
      </w:r>
      <w:r w:rsidR="00EF0226" w:rsidRPr="00A506B5">
        <w:t xml:space="preserve">qualified flow-through tax benefit: </w:t>
      </w:r>
    </w:p>
    <w:p w14:paraId="654684C0" w14:textId="77777777" w:rsidR="00CE4AFA" w:rsidRPr="00A506B5" w:rsidRDefault="00CE4AFA" w:rsidP="00A506B5">
      <w:pPr>
        <w:pStyle w:val="Bullet"/>
      </w:pPr>
      <w:r w:rsidRPr="00A506B5">
        <w:t xml:space="preserve">any distributions (including a return of capital) to the </w:t>
      </w:r>
      <w:proofErr w:type="gramStart"/>
      <w:r w:rsidRPr="00A506B5">
        <w:t>owner;</w:t>
      </w:r>
      <w:proofErr w:type="gramEnd"/>
      <w:r w:rsidRPr="00A506B5">
        <w:t xml:space="preserve"> </w:t>
      </w:r>
    </w:p>
    <w:p w14:paraId="5D5F9B61" w14:textId="77777777" w:rsidR="00CE4AFA" w:rsidRPr="00A506B5" w:rsidRDefault="00CE4AFA" w:rsidP="00A506B5">
      <w:pPr>
        <w:pStyle w:val="Bullet"/>
      </w:pPr>
      <w:r w:rsidRPr="00A506B5">
        <w:t xml:space="preserve">proceeds from a sale of all or part of the Qualified Ownership Interest; or </w:t>
      </w:r>
    </w:p>
    <w:p w14:paraId="0A56633B" w14:textId="77777777" w:rsidR="00617DD1" w:rsidRPr="00A506B5" w:rsidRDefault="00CE4AFA" w:rsidP="00A506B5">
      <w:pPr>
        <w:pStyle w:val="Bullet"/>
      </w:pPr>
      <w:r w:rsidRPr="00A506B5">
        <w:t>Qualified Refundable Tax Credit</w:t>
      </w:r>
      <w:r w:rsidR="000E540D" w:rsidRPr="00A506B5">
        <w:t xml:space="preserve">, </w:t>
      </w:r>
      <w:r w:rsidRPr="00A506B5">
        <w:t xml:space="preserve"> </w:t>
      </w:r>
    </w:p>
    <w:p w14:paraId="7458D767" w14:textId="30D9BD4A" w:rsidR="00B53EA1" w:rsidRDefault="000E540D" w:rsidP="00A506B5">
      <w:pPr>
        <w:spacing w:after="160" w:line="256" w:lineRule="auto"/>
        <w:rPr>
          <w:rFonts w:eastAsia="Calibri"/>
          <w:iCs/>
          <w:kern w:val="2"/>
          <w:szCs w:val="24"/>
          <w:lang w:eastAsia="en-US"/>
        </w:rPr>
      </w:pPr>
      <w:r w:rsidRPr="00A506B5">
        <w:rPr>
          <w:iCs/>
          <w:szCs w:val="24"/>
        </w:rPr>
        <w:lastRenderedPageBreak/>
        <w:t xml:space="preserve">then, </w:t>
      </w:r>
      <w:r w:rsidRPr="00A506B5">
        <w:rPr>
          <w:rFonts w:eastAsia="Calibri"/>
          <w:iCs/>
          <w:kern w:val="2"/>
          <w:szCs w:val="24"/>
          <w:lang w:eastAsia="en-US"/>
        </w:rPr>
        <w:t>a</w:t>
      </w:r>
      <w:r w:rsidR="00CE4AFA" w:rsidRPr="00A506B5">
        <w:rPr>
          <w:rFonts w:eastAsia="Calibri"/>
          <w:iCs/>
          <w:kern w:val="2"/>
          <w:szCs w:val="24"/>
          <w:lang w:eastAsia="en-US"/>
        </w:rPr>
        <w:t xml:space="preserve"> negative adjustment to adjusted covered taxes is only </w:t>
      </w:r>
      <w:r w:rsidR="007332F3">
        <w:rPr>
          <w:rFonts w:eastAsia="Calibri"/>
          <w:iCs/>
          <w:kern w:val="2"/>
          <w:szCs w:val="24"/>
          <w:lang w:eastAsia="en-US"/>
        </w:rPr>
        <w:t>made</w:t>
      </w:r>
      <w:r w:rsidR="00CE4AFA" w:rsidRPr="00A506B5">
        <w:rPr>
          <w:rFonts w:eastAsia="Calibri"/>
          <w:iCs/>
          <w:kern w:val="2"/>
          <w:szCs w:val="24"/>
          <w:lang w:eastAsia="en-US"/>
        </w:rPr>
        <w:t xml:space="preserve"> to the extent </w:t>
      </w:r>
      <w:r w:rsidR="007332F3">
        <w:rPr>
          <w:rFonts w:eastAsia="Calibri"/>
          <w:iCs/>
          <w:kern w:val="2"/>
          <w:szCs w:val="24"/>
          <w:lang w:eastAsia="en-US"/>
        </w:rPr>
        <w:t>of any addition to the Constituent Entity’s</w:t>
      </w:r>
      <w:r w:rsidR="00CE4AFA" w:rsidRPr="00A506B5">
        <w:rPr>
          <w:rFonts w:eastAsia="Calibri"/>
          <w:iCs/>
          <w:kern w:val="2"/>
          <w:szCs w:val="24"/>
          <w:lang w:eastAsia="en-US"/>
        </w:rPr>
        <w:t xml:space="preserve"> Adjusted Covered Taxes</w:t>
      </w:r>
      <w:r w:rsidR="006E6162">
        <w:rPr>
          <w:rFonts w:eastAsia="Calibri"/>
          <w:iCs/>
          <w:kern w:val="2"/>
          <w:szCs w:val="24"/>
          <w:lang w:eastAsia="en-US"/>
        </w:rPr>
        <w:t xml:space="preserve"> under subsection 4-36(2)</w:t>
      </w:r>
      <w:r w:rsidR="003F30E6">
        <w:rPr>
          <w:rFonts w:eastAsia="Calibri"/>
          <w:iCs/>
          <w:kern w:val="2"/>
          <w:szCs w:val="24"/>
          <w:lang w:eastAsia="en-US"/>
        </w:rPr>
        <w:t xml:space="preserve"> of the Amending Rules</w:t>
      </w:r>
      <w:r w:rsidR="00CE4AFA" w:rsidRPr="00A506B5">
        <w:rPr>
          <w:rFonts w:eastAsia="Calibri"/>
          <w:iCs/>
          <w:kern w:val="2"/>
          <w:szCs w:val="24"/>
          <w:lang w:eastAsia="en-US"/>
        </w:rPr>
        <w:t xml:space="preserve">. </w:t>
      </w:r>
    </w:p>
    <w:p w14:paraId="2424C5B1" w14:textId="2CD74FF7" w:rsidR="002F3C8D" w:rsidRPr="00486F0A" w:rsidRDefault="002F3C8D" w:rsidP="002F3C8D">
      <w:pPr>
        <w:pStyle w:val="Bullet"/>
        <w:numPr>
          <w:ilvl w:val="0"/>
          <w:numId w:val="0"/>
        </w:numPr>
        <w:rPr>
          <w:rFonts w:eastAsia="Calibri"/>
          <w:lang w:eastAsia="en-US"/>
        </w:rPr>
      </w:pPr>
      <w:r w:rsidRPr="00486F0A">
        <w:rPr>
          <w:rFonts w:eastAsia="Calibri"/>
          <w:lang w:eastAsia="en-US"/>
        </w:rPr>
        <w:t xml:space="preserve">Subsection 4-36(6) </w:t>
      </w:r>
      <w:r>
        <w:rPr>
          <w:rFonts w:eastAsia="Calibri"/>
          <w:lang w:eastAsia="en-US"/>
        </w:rPr>
        <w:t>of the Amending Rules operates so that there is no double counting of the tax expense in Adjusted Covered Taxes</w:t>
      </w:r>
      <w:r w:rsidR="00A50B4D">
        <w:rPr>
          <w:rFonts w:eastAsia="Calibri"/>
          <w:lang w:eastAsia="en-US"/>
        </w:rPr>
        <w:t xml:space="preserve"> and</w:t>
      </w:r>
      <w:r w:rsidR="00370EE0">
        <w:rPr>
          <w:rFonts w:eastAsia="Calibri"/>
          <w:lang w:eastAsia="en-US"/>
        </w:rPr>
        <w:t xml:space="preserve"> </w:t>
      </w:r>
      <w:r w:rsidR="00170E78">
        <w:rPr>
          <w:rFonts w:eastAsia="Calibri"/>
          <w:lang w:eastAsia="en-US"/>
        </w:rPr>
        <w:t xml:space="preserve">a reduction can only be made if there is </w:t>
      </w:r>
      <w:proofErr w:type="gramStart"/>
      <w:r w:rsidR="00170E78">
        <w:rPr>
          <w:rFonts w:eastAsia="Calibri"/>
          <w:lang w:eastAsia="en-US"/>
        </w:rPr>
        <w:t>an</w:t>
      </w:r>
      <w:proofErr w:type="gramEnd"/>
      <w:r w:rsidR="00170E78">
        <w:rPr>
          <w:rFonts w:eastAsia="Calibri"/>
          <w:lang w:eastAsia="en-US"/>
        </w:rPr>
        <w:t xml:space="preserve"> positive amount of</w:t>
      </w:r>
      <w:r>
        <w:rPr>
          <w:rFonts w:eastAsia="Calibri"/>
          <w:lang w:eastAsia="en-US"/>
        </w:rPr>
        <w:t xml:space="preserve"> a qualified refundable tax credit,</w:t>
      </w:r>
      <w:r w:rsidR="00370EE0">
        <w:rPr>
          <w:rFonts w:eastAsia="Calibri"/>
          <w:lang w:eastAsia="en-US"/>
        </w:rPr>
        <w:t xml:space="preserve"> </w:t>
      </w:r>
      <w:r w:rsidR="003E01D6">
        <w:rPr>
          <w:rFonts w:eastAsia="Calibri"/>
          <w:lang w:eastAsia="en-US"/>
        </w:rPr>
        <w:t>distribution or proceeds from sale</w:t>
      </w:r>
      <w:r w:rsidR="00A50B4D">
        <w:rPr>
          <w:rFonts w:eastAsia="Calibri"/>
          <w:lang w:eastAsia="en-US"/>
        </w:rPr>
        <w:t>.</w:t>
      </w:r>
      <w:r>
        <w:rPr>
          <w:rFonts w:eastAsia="Calibri"/>
          <w:lang w:eastAsia="en-US"/>
        </w:rPr>
        <w:t xml:space="preserve"> </w:t>
      </w:r>
      <w:r w:rsidR="00A31CA4">
        <w:rPr>
          <w:rFonts w:eastAsia="Calibri"/>
          <w:lang w:eastAsia="en-US"/>
        </w:rPr>
        <w:t>T</w:t>
      </w:r>
      <w:r w:rsidRPr="00486F0A">
        <w:rPr>
          <w:rFonts w:eastAsia="Calibri"/>
          <w:lang w:eastAsia="en-US"/>
        </w:rPr>
        <w:t>o the extent the excess relates to an item already included Adjusted Covered Taxes</w:t>
      </w:r>
      <w:r w:rsidR="00A50B4D">
        <w:rPr>
          <w:rFonts w:eastAsia="Calibri"/>
          <w:lang w:eastAsia="en-US"/>
        </w:rPr>
        <w:t xml:space="preserve">, </w:t>
      </w:r>
      <w:r w:rsidRPr="00486F0A">
        <w:rPr>
          <w:rFonts w:eastAsia="Calibri"/>
          <w:lang w:eastAsia="en-US"/>
        </w:rPr>
        <w:t xml:space="preserve">such as a non-refundable tax credit, or a tax </w:t>
      </w:r>
      <w:proofErr w:type="spellStart"/>
      <w:r w:rsidRPr="00486F0A">
        <w:rPr>
          <w:rFonts w:eastAsia="Calibri"/>
          <w:lang w:eastAsia="en-US"/>
        </w:rPr>
        <w:t>deducible</w:t>
      </w:r>
      <w:proofErr w:type="spellEnd"/>
      <w:r w:rsidRPr="00486F0A">
        <w:rPr>
          <w:rFonts w:eastAsia="Calibri"/>
          <w:lang w:eastAsia="en-US"/>
        </w:rPr>
        <w:t xml:space="preserve"> loss, </w:t>
      </w:r>
      <w:r w:rsidR="00F70F4F">
        <w:rPr>
          <w:rFonts w:eastAsia="Calibri"/>
          <w:lang w:eastAsia="en-US"/>
        </w:rPr>
        <w:t xml:space="preserve">a </w:t>
      </w:r>
      <w:r w:rsidRPr="00486F0A">
        <w:rPr>
          <w:rFonts w:eastAsia="Calibri"/>
          <w:lang w:eastAsia="en-US"/>
        </w:rPr>
        <w:t xml:space="preserve">separate </w:t>
      </w:r>
      <w:r w:rsidR="00F70F4F">
        <w:rPr>
          <w:rFonts w:eastAsia="Calibri"/>
          <w:lang w:eastAsia="en-US"/>
        </w:rPr>
        <w:t>subtraction under subsection 4-36</w:t>
      </w:r>
      <w:r w:rsidRPr="00486F0A">
        <w:rPr>
          <w:rFonts w:eastAsia="Calibri"/>
          <w:lang w:eastAsia="en-US"/>
        </w:rPr>
        <w:t>(4)</w:t>
      </w:r>
      <w:r w:rsidR="00F70F4F">
        <w:rPr>
          <w:rFonts w:eastAsia="Calibri"/>
          <w:lang w:eastAsia="en-US"/>
        </w:rPr>
        <w:t xml:space="preserve"> cannot also be</w:t>
      </w:r>
      <w:r w:rsidR="00E87379">
        <w:rPr>
          <w:rFonts w:eastAsia="Calibri"/>
          <w:lang w:eastAsia="en-US"/>
        </w:rPr>
        <w:t xml:space="preserve"> made</w:t>
      </w:r>
      <w:r w:rsidRPr="00486F0A">
        <w:rPr>
          <w:rFonts w:eastAsia="Calibri"/>
          <w:lang w:eastAsia="en-US"/>
        </w:rPr>
        <w:t>.</w:t>
      </w:r>
    </w:p>
    <w:p w14:paraId="057C2BC1" w14:textId="19571418" w:rsidR="006E6162" w:rsidRDefault="0041406A" w:rsidP="00A506B5">
      <w:pPr>
        <w:spacing w:after="160" w:line="256" w:lineRule="auto"/>
        <w:rPr>
          <w:rFonts w:eastAsia="Calibri"/>
          <w:iCs/>
          <w:kern w:val="2"/>
          <w:szCs w:val="24"/>
          <w:lang w:eastAsia="en-US"/>
        </w:rPr>
      </w:pPr>
      <w:r>
        <w:rPr>
          <w:rFonts w:eastAsia="Calibri"/>
          <w:iCs/>
          <w:kern w:val="2"/>
          <w:szCs w:val="24"/>
          <w:lang w:eastAsia="en-US"/>
        </w:rPr>
        <w:t xml:space="preserve">An </w:t>
      </w:r>
      <w:r w:rsidR="00535C33">
        <w:rPr>
          <w:rFonts w:eastAsia="Calibri"/>
          <w:iCs/>
          <w:kern w:val="2"/>
          <w:szCs w:val="24"/>
          <w:lang w:eastAsia="en-US"/>
        </w:rPr>
        <w:t>owner’s investment in a qualified flow-through ownership interest is treated as reduced by receipts</w:t>
      </w:r>
      <w:r w:rsidR="00CD0308">
        <w:rPr>
          <w:rFonts w:eastAsia="Calibri"/>
          <w:iCs/>
          <w:kern w:val="2"/>
          <w:szCs w:val="24"/>
          <w:lang w:eastAsia="en-US"/>
        </w:rPr>
        <w:t xml:space="preserve"> with respect to the following items:</w:t>
      </w:r>
    </w:p>
    <w:p w14:paraId="77AC9159" w14:textId="02CBC910" w:rsidR="00CD0308" w:rsidRDefault="00CD0308" w:rsidP="00CD0308">
      <w:pPr>
        <w:pStyle w:val="Bullet"/>
        <w:rPr>
          <w:rFonts w:eastAsia="Calibri"/>
          <w:lang w:eastAsia="en-US"/>
        </w:rPr>
      </w:pPr>
      <w:r>
        <w:rPr>
          <w:rFonts w:eastAsia="Calibri"/>
          <w:lang w:eastAsia="en-US"/>
        </w:rPr>
        <w:t xml:space="preserve">tax credits that have flowed through to the </w:t>
      </w:r>
      <w:proofErr w:type="gramStart"/>
      <w:r>
        <w:rPr>
          <w:rFonts w:eastAsia="Calibri"/>
          <w:lang w:eastAsia="en-US"/>
        </w:rPr>
        <w:t>owner;</w:t>
      </w:r>
      <w:proofErr w:type="gramEnd"/>
    </w:p>
    <w:p w14:paraId="531C6668" w14:textId="7CACBE40" w:rsidR="00CD0308" w:rsidRDefault="001731DA" w:rsidP="00CD0308">
      <w:pPr>
        <w:pStyle w:val="Bullet"/>
        <w:rPr>
          <w:rFonts w:eastAsia="Calibri"/>
          <w:lang w:eastAsia="en-US"/>
        </w:rPr>
      </w:pPr>
      <w:r>
        <w:rPr>
          <w:rFonts w:eastAsia="Calibri"/>
          <w:lang w:eastAsia="en-US"/>
        </w:rPr>
        <w:t xml:space="preserve">tax-deductible losses that have flowed through to the owner multiplied by the domestic tax rate applicable to the </w:t>
      </w:r>
      <w:proofErr w:type="gramStart"/>
      <w:r>
        <w:rPr>
          <w:rFonts w:eastAsia="Calibri"/>
          <w:lang w:eastAsia="en-US"/>
        </w:rPr>
        <w:t>owner</w:t>
      </w:r>
      <w:r w:rsidR="00004C54">
        <w:rPr>
          <w:rFonts w:eastAsia="Calibri"/>
          <w:lang w:eastAsia="en-US"/>
        </w:rPr>
        <w:t>;</w:t>
      </w:r>
      <w:proofErr w:type="gramEnd"/>
    </w:p>
    <w:p w14:paraId="783FF881" w14:textId="41D6D221" w:rsidR="00004C54" w:rsidRDefault="00004C54" w:rsidP="00CD0308">
      <w:pPr>
        <w:pStyle w:val="Bullet"/>
        <w:rPr>
          <w:rFonts w:eastAsia="Calibri"/>
          <w:lang w:eastAsia="en-US"/>
        </w:rPr>
      </w:pPr>
      <w:r>
        <w:rPr>
          <w:rFonts w:eastAsia="Calibri"/>
          <w:lang w:eastAsia="en-US"/>
        </w:rPr>
        <w:t>any distributions (including a return of capital) to the owner; or</w:t>
      </w:r>
    </w:p>
    <w:p w14:paraId="0F20C4AE" w14:textId="66E2AB2E" w:rsidR="00004C54" w:rsidRDefault="00004C54" w:rsidP="00CD0308">
      <w:pPr>
        <w:pStyle w:val="Bullet"/>
        <w:rPr>
          <w:rFonts w:eastAsia="Calibri"/>
          <w:lang w:eastAsia="en-US"/>
        </w:rPr>
      </w:pPr>
      <w:r>
        <w:rPr>
          <w:rFonts w:eastAsia="Calibri"/>
          <w:lang w:eastAsia="en-US"/>
        </w:rPr>
        <w:t>any proceeds from a sale of all or part of the qualified flow-through ownership interest.</w:t>
      </w:r>
    </w:p>
    <w:p w14:paraId="64CEAAA3" w14:textId="27334132" w:rsidR="00CE4AFA" w:rsidRPr="00A506B5" w:rsidRDefault="00C86587" w:rsidP="00485014">
      <w:pPr>
        <w:keepNext/>
        <w:spacing w:after="160" w:line="257" w:lineRule="auto"/>
        <w:rPr>
          <w:rFonts w:eastAsia="Calibri"/>
          <w:b/>
          <w:bCs/>
          <w:kern w:val="2"/>
          <w:szCs w:val="24"/>
          <w:lang w:eastAsia="en-US"/>
        </w:rPr>
      </w:pPr>
      <w:r w:rsidRPr="00A506B5">
        <w:rPr>
          <w:rFonts w:eastAsia="Calibri"/>
          <w:b/>
          <w:bCs/>
          <w:kern w:val="2"/>
          <w:szCs w:val="24"/>
          <w:lang w:eastAsia="en-US"/>
        </w:rPr>
        <w:t>Modified treatment for</w:t>
      </w:r>
      <w:r w:rsidR="00CE4AFA" w:rsidRPr="00A506B5">
        <w:rPr>
          <w:rFonts w:eastAsia="Calibri"/>
          <w:b/>
          <w:bCs/>
          <w:kern w:val="2"/>
          <w:szCs w:val="24"/>
          <w:lang w:eastAsia="en-US"/>
        </w:rPr>
        <w:t xml:space="preserve"> </w:t>
      </w:r>
      <w:r w:rsidRPr="00A506B5">
        <w:rPr>
          <w:rFonts w:eastAsia="Calibri"/>
          <w:b/>
          <w:bCs/>
          <w:kern w:val="2"/>
          <w:szCs w:val="24"/>
          <w:lang w:eastAsia="en-US"/>
        </w:rPr>
        <w:t>p</w:t>
      </w:r>
      <w:r w:rsidR="00CE4AFA" w:rsidRPr="00A506B5">
        <w:rPr>
          <w:rFonts w:eastAsia="Calibri"/>
          <w:b/>
          <w:bCs/>
          <w:kern w:val="2"/>
          <w:szCs w:val="24"/>
          <w:lang w:eastAsia="en-US"/>
        </w:rPr>
        <w:t>roportional amorti</w:t>
      </w:r>
      <w:r w:rsidR="002A47E2" w:rsidRPr="00A506B5">
        <w:rPr>
          <w:rFonts w:eastAsia="Calibri"/>
          <w:b/>
          <w:bCs/>
          <w:kern w:val="2"/>
          <w:szCs w:val="24"/>
          <w:lang w:eastAsia="en-US"/>
        </w:rPr>
        <w:t>s</w:t>
      </w:r>
      <w:r w:rsidR="00CE4AFA" w:rsidRPr="00A506B5">
        <w:rPr>
          <w:rFonts w:eastAsia="Calibri"/>
          <w:b/>
          <w:bCs/>
          <w:kern w:val="2"/>
          <w:szCs w:val="24"/>
          <w:lang w:eastAsia="en-US"/>
        </w:rPr>
        <w:t xml:space="preserve">ation method accounting </w:t>
      </w:r>
    </w:p>
    <w:p w14:paraId="67750C59" w14:textId="64341C69" w:rsidR="00CE4AFA" w:rsidRPr="00A506B5" w:rsidRDefault="00507AE4" w:rsidP="00D31C80">
      <w:pPr>
        <w:spacing w:before="0" w:after="160" w:line="256" w:lineRule="auto"/>
        <w:rPr>
          <w:rFonts w:eastAsia="Calibri"/>
          <w:kern w:val="2"/>
          <w:szCs w:val="24"/>
          <w:lang w:eastAsia="en-US"/>
        </w:rPr>
      </w:pPr>
      <w:r>
        <w:rPr>
          <w:rFonts w:eastAsia="Calibri"/>
          <w:kern w:val="2"/>
          <w:szCs w:val="24"/>
          <w:lang w:eastAsia="en-US"/>
        </w:rPr>
        <w:t>Section 4-38 of the Amending Rules outlines</w:t>
      </w:r>
      <w:r w:rsidR="00C658DE">
        <w:rPr>
          <w:rFonts w:eastAsia="Calibri"/>
          <w:kern w:val="2"/>
          <w:szCs w:val="24"/>
          <w:lang w:eastAsia="en-US"/>
        </w:rPr>
        <w:t xml:space="preserve"> the</w:t>
      </w:r>
      <w:r>
        <w:rPr>
          <w:rFonts w:eastAsia="Calibri"/>
          <w:kern w:val="2"/>
          <w:szCs w:val="24"/>
          <w:lang w:eastAsia="en-US"/>
        </w:rPr>
        <w:t xml:space="preserve"> </w:t>
      </w:r>
      <w:r w:rsidR="00D31C80">
        <w:rPr>
          <w:rFonts w:eastAsia="Calibri"/>
          <w:kern w:val="2"/>
          <w:szCs w:val="24"/>
          <w:lang w:eastAsia="en-US"/>
        </w:rPr>
        <w:t xml:space="preserve">mandatory tax treatment where </w:t>
      </w:r>
      <w:r w:rsidR="00CE4AFA" w:rsidRPr="00A506B5">
        <w:rPr>
          <w:rFonts w:eastAsia="Calibri"/>
          <w:kern w:val="2"/>
          <w:szCs w:val="24"/>
          <w:lang w:eastAsia="en-US"/>
        </w:rPr>
        <w:t xml:space="preserve">an investor </w:t>
      </w:r>
      <w:r w:rsidR="00B616B6" w:rsidRPr="00A506B5">
        <w:rPr>
          <w:rFonts w:eastAsia="Calibri"/>
          <w:kern w:val="2"/>
          <w:szCs w:val="24"/>
          <w:lang w:eastAsia="en-US"/>
        </w:rPr>
        <w:t xml:space="preserve">with </w:t>
      </w:r>
      <w:r w:rsidR="00CE4AFA" w:rsidRPr="00A506B5">
        <w:rPr>
          <w:rFonts w:eastAsia="Calibri"/>
          <w:kern w:val="2"/>
          <w:szCs w:val="24"/>
          <w:lang w:eastAsia="en-US"/>
        </w:rPr>
        <w:t xml:space="preserve">a </w:t>
      </w:r>
      <w:r w:rsidR="00651189" w:rsidRPr="00A506B5">
        <w:rPr>
          <w:rFonts w:eastAsia="Calibri"/>
          <w:kern w:val="2"/>
          <w:szCs w:val="24"/>
          <w:lang w:eastAsia="en-US"/>
        </w:rPr>
        <w:t xml:space="preserve">qualified flow-through ownership interest </w:t>
      </w:r>
      <w:r w:rsidR="00CE4AFA" w:rsidRPr="00A506B5">
        <w:rPr>
          <w:rFonts w:eastAsia="Calibri"/>
          <w:kern w:val="2"/>
          <w:szCs w:val="24"/>
          <w:lang w:eastAsia="en-US"/>
        </w:rPr>
        <w:t>uses the proportional amortization method of accounting</w:t>
      </w:r>
      <w:r w:rsidR="00D31C80">
        <w:rPr>
          <w:rFonts w:eastAsia="Calibri"/>
          <w:kern w:val="2"/>
          <w:szCs w:val="24"/>
          <w:lang w:eastAsia="en-US"/>
        </w:rPr>
        <w:t xml:space="preserve"> to determine</w:t>
      </w:r>
      <w:r w:rsidR="00CE4AFA" w:rsidRPr="00A506B5">
        <w:rPr>
          <w:rFonts w:eastAsia="Calibri"/>
          <w:kern w:val="2"/>
          <w:szCs w:val="24"/>
          <w:lang w:eastAsia="en-US"/>
        </w:rPr>
        <w:t xml:space="preserve"> the amount of the investment that is recovered each year</w:t>
      </w:r>
      <w:r w:rsidR="00D31C80">
        <w:rPr>
          <w:rFonts w:eastAsia="Calibri"/>
          <w:kern w:val="2"/>
          <w:szCs w:val="24"/>
          <w:lang w:eastAsia="en-US"/>
        </w:rPr>
        <w:t>. S</w:t>
      </w:r>
      <w:r w:rsidR="006D7A8C">
        <w:rPr>
          <w:rFonts w:eastAsia="Calibri"/>
          <w:kern w:val="2"/>
          <w:szCs w:val="24"/>
          <w:lang w:eastAsia="en-US"/>
        </w:rPr>
        <w:t xml:space="preserve">ubsection </w:t>
      </w:r>
      <w:r w:rsidR="003474F8">
        <w:rPr>
          <w:rFonts w:eastAsia="Calibri"/>
          <w:kern w:val="2"/>
          <w:szCs w:val="24"/>
          <w:lang w:eastAsia="en-US"/>
        </w:rPr>
        <w:t>3-32(</w:t>
      </w:r>
      <w:r w:rsidR="0036342E">
        <w:rPr>
          <w:rFonts w:eastAsia="Calibri"/>
          <w:kern w:val="2"/>
          <w:szCs w:val="24"/>
          <w:lang w:eastAsia="en-US"/>
        </w:rPr>
        <w:t>3)</w:t>
      </w:r>
      <w:r w:rsidR="003474F8">
        <w:rPr>
          <w:rFonts w:eastAsia="Calibri"/>
          <w:kern w:val="2"/>
          <w:szCs w:val="24"/>
          <w:lang w:eastAsia="en-US"/>
        </w:rPr>
        <w:t xml:space="preserve"> </w:t>
      </w:r>
      <w:r w:rsidR="003E40E3">
        <w:rPr>
          <w:rFonts w:eastAsia="Calibri"/>
          <w:kern w:val="2"/>
          <w:szCs w:val="24"/>
          <w:lang w:eastAsia="en-US"/>
        </w:rPr>
        <w:t xml:space="preserve">of the Amending Rules </w:t>
      </w:r>
      <w:r w:rsidR="003474F8">
        <w:rPr>
          <w:rFonts w:eastAsia="Calibri"/>
          <w:kern w:val="2"/>
          <w:szCs w:val="24"/>
          <w:lang w:eastAsia="en-US"/>
        </w:rPr>
        <w:t xml:space="preserve">outlines that the rule </w:t>
      </w:r>
      <w:r w:rsidR="00D31C80">
        <w:rPr>
          <w:rFonts w:eastAsia="Calibri"/>
          <w:kern w:val="2"/>
          <w:szCs w:val="24"/>
          <w:lang w:eastAsia="en-US"/>
        </w:rPr>
        <w:t>only applies</w:t>
      </w:r>
      <w:r w:rsidR="000B7032">
        <w:rPr>
          <w:rFonts w:eastAsia="Calibri"/>
          <w:kern w:val="2"/>
          <w:szCs w:val="24"/>
          <w:lang w:eastAsia="en-US"/>
        </w:rPr>
        <w:t xml:space="preserve"> where the investor is subject to an Equity Investment Inclusion Election for the Fiscal Year.</w:t>
      </w:r>
    </w:p>
    <w:p w14:paraId="1067AA12" w14:textId="4179F61F" w:rsidR="00CE4AFA" w:rsidRPr="00A506B5" w:rsidRDefault="00CE4AFA" w:rsidP="00A506B5">
      <w:pPr>
        <w:spacing w:before="0" w:after="160" w:line="256" w:lineRule="auto"/>
        <w:rPr>
          <w:rFonts w:eastAsia="Calibri"/>
          <w:kern w:val="2"/>
          <w:szCs w:val="24"/>
          <w:lang w:eastAsia="en-US"/>
        </w:rPr>
      </w:pPr>
      <w:r w:rsidRPr="00A506B5">
        <w:rPr>
          <w:rFonts w:eastAsia="Calibri"/>
          <w:kern w:val="2"/>
          <w:szCs w:val="24"/>
          <w:lang w:eastAsia="en-US"/>
        </w:rPr>
        <w:t xml:space="preserve">It is optional for an investor in a </w:t>
      </w:r>
      <w:r w:rsidR="00A71066">
        <w:rPr>
          <w:rFonts w:eastAsia="Calibri"/>
          <w:kern w:val="2"/>
          <w:szCs w:val="24"/>
          <w:lang w:eastAsia="en-US"/>
        </w:rPr>
        <w:t xml:space="preserve">qualified flow-through ownership interest </w:t>
      </w:r>
      <w:r w:rsidRPr="00A506B5">
        <w:rPr>
          <w:rFonts w:eastAsia="Calibri"/>
          <w:kern w:val="2"/>
          <w:szCs w:val="24"/>
          <w:lang w:eastAsia="en-US"/>
        </w:rPr>
        <w:t xml:space="preserve">that does </w:t>
      </w:r>
      <w:r w:rsidRPr="00A506B5">
        <w:rPr>
          <w:rFonts w:eastAsia="Calibri"/>
          <w:i/>
          <w:iCs/>
          <w:kern w:val="2"/>
          <w:szCs w:val="24"/>
          <w:lang w:eastAsia="en-US"/>
        </w:rPr>
        <w:t>not</w:t>
      </w:r>
      <w:r w:rsidRPr="00A506B5">
        <w:rPr>
          <w:rFonts w:eastAsia="Calibri"/>
          <w:kern w:val="2"/>
          <w:szCs w:val="24"/>
          <w:lang w:eastAsia="en-US"/>
        </w:rPr>
        <w:t xml:space="preserve"> use the proportional amortization method of accounting for the interest for financial accounting purposes to make an irrevocable election to use the following methodology. The election is to be made by the Filing Constituent Entity for a </w:t>
      </w:r>
      <w:r w:rsidR="003629DC">
        <w:rPr>
          <w:rFonts w:eastAsia="Calibri"/>
          <w:kern w:val="2"/>
          <w:szCs w:val="24"/>
          <w:lang w:eastAsia="en-US"/>
        </w:rPr>
        <w:t>qualified flow-through ownership interest for</w:t>
      </w:r>
      <w:r w:rsidRPr="00A506B5">
        <w:rPr>
          <w:rFonts w:eastAsia="Calibri"/>
          <w:kern w:val="2"/>
          <w:szCs w:val="24"/>
          <w:lang w:eastAsia="en-US"/>
        </w:rPr>
        <w:t xml:space="preserve"> the first Fiscal Year in which the investor acquires the interest or is subject to the GloBE Rules. </w:t>
      </w:r>
    </w:p>
    <w:p w14:paraId="73F4320D" w14:textId="629CF4F5" w:rsidR="00CE4AFA" w:rsidRPr="00A506B5" w:rsidRDefault="00CE4AFA" w:rsidP="00A506B5">
      <w:pPr>
        <w:spacing w:before="0" w:after="160" w:line="256" w:lineRule="auto"/>
        <w:rPr>
          <w:rFonts w:eastAsia="Calibri"/>
          <w:kern w:val="2"/>
          <w:szCs w:val="24"/>
          <w:lang w:eastAsia="en-US"/>
        </w:rPr>
      </w:pPr>
      <w:r w:rsidRPr="00A506B5">
        <w:rPr>
          <w:rFonts w:eastAsia="Calibri"/>
          <w:kern w:val="2"/>
          <w:szCs w:val="24"/>
          <w:lang w:eastAsia="en-US"/>
        </w:rPr>
        <w:t>Under the proportional amortization method, any amount</w:t>
      </w:r>
      <w:r w:rsidR="000E497D" w:rsidRPr="00A506B5">
        <w:rPr>
          <w:rFonts w:eastAsia="Calibri"/>
          <w:kern w:val="2"/>
          <w:szCs w:val="24"/>
          <w:lang w:eastAsia="en-US"/>
        </w:rPr>
        <w:t xml:space="preserve"> of</w:t>
      </w:r>
      <w:r w:rsidRPr="00A506B5">
        <w:rPr>
          <w:rFonts w:eastAsia="Calibri"/>
          <w:kern w:val="2"/>
          <w:szCs w:val="24"/>
          <w:lang w:eastAsia="en-US"/>
        </w:rPr>
        <w:t xml:space="preserve"> Qualified Flow Through Tax Benefit</w:t>
      </w:r>
      <w:r w:rsidR="001206D4" w:rsidRPr="00A506B5">
        <w:rPr>
          <w:rFonts w:eastAsia="Calibri"/>
          <w:kern w:val="2"/>
          <w:szCs w:val="24"/>
          <w:lang w:eastAsia="en-US"/>
        </w:rPr>
        <w:t>s</w:t>
      </w:r>
      <w:r w:rsidRPr="00A506B5">
        <w:rPr>
          <w:rFonts w:eastAsia="Calibri"/>
          <w:kern w:val="2"/>
          <w:szCs w:val="24"/>
          <w:lang w:eastAsia="en-US"/>
        </w:rPr>
        <w:t xml:space="preserve"> that flow through or are received in respect of the </w:t>
      </w:r>
      <w:r w:rsidR="00651189" w:rsidRPr="00A506B5">
        <w:t xml:space="preserve">qualified flow-through </w:t>
      </w:r>
      <w:r w:rsidR="00C8414F" w:rsidRPr="00A506B5">
        <w:t>ownership interest</w:t>
      </w:r>
      <w:r w:rsidR="00651189" w:rsidRPr="00A506B5">
        <w:t xml:space="preserve"> </w:t>
      </w:r>
      <w:r w:rsidRPr="00A506B5">
        <w:rPr>
          <w:rFonts w:eastAsia="Calibri"/>
          <w:kern w:val="2"/>
          <w:szCs w:val="24"/>
          <w:lang w:eastAsia="en-US"/>
        </w:rPr>
        <w:t xml:space="preserve">is a reduction to the investment in proportion to the </w:t>
      </w:r>
      <w:r w:rsidRPr="00105CF4">
        <w:rPr>
          <w:rFonts w:eastAsia="Calibri"/>
          <w:kern w:val="2"/>
          <w:szCs w:val="24"/>
          <w:lang w:eastAsia="en-US"/>
        </w:rPr>
        <w:t>Expected Tax Benefits Ratio</w:t>
      </w:r>
      <w:r w:rsidRPr="00A506B5">
        <w:rPr>
          <w:rFonts w:eastAsia="Calibri"/>
          <w:kern w:val="2"/>
          <w:szCs w:val="24"/>
          <w:lang w:eastAsia="en-US"/>
        </w:rPr>
        <w:t>.</w:t>
      </w:r>
    </w:p>
    <w:p w14:paraId="7A3121CB" w14:textId="77777777" w:rsidR="00CE4AFA" w:rsidRPr="00A506B5" w:rsidRDefault="00CE4AFA" w:rsidP="00A506B5">
      <w:pPr>
        <w:spacing w:before="0" w:after="160" w:line="256" w:lineRule="auto"/>
        <w:rPr>
          <w:rFonts w:eastAsia="Calibri"/>
          <w:kern w:val="2"/>
          <w:szCs w:val="24"/>
          <w:lang w:eastAsia="en-US"/>
        </w:rPr>
      </w:pPr>
      <w:r w:rsidRPr="00A506B5">
        <w:rPr>
          <w:rFonts w:eastAsia="Calibri"/>
          <w:kern w:val="2"/>
          <w:szCs w:val="24"/>
          <w:lang w:eastAsia="en-US"/>
        </w:rPr>
        <w:t xml:space="preserve">The </w:t>
      </w:r>
      <w:r w:rsidRPr="00105CF4">
        <w:rPr>
          <w:rFonts w:eastAsia="Calibri"/>
          <w:kern w:val="2"/>
          <w:szCs w:val="24"/>
          <w:lang w:eastAsia="en-US"/>
        </w:rPr>
        <w:t>Expected Tax Benefits Ratio</w:t>
      </w:r>
      <w:r w:rsidRPr="00A506B5">
        <w:rPr>
          <w:rFonts w:eastAsia="Calibri"/>
          <w:kern w:val="2"/>
          <w:szCs w:val="24"/>
          <w:lang w:eastAsia="en-US"/>
        </w:rPr>
        <w:t xml:space="preserve"> is the ratio of only: </w:t>
      </w:r>
    </w:p>
    <w:p w14:paraId="49EA595D" w14:textId="3A6E470D" w:rsidR="00CE4AFA" w:rsidRPr="00A506B5" w:rsidRDefault="00CE4AFA" w:rsidP="00A506B5">
      <w:pPr>
        <w:pStyle w:val="Bullet"/>
      </w:pPr>
      <w:r w:rsidRPr="00A506B5">
        <w:t xml:space="preserve">tax credits that have flowed through to the owner; </w:t>
      </w:r>
      <w:r w:rsidR="001E2F70" w:rsidRPr="00A506B5">
        <w:t xml:space="preserve">and </w:t>
      </w:r>
    </w:p>
    <w:p w14:paraId="3E731EED" w14:textId="77777777" w:rsidR="00CE4AFA" w:rsidRPr="00A506B5" w:rsidRDefault="00CE4AFA" w:rsidP="00A506B5">
      <w:pPr>
        <w:pStyle w:val="Bullet"/>
      </w:pPr>
      <w:r w:rsidRPr="00A506B5">
        <w:t xml:space="preserve">tax-deductible losses that have flowed through to the owner multiplied by the domestic tax rate applicable to the owner, </w:t>
      </w:r>
    </w:p>
    <w:p w14:paraId="61763147" w14:textId="715DDA33" w:rsidR="00CE4AFA" w:rsidRPr="00A506B5" w:rsidRDefault="00CE4AFA" w:rsidP="00A506B5">
      <w:pPr>
        <w:spacing w:before="0" w:after="160" w:line="256" w:lineRule="auto"/>
        <w:rPr>
          <w:rFonts w:eastAsia="Calibri"/>
          <w:kern w:val="2"/>
          <w:szCs w:val="24"/>
          <w:lang w:eastAsia="en-US"/>
        </w:rPr>
      </w:pPr>
      <w:r w:rsidRPr="00A506B5">
        <w:rPr>
          <w:rFonts w:eastAsia="Calibri"/>
          <w:kern w:val="2"/>
          <w:szCs w:val="24"/>
          <w:lang w:eastAsia="en-US"/>
        </w:rPr>
        <w:lastRenderedPageBreak/>
        <w:t xml:space="preserve">that flowed through or </w:t>
      </w:r>
      <w:r w:rsidR="001206D4" w:rsidRPr="00A506B5">
        <w:rPr>
          <w:rFonts w:eastAsia="Calibri"/>
          <w:kern w:val="2"/>
          <w:szCs w:val="24"/>
          <w:lang w:eastAsia="en-US"/>
        </w:rPr>
        <w:t xml:space="preserve">were </w:t>
      </w:r>
      <w:r w:rsidRPr="00A506B5">
        <w:rPr>
          <w:rFonts w:eastAsia="Calibri"/>
          <w:kern w:val="2"/>
          <w:szCs w:val="24"/>
          <w:lang w:eastAsia="en-US"/>
        </w:rPr>
        <w:t xml:space="preserve">received in the Fiscal Year to the total of such items that are expected to flow through or be received in respect of the </w:t>
      </w:r>
      <w:r w:rsidR="00651189" w:rsidRPr="00A506B5">
        <w:t xml:space="preserve">qualified flow-through </w:t>
      </w:r>
      <w:r w:rsidR="00986F20">
        <w:t>ownership interest</w:t>
      </w:r>
      <w:r w:rsidR="00651189" w:rsidRPr="00A506B5">
        <w:t xml:space="preserve"> </w:t>
      </w:r>
      <w:r w:rsidRPr="00A506B5">
        <w:rPr>
          <w:rFonts w:eastAsia="Calibri"/>
          <w:kern w:val="2"/>
          <w:szCs w:val="24"/>
          <w:lang w:eastAsia="en-US"/>
        </w:rPr>
        <w:t>over the term of the investment.</w:t>
      </w:r>
    </w:p>
    <w:p w14:paraId="0E4D6011" w14:textId="21AB6983" w:rsidR="00CE4AFA" w:rsidRDefault="00CE4AFA" w:rsidP="006A054E">
      <w:pPr>
        <w:spacing w:before="0" w:after="160" w:line="256" w:lineRule="auto"/>
        <w:rPr>
          <w:rFonts w:eastAsia="Calibri"/>
          <w:kern w:val="2"/>
          <w:szCs w:val="24"/>
          <w:lang w:eastAsia="en-US"/>
        </w:rPr>
      </w:pPr>
      <w:r w:rsidRPr="00A506B5">
        <w:rPr>
          <w:rFonts w:eastAsia="Calibri"/>
          <w:kern w:val="2"/>
          <w:szCs w:val="24"/>
          <w:lang w:eastAsia="en-US"/>
        </w:rPr>
        <w:t xml:space="preserve">An investor cannot include a positive adjustment to Adjusted Covered Taxes if the </w:t>
      </w:r>
      <w:r w:rsidR="00E30FB3">
        <w:rPr>
          <w:rFonts w:eastAsia="Calibri"/>
          <w:kern w:val="2"/>
          <w:szCs w:val="24"/>
          <w:lang w:eastAsia="en-US"/>
        </w:rPr>
        <w:t>items</w:t>
      </w:r>
      <w:r w:rsidRPr="00A506B5">
        <w:rPr>
          <w:rFonts w:eastAsia="Calibri"/>
          <w:kern w:val="2"/>
          <w:szCs w:val="24"/>
          <w:lang w:eastAsia="en-US"/>
        </w:rPr>
        <w:t xml:space="preserve"> that flow through or are received in respect of the </w:t>
      </w:r>
      <w:r w:rsidR="00651189" w:rsidRPr="00A506B5">
        <w:t xml:space="preserve">qualified flow-through tax benefit </w:t>
      </w:r>
      <w:r w:rsidRPr="00A506B5">
        <w:rPr>
          <w:rFonts w:eastAsia="Calibri"/>
          <w:kern w:val="2"/>
          <w:szCs w:val="24"/>
          <w:lang w:eastAsia="en-US"/>
        </w:rPr>
        <w:t xml:space="preserve">are in excess of the reduction to the investment. </w:t>
      </w:r>
      <w:r w:rsidR="0036437F">
        <w:rPr>
          <w:rFonts w:eastAsia="Calibri"/>
          <w:kern w:val="2"/>
          <w:szCs w:val="24"/>
          <w:lang w:eastAsia="en-US"/>
        </w:rPr>
        <w:t xml:space="preserve">For </w:t>
      </w:r>
      <w:r w:rsidR="00CC3E84">
        <w:rPr>
          <w:rFonts w:eastAsia="Calibri"/>
          <w:kern w:val="2"/>
          <w:szCs w:val="24"/>
          <w:lang w:eastAsia="en-US"/>
        </w:rPr>
        <w:t xml:space="preserve">example, an amount of tax credits </w:t>
      </w:r>
      <w:r w:rsidR="003E42B1">
        <w:rPr>
          <w:rFonts w:eastAsia="Calibri"/>
          <w:kern w:val="2"/>
          <w:szCs w:val="24"/>
          <w:lang w:eastAsia="en-US"/>
        </w:rPr>
        <w:t>that is in excess of a reduction to the investment determined by the proportional amortisation method would be treated as a negative amount</w:t>
      </w:r>
      <w:r w:rsidR="006A054E">
        <w:rPr>
          <w:rFonts w:eastAsia="Calibri"/>
          <w:kern w:val="2"/>
          <w:szCs w:val="24"/>
          <w:lang w:eastAsia="en-US"/>
        </w:rPr>
        <w:t xml:space="preserve"> in calculating total Adjusted Covered Tax. Adjustments made under the proportional amortisation method</w:t>
      </w:r>
      <w:r w:rsidR="00AE14A9">
        <w:rPr>
          <w:rFonts w:eastAsia="Calibri"/>
          <w:kern w:val="2"/>
          <w:szCs w:val="24"/>
          <w:lang w:eastAsia="en-US"/>
        </w:rPr>
        <w:t xml:space="preserve"> would </w:t>
      </w:r>
      <w:r w:rsidR="00A70A8A">
        <w:rPr>
          <w:rFonts w:eastAsia="Calibri"/>
          <w:kern w:val="2"/>
          <w:szCs w:val="24"/>
          <w:lang w:eastAsia="en-US"/>
        </w:rPr>
        <w:t xml:space="preserve">contribute to the total Adjusted Covered Tax amount alongside other positive and negative adjustments that would have been </w:t>
      </w:r>
      <w:r w:rsidR="00133A08">
        <w:rPr>
          <w:rFonts w:eastAsia="Calibri"/>
          <w:kern w:val="2"/>
          <w:szCs w:val="24"/>
          <w:lang w:eastAsia="en-US"/>
        </w:rPr>
        <w:t>calculated using a different method due the scenario where the proportional amortisation method election was yet to be made.</w:t>
      </w:r>
    </w:p>
    <w:p w14:paraId="0ED027B3" w14:textId="1890BE63" w:rsidR="000E540D" w:rsidRPr="00A506B5" w:rsidRDefault="000E540D" w:rsidP="00A506B5">
      <w:pPr>
        <w:spacing w:before="240" w:after="200"/>
        <w:rPr>
          <w:rFonts w:eastAsia="Calibri"/>
          <w:kern w:val="2"/>
          <w:szCs w:val="24"/>
          <w:lang w:eastAsia="en-US"/>
        </w:rPr>
      </w:pPr>
      <w:r w:rsidRPr="00A506B5">
        <w:rPr>
          <w:rFonts w:eastAsia="Calibri"/>
          <w:kern w:val="2"/>
          <w:szCs w:val="24"/>
          <w:lang w:eastAsia="en-US"/>
        </w:rPr>
        <w:t xml:space="preserve">The MNE Group will need to both maintain records </w:t>
      </w:r>
      <w:r w:rsidR="00B36ECD">
        <w:rPr>
          <w:rFonts w:eastAsia="Calibri"/>
          <w:kern w:val="2"/>
          <w:szCs w:val="24"/>
          <w:lang w:eastAsia="en-US"/>
        </w:rPr>
        <w:t xml:space="preserve">supporting the above </w:t>
      </w:r>
      <w:r w:rsidRPr="00A506B5">
        <w:rPr>
          <w:rFonts w:eastAsia="Calibri"/>
          <w:kern w:val="2"/>
          <w:szCs w:val="24"/>
          <w:lang w:eastAsia="en-US"/>
        </w:rPr>
        <w:t xml:space="preserve">to verify </w:t>
      </w:r>
      <w:r w:rsidR="00B36ECD">
        <w:rPr>
          <w:rFonts w:eastAsia="Calibri"/>
          <w:kern w:val="2"/>
          <w:szCs w:val="24"/>
          <w:lang w:eastAsia="en-US"/>
        </w:rPr>
        <w:t>the disclosures</w:t>
      </w:r>
      <w:r w:rsidRPr="00A506B5">
        <w:rPr>
          <w:rFonts w:eastAsia="Calibri"/>
          <w:kern w:val="2"/>
          <w:szCs w:val="24"/>
          <w:lang w:eastAsia="en-US"/>
        </w:rPr>
        <w:t xml:space="preserve"> required by the GloBE Information Return</w:t>
      </w:r>
      <w:r w:rsidR="00085B20">
        <w:rPr>
          <w:rFonts w:eastAsia="Calibri"/>
          <w:kern w:val="2"/>
          <w:szCs w:val="24"/>
          <w:lang w:eastAsia="en-US"/>
        </w:rPr>
        <w:t>.</w:t>
      </w:r>
      <w:r w:rsidR="00C86587" w:rsidRPr="00A506B5">
        <w:rPr>
          <w:rFonts w:eastAsia="Calibri"/>
          <w:kern w:val="2"/>
          <w:szCs w:val="24"/>
          <w:lang w:eastAsia="en-US"/>
        </w:rPr>
        <w:t xml:space="preserve"> </w:t>
      </w:r>
      <w:r w:rsidR="0013189E" w:rsidRPr="00A506B5">
        <w:rPr>
          <w:rFonts w:eastAsia="Calibri"/>
          <w:kern w:val="2"/>
          <w:szCs w:val="24"/>
          <w:lang w:eastAsia="en-US"/>
        </w:rPr>
        <w:t>This is</w:t>
      </w:r>
      <w:r w:rsidR="00085B20">
        <w:rPr>
          <w:rFonts w:eastAsia="Calibri"/>
          <w:kern w:val="2"/>
          <w:szCs w:val="24"/>
          <w:lang w:eastAsia="en-US"/>
        </w:rPr>
        <w:t xml:space="preserve"> a</w:t>
      </w:r>
      <w:r w:rsidR="0013189E" w:rsidRPr="00A506B5">
        <w:rPr>
          <w:rFonts w:eastAsia="Calibri"/>
          <w:kern w:val="2"/>
          <w:szCs w:val="24"/>
          <w:lang w:eastAsia="en-US"/>
        </w:rPr>
        <w:t xml:space="preserve"> require</w:t>
      </w:r>
      <w:r w:rsidR="00085B20">
        <w:rPr>
          <w:rFonts w:eastAsia="Calibri"/>
          <w:kern w:val="2"/>
          <w:szCs w:val="24"/>
          <w:lang w:eastAsia="en-US"/>
        </w:rPr>
        <w:t xml:space="preserve">ment of </w:t>
      </w:r>
      <w:r w:rsidR="003E70F7" w:rsidRPr="00A506B5">
        <w:rPr>
          <w:rFonts w:eastAsia="Calibri"/>
          <w:kern w:val="2"/>
          <w:szCs w:val="24"/>
          <w:lang w:eastAsia="en-US"/>
        </w:rPr>
        <w:t xml:space="preserve">Subdivision 382-C of the </w:t>
      </w:r>
      <w:r w:rsidR="008160D4" w:rsidRPr="00A506B5">
        <w:rPr>
          <w:rFonts w:eastAsia="Calibri"/>
          <w:i/>
          <w:iCs/>
          <w:kern w:val="2"/>
          <w:szCs w:val="24"/>
          <w:lang w:eastAsia="en-US"/>
        </w:rPr>
        <w:t>Taxation Administration Act 1953</w:t>
      </w:r>
      <w:r w:rsidR="008160D4" w:rsidRPr="00A506B5">
        <w:rPr>
          <w:rFonts w:eastAsia="Calibri"/>
          <w:kern w:val="2"/>
          <w:szCs w:val="24"/>
          <w:lang w:eastAsia="en-US"/>
        </w:rPr>
        <w:t>.</w:t>
      </w:r>
    </w:p>
    <w:p w14:paraId="14BE1C52" w14:textId="12A609A8" w:rsidR="00275A27" w:rsidRPr="00594AAB" w:rsidRDefault="00B54C7D" w:rsidP="00A506B5">
      <w:pPr>
        <w:spacing w:before="240" w:after="200"/>
        <w:rPr>
          <w:rFonts w:eastAsia="Calibri"/>
          <w:kern w:val="2"/>
          <w:szCs w:val="24"/>
          <w:lang w:eastAsia="en-US"/>
        </w:rPr>
      </w:pPr>
      <w:r>
        <w:rPr>
          <w:rFonts w:eastAsia="Calibri"/>
          <w:b/>
          <w:bCs/>
          <w:kern w:val="2"/>
          <w:szCs w:val="24"/>
          <w:lang w:eastAsia="en-US"/>
        </w:rPr>
        <w:t>Top</w:t>
      </w:r>
      <w:r>
        <w:rPr>
          <w:rFonts w:eastAsia="Calibri"/>
          <w:b/>
          <w:bCs/>
          <w:kern w:val="2"/>
          <w:szCs w:val="24"/>
          <w:lang w:eastAsia="en-US"/>
        </w:rPr>
        <w:noBreakHyphen/>
        <w:t>up</w:t>
      </w:r>
      <w:r w:rsidR="00564559">
        <w:rPr>
          <w:rFonts w:eastAsia="Calibri"/>
          <w:b/>
          <w:bCs/>
          <w:kern w:val="2"/>
          <w:szCs w:val="24"/>
          <w:lang w:eastAsia="en-US"/>
        </w:rPr>
        <w:t xml:space="preserve"> </w:t>
      </w:r>
      <w:r>
        <w:rPr>
          <w:rFonts w:eastAsia="Calibri"/>
          <w:b/>
          <w:bCs/>
          <w:kern w:val="2"/>
          <w:szCs w:val="24"/>
          <w:lang w:eastAsia="en-US"/>
        </w:rPr>
        <w:t>Tax clarifications</w:t>
      </w:r>
    </w:p>
    <w:p w14:paraId="6DB8F8F9" w14:textId="788DEE3C" w:rsidR="006C3E4B" w:rsidRDefault="00995E02" w:rsidP="00A506B5">
      <w:pPr>
        <w:spacing w:before="240" w:after="200"/>
        <w:rPr>
          <w:rFonts w:eastAsia="Calibri"/>
          <w:kern w:val="2"/>
          <w:szCs w:val="24"/>
          <w:lang w:eastAsia="en-US"/>
        </w:rPr>
      </w:pPr>
      <w:r>
        <w:rPr>
          <w:rFonts w:eastAsia="Calibri"/>
          <w:kern w:val="2"/>
          <w:szCs w:val="24"/>
          <w:lang w:eastAsia="en-US"/>
        </w:rPr>
        <w:t xml:space="preserve">Various technical amendments are </w:t>
      </w:r>
      <w:r w:rsidR="00BC79E9">
        <w:rPr>
          <w:rFonts w:eastAsia="Calibri"/>
          <w:kern w:val="2"/>
          <w:szCs w:val="24"/>
          <w:lang w:eastAsia="en-US"/>
        </w:rPr>
        <w:t>made to the DMT provisions</w:t>
      </w:r>
      <w:r w:rsidR="006E6B07">
        <w:rPr>
          <w:rFonts w:eastAsia="Calibri"/>
          <w:kern w:val="2"/>
          <w:szCs w:val="24"/>
          <w:lang w:eastAsia="en-US"/>
        </w:rPr>
        <w:t xml:space="preserve"> in the Amending Rules</w:t>
      </w:r>
      <w:r w:rsidR="006C3E4B">
        <w:rPr>
          <w:rFonts w:eastAsia="Calibri"/>
          <w:kern w:val="2"/>
          <w:szCs w:val="24"/>
          <w:lang w:eastAsia="en-US"/>
        </w:rPr>
        <w:t>:</w:t>
      </w:r>
      <w:r w:rsidR="00BC79E9">
        <w:rPr>
          <w:rFonts w:eastAsia="Calibri"/>
          <w:kern w:val="2"/>
          <w:szCs w:val="24"/>
          <w:lang w:eastAsia="en-US"/>
        </w:rPr>
        <w:t xml:space="preserve"> </w:t>
      </w:r>
    </w:p>
    <w:p w14:paraId="08E1D217" w14:textId="14257DF8" w:rsidR="006C3E4B" w:rsidRDefault="00237024" w:rsidP="006C3E4B">
      <w:pPr>
        <w:pStyle w:val="Dash"/>
        <w:rPr>
          <w:rFonts w:eastAsia="Calibri"/>
          <w:lang w:eastAsia="en-US"/>
        </w:rPr>
      </w:pPr>
      <w:r>
        <w:rPr>
          <w:rFonts w:eastAsia="Calibri"/>
          <w:lang w:eastAsia="en-US"/>
        </w:rPr>
        <w:t xml:space="preserve">narrow the </w:t>
      </w:r>
      <w:r w:rsidR="00E37012" w:rsidRPr="00A506B5">
        <w:rPr>
          <w:rFonts w:eastAsia="Calibri"/>
          <w:lang w:eastAsia="en-US"/>
        </w:rPr>
        <w:t xml:space="preserve">Fiscal Year </w:t>
      </w:r>
      <w:r w:rsidR="00BD32D0">
        <w:rPr>
          <w:rFonts w:eastAsia="Calibri"/>
          <w:lang w:eastAsia="en-US"/>
        </w:rPr>
        <w:t xml:space="preserve">referred to </w:t>
      </w:r>
      <w:r w:rsidR="00E37012" w:rsidRPr="00A506B5">
        <w:rPr>
          <w:rFonts w:eastAsia="Calibri"/>
          <w:lang w:eastAsia="en-US"/>
        </w:rPr>
        <w:t xml:space="preserve">when computing the Domestic Top-up </w:t>
      </w:r>
      <w:r w:rsidR="008D69A0">
        <w:rPr>
          <w:rFonts w:eastAsia="Calibri"/>
          <w:lang w:eastAsia="en-US"/>
        </w:rPr>
        <w:t xml:space="preserve">Tax </w:t>
      </w:r>
      <w:r w:rsidR="00E37012" w:rsidRPr="00A506B5">
        <w:rPr>
          <w:rFonts w:eastAsia="Calibri"/>
          <w:lang w:eastAsia="en-US"/>
        </w:rPr>
        <w:t>Amount</w:t>
      </w:r>
      <w:r w:rsidR="00A24B71">
        <w:rPr>
          <w:rFonts w:eastAsia="Calibri"/>
          <w:lang w:eastAsia="en-US"/>
        </w:rPr>
        <w:t xml:space="preserve"> [items 1 and 2, subsections 2-35(3) and (5)</w:t>
      </w:r>
      <w:proofErr w:type="gramStart"/>
      <w:r w:rsidR="00A24B71">
        <w:rPr>
          <w:rFonts w:eastAsia="Calibri"/>
          <w:lang w:eastAsia="en-US"/>
        </w:rPr>
        <w:t>]</w:t>
      </w:r>
      <w:r w:rsidR="006C3E4B">
        <w:rPr>
          <w:rFonts w:eastAsia="Calibri"/>
          <w:lang w:eastAsia="en-US"/>
        </w:rPr>
        <w:t>;</w:t>
      </w:r>
      <w:proofErr w:type="gramEnd"/>
      <w:r w:rsidR="00043646">
        <w:rPr>
          <w:rFonts w:eastAsia="Calibri"/>
          <w:lang w:eastAsia="en-US"/>
        </w:rPr>
        <w:t xml:space="preserve"> </w:t>
      </w:r>
    </w:p>
    <w:p w14:paraId="229EE31C" w14:textId="10454876" w:rsidR="002F23C2" w:rsidRDefault="00043646" w:rsidP="006C3E4B">
      <w:pPr>
        <w:pStyle w:val="Dash"/>
        <w:rPr>
          <w:rFonts w:eastAsia="Calibri"/>
          <w:lang w:eastAsia="en-US"/>
        </w:rPr>
      </w:pPr>
      <w:r>
        <w:rPr>
          <w:rFonts w:eastAsia="Calibri"/>
          <w:lang w:eastAsia="en-US"/>
        </w:rPr>
        <w:t>update</w:t>
      </w:r>
      <w:r w:rsidR="00360949">
        <w:rPr>
          <w:rFonts w:eastAsia="Calibri"/>
          <w:lang w:eastAsia="en-US"/>
        </w:rPr>
        <w:t>s</w:t>
      </w:r>
      <w:r>
        <w:rPr>
          <w:rFonts w:eastAsia="Calibri"/>
          <w:lang w:eastAsia="en-US"/>
        </w:rPr>
        <w:t xml:space="preserve"> </w:t>
      </w:r>
      <w:r w:rsidR="001D2D1E" w:rsidRPr="00A506B5">
        <w:rPr>
          <w:rFonts w:eastAsia="Calibri"/>
          <w:lang w:eastAsia="en-US"/>
        </w:rPr>
        <w:t xml:space="preserve">the </w:t>
      </w:r>
      <w:r w:rsidR="002104B4">
        <w:rPr>
          <w:rFonts w:eastAsia="Calibri"/>
          <w:lang w:eastAsia="en-US"/>
        </w:rPr>
        <w:t xml:space="preserve">reference to </w:t>
      </w:r>
      <w:r w:rsidR="007C7BB8" w:rsidRPr="00A506B5">
        <w:rPr>
          <w:rFonts w:eastAsia="Calibri"/>
          <w:lang w:eastAsia="en-US"/>
        </w:rPr>
        <w:t xml:space="preserve">‘Australian </w:t>
      </w:r>
      <w:r w:rsidR="00E16039">
        <w:rPr>
          <w:rFonts w:eastAsia="Calibri"/>
          <w:lang w:eastAsia="en-US"/>
        </w:rPr>
        <w:t xml:space="preserve">final </w:t>
      </w:r>
      <w:r w:rsidR="007C7BB8" w:rsidRPr="00A506B5">
        <w:rPr>
          <w:rFonts w:eastAsia="Calibri"/>
          <w:lang w:eastAsia="en-US"/>
        </w:rPr>
        <w:t>withholding tax’</w:t>
      </w:r>
      <w:r>
        <w:rPr>
          <w:rFonts w:eastAsia="Calibri"/>
          <w:lang w:eastAsia="en-US"/>
        </w:rPr>
        <w:t xml:space="preserve"> term</w:t>
      </w:r>
      <w:r w:rsidR="00E16039">
        <w:rPr>
          <w:rFonts w:eastAsia="Calibri"/>
          <w:lang w:eastAsia="en-US"/>
        </w:rPr>
        <w:t xml:space="preserve"> to ‘withholding tax’</w:t>
      </w:r>
      <w:r w:rsidR="00D6282B">
        <w:rPr>
          <w:rFonts w:eastAsia="Calibri"/>
          <w:lang w:eastAsia="en-US"/>
        </w:rPr>
        <w:t xml:space="preserve">, </w:t>
      </w:r>
      <w:r w:rsidR="00BD32D0">
        <w:rPr>
          <w:rFonts w:eastAsia="Calibri"/>
          <w:lang w:eastAsia="en-US"/>
        </w:rPr>
        <w:t>as defined in</w:t>
      </w:r>
      <w:r w:rsidR="00D6282B">
        <w:rPr>
          <w:rFonts w:eastAsia="Calibri"/>
          <w:lang w:eastAsia="en-US"/>
        </w:rPr>
        <w:t xml:space="preserve"> the </w:t>
      </w:r>
      <w:r w:rsidR="00D6282B">
        <w:rPr>
          <w:rFonts w:eastAsia="Calibri"/>
          <w:i/>
          <w:iCs/>
          <w:lang w:eastAsia="en-US"/>
        </w:rPr>
        <w:t>Income Tax Assessment Act 1997</w:t>
      </w:r>
      <w:r w:rsidR="00A24B71" w:rsidRPr="00A24B71">
        <w:rPr>
          <w:rFonts w:eastAsia="Calibri"/>
          <w:lang w:eastAsia="en-US"/>
        </w:rPr>
        <w:t xml:space="preserve"> </w:t>
      </w:r>
      <w:r w:rsidR="00470780">
        <w:rPr>
          <w:rFonts w:eastAsia="Calibri"/>
          <w:lang w:eastAsia="en-US"/>
        </w:rPr>
        <w:t>[i</w:t>
      </w:r>
      <w:r w:rsidR="00A24B71">
        <w:rPr>
          <w:rFonts w:eastAsia="Calibri"/>
          <w:lang w:eastAsia="en-US"/>
        </w:rPr>
        <w:t>tem 3</w:t>
      </w:r>
      <w:r w:rsidR="008D69A0">
        <w:rPr>
          <w:rFonts w:eastAsia="Calibri"/>
          <w:lang w:eastAsia="en-US"/>
        </w:rPr>
        <w:t>,</w:t>
      </w:r>
      <w:r w:rsidR="00A24B71">
        <w:rPr>
          <w:rFonts w:eastAsia="Calibri"/>
          <w:lang w:eastAsia="en-US"/>
        </w:rPr>
        <w:t xml:space="preserve"> paragraph 2</w:t>
      </w:r>
      <w:r w:rsidR="001A7A69">
        <w:rPr>
          <w:rFonts w:eastAsia="Calibri"/>
          <w:lang w:eastAsia="en-US"/>
        </w:rPr>
        <w:noBreakHyphen/>
      </w:r>
      <w:r w:rsidR="00A24B71">
        <w:rPr>
          <w:rFonts w:eastAsia="Calibri"/>
          <w:lang w:eastAsia="en-US"/>
        </w:rPr>
        <w:t>35(6)(d)</w:t>
      </w:r>
      <w:r w:rsidR="00470780">
        <w:rPr>
          <w:rFonts w:eastAsia="Calibri"/>
          <w:lang w:eastAsia="en-US"/>
        </w:rPr>
        <w:t>]</w:t>
      </w:r>
      <w:r w:rsidR="00CF22ED">
        <w:rPr>
          <w:rFonts w:eastAsia="Calibri"/>
          <w:lang w:eastAsia="en-US"/>
        </w:rPr>
        <w:t>; and</w:t>
      </w:r>
    </w:p>
    <w:p w14:paraId="23D94432" w14:textId="49745DF4" w:rsidR="00CF22ED" w:rsidRDefault="00470780" w:rsidP="006C3E4B">
      <w:pPr>
        <w:pStyle w:val="Dash"/>
        <w:rPr>
          <w:rFonts w:eastAsia="Calibri"/>
          <w:lang w:eastAsia="en-US"/>
        </w:rPr>
      </w:pPr>
      <w:r>
        <w:rPr>
          <w:rFonts w:eastAsia="Calibri"/>
          <w:kern w:val="2"/>
          <w:szCs w:val="24"/>
          <w:lang w:eastAsia="en-US"/>
        </w:rPr>
        <w:t xml:space="preserve">to </w:t>
      </w:r>
      <w:r w:rsidR="00CF22ED">
        <w:rPr>
          <w:rFonts w:eastAsia="Calibri"/>
          <w:kern w:val="2"/>
          <w:szCs w:val="24"/>
          <w:lang w:eastAsia="en-US"/>
        </w:rPr>
        <w:t>ensure</w:t>
      </w:r>
      <w:r>
        <w:rPr>
          <w:rFonts w:eastAsia="Calibri"/>
          <w:kern w:val="2"/>
          <w:szCs w:val="24"/>
          <w:lang w:eastAsia="en-US"/>
        </w:rPr>
        <w:t xml:space="preserve"> </w:t>
      </w:r>
      <w:r w:rsidR="00CF22ED">
        <w:rPr>
          <w:rFonts w:eastAsia="Calibri"/>
          <w:kern w:val="2"/>
          <w:szCs w:val="24"/>
          <w:lang w:eastAsia="en-US"/>
        </w:rPr>
        <w:t xml:space="preserve">that subsidiaries in a </w:t>
      </w:r>
      <w:r w:rsidR="00D070E2">
        <w:rPr>
          <w:rFonts w:eastAsia="Calibri"/>
          <w:kern w:val="2"/>
          <w:szCs w:val="24"/>
          <w:lang w:eastAsia="en-US"/>
        </w:rPr>
        <w:t>tax consolidated group (</w:t>
      </w:r>
      <w:r w:rsidR="00CF22ED">
        <w:rPr>
          <w:rFonts w:eastAsia="Calibri"/>
          <w:kern w:val="2"/>
          <w:szCs w:val="24"/>
          <w:lang w:eastAsia="en-US"/>
        </w:rPr>
        <w:t>TCG</w:t>
      </w:r>
      <w:r w:rsidR="00D070E2">
        <w:rPr>
          <w:rFonts w:eastAsia="Calibri"/>
          <w:kern w:val="2"/>
          <w:szCs w:val="24"/>
          <w:lang w:eastAsia="en-US"/>
        </w:rPr>
        <w:t>)</w:t>
      </w:r>
      <w:r w:rsidR="00CF22ED">
        <w:rPr>
          <w:rFonts w:eastAsia="Calibri"/>
          <w:kern w:val="2"/>
          <w:szCs w:val="24"/>
          <w:lang w:eastAsia="en-US"/>
        </w:rPr>
        <w:t xml:space="preserve"> do not allocate their top</w:t>
      </w:r>
      <w:r w:rsidR="00CF22ED">
        <w:rPr>
          <w:rFonts w:eastAsia="Calibri"/>
          <w:kern w:val="2"/>
          <w:szCs w:val="24"/>
          <w:lang w:eastAsia="en-US"/>
        </w:rPr>
        <w:noBreakHyphen/>
        <w:t>up</w:t>
      </w:r>
      <w:r w:rsidR="00CF22ED">
        <w:rPr>
          <w:rFonts w:eastAsia="Calibri"/>
          <w:kern w:val="2"/>
          <w:szCs w:val="24"/>
          <w:lang w:eastAsia="en-US"/>
        </w:rPr>
        <w:noBreakHyphen/>
        <w:t>tax to a head entity that is also an excluded entity</w:t>
      </w:r>
      <w:r w:rsidR="00A24B71" w:rsidRPr="00A24B71">
        <w:rPr>
          <w:rFonts w:eastAsia="Calibri"/>
          <w:kern w:val="2"/>
          <w:szCs w:val="24"/>
          <w:lang w:eastAsia="en-US"/>
        </w:rPr>
        <w:t xml:space="preserve"> </w:t>
      </w:r>
      <w:r>
        <w:rPr>
          <w:rFonts w:eastAsia="Calibri"/>
          <w:kern w:val="2"/>
          <w:szCs w:val="24"/>
          <w:lang w:eastAsia="en-US"/>
        </w:rPr>
        <w:t>[i</w:t>
      </w:r>
      <w:r w:rsidR="00A24B71">
        <w:rPr>
          <w:rFonts w:eastAsia="Calibri"/>
          <w:kern w:val="2"/>
          <w:szCs w:val="24"/>
          <w:lang w:eastAsia="en-US"/>
        </w:rPr>
        <w:t>tem 5</w:t>
      </w:r>
      <w:r w:rsidR="008D69A0">
        <w:rPr>
          <w:rFonts w:eastAsia="Calibri"/>
          <w:kern w:val="2"/>
          <w:szCs w:val="24"/>
          <w:lang w:eastAsia="en-US"/>
        </w:rPr>
        <w:t>,</w:t>
      </w:r>
      <w:r w:rsidR="00A24B71">
        <w:rPr>
          <w:rFonts w:eastAsia="Calibri"/>
          <w:kern w:val="2"/>
          <w:szCs w:val="24"/>
          <w:lang w:eastAsia="en-US"/>
        </w:rPr>
        <w:t xml:space="preserve"> subsection 2-50(1)</w:t>
      </w:r>
      <w:r>
        <w:rPr>
          <w:rFonts w:eastAsia="Calibri"/>
          <w:kern w:val="2"/>
          <w:szCs w:val="24"/>
          <w:lang w:eastAsia="en-US"/>
        </w:rPr>
        <w:t>]</w:t>
      </w:r>
      <w:r w:rsidR="00CF22ED">
        <w:rPr>
          <w:rFonts w:eastAsia="Calibri"/>
          <w:kern w:val="2"/>
          <w:szCs w:val="24"/>
          <w:lang w:eastAsia="en-US"/>
        </w:rPr>
        <w:t xml:space="preserve">. </w:t>
      </w:r>
    </w:p>
    <w:p w14:paraId="7DFDE430" w14:textId="253FBAE0" w:rsidR="00D60E13" w:rsidRPr="00A506B5" w:rsidRDefault="00CF22ED" w:rsidP="00C77F37">
      <w:pPr>
        <w:spacing w:before="0" w:after="0"/>
        <w:rPr>
          <w:rFonts w:eastAsia="Calibri"/>
          <w:kern w:val="2"/>
          <w:szCs w:val="24"/>
          <w:lang w:eastAsia="en-US"/>
        </w:rPr>
      </w:pPr>
      <w:r>
        <w:rPr>
          <w:rFonts w:eastAsia="Calibri"/>
          <w:kern w:val="2"/>
          <w:szCs w:val="24"/>
          <w:lang w:eastAsia="en-US"/>
        </w:rPr>
        <w:t xml:space="preserve">The intention of </w:t>
      </w:r>
      <w:r w:rsidR="002A0FA5">
        <w:rPr>
          <w:rFonts w:eastAsia="Calibri"/>
          <w:kern w:val="2"/>
          <w:szCs w:val="24"/>
          <w:lang w:eastAsia="en-US"/>
        </w:rPr>
        <w:t>not allowing subsidiaries to allocate their top</w:t>
      </w:r>
      <w:r w:rsidR="002A0FA5">
        <w:rPr>
          <w:rFonts w:eastAsia="Calibri"/>
          <w:kern w:val="2"/>
          <w:szCs w:val="24"/>
          <w:lang w:eastAsia="en-US"/>
        </w:rPr>
        <w:noBreakHyphen/>
        <w:t xml:space="preserve">up tax to an excluded head entity is </w:t>
      </w:r>
      <w:r w:rsidR="00231D29">
        <w:rPr>
          <w:rFonts w:eastAsia="Calibri"/>
          <w:kern w:val="2"/>
          <w:szCs w:val="24"/>
          <w:lang w:eastAsia="en-US"/>
        </w:rPr>
        <w:t>t</w:t>
      </w:r>
      <w:r w:rsidR="005F3A52">
        <w:rPr>
          <w:rFonts w:eastAsia="Calibri"/>
          <w:kern w:val="2"/>
          <w:szCs w:val="24"/>
          <w:lang w:eastAsia="en-US"/>
        </w:rPr>
        <w:t xml:space="preserve">o </w:t>
      </w:r>
      <w:r w:rsidR="00C34860">
        <w:rPr>
          <w:rFonts w:eastAsia="Calibri"/>
          <w:kern w:val="2"/>
          <w:szCs w:val="24"/>
          <w:lang w:eastAsia="en-US"/>
        </w:rPr>
        <w:t xml:space="preserve">preserve the tax neutral status of </w:t>
      </w:r>
      <w:r w:rsidR="00AA3752">
        <w:rPr>
          <w:rFonts w:eastAsia="Calibri"/>
          <w:kern w:val="2"/>
          <w:szCs w:val="24"/>
          <w:lang w:eastAsia="en-US"/>
        </w:rPr>
        <w:t>Excluded Entities</w:t>
      </w:r>
      <w:r w:rsidR="003C4448">
        <w:rPr>
          <w:rFonts w:eastAsia="Calibri"/>
          <w:kern w:val="2"/>
          <w:szCs w:val="24"/>
          <w:lang w:eastAsia="en-US"/>
        </w:rPr>
        <w:t xml:space="preserve"> </w:t>
      </w:r>
      <w:r w:rsidR="00C34860">
        <w:rPr>
          <w:rFonts w:eastAsia="Calibri"/>
          <w:kern w:val="2"/>
          <w:szCs w:val="24"/>
          <w:lang w:eastAsia="en-US"/>
        </w:rPr>
        <w:t xml:space="preserve">by </w:t>
      </w:r>
      <w:r w:rsidR="001A29EC">
        <w:rPr>
          <w:rFonts w:eastAsia="Calibri"/>
          <w:kern w:val="2"/>
          <w:szCs w:val="24"/>
          <w:lang w:eastAsia="en-US"/>
        </w:rPr>
        <w:t>precluding them from</w:t>
      </w:r>
      <w:r w:rsidR="00C34860">
        <w:rPr>
          <w:rFonts w:eastAsia="Calibri"/>
          <w:kern w:val="2"/>
          <w:szCs w:val="24"/>
          <w:lang w:eastAsia="en-US"/>
        </w:rPr>
        <w:t xml:space="preserve"> having a </w:t>
      </w:r>
      <w:r w:rsidR="003C4448">
        <w:rPr>
          <w:rFonts w:eastAsia="Calibri"/>
          <w:kern w:val="2"/>
          <w:szCs w:val="24"/>
          <w:lang w:eastAsia="en-US"/>
        </w:rPr>
        <w:t>tax liability</w:t>
      </w:r>
      <w:r w:rsidR="00F40D71">
        <w:rPr>
          <w:rFonts w:eastAsia="Calibri"/>
          <w:kern w:val="2"/>
          <w:szCs w:val="24"/>
          <w:lang w:eastAsia="en-US"/>
        </w:rPr>
        <w:t xml:space="preserve">. </w:t>
      </w:r>
      <w:r w:rsidR="003C4448">
        <w:rPr>
          <w:rFonts w:eastAsia="Calibri"/>
          <w:kern w:val="2"/>
          <w:szCs w:val="24"/>
          <w:lang w:eastAsia="en-US"/>
        </w:rPr>
        <w:t xml:space="preserve"> </w:t>
      </w:r>
    </w:p>
    <w:p w14:paraId="615B00BC" w14:textId="2F1FDC8D" w:rsidR="00312BDE" w:rsidRPr="00A506B5" w:rsidRDefault="00314FE7" w:rsidP="00A506B5">
      <w:pPr>
        <w:spacing w:before="240" w:after="200"/>
        <w:rPr>
          <w:rFonts w:eastAsia="Calibri"/>
          <w:b/>
          <w:bCs/>
          <w:kern w:val="2"/>
          <w:szCs w:val="24"/>
          <w:lang w:eastAsia="en-US"/>
        </w:rPr>
      </w:pPr>
      <w:r w:rsidRPr="00A506B5">
        <w:rPr>
          <w:rFonts w:eastAsia="Calibri"/>
          <w:b/>
          <w:bCs/>
          <w:kern w:val="2"/>
          <w:szCs w:val="24"/>
          <w:lang w:eastAsia="en-US"/>
        </w:rPr>
        <w:t>UTPR Top</w:t>
      </w:r>
      <w:r w:rsidRPr="00A506B5">
        <w:rPr>
          <w:rFonts w:eastAsia="Calibri"/>
          <w:b/>
          <w:bCs/>
          <w:kern w:val="2"/>
          <w:szCs w:val="24"/>
          <w:lang w:eastAsia="en-US"/>
        </w:rPr>
        <w:noBreakHyphen/>
        <w:t xml:space="preserve">up Tax for </w:t>
      </w:r>
      <w:r w:rsidR="00312BDE" w:rsidRPr="00A506B5">
        <w:rPr>
          <w:rFonts w:eastAsia="Calibri"/>
          <w:b/>
          <w:bCs/>
          <w:kern w:val="2"/>
          <w:szCs w:val="24"/>
          <w:lang w:eastAsia="en-US"/>
        </w:rPr>
        <w:t>Securitisation Entit</w:t>
      </w:r>
      <w:r w:rsidRPr="00A506B5">
        <w:rPr>
          <w:rFonts w:eastAsia="Calibri"/>
          <w:b/>
          <w:bCs/>
          <w:kern w:val="2"/>
          <w:szCs w:val="24"/>
          <w:lang w:eastAsia="en-US"/>
        </w:rPr>
        <w:t xml:space="preserve">ies </w:t>
      </w:r>
    </w:p>
    <w:p w14:paraId="28A9BE73" w14:textId="50440638" w:rsidR="00267692" w:rsidRDefault="000414DC" w:rsidP="00A506B5">
      <w:pPr>
        <w:spacing w:before="0" w:after="0"/>
        <w:rPr>
          <w:rFonts w:eastAsia="Calibri"/>
          <w:kern w:val="2"/>
          <w:szCs w:val="24"/>
          <w:lang w:eastAsia="en-US"/>
        </w:rPr>
      </w:pPr>
      <w:r>
        <w:rPr>
          <w:rFonts w:eastAsia="Calibri"/>
          <w:kern w:val="2"/>
          <w:szCs w:val="24"/>
          <w:lang w:eastAsia="en-US"/>
        </w:rPr>
        <w:t xml:space="preserve">Subsection 2-50(1) </w:t>
      </w:r>
      <w:r w:rsidR="006E6B07">
        <w:rPr>
          <w:rFonts w:eastAsia="Calibri"/>
          <w:kern w:val="2"/>
          <w:szCs w:val="24"/>
          <w:lang w:eastAsia="en-US"/>
        </w:rPr>
        <w:t xml:space="preserve">of the Amending Rules </w:t>
      </w:r>
      <w:r>
        <w:rPr>
          <w:rFonts w:eastAsia="Calibri"/>
          <w:kern w:val="2"/>
          <w:szCs w:val="24"/>
          <w:lang w:eastAsia="en-US"/>
        </w:rPr>
        <w:t>is amended to ensure that there is no reduction of a Constituent Entity’s UTPR To</w:t>
      </w:r>
      <w:r w:rsidR="00AE0CED">
        <w:rPr>
          <w:rFonts w:eastAsia="Calibri"/>
          <w:kern w:val="2"/>
          <w:szCs w:val="24"/>
          <w:lang w:eastAsia="en-US"/>
        </w:rPr>
        <w:t>p-up Tax Amount under subsection 2-50(2)</w:t>
      </w:r>
      <w:r w:rsidR="006E6B07">
        <w:rPr>
          <w:rFonts w:eastAsia="Calibri"/>
          <w:kern w:val="2"/>
          <w:szCs w:val="24"/>
          <w:lang w:eastAsia="en-US"/>
        </w:rPr>
        <w:t xml:space="preserve"> of the Rules</w:t>
      </w:r>
      <w:r w:rsidR="00AE0CED">
        <w:rPr>
          <w:rFonts w:eastAsia="Calibri"/>
          <w:kern w:val="2"/>
          <w:szCs w:val="24"/>
          <w:lang w:eastAsia="en-US"/>
        </w:rPr>
        <w:t xml:space="preserve"> where the head company of the consolidated group, or MEC group, is an Excluded Entity. </w:t>
      </w:r>
      <w:r w:rsidR="0002078D">
        <w:rPr>
          <w:rFonts w:eastAsia="Calibri"/>
          <w:kern w:val="2"/>
          <w:szCs w:val="24"/>
          <w:lang w:eastAsia="en-US"/>
        </w:rPr>
        <w:t xml:space="preserve">This is consistent with the </w:t>
      </w:r>
      <w:r w:rsidR="00E40AE5">
        <w:rPr>
          <w:rFonts w:eastAsia="Calibri"/>
          <w:kern w:val="2"/>
          <w:szCs w:val="24"/>
          <w:lang w:eastAsia="en-US"/>
        </w:rPr>
        <w:t xml:space="preserve">corresponding rule in subsection 2-50(4) </w:t>
      </w:r>
      <w:r w:rsidR="006E6B07">
        <w:rPr>
          <w:rFonts w:eastAsia="Calibri"/>
          <w:kern w:val="2"/>
          <w:szCs w:val="24"/>
          <w:lang w:eastAsia="en-US"/>
        </w:rPr>
        <w:t xml:space="preserve">of the Rules </w:t>
      </w:r>
      <w:r w:rsidR="00E40AE5">
        <w:rPr>
          <w:rFonts w:eastAsia="Calibri"/>
          <w:kern w:val="2"/>
          <w:szCs w:val="24"/>
          <w:lang w:eastAsia="en-US"/>
        </w:rPr>
        <w:t>only applying to head companies that are Constituent Entities.</w:t>
      </w:r>
    </w:p>
    <w:p w14:paraId="7C0A71F8" w14:textId="77777777" w:rsidR="00E40AE5" w:rsidRDefault="00E40AE5" w:rsidP="00A506B5">
      <w:pPr>
        <w:spacing w:before="0" w:after="0"/>
        <w:rPr>
          <w:rFonts w:eastAsia="Calibri"/>
          <w:kern w:val="2"/>
          <w:szCs w:val="24"/>
          <w:lang w:eastAsia="en-US"/>
        </w:rPr>
      </w:pPr>
    </w:p>
    <w:p w14:paraId="11642AAE" w14:textId="23CBDEF7" w:rsidR="00AF078F" w:rsidRDefault="00B74642" w:rsidP="00A506B5">
      <w:pPr>
        <w:spacing w:before="0" w:after="0"/>
        <w:rPr>
          <w:rFonts w:eastAsia="Calibri"/>
          <w:kern w:val="2"/>
          <w:szCs w:val="24"/>
          <w:lang w:eastAsia="en-US"/>
        </w:rPr>
      </w:pPr>
      <w:r>
        <w:rPr>
          <w:rFonts w:eastAsia="Calibri"/>
          <w:kern w:val="2"/>
          <w:szCs w:val="24"/>
          <w:lang w:eastAsia="en-US"/>
        </w:rPr>
        <w:t>A</w:t>
      </w:r>
      <w:r w:rsidR="00D1478F">
        <w:rPr>
          <w:rFonts w:eastAsia="Calibri"/>
          <w:kern w:val="2"/>
          <w:szCs w:val="24"/>
          <w:lang w:eastAsia="en-US"/>
        </w:rPr>
        <w:t>n</w:t>
      </w:r>
      <w:r>
        <w:rPr>
          <w:rFonts w:eastAsia="Calibri"/>
          <w:kern w:val="2"/>
          <w:szCs w:val="24"/>
          <w:lang w:eastAsia="en-US"/>
        </w:rPr>
        <w:t xml:space="preserve"> </w:t>
      </w:r>
      <w:r w:rsidR="006908E9">
        <w:rPr>
          <w:rFonts w:eastAsia="Calibri"/>
          <w:kern w:val="2"/>
          <w:szCs w:val="24"/>
          <w:lang w:eastAsia="en-US"/>
        </w:rPr>
        <w:t>amendment is made to</w:t>
      </w:r>
      <w:r w:rsidR="00191EF0">
        <w:rPr>
          <w:rFonts w:eastAsia="Calibri"/>
          <w:kern w:val="2"/>
          <w:szCs w:val="24"/>
          <w:lang w:eastAsia="en-US"/>
        </w:rPr>
        <w:t xml:space="preserve"> </w:t>
      </w:r>
      <w:r w:rsidR="003D063D">
        <w:rPr>
          <w:rFonts w:eastAsia="Calibri"/>
          <w:kern w:val="2"/>
          <w:szCs w:val="24"/>
          <w:lang w:eastAsia="en-US"/>
        </w:rPr>
        <w:t>s</w:t>
      </w:r>
      <w:r w:rsidR="00191EF0">
        <w:rPr>
          <w:rFonts w:eastAsia="Calibri"/>
          <w:kern w:val="2"/>
          <w:szCs w:val="24"/>
          <w:lang w:eastAsia="en-US"/>
        </w:rPr>
        <w:t xml:space="preserve">ubsection 2-85(3) </w:t>
      </w:r>
      <w:r w:rsidR="006E6B07">
        <w:rPr>
          <w:rFonts w:eastAsia="Calibri"/>
          <w:kern w:val="2"/>
          <w:szCs w:val="24"/>
          <w:lang w:eastAsia="en-US"/>
        </w:rPr>
        <w:t xml:space="preserve">of the Rules </w:t>
      </w:r>
      <w:r w:rsidR="00191EF0">
        <w:rPr>
          <w:rFonts w:eastAsia="Calibri"/>
          <w:kern w:val="2"/>
          <w:szCs w:val="24"/>
          <w:lang w:eastAsia="en-US"/>
        </w:rPr>
        <w:t>to clarify</w:t>
      </w:r>
      <w:r w:rsidR="00E66D39">
        <w:rPr>
          <w:rFonts w:eastAsia="Calibri"/>
          <w:kern w:val="2"/>
          <w:szCs w:val="24"/>
          <w:lang w:eastAsia="en-US"/>
        </w:rPr>
        <w:t xml:space="preserve"> the circumstances in which</w:t>
      </w:r>
      <w:r w:rsidR="006908E9">
        <w:rPr>
          <w:rFonts w:eastAsia="Calibri"/>
          <w:kern w:val="2"/>
          <w:szCs w:val="24"/>
          <w:lang w:eastAsia="en-US"/>
        </w:rPr>
        <w:t xml:space="preserve"> </w:t>
      </w:r>
      <w:r w:rsidR="0043272C">
        <w:rPr>
          <w:rFonts w:eastAsia="Calibri"/>
          <w:kern w:val="2"/>
          <w:szCs w:val="24"/>
          <w:lang w:eastAsia="en-US"/>
        </w:rPr>
        <w:t>a</w:t>
      </w:r>
      <w:r w:rsidR="00FB03AE" w:rsidRPr="00A506B5">
        <w:rPr>
          <w:rFonts w:eastAsia="Calibri"/>
          <w:kern w:val="2"/>
          <w:szCs w:val="24"/>
          <w:lang w:eastAsia="en-US"/>
        </w:rPr>
        <w:t xml:space="preserve"> Securitisation Entity </w:t>
      </w:r>
      <w:r w:rsidR="00E66D39">
        <w:rPr>
          <w:rFonts w:eastAsia="Calibri"/>
          <w:kern w:val="2"/>
          <w:szCs w:val="24"/>
          <w:lang w:eastAsia="en-US"/>
        </w:rPr>
        <w:t>can be</w:t>
      </w:r>
      <w:r w:rsidR="0043272C">
        <w:rPr>
          <w:rFonts w:eastAsia="Calibri"/>
          <w:kern w:val="2"/>
          <w:szCs w:val="24"/>
          <w:lang w:eastAsia="en-US"/>
        </w:rPr>
        <w:t xml:space="preserve"> </w:t>
      </w:r>
      <w:r w:rsidR="00FB03AE" w:rsidRPr="00A506B5">
        <w:rPr>
          <w:rFonts w:eastAsia="Calibri"/>
          <w:kern w:val="2"/>
          <w:szCs w:val="24"/>
          <w:lang w:eastAsia="en-US"/>
        </w:rPr>
        <w:t>liable to pay a</w:t>
      </w:r>
      <w:r w:rsidR="00AF078F">
        <w:rPr>
          <w:rFonts w:eastAsia="Calibri"/>
          <w:kern w:val="2"/>
          <w:szCs w:val="24"/>
          <w:lang w:eastAsia="en-US"/>
        </w:rPr>
        <w:t xml:space="preserve"> UTPR Top-up Tax Amount. Under the existing drafting</w:t>
      </w:r>
      <w:r w:rsidR="000F5720">
        <w:rPr>
          <w:rFonts w:eastAsia="Calibri"/>
          <w:kern w:val="2"/>
          <w:szCs w:val="24"/>
          <w:lang w:eastAsia="en-US"/>
        </w:rPr>
        <w:t xml:space="preserve">, this could occur if an amount of Total UTPR Top-up Tax Amount is distributed to Australia and either a Securitisation Entity is the only Constituent Entity </w:t>
      </w:r>
      <w:r w:rsidR="0013535D">
        <w:rPr>
          <w:rFonts w:eastAsia="Calibri"/>
          <w:kern w:val="2"/>
          <w:szCs w:val="24"/>
          <w:lang w:eastAsia="en-US"/>
        </w:rPr>
        <w:t xml:space="preserve">located in Australia, or the only Constituent Entities located in Australia are Securitisation Entities. </w:t>
      </w:r>
      <w:r w:rsidR="00CF6131">
        <w:rPr>
          <w:rFonts w:eastAsia="Calibri"/>
          <w:kern w:val="2"/>
          <w:szCs w:val="24"/>
          <w:lang w:eastAsia="en-US"/>
        </w:rPr>
        <w:t xml:space="preserve">However, this does not </w:t>
      </w:r>
      <w:r w:rsidR="00BD6EC3">
        <w:rPr>
          <w:rFonts w:eastAsia="Calibri"/>
          <w:kern w:val="2"/>
          <w:szCs w:val="24"/>
          <w:lang w:eastAsia="en-US"/>
        </w:rPr>
        <w:t>deal with scenarios where the only Constituent Entities</w:t>
      </w:r>
      <w:r w:rsidR="003B42CD">
        <w:rPr>
          <w:rFonts w:eastAsia="Calibri"/>
          <w:kern w:val="2"/>
          <w:szCs w:val="24"/>
          <w:lang w:eastAsia="en-US"/>
        </w:rPr>
        <w:t xml:space="preserve"> </w:t>
      </w:r>
      <w:r w:rsidR="003B42CD">
        <w:rPr>
          <w:rFonts w:eastAsia="Calibri"/>
          <w:kern w:val="2"/>
          <w:szCs w:val="24"/>
          <w:lang w:eastAsia="en-US"/>
        </w:rPr>
        <w:lastRenderedPageBreak/>
        <w:t>located in Australia are a combination of Constituent Entities that would otherwise be covered</w:t>
      </w:r>
      <w:r w:rsidR="003430EB">
        <w:rPr>
          <w:rFonts w:eastAsia="Calibri"/>
          <w:kern w:val="2"/>
          <w:szCs w:val="24"/>
          <w:lang w:eastAsia="en-US"/>
        </w:rPr>
        <w:t xml:space="preserve"> by subsection 2-85(2)</w:t>
      </w:r>
      <w:r w:rsidR="006E6B07">
        <w:rPr>
          <w:rFonts w:eastAsia="Calibri"/>
          <w:kern w:val="2"/>
          <w:szCs w:val="24"/>
          <w:lang w:eastAsia="en-US"/>
        </w:rPr>
        <w:t xml:space="preserve"> of the Rules</w:t>
      </w:r>
      <w:r w:rsidR="003430EB">
        <w:rPr>
          <w:rFonts w:eastAsia="Calibri"/>
          <w:kern w:val="2"/>
          <w:szCs w:val="24"/>
          <w:lang w:eastAsia="en-US"/>
        </w:rPr>
        <w:t xml:space="preserve">. </w:t>
      </w:r>
    </w:p>
    <w:p w14:paraId="063B052E" w14:textId="77777777" w:rsidR="003430EB" w:rsidRDefault="003430EB" w:rsidP="00A506B5">
      <w:pPr>
        <w:spacing w:before="0" w:after="0"/>
        <w:rPr>
          <w:rFonts w:eastAsia="Calibri"/>
          <w:kern w:val="2"/>
          <w:szCs w:val="24"/>
          <w:lang w:eastAsia="en-US"/>
        </w:rPr>
      </w:pPr>
    </w:p>
    <w:p w14:paraId="5DFCB3D9" w14:textId="24876A98" w:rsidR="000331E8" w:rsidRDefault="00C92CF5" w:rsidP="00A506B5">
      <w:pPr>
        <w:spacing w:before="0" w:after="0"/>
        <w:rPr>
          <w:rFonts w:eastAsia="Calibri"/>
          <w:kern w:val="2"/>
          <w:szCs w:val="24"/>
          <w:lang w:eastAsia="en-US"/>
        </w:rPr>
      </w:pPr>
      <w:r>
        <w:rPr>
          <w:rFonts w:eastAsia="Calibri"/>
          <w:kern w:val="2"/>
          <w:szCs w:val="24"/>
          <w:lang w:eastAsia="en-US"/>
        </w:rPr>
        <w:t xml:space="preserve">The amendment to subsection 2-85(3) </w:t>
      </w:r>
      <w:r w:rsidR="006E6B07">
        <w:rPr>
          <w:rFonts w:eastAsia="Calibri"/>
          <w:kern w:val="2"/>
          <w:szCs w:val="24"/>
          <w:lang w:eastAsia="en-US"/>
        </w:rPr>
        <w:t xml:space="preserve">of the Rules </w:t>
      </w:r>
      <w:r>
        <w:rPr>
          <w:rFonts w:eastAsia="Calibri"/>
          <w:kern w:val="2"/>
          <w:szCs w:val="24"/>
          <w:lang w:eastAsia="en-US"/>
        </w:rPr>
        <w:t xml:space="preserve">ensures that a Securitisation Entity’s employees and the Net Book Value of Tangible Assets for a Fiscal Year are not disregarded under </w:t>
      </w:r>
      <w:r w:rsidR="006E6B07">
        <w:rPr>
          <w:rFonts w:eastAsia="Calibri"/>
          <w:kern w:val="2"/>
          <w:szCs w:val="24"/>
          <w:lang w:eastAsia="en-US"/>
        </w:rPr>
        <w:t xml:space="preserve">paragraph </w:t>
      </w:r>
      <w:r>
        <w:rPr>
          <w:rFonts w:eastAsia="Calibri"/>
          <w:kern w:val="2"/>
          <w:szCs w:val="24"/>
          <w:lang w:eastAsia="en-US"/>
        </w:rPr>
        <w:t>2-85(2)(c)</w:t>
      </w:r>
      <w:r w:rsidR="006E6B07">
        <w:rPr>
          <w:rFonts w:eastAsia="Calibri"/>
          <w:kern w:val="2"/>
          <w:szCs w:val="24"/>
          <w:lang w:eastAsia="en-US"/>
        </w:rPr>
        <w:t xml:space="preserve"> of the Rules</w:t>
      </w:r>
      <w:r w:rsidR="000208B3">
        <w:rPr>
          <w:rFonts w:eastAsia="Calibri"/>
          <w:kern w:val="2"/>
          <w:szCs w:val="24"/>
          <w:lang w:eastAsia="en-US"/>
        </w:rPr>
        <w:t>, where either the Securitisation Entity is the only Constituent Entity located in Australia, or, where each Constituent Entity located in Australia is either a Securitisation Entity, Investment Entity or an Insurance Investment Entity.</w:t>
      </w:r>
    </w:p>
    <w:p w14:paraId="4812A69A" w14:textId="77777777" w:rsidR="000208B3" w:rsidRPr="00A506B5" w:rsidRDefault="000208B3" w:rsidP="00A506B5">
      <w:pPr>
        <w:spacing w:before="0" w:after="0"/>
        <w:rPr>
          <w:rFonts w:eastAsia="Calibri"/>
          <w:kern w:val="2"/>
          <w:szCs w:val="24"/>
          <w:lang w:eastAsia="en-US"/>
        </w:rPr>
      </w:pPr>
    </w:p>
    <w:p w14:paraId="02433E4B" w14:textId="356092CE" w:rsidR="007C01E6" w:rsidRPr="00602993" w:rsidRDefault="00602993" w:rsidP="007A364D">
      <w:pPr>
        <w:rPr>
          <w:rFonts w:eastAsia="Calibri"/>
          <w:b/>
          <w:bCs/>
          <w:lang w:eastAsia="en-US"/>
        </w:rPr>
      </w:pPr>
      <w:r w:rsidRPr="00602993">
        <w:rPr>
          <w:rFonts w:eastAsia="Calibri"/>
          <w:b/>
          <w:bCs/>
          <w:lang w:eastAsia="en-US"/>
        </w:rPr>
        <w:t>UTPR Percentage taken to be zero in certain circumstances</w:t>
      </w:r>
    </w:p>
    <w:p w14:paraId="7DFB70D7" w14:textId="67F8DBB4" w:rsidR="007A364D" w:rsidRPr="00A506B5" w:rsidRDefault="007A364D" w:rsidP="007A364D">
      <w:pPr>
        <w:rPr>
          <w:rFonts w:eastAsia="Calibri"/>
          <w:lang w:eastAsia="en-US"/>
        </w:rPr>
      </w:pPr>
      <w:r>
        <w:rPr>
          <w:rFonts w:eastAsia="Calibri"/>
          <w:lang w:eastAsia="en-US"/>
        </w:rPr>
        <w:t xml:space="preserve">A technical amendment is made </w:t>
      </w:r>
      <w:r w:rsidR="008D3DF6">
        <w:rPr>
          <w:rFonts w:eastAsia="Calibri"/>
          <w:lang w:eastAsia="en-US"/>
        </w:rPr>
        <w:t xml:space="preserve">to </w:t>
      </w:r>
      <w:r w:rsidR="00911AAD">
        <w:rPr>
          <w:rFonts w:eastAsia="Calibri"/>
          <w:lang w:eastAsia="en-US"/>
        </w:rPr>
        <w:t xml:space="preserve">limit </w:t>
      </w:r>
      <w:r>
        <w:rPr>
          <w:rFonts w:eastAsia="Calibri"/>
          <w:lang w:eastAsia="en-US"/>
        </w:rPr>
        <w:t>the</w:t>
      </w:r>
      <w:r w:rsidR="00F5728A">
        <w:rPr>
          <w:rFonts w:eastAsia="Calibri"/>
          <w:lang w:eastAsia="en-US"/>
        </w:rPr>
        <w:t xml:space="preserve"> time</w:t>
      </w:r>
      <w:r>
        <w:rPr>
          <w:rFonts w:eastAsia="Calibri"/>
          <w:lang w:eastAsia="en-US"/>
        </w:rPr>
        <w:t xml:space="preserve"> period </w:t>
      </w:r>
      <w:r w:rsidR="00911AAD">
        <w:rPr>
          <w:rFonts w:eastAsia="Calibri"/>
          <w:lang w:eastAsia="en-US"/>
        </w:rPr>
        <w:t>that an</w:t>
      </w:r>
      <w:r w:rsidR="00882567">
        <w:rPr>
          <w:rFonts w:eastAsia="Calibri"/>
          <w:lang w:eastAsia="en-US"/>
        </w:rPr>
        <w:t xml:space="preserve"> amount</w:t>
      </w:r>
      <w:r w:rsidR="00DE7559">
        <w:rPr>
          <w:rFonts w:eastAsia="Calibri"/>
          <w:lang w:eastAsia="en-US"/>
        </w:rPr>
        <w:t xml:space="preserve"> of UTPR</w:t>
      </w:r>
      <w:r w:rsidR="00911AAD">
        <w:rPr>
          <w:rFonts w:eastAsia="Calibri"/>
          <w:lang w:eastAsia="en-US"/>
        </w:rPr>
        <w:t xml:space="preserve"> allocated </w:t>
      </w:r>
      <w:r w:rsidR="00DE7559">
        <w:rPr>
          <w:rFonts w:eastAsia="Calibri"/>
          <w:lang w:eastAsia="en-US"/>
        </w:rPr>
        <w:t xml:space="preserve">to a jurisdiction for a prior year must result in the Constituent Entities of the MNE Group located in the jurisdiction having an additional </w:t>
      </w:r>
      <w:r w:rsidR="000E71A0">
        <w:rPr>
          <w:rFonts w:eastAsia="Calibri"/>
          <w:lang w:eastAsia="en-US"/>
        </w:rPr>
        <w:t xml:space="preserve">cash tax expense equal to the allocated amount. That </w:t>
      </w:r>
      <w:r w:rsidR="009B415A">
        <w:rPr>
          <w:rFonts w:eastAsia="Calibri"/>
          <w:lang w:eastAsia="en-US"/>
        </w:rPr>
        <w:t xml:space="preserve">time limit is </w:t>
      </w:r>
      <w:r w:rsidR="00517A14">
        <w:rPr>
          <w:rFonts w:eastAsia="Calibri"/>
          <w:lang w:eastAsia="en-US"/>
        </w:rPr>
        <w:t>12 months after the</w:t>
      </w:r>
      <w:r w:rsidR="004F2840">
        <w:rPr>
          <w:rFonts w:eastAsia="Calibri"/>
          <w:lang w:eastAsia="en-US"/>
        </w:rPr>
        <w:t xml:space="preserve"> end of the</w:t>
      </w:r>
      <w:r w:rsidR="00517A14">
        <w:rPr>
          <w:rFonts w:eastAsia="Calibri"/>
          <w:lang w:eastAsia="en-US"/>
        </w:rPr>
        <w:t xml:space="preserve"> </w:t>
      </w:r>
      <w:r w:rsidR="00911AAD">
        <w:rPr>
          <w:rFonts w:eastAsia="Calibri"/>
          <w:lang w:eastAsia="en-US"/>
        </w:rPr>
        <w:t xml:space="preserve">current </w:t>
      </w:r>
      <w:r w:rsidR="00517A14">
        <w:rPr>
          <w:rFonts w:eastAsia="Calibri"/>
          <w:lang w:eastAsia="en-US"/>
        </w:rPr>
        <w:t>Fiscal Year</w:t>
      </w:r>
      <w:r w:rsidR="00A12A6B">
        <w:rPr>
          <w:rFonts w:eastAsia="Calibri"/>
          <w:lang w:eastAsia="en-US"/>
        </w:rPr>
        <w:t>. I</w:t>
      </w:r>
      <w:r w:rsidR="004F2840">
        <w:rPr>
          <w:rFonts w:eastAsia="Calibri"/>
          <w:lang w:eastAsia="en-US"/>
        </w:rPr>
        <w:t>f</w:t>
      </w:r>
      <w:r w:rsidR="00A12A6B">
        <w:rPr>
          <w:rFonts w:eastAsia="Calibri"/>
          <w:lang w:eastAsia="en-US"/>
        </w:rPr>
        <w:t xml:space="preserve"> the </w:t>
      </w:r>
      <w:proofErr w:type="gramStart"/>
      <w:r w:rsidR="00A12A6B">
        <w:rPr>
          <w:rFonts w:eastAsia="Calibri"/>
          <w:lang w:eastAsia="en-US"/>
        </w:rPr>
        <w:t>12 month</w:t>
      </w:r>
      <w:proofErr w:type="gramEnd"/>
      <w:r w:rsidR="00A12A6B">
        <w:rPr>
          <w:rFonts w:eastAsia="Calibri"/>
          <w:lang w:eastAsia="en-US"/>
        </w:rPr>
        <w:t xml:space="preserve"> time limit is</w:t>
      </w:r>
      <w:r w:rsidR="004F2840">
        <w:rPr>
          <w:rFonts w:eastAsia="Calibri"/>
          <w:lang w:eastAsia="en-US"/>
        </w:rPr>
        <w:t xml:space="preserve"> not met the MNE Group’s UTPR Percentage for the jurisdiction for the current Fiscal Year </w:t>
      </w:r>
      <w:r w:rsidR="00EE797D">
        <w:rPr>
          <w:rFonts w:eastAsia="Calibri"/>
          <w:lang w:eastAsia="en-US"/>
        </w:rPr>
        <w:t xml:space="preserve">is taken to </w:t>
      </w:r>
      <w:r w:rsidR="004F2840">
        <w:rPr>
          <w:rFonts w:eastAsia="Calibri"/>
          <w:lang w:eastAsia="en-US"/>
        </w:rPr>
        <w:t>be zero</w:t>
      </w:r>
      <w:r>
        <w:rPr>
          <w:rFonts w:eastAsia="Calibri"/>
          <w:lang w:eastAsia="en-US"/>
        </w:rPr>
        <w:t xml:space="preserve">.  </w:t>
      </w:r>
      <w:r w:rsidRPr="00A506B5">
        <w:rPr>
          <w:rFonts w:eastAsia="Calibri"/>
          <w:lang w:eastAsia="en-US"/>
        </w:rPr>
        <w:t xml:space="preserve"> </w:t>
      </w:r>
    </w:p>
    <w:p w14:paraId="1B7F8639" w14:textId="6F4E1333" w:rsidR="00312BDE" w:rsidRPr="00B90522" w:rsidRDefault="00312BDE" w:rsidP="00B90522">
      <w:pPr>
        <w:spacing w:before="240" w:after="200"/>
        <w:rPr>
          <w:rFonts w:eastAsia="Calibri"/>
          <w:kern w:val="2"/>
          <w:szCs w:val="24"/>
          <w:lang w:eastAsia="en-US"/>
        </w:rPr>
      </w:pPr>
      <w:r w:rsidRPr="00A506B5">
        <w:rPr>
          <w:rFonts w:eastAsia="Calibri"/>
          <w:b/>
          <w:bCs/>
          <w:kern w:val="2"/>
          <w:szCs w:val="24"/>
          <w:lang w:eastAsia="en-US"/>
        </w:rPr>
        <w:t xml:space="preserve">Mutual Insurance Company </w:t>
      </w:r>
    </w:p>
    <w:p w14:paraId="2AFFC198" w14:textId="3A007D96" w:rsidR="002578A7" w:rsidRPr="001A7A69" w:rsidRDefault="00A51A3C" w:rsidP="001A7A69">
      <w:pPr>
        <w:spacing w:before="0" w:after="0"/>
      </w:pPr>
      <w:r w:rsidRPr="00A506B5">
        <w:rPr>
          <w:rFonts w:eastAsia="Calibri"/>
          <w:kern w:val="2"/>
          <w:szCs w:val="24"/>
          <w:lang w:eastAsia="en-US"/>
        </w:rPr>
        <w:t>Part 7-5 of the R</w:t>
      </w:r>
      <w:r w:rsidR="007E701E" w:rsidRPr="00A506B5">
        <w:rPr>
          <w:rFonts w:eastAsia="Calibri"/>
          <w:kern w:val="2"/>
          <w:szCs w:val="24"/>
          <w:lang w:eastAsia="en-US"/>
        </w:rPr>
        <w:t>ules allow for a Filing Constituent Entity to make an election to treat a Constituent Entity that is an Investment Entity or an Insurance Investment Entity as a Tax Transparent Entity</w:t>
      </w:r>
      <w:r w:rsidR="00944C94">
        <w:rPr>
          <w:rFonts w:eastAsia="Calibri"/>
          <w:kern w:val="2"/>
          <w:szCs w:val="24"/>
          <w:lang w:eastAsia="en-US"/>
        </w:rPr>
        <w:t>, if certain conditions are met</w:t>
      </w:r>
      <w:r w:rsidR="00347BF6">
        <w:rPr>
          <w:rFonts w:eastAsia="Calibri"/>
          <w:kern w:val="2"/>
          <w:szCs w:val="24"/>
          <w:lang w:eastAsia="en-US"/>
        </w:rPr>
        <w:t xml:space="preserve">. </w:t>
      </w:r>
      <w:r w:rsidR="00973D16">
        <w:rPr>
          <w:rFonts w:eastAsia="Calibri"/>
          <w:kern w:val="2"/>
          <w:szCs w:val="24"/>
          <w:lang w:eastAsia="en-US"/>
        </w:rPr>
        <w:t>Th</w:t>
      </w:r>
      <w:r w:rsidR="00944C94">
        <w:rPr>
          <w:rFonts w:eastAsia="Calibri"/>
          <w:kern w:val="2"/>
          <w:szCs w:val="24"/>
          <w:lang w:eastAsia="en-US"/>
        </w:rPr>
        <w:t>e</w:t>
      </w:r>
      <w:r w:rsidR="00973D16">
        <w:rPr>
          <w:rFonts w:eastAsia="Calibri"/>
          <w:kern w:val="2"/>
          <w:szCs w:val="24"/>
          <w:lang w:eastAsia="en-US"/>
        </w:rPr>
        <w:t xml:space="preserve"> </w:t>
      </w:r>
      <w:r w:rsidR="007E701E" w:rsidRPr="00A506B5">
        <w:rPr>
          <w:rFonts w:eastAsia="Calibri"/>
          <w:kern w:val="2"/>
          <w:szCs w:val="24"/>
          <w:lang w:eastAsia="en-US"/>
        </w:rPr>
        <w:t>conditions</w:t>
      </w:r>
      <w:r w:rsidR="00A66194">
        <w:rPr>
          <w:rFonts w:eastAsia="Calibri"/>
          <w:kern w:val="2"/>
          <w:szCs w:val="24"/>
          <w:lang w:eastAsia="en-US"/>
        </w:rPr>
        <w:t xml:space="preserve"> includ</w:t>
      </w:r>
      <w:r w:rsidR="00944C94">
        <w:rPr>
          <w:rFonts w:eastAsia="Calibri"/>
          <w:kern w:val="2"/>
          <w:szCs w:val="24"/>
          <w:lang w:eastAsia="en-US"/>
        </w:rPr>
        <w:t xml:space="preserve">e </w:t>
      </w:r>
      <w:r w:rsidR="00A66194">
        <w:rPr>
          <w:rFonts w:eastAsia="Calibri"/>
          <w:kern w:val="2"/>
          <w:szCs w:val="24"/>
          <w:lang w:eastAsia="en-US"/>
        </w:rPr>
        <w:t>that the relevant Constituent Entity</w:t>
      </w:r>
      <w:r w:rsidR="007C4798">
        <w:rPr>
          <w:rFonts w:eastAsia="Calibri"/>
          <w:kern w:val="2"/>
          <w:szCs w:val="24"/>
          <w:lang w:eastAsia="en-US"/>
        </w:rPr>
        <w:t xml:space="preserve">-owner is subject to tax in the jurisdiction in which it is located under a mark-to-market or similar regime in respect of the Ownership Interest </w:t>
      </w:r>
      <w:r w:rsidR="00C645F2">
        <w:rPr>
          <w:rFonts w:eastAsia="Calibri"/>
          <w:kern w:val="2"/>
          <w:szCs w:val="24"/>
          <w:lang w:eastAsia="en-US"/>
        </w:rPr>
        <w:t>and at a rate equal to or more than the Minimum Rate.</w:t>
      </w:r>
      <w:r w:rsidR="007E701E" w:rsidRPr="00A506B5">
        <w:rPr>
          <w:rFonts w:eastAsia="Calibri"/>
          <w:kern w:val="2"/>
          <w:szCs w:val="24"/>
          <w:lang w:eastAsia="en-US"/>
        </w:rPr>
        <w:t xml:space="preserve"> </w:t>
      </w:r>
      <w:r w:rsidR="00253C06" w:rsidRPr="00A506B5">
        <w:rPr>
          <w:rFonts w:eastAsia="Calibri"/>
          <w:kern w:val="2"/>
          <w:szCs w:val="24"/>
          <w:lang w:eastAsia="en-US"/>
        </w:rPr>
        <w:t xml:space="preserve">Item 12 of the </w:t>
      </w:r>
      <w:r w:rsidR="00425CFB" w:rsidRPr="00A506B5">
        <w:rPr>
          <w:rFonts w:eastAsia="Calibri"/>
          <w:kern w:val="2"/>
          <w:szCs w:val="24"/>
          <w:lang w:eastAsia="en-US"/>
        </w:rPr>
        <w:t xml:space="preserve">Amending Rules </w:t>
      </w:r>
      <w:r w:rsidR="004A20E1" w:rsidRPr="00A506B5">
        <w:rPr>
          <w:rFonts w:eastAsia="Calibri"/>
          <w:kern w:val="2"/>
          <w:szCs w:val="24"/>
          <w:lang w:eastAsia="en-US"/>
        </w:rPr>
        <w:t>clarifies that the</w:t>
      </w:r>
      <w:r w:rsidR="00DD3011">
        <w:rPr>
          <w:rFonts w:eastAsia="Calibri"/>
          <w:kern w:val="2"/>
          <w:szCs w:val="24"/>
          <w:lang w:eastAsia="en-US"/>
        </w:rPr>
        <w:t xml:space="preserve">se conditions can be taken to be met in respect of </w:t>
      </w:r>
      <w:r w:rsidR="003A449D" w:rsidRPr="00A506B5">
        <w:rPr>
          <w:rFonts w:eastAsia="Calibri"/>
          <w:kern w:val="2"/>
          <w:szCs w:val="24"/>
          <w:lang w:eastAsia="en-US"/>
        </w:rPr>
        <w:t xml:space="preserve">Regulated </w:t>
      </w:r>
      <w:r w:rsidR="004A20E1" w:rsidRPr="00A506B5">
        <w:rPr>
          <w:rFonts w:eastAsia="Calibri"/>
          <w:kern w:val="2"/>
          <w:szCs w:val="24"/>
          <w:lang w:eastAsia="en-US"/>
        </w:rPr>
        <w:t xml:space="preserve">Mutual Insurance Companies, consistent with </w:t>
      </w:r>
      <w:r w:rsidR="007E701E" w:rsidRPr="00A506B5">
        <w:rPr>
          <w:rFonts w:eastAsia="Calibri"/>
          <w:kern w:val="2"/>
          <w:szCs w:val="24"/>
          <w:lang w:eastAsia="en-US"/>
        </w:rPr>
        <w:t>paragraph 91</w:t>
      </w:r>
      <w:r w:rsidR="00743AD1" w:rsidRPr="00A506B5">
        <w:rPr>
          <w:rFonts w:eastAsia="Calibri"/>
          <w:kern w:val="2"/>
          <w:szCs w:val="24"/>
          <w:lang w:eastAsia="en-US"/>
        </w:rPr>
        <w:t xml:space="preserve"> on </w:t>
      </w:r>
      <w:r w:rsidR="007E701E" w:rsidRPr="00A506B5">
        <w:rPr>
          <w:rFonts w:eastAsia="Calibri"/>
          <w:kern w:val="2"/>
          <w:szCs w:val="24"/>
          <w:lang w:eastAsia="en-US"/>
        </w:rPr>
        <w:t xml:space="preserve">page </w:t>
      </w:r>
      <w:r w:rsidR="00854D27" w:rsidRPr="00A506B5">
        <w:rPr>
          <w:rFonts w:eastAsia="Calibri"/>
          <w:kern w:val="2"/>
          <w:szCs w:val="24"/>
          <w:lang w:eastAsia="en-US"/>
        </w:rPr>
        <w:t>2</w:t>
      </w:r>
      <w:r w:rsidR="00922B92">
        <w:rPr>
          <w:rFonts w:eastAsia="Calibri"/>
          <w:kern w:val="2"/>
          <w:szCs w:val="24"/>
          <w:lang w:eastAsia="en-US"/>
        </w:rPr>
        <w:t>35</w:t>
      </w:r>
      <w:r w:rsidR="007E701E" w:rsidRPr="00A506B5">
        <w:rPr>
          <w:rFonts w:eastAsia="Calibri"/>
          <w:kern w:val="2"/>
          <w:szCs w:val="24"/>
          <w:lang w:eastAsia="en-US"/>
        </w:rPr>
        <w:t xml:space="preserve"> of the </w:t>
      </w:r>
      <w:r w:rsidR="00743AD1" w:rsidRPr="00A506B5">
        <w:rPr>
          <w:rFonts w:eastAsia="Calibri"/>
          <w:kern w:val="2"/>
          <w:szCs w:val="24"/>
          <w:lang w:eastAsia="en-US"/>
        </w:rPr>
        <w:t>Consolidated Commentary</w:t>
      </w:r>
      <w:r w:rsidR="007077D4" w:rsidRPr="00A506B5">
        <w:rPr>
          <w:rFonts w:eastAsia="Calibri"/>
          <w:kern w:val="2"/>
          <w:szCs w:val="24"/>
          <w:lang w:eastAsia="en-US"/>
        </w:rPr>
        <w:t xml:space="preserve"> (202</w:t>
      </w:r>
      <w:r w:rsidR="00B17F5C">
        <w:rPr>
          <w:rFonts w:eastAsia="Calibri"/>
          <w:kern w:val="2"/>
          <w:szCs w:val="24"/>
          <w:lang w:eastAsia="en-US"/>
        </w:rPr>
        <w:t>5</w:t>
      </w:r>
      <w:r w:rsidR="007077D4" w:rsidRPr="00A506B5">
        <w:rPr>
          <w:rFonts w:eastAsia="Calibri"/>
          <w:kern w:val="2"/>
          <w:szCs w:val="24"/>
          <w:lang w:eastAsia="en-US"/>
        </w:rPr>
        <w:t>)</w:t>
      </w:r>
      <w:r w:rsidR="007E701E" w:rsidRPr="00A506B5">
        <w:rPr>
          <w:rFonts w:eastAsia="Calibri"/>
          <w:kern w:val="2"/>
          <w:szCs w:val="24"/>
          <w:lang w:eastAsia="en-US"/>
        </w:rPr>
        <w:t>.</w:t>
      </w:r>
      <w:r w:rsidR="004A20E1" w:rsidRPr="00A506B5">
        <w:rPr>
          <w:rFonts w:eastAsia="Calibri"/>
          <w:kern w:val="2"/>
          <w:szCs w:val="24"/>
          <w:lang w:eastAsia="en-US"/>
        </w:rPr>
        <w:t xml:space="preserve"> </w:t>
      </w:r>
      <w:r w:rsidR="007F2060" w:rsidRPr="00A506B5">
        <w:rPr>
          <w:rFonts w:eastAsia="Calibri"/>
          <w:kern w:val="2"/>
          <w:szCs w:val="24"/>
          <w:lang w:eastAsia="en-US"/>
        </w:rPr>
        <w:t xml:space="preserve">Registered Mutual insurance companies are insurance companies </w:t>
      </w:r>
      <w:r w:rsidR="00F0238C" w:rsidRPr="00A506B5">
        <w:rPr>
          <w:rFonts w:eastAsia="Calibri"/>
          <w:kern w:val="2"/>
          <w:szCs w:val="24"/>
          <w:lang w:eastAsia="en-US"/>
        </w:rPr>
        <w:t>owned exclusively by their policyholder</w:t>
      </w:r>
      <w:r w:rsidR="00F0238C">
        <w:rPr>
          <w:rFonts w:eastAsia="Calibri"/>
          <w:kern w:val="2"/>
          <w:szCs w:val="24"/>
          <w:lang w:eastAsia="en-US"/>
        </w:rPr>
        <w:t xml:space="preserve">s and </w:t>
      </w:r>
      <w:r w:rsidR="00927B19">
        <w:rPr>
          <w:rFonts w:eastAsia="Calibri"/>
          <w:kern w:val="2"/>
          <w:szCs w:val="24"/>
          <w:lang w:eastAsia="en-US"/>
        </w:rPr>
        <w:t>regulated in the jurisdiction in which they are located</w:t>
      </w:r>
      <w:r w:rsidR="007F2060" w:rsidRPr="00A506B5">
        <w:rPr>
          <w:rFonts w:eastAsia="Calibri"/>
          <w:kern w:val="2"/>
          <w:szCs w:val="24"/>
          <w:lang w:eastAsia="en-US"/>
        </w:rPr>
        <w:t>.</w:t>
      </w:r>
    </w:p>
    <w:sectPr w:rsidR="002578A7" w:rsidRPr="001A7A69" w:rsidSect="004A27A8">
      <w:footerReference w:type="default" r:id="rId9"/>
      <w:pgSz w:w="11906" w:h="16838"/>
      <w:pgMar w:top="1440" w:right="1558"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181EC" w14:textId="77777777" w:rsidR="00612740" w:rsidRDefault="00612740" w:rsidP="00954679">
      <w:pPr>
        <w:spacing w:before="0" w:after="0"/>
      </w:pPr>
      <w:r>
        <w:separator/>
      </w:r>
    </w:p>
  </w:endnote>
  <w:endnote w:type="continuationSeparator" w:id="0">
    <w:p w14:paraId="3FF4C2D6" w14:textId="77777777" w:rsidR="00612740" w:rsidRDefault="00612740" w:rsidP="00954679">
      <w:pPr>
        <w:spacing w:before="0" w:after="0"/>
      </w:pPr>
      <w:r>
        <w:continuationSeparator/>
      </w:r>
    </w:p>
  </w:endnote>
  <w:endnote w:type="continuationNotice" w:id="1">
    <w:p w14:paraId="4FCDBF01" w14:textId="77777777" w:rsidR="00612740" w:rsidRDefault="0061274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itica">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1F1FFCF5"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FA4BE" w14:textId="77777777" w:rsidR="00612740" w:rsidRDefault="00612740" w:rsidP="00954679">
      <w:pPr>
        <w:spacing w:before="0" w:after="0"/>
      </w:pPr>
      <w:r>
        <w:separator/>
      </w:r>
    </w:p>
  </w:footnote>
  <w:footnote w:type="continuationSeparator" w:id="0">
    <w:p w14:paraId="5150A571" w14:textId="77777777" w:rsidR="00612740" w:rsidRDefault="00612740" w:rsidP="00954679">
      <w:pPr>
        <w:spacing w:before="0" w:after="0"/>
      </w:pPr>
      <w:r>
        <w:continuationSeparator/>
      </w:r>
    </w:p>
  </w:footnote>
  <w:footnote w:type="continuationNotice" w:id="1">
    <w:p w14:paraId="5E182E65" w14:textId="77777777" w:rsidR="00612740" w:rsidRDefault="00612740">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74BA5"/>
    <w:multiLevelType w:val="hybridMultilevel"/>
    <w:tmpl w:val="B0923FC0"/>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063D6A"/>
    <w:multiLevelType w:val="hybridMultilevel"/>
    <w:tmpl w:val="E48A2CD6"/>
    <w:lvl w:ilvl="0" w:tplc="8032A19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9170CA0"/>
    <w:multiLevelType w:val="multilevel"/>
    <w:tmpl w:val="049421C8"/>
    <w:styleLink w:val="ArticleSection1"/>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noProof w:val="0"/>
        <w:vanish w:val="0"/>
        <w:color w:val="000000"/>
        <w:spacing w:val="0"/>
        <w:kern w:val="0"/>
        <w:position w:val="0"/>
        <w:sz w:val="4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ormalparatextwithnumbers"/>
      <w:lvlText w:val="%1.%2"/>
      <w:lvlJc w:val="left"/>
      <w:pPr>
        <w:tabs>
          <w:tab w:val="num" w:pos="709"/>
        </w:tabs>
        <w:ind w:left="709" w:hanging="709"/>
      </w:pPr>
      <w:rPr>
        <w:rFonts w:hint="default"/>
      </w:rPr>
    </w:lvl>
    <w:lvl w:ilvl="2">
      <w:start w:val="1"/>
      <w:numFmt w:val="decimal"/>
      <w:lvlRestart w:val="1"/>
      <w:pStyle w:val="DiagramHeading"/>
      <w:suff w:val="space"/>
      <w:lvlText w:val="Diagram %1.%3"/>
      <w:lvlJc w:val="left"/>
      <w:pPr>
        <w:ind w:left="1701" w:hanging="1701"/>
      </w:pPr>
      <w:rPr>
        <w:rFonts w:hint="default"/>
      </w:rPr>
    </w:lvl>
    <w:lvl w:ilvl="3">
      <w:start w:val="1"/>
      <w:numFmt w:val="decimal"/>
      <w:lvlRestart w:val="1"/>
      <w:pStyle w:val="ExampleHeading"/>
      <w:suff w:val="space"/>
      <w:lvlText w:val="Example %1.%4"/>
      <w:lvlJc w:val="left"/>
      <w:pPr>
        <w:ind w:left="1701" w:hanging="1701"/>
      </w:pPr>
      <w:rPr>
        <w:rFonts w:hint="default"/>
      </w:rPr>
    </w:lvl>
    <w:lvl w:ilvl="4">
      <w:start w:val="1"/>
      <w:numFmt w:val="decimal"/>
      <w:lvlRestart w:val="1"/>
      <w:pStyle w:val="TableHeading"/>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5" w15:restartNumberingAfterBreak="0">
    <w:nsid w:val="5C8933E2"/>
    <w:multiLevelType w:val="hybridMultilevel"/>
    <w:tmpl w:val="58BCA2F8"/>
    <w:lvl w:ilvl="0" w:tplc="CF92C85E">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DCE7082"/>
    <w:multiLevelType w:val="hybridMultilevel"/>
    <w:tmpl w:val="E536D2A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646A7508"/>
    <w:multiLevelType w:val="hybridMultilevel"/>
    <w:tmpl w:val="5C5478B8"/>
    <w:lvl w:ilvl="0" w:tplc="504AB766">
      <w:start w:val="1"/>
      <w:numFmt w:val="bullet"/>
      <w:lvlText w:val=""/>
      <w:lvlJc w:val="left"/>
      <w:pPr>
        <w:ind w:left="720" w:hanging="360"/>
      </w:pPr>
      <w:rPr>
        <w:rFonts w:ascii="Symbol" w:eastAsia="Calibri" w:hAnsi="Symbol"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67A43C0B"/>
    <w:multiLevelType w:val="multilevel"/>
    <w:tmpl w:val="7EE21D86"/>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42919768">
    <w:abstractNumId w:val="4"/>
  </w:num>
  <w:num w:numId="2" w16cid:durableId="92435628">
    <w:abstractNumId w:val="8"/>
  </w:num>
  <w:num w:numId="3" w16cid:durableId="102648425">
    <w:abstractNumId w:val="2"/>
  </w:num>
  <w:num w:numId="4" w16cid:durableId="1451314351">
    <w:abstractNumId w:val="1"/>
  </w:num>
  <w:num w:numId="5" w16cid:durableId="1455824937">
    <w:abstractNumId w:val="8"/>
  </w:num>
  <w:num w:numId="6" w16cid:durableId="2012178582">
    <w:abstractNumId w:val="8"/>
  </w:num>
  <w:num w:numId="7" w16cid:durableId="1173374635">
    <w:abstractNumId w:val="8"/>
  </w:num>
  <w:num w:numId="8" w16cid:durableId="1074162301">
    <w:abstractNumId w:val="8"/>
  </w:num>
  <w:num w:numId="9" w16cid:durableId="1206795025">
    <w:abstractNumId w:val="8"/>
  </w:num>
  <w:num w:numId="10" w16cid:durableId="474571849">
    <w:abstractNumId w:val="8"/>
  </w:num>
  <w:num w:numId="11" w16cid:durableId="890385033">
    <w:abstractNumId w:val="8"/>
  </w:num>
  <w:num w:numId="12" w16cid:durableId="392780191">
    <w:abstractNumId w:val="8"/>
  </w:num>
  <w:num w:numId="13" w16cid:durableId="1793669345">
    <w:abstractNumId w:val="8"/>
  </w:num>
  <w:num w:numId="14" w16cid:durableId="2085832638">
    <w:abstractNumId w:val="8"/>
  </w:num>
  <w:num w:numId="15" w16cid:durableId="724838217">
    <w:abstractNumId w:val="8"/>
  </w:num>
  <w:num w:numId="16" w16cid:durableId="951398036">
    <w:abstractNumId w:val="8"/>
  </w:num>
  <w:num w:numId="17" w16cid:durableId="716246986">
    <w:abstractNumId w:val="7"/>
  </w:num>
  <w:num w:numId="18" w16cid:durableId="1829707682">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9" w16cid:durableId="834690233">
    <w:abstractNumId w:val="3"/>
  </w:num>
  <w:num w:numId="20" w16cid:durableId="12907415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65477007">
    <w:abstractNumId w:val="3"/>
    <w:lvlOverride w:ilvl="0">
      <w:startOverride w:val="1"/>
      <w:lvl w:ilvl="0">
        <w:start w:val="1"/>
        <w:numFmt w:val="decimal"/>
        <w:pStyle w:val="Chapterheading"/>
        <w:lvlText w:val="Chapter %1:"/>
        <w:lvlJc w:val="left"/>
        <w:pPr>
          <w:tabs>
            <w:tab w:val="num" w:pos="2977"/>
          </w:tabs>
          <w:ind w:left="0" w:firstLine="0"/>
        </w:pPr>
        <w:rPr>
          <w:rFonts w:ascii="Helvitica" w:hAnsi="Helvitica" w:hint="default"/>
          <w:b w:val="0"/>
          <w:bCs w:val="0"/>
          <w:i w:val="0"/>
          <w:iCs w:val="0"/>
          <w:caps w:val="0"/>
          <w:smallCaps w:val="0"/>
          <w:strike w:val="0"/>
          <w:dstrike w:val="0"/>
          <w:outline w:val="0"/>
          <w:shadow w:val="0"/>
          <w:emboss w:val="0"/>
          <w:imprint w:val="0"/>
          <w:noProof w:val="0"/>
          <w:vanish w:val="0"/>
          <w:webHidden w:val="0"/>
          <w:color w:val="auto"/>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start w:val="1"/>
        <w:numFmt w:val="decimal"/>
        <w:pStyle w:val="Normalparatextwithnumbers"/>
        <w:lvlText w:val=""/>
        <w:lvlJc w:val="left"/>
      </w:lvl>
    </w:lvlOverride>
    <w:lvlOverride w:ilvl="2">
      <w:startOverride w:val="1"/>
      <w:lvl w:ilvl="2">
        <w:start w:val="1"/>
        <w:numFmt w:val="decimal"/>
        <w:pStyle w:val="DiagramHeading"/>
        <w:lvlText w:val=""/>
        <w:lvlJc w:val="left"/>
      </w:lvl>
    </w:lvlOverride>
    <w:lvlOverride w:ilvl="3">
      <w:startOverride w:val="1"/>
      <w:lvl w:ilvl="3">
        <w:start w:val="1"/>
        <w:numFmt w:val="decimal"/>
        <w:pStyle w:val="ExampleHeading"/>
        <w:lvlText w:val=""/>
        <w:lvlJc w:val="left"/>
      </w:lvl>
    </w:lvlOverride>
    <w:lvlOverride w:ilvl="4">
      <w:startOverride w:val="1"/>
      <w:lvl w:ilvl="4">
        <w:start w:val="1"/>
        <w:numFmt w:val="decimal"/>
        <w:pStyle w:val="TableHeading"/>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2" w16cid:durableId="1013069419">
    <w:abstractNumId w:val="6"/>
  </w:num>
  <w:num w:numId="23" w16cid:durableId="1946186231">
    <w:abstractNumId w:val="0"/>
  </w:num>
  <w:num w:numId="24" w16cid:durableId="14596855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94"/>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911"/>
    <w:rsid w:val="00000A00"/>
    <w:rsid w:val="00000F9D"/>
    <w:rsid w:val="000011EA"/>
    <w:rsid w:val="00001DB8"/>
    <w:rsid w:val="000026BE"/>
    <w:rsid w:val="00003189"/>
    <w:rsid w:val="00004C54"/>
    <w:rsid w:val="000052FD"/>
    <w:rsid w:val="00005B51"/>
    <w:rsid w:val="0000605C"/>
    <w:rsid w:val="0000628C"/>
    <w:rsid w:val="00006C7C"/>
    <w:rsid w:val="00010EFE"/>
    <w:rsid w:val="00013390"/>
    <w:rsid w:val="000140EF"/>
    <w:rsid w:val="00016004"/>
    <w:rsid w:val="00016950"/>
    <w:rsid w:val="00016EA2"/>
    <w:rsid w:val="0002078D"/>
    <w:rsid w:val="000208B3"/>
    <w:rsid w:val="0002546A"/>
    <w:rsid w:val="0002683D"/>
    <w:rsid w:val="000278DB"/>
    <w:rsid w:val="00031AE1"/>
    <w:rsid w:val="000331E8"/>
    <w:rsid w:val="00037E4C"/>
    <w:rsid w:val="000414DC"/>
    <w:rsid w:val="00041C87"/>
    <w:rsid w:val="00042437"/>
    <w:rsid w:val="00043306"/>
    <w:rsid w:val="00043646"/>
    <w:rsid w:val="00043F18"/>
    <w:rsid w:val="000455BA"/>
    <w:rsid w:val="0005108D"/>
    <w:rsid w:val="00051648"/>
    <w:rsid w:val="000524A9"/>
    <w:rsid w:val="0005292C"/>
    <w:rsid w:val="0005316A"/>
    <w:rsid w:val="000534E8"/>
    <w:rsid w:val="000547DB"/>
    <w:rsid w:val="00054B0B"/>
    <w:rsid w:val="00054BBD"/>
    <w:rsid w:val="000552FA"/>
    <w:rsid w:val="00057799"/>
    <w:rsid w:val="00061053"/>
    <w:rsid w:val="000612B8"/>
    <w:rsid w:val="00063778"/>
    <w:rsid w:val="00070EF1"/>
    <w:rsid w:val="0007253A"/>
    <w:rsid w:val="00074892"/>
    <w:rsid w:val="00075A77"/>
    <w:rsid w:val="00076178"/>
    <w:rsid w:val="00076746"/>
    <w:rsid w:val="00076E15"/>
    <w:rsid w:val="00076FF9"/>
    <w:rsid w:val="00080673"/>
    <w:rsid w:val="00080E54"/>
    <w:rsid w:val="00085145"/>
    <w:rsid w:val="000854E0"/>
    <w:rsid w:val="00085B20"/>
    <w:rsid w:val="00087344"/>
    <w:rsid w:val="0008741E"/>
    <w:rsid w:val="000927AF"/>
    <w:rsid w:val="000948E9"/>
    <w:rsid w:val="000949FA"/>
    <w:rsid w:val="00095211"/>
    <w:rsid w:val="000A1DA8"/>
    <w:rsid w:val="000A2DC1"/>
    <w:rsid w:val="000A41EA"/>
    <w:rsid w:val="000A45DE"/>
    <w:rsid w:val="000A69C5"/>
    <w:rsid w:val="000A7537"/>
    <w:rsid w:val="000B23C3"/>
    <w:rsid w:val="000B36D3"/>
    <w:rsid w:val="000B39A1"/>
    <w:rsid w:val="000B469F"/>
    <w:rsid w:val="000B5D2C"/>
    <w:rsid w:val="000B67CC"/>
    <w:rsid w:val="000B7032"/>
    <w:rsid w:val="000C10DF"/>
    <w:rsid w:val="000C2E12"/>
    <w:rsid w:val="000C367C"/>
    <w:rsid w:val="000C3ECC"/>
    <w:rsid w:val="000C4B61"/>
    <w:rsid w:val="000C5440"/>
    <w:rsid w:val="000C5C40"/>
    <w:rsid w:val="000C6284"/>
    <w:rsid w:val="000C6935"/>
    <w:rsid w:val="000C7D01"/>
    <w:rsid w:val="000D11E5"/>
    <w:rsid w:val="000D2234"/>
    <w:rsid w:val="000D34E8"/>
    <w:rsid w:val="000D4915"/>
    <w:rsid w:val="000D5827"/>
    <w:rsid w:val="000D59B4"/>
    <w:rsid w:val="000D5C37"/>
    <w:rsid w:val="000E029F"/>
    <w:rsid w:val="000E32E3"/>
    <w:rsid w:val="000E3875"/>
    <w:rsid w:val="000E497D"/>
    <w:rsid w:val="000E4E2E"/>
    <w:rsid w:val="000E540D"/>
    <w:rsid w:val="000E6AF1"/>
    <w:rsid w:val="000E71A0"/>
    <w:rsid w:val="000F0AB2"/>
    <w:rsid w:val="000F1F12"/>
    <w:rsid w:val="000F3A05"/>
    <w:rsid w:val="000F4863"/>
    <w:rsid w:val="000F53D9"/>
    <w:rsid w:val="000F5720"/>
    <w:rsid w:val="000F6C71"/>
    <w:rsid w:val="000F7F3C"/>
    <w:rsid w:val="001000D4"/>
    <w:rsid w:val="0010069A"/>
    <w:rsid w:val="0010079E"/>
    <w:rsid w:val="001012C2"/>
    <w:rsid w:val="00102E55"/>
    <w:rsid w:val="00103A20"/>
    <w:rsid w:val="00103F4B"/>
    <w:rsid w:val="00105CF4"/>
    <w:rsid w:val="00106712"/>
    <w:rsid w:val="00106DAA"/>
    <w:rsid w:val="001110A8"/>
    <w:rsid w:val="001129CF"/>
    <w:rsid w:val="00113B45"/>
    <w:rsid w:val="00113E28"/>
    <w:rsid w:val="00114003"/>
    <w:rsid w:val="001144D9"/>
    <w:rsid w:val="00114556"/>
    <w:rsid w:val="00114A45"/>
    <w:rsid w:val="0011527C"/>
    <w:rsid w:val="00115C73"/>
    <w:rsid w:val="00117C02"/>
    <w:rsid w:val="00117D9A"/>
    <w:rsid w:val="001206D4"/>
    <w:rsid w:val="00121489"/>
    <w:rsid w:val="001222FC"/>
    <w:rsid w:val="001228FA"/>
    <w:rsid w:val="0012353E"/>
    <w:rsid w:val="00124FAB"/>
    <w:rsid w:val="001276B4"/>
    <w:rsid w:val="0013189E"/>
    <w:rsid w:val="001319C8"/>
    <w:rsid w:val="001331B7"/>
    <w:rsid w:val="00133A08"/>
    <w:rsid w:val="00133D7A"/>
    <w:rsid w:val="00134436"/>
    <w:rsid w:val="0013535D"/>
    <w:rsid w:val="00135C14"/>
    <w:rsid w:val="0014185B"/>
    <w:rsid w:val="00141E1D"/>
    <w:rsid w:val="00142BCF"/>
    <w:rsid w:val="00144CDB"/>
    <w:rsid w:val="0014608E"/>
    <w:rsid w:val="00146406"/>
    <w:rsid w:val="001464F7"/>
    <w:rsid w:val="00150E1F"/>
    <w:rsid w:val="00152395"/>
    <w:rsid w:val="00152644"/>
    <w:rsid w:val="001543CD"/>
    <w:rsid w:val="00154A7D"/>
    <w:rsid w:val="0016012C"/>
    <w:rsid w:val="001614BC"/>
    <w:rsid w:val="00162295"/>
    <w:rsid w:val="00162B10"/>
    <w:rsid w:val="0016324D"/>
    <w:rsid w:val="0016509E"/>
    <w:rsid w:val="00165453"/>
    <w:rsid w:val="00166E61"/>
    <w:rsid w:val="00167026"/>
    <w:rsid w:val="00167298"/>
    <w:rsid w:val="00167B51"/>
    <w:rsid w:val="00167E48"/>
    <w:rsid w:val="00167FB8"/>
    <w:rsid w:val="00170C7D"/>
    <w:rsid w:val="00170E78"/>
    <w:rsid w:val="00172B5A"/>
    <w:rsid w:val="001731DA"/>
    <w:rsid w:val="001739BC"/>
    <w:rsid w:val="00173B47"/>
    <w:rsid w:val="001748BD"/>
    <w:rsid w:val="001805B5"/>
    <w:rsid w:val="00181CC4"/>
    <w:rsid w:val="001834DF"/>
    <w:rsid w:val="00184035"/>
    <w:rsid w:val="0018502F"/>
    <w:rsid w:val="001875FB"/>
    <w:rsid w:val="0018767E"/>
    <w:rsid w:val="00187857"/>
    <w:rsid w:val="00187B8C"/>
    <w:rsid w:val="00191EF0"/>
    <w:rsid w:val="00192950"/>
    <w:rsid w:val="001942DB"/>
    <w:rsid w:val="00195A29"/>
    <w:rsid w:val="00196378"/>
    <w:rsid w:val="00197BD3"/>
    <w:rsid w:val="001A09F2"/>
    <w:rsid w:val="001A279F"/>
    <w:rsid w:val="001A29EC"/>
    <w:rsid w:val="001A7174"/>
    <w:rsid w:val="001A73FC"/>
    <w:rsid w:val="001A7A69"/>
    <w:rsid w:val="001B0D9C"/>
    <w:rsid w:val="001B0F88"/>
    <w:rsid w:val="001B32BD"/>
    <w:rsid w:val="001B4919"/>
    <w:rsid w:val="001B5F3E"/>
    <w:rsid w:val="001B60DE"/>
    <w:rsid w:val="001B682E"/>
    <w:rsid w:val="001B7535"/>
    <w:rsid w:val="001B7D25"/>
    <w:rsid w:val="001B7EC2"/>
    <w:rsid w:val="001C0477"/>
    <w:rsid w:val="001C17CA"/>
    <w:rsid w:val="001C1A67"/>
    <w:rsid w:val="001C5B95"/>
    <w:rsid w:val="001C6F0A"/>
    <w:rsid w:val="001D0118"/>
    <w:rsid w:val="001D15E3"/>
    <w:rsid w:val="001D25B0"/>
    <w:rsid w:val="001D2D1E"/>
    <w:rsid w:val="001D4BCF"/>
    <w:rsid w:val="001D6093"/>
    <w:rsid w:val="001D6C88"/>
    <w:rsid w:val="001D737D"/>
    <w:rsid w:val="001E0E84"/>
    <w:rsid w:val="001E1295"/>
    <w:rsid w:val="001E1495"/>
    <w:rsid w:val="001E1D5F"/>
    <w:rsid w:val="001E2F70"/>
    <w:rsid w:val="001E374F"/>
    <w:rsid w:val="001E3DBE"/>
    <w:rsid w:val="001E5D77"/>
    <w:rsid w:val="001E6864"/>
    <w:rsid w:val="001E6A74"/>
    <w:rsid w:val="001F05E6"/>
    <w:rsid w:val="001F2538"/>
    <w:rsid w:val="001F413C"/>
    <w:rsid w:val="001F41D0"/>
    <w:rsid w:val="001F462C"/>
    <w:rsid w:val="001F6344"/>
    <w:rsid w:val="0020046C"/>
    <w:rsid w:val="0020083C"/>
    <w:rsid w:val="00201B1E"/>
    <w:rsid w:val="002025BD"/>
    <w:rsid w:val="00205484"/>
    <w:rsid w:val="00205551"/>
    <w:rsid w:val="002104B4"/>
    <w:rsid w:val="002161DF"/>
    <w:rsid w:val="00217BF8"/>
    <w:rsid w:val="00220F16"/>
    <w:rsid w:val="00221036"/>
    <w:rsid w:val="00221082"/>
    <w:rsid w:val="00222EE1"/>
    <w:rsid w:val="0022550C"/>
    <w:rsid w:val="00231837"/>
    <w:rsid w:val="00231D29"/>
    <w:rsid w:val="00232B84"/>
    <w:rsid w:val="002340C7"/>
    <w:rsid w:val="002349A0"/>
    <w:rsid w:val="00234B27"/>
    <w:rsid w:val="00235421"/>
    <w:rsid w:val="00237024"/>
    <w:rsid w:val="00240643"/>
    <w:rsid w:val="00240D31"/>
    <w:rsid w:val="00241CBC"/>
    <w:rsid w:val="0024245F"/>
    <w:rsid w:val="002439CC"/>
    <w:rsid w:val="00253430"/>
    <w:rsid w:val="00253C06"/>
    <w:rsid w:val="00254C5B"/>
    <w:rsid w:val="00255990"/>
    <w:rsid w:val="002578A7"/>
    <w:rsid w:val="00263349"/>
    <w:rsid w:val="00263E2A"/>
    <w:rsid w:val="002646C7"/>
    <w:rsid w:val="00267692"/>
    <w:rsid w:val="00267A89"/>
    <w:rsid w:val="0027118E"/>
    <w:rsid w:val="002725F4"/>
    <w:rsid w:val="00275A27"/>
    <w:rsid w:val="002771E5"/>
    <w:rsid w:val="002773C0"/>
    <w:rsid w:val="00277840"/>
    <w:rsid w:val="00281FCC"/>
    <w:rsid w:val="002827D5"/>
    <w:rsid w:val="00284D9E"/>
    <w:rsid w:val="00285CC8"/>
    <w:rsid w:val="0028674C"/>
    <w:rsid w:val="00287C5A"/>
    <w:rsid w:val="0029113F"/>
    <w:rsid w:val="00293839"/>
    <w:rsid w:val="002A0E72"/>
    <w:rsid w:val="002A0FA5"/>
    <w:rsid w:val="002A1236"/>
    <w:rsid w:val="002A19FE"/>
    <w:rsid w:val="002A27F0"/>
    <w:rsid w:val="002A3AF7"/>
    <w:rsid w:val="002A3C80"/>
    <w:rsid w:val="002A47E2"/>
    <w:rsid w:val="002A5164"/>
    <w:rsid w:val="002A6DA4"/>
    <w:rsid w:val="002A7B74"/>
    <w:rsid w:val="002A7E1F"/>
    <w:rsid w:val="002B00D1"/>
    <w:rsid w:val="002B05DA"/>
    <w:rsid w:val="002B0EFC"/>
    <w:rsid w:val="002B2067"/>
    <w:rsid w:val="002B211A"/>
    <w:rsid w:val="002B3343"/>
    <w:rsid w:val="002B3A02"/>
    <w:rsid w:val="002B3BEF"/>
    <w:rsid w:val="002C0792"/>
    <w:rsid w:val="002C0A5A"/>
    <w:rsid w:val="002C0B1F"/>
    <w:rsid w:val="002C226C"/>
    <w:rsid w:val="002C2B15"/>
    <w:rsid w:val="002C2E53"/>
    <w:rsid w:val="002C356D"/>
    <w:rsid w:val="002C3EE2"/>
    <w:rsid w:val="002C64EE"/>
    <w:rsid w:val="002C7A8B"/>
    <w:rsid w:val="002D057D"/>
    <w:rsid w:val="002D0CC2"/>
    <w:rsid w:val="002D4B55"/>
    <w:rsid w:val="002D5924"/>
    <w:rsid w:val="002D5BC8"/>
    <w:rsid w:val="002D768D"/>
    <w:rsid w:val="002E11F2"/>
    <w:rsid w:val="002E1F5E"/>
    <w:rsid w:val="002E3E3F"/>
    <w:rsid w:val="002E487E"/>
    <w:rsid w:val="002E5189"/>
    <w:rsid w:val="002E73BB"/>
    <w:rsid w:val="002F00DC"/>
    <w:rsid w:val="002F022D"/>
    <w:rsid w:val="002F23C2"/>
    <w:rsid w:val="002F3C8D"/>
    <w:rsid w:val="002F53A6"/>
    <w:rsid w:val="002F65C3"/>
    <w:rsid w:val="002F6BB1"/>
    <w:rsid w:val="00301285"/>
    <w:rsid w:val="0030294A"/>
    <w:rsid w:val="003037F8"/>
    <w:rsid w:val="00303E20"/>
    <w:rsid w:val="003041FA"/>
    <w:rsid w:val="00306C3B"/>
    <w:rsid w:val="003113C2"/>
    <w:rsid w:val="00312A68"/>
    <w:rsid w:val="00312BDE"/>
    <w:rsid w:val="00314FE7"/>
    <w:rsid w:val="00322DE2"/>
    <w:rsid w:val="00325A6D"/>
    <w:rsid w:val="00326BFD"/>
    <w:rsid w:val="003310C1"/>
    <w:rsid w:val="00331A74"/>
    <w:rsid w:val="00332739"/>
    <w:rsid w:val="00333BD2"/>
    <w:rsid w:val="003342CD"/>
    <w:rsid w:val="0033477F"/>
    <w:rsid w:val="00334F1D"/>
    <w:rsid w:val="00335042"/>
    <w:rsid w:val="0033506F"/>
    <w:rsid w:val="00335E12"/>
    <w:rsid w:val="00337B45"/>
    <w:rsid w:val="00341642"/>
    <w:rsid w:val="003430EB"/>
    <w:rsid w:val="003439D2"/>
    <w:rsid w:val="00345A2C"/>
    <w:rsid w:val="003460C1"/>
    <w:rsid w:val="003474F8"/>
    <w:rsid w:val="00347BF6"/>
    <w:rsid w:val="00355872"/>
    <w:rsid w:val="00355B85"/>
    <w:rsid w:val="00356D48"/>
    <w:rsid w:val="00357733"/>
    <w:rsid w:val="00360949"/>
    <w:rsid w:val="00360C0A"/>
    <w:rsid w:val="0036102A"/>
    <w:rsid w:val="00361B53"/>
    <w:rsid w:val="003629DC"/>
    <w:rsid w:val="00362B70"/>
    <w:rsid w:val="0036342E"/>
    <w:rsid w:val="003639CB"/>
    <w:rsid w:val="0036437F"/>
    <w:rsid w:val="0036458E"/>
    <w:rsid w:val="00364DEE"/>
    <w:rsid w:val="00370395"/>
    <w:rsid w:val="003704BE"/>
    <w:rsid w:val="00370EE0"/>
    <w:rsid w:val="00371104"/>
    <w:rsid w:val="0037180D"/>
    <w:rsid w:val="003723D4"/>
    <w:rsid w:val="00373546"/>
    <w:rsid w:val="003737A6"/>
    <w:rsid w:val="00373853"/>
    <w:rsid w:val="00375630"/>
    <w:rsid w:val="00375F26"/>
    <w:rsid w:val="00376FDF"/>
    <w:rsid w:val="00377D33"/>
    <w:rsid w:val="003814E6"/>
    <w:rsid w:val="00381790"/>
    <w:rsid w:val="0038318C"/>
    <w:rsid w:val="00386B9D"/>
    <w:rsid w:val="0038746D"/>
    <w:rsid w:val="0039062A"/>
    <w:rsid w:val="00390F54"/>
    <w:rsid w:val="003913C5"/>
    <w:rsid w:val="003917D8"/>
    <w:rsid w:val="00392BBA"/>
    <w:rsid w:val="00392C0C"/>
    <w:rsid w:val="003954FD"/>
    <w:rsid w:val="00395997"/>
    <w:rsid w:val="00395CB1"/>
    <w:rsid w:val="0039630B"/>
    <w:rsid w:val="003A449D"/>
    <w:rsid w:val="003A6BD0"/>
    <w:rsid w:val="003B018C"/>
    <w:rsid w:val="003B1728"/>
    <w:rsid w:val="003B19DD"/>
    <w:rsid w:val="003B1C50"/>
    <w:rsid w:val="003B2C20"/>
    <w:rsid w:val="003B31F4"/>
    <w:rsid w:val="003B42CD"/>
    <w:rsid w:val="003B4356"/>
    <w:rsid w:val="003B531A"/>
    <w:rsid w:val="003B698B"/>
    <w:rsid w:val="003C222C"/>
    <w:rsid w:val="003C4448"/>
    <w:rsid w:val="003C445C"/>
    <w:rsid w:val="003C5719"/>
    <w:rsid w:val="003C7907"/>
    <w:rsid w:val="003C7B82"/>
    <w:rsid w:val="003D063D"/>
    <w:rsid w:val="003D0B99"/>
    <w:rsid w:val="003D1838"/>
    <w:rsid w:val="003D22C5"/>
    <w:rsid w:val="003D29A5"/>
    <w:rsid w:val="003D369A"/>
    <w:rsid w:val="003D392B"/>
    <w:rsid w:val="003D60D7"/>
    <w:rsid w:val="003D6205"/>
    <w:rsid w:val="003D6935"/>
    <w:rsid w:val="003D7CC3"/>
    <w:rsid w:val="003E01D6"/>
    <w:rsid w:val="003E0411"/>
    <w:rsid w:val="003E0F88"/>
    <w:rsid w:val="003E14A9"/>
    <w:rsid w:val="003E1C8F"/>
    <w:rsid w:val="003E1CE3"/>
    <w:rsid w:val="003E40E3"/>
    <w:rsid w:val="003E42B1"/>
    <w:rsid w:val="003E70F7"/>
    <w:rsid w:val="003E77BC"/>
    <w:rsid w:val="003E78A5"/>
    <w:rsid w:val="003F17A4"/>
    <w:rsid w:val="003F30E6"/>
    <w:rsid w:val="003F35E3"/>
    <w:rsid w:val="003F3B86"/>
    <w:rsid w:val="003F5DFB"/>
    <w:rsid w:val="003F754E"/>
    <w:rsid w:val="004000AE"/>
    <w:rsid w:val="004049A9"/>
    <w:rsid w:val="0041033F"/>
    <w:rsid w:val="00412BB6"/>
    <w:rsid w:val="00413B68"/>
    <w:rsid w:val="0041406A"/>
    <w:rsid w:val="004146E2"/>
    <w:rsid w:val="0042147C"/>
    <w:rsid w:val="00421640"/>
    <w:rsid w:val="00425CFB"/>
    <w:rsid w:val="0042603F"/>
    <w:rsid w:val="004262E3"/>
    <w:rsid w:val="00426D28"/>
    <w:rsid w:val="00426E02"/>
    <w:rsid w:val="00426F9E"/>
    <w:rsid w:val="0043272C"/>
    <w:rsid w:val="00434D12"/>
    <w:rsid w:val="00435188"/>
    <w:rsid w:val="004368CA"/>
    <w:rsid w:val="00436952"/>
    <w:rsid w:val="004432EE"/>
    <w:rsid w:val="00444A5B"/>
    <w:rsid w:val="00446BF1"/>
    <w:rsid w:val="00447202"/>
    <w:rsid w:val="00447A30"/>
    <w:rsid w:val="00447CB0"/>
    <w:rsid w:val="00450F3C"/>
    <w:rsid w:val="0045116B"/>
    <w:rsid w:val="004531F8"/>
    <w:rsid w:val="00454C00"/>
    <w:rsid w:val="00454E2D"/>
    <w:rsid w:val="00455B9D"/>
    <w:rsid w:val="004577E7"/>
    <w:rsid w:val="004612F1"/>
    <w:rsid w:val="004618CE"/>
    <w:rsid w:val="00462095"/>
    <w:rsid w:val="00463696"/>
    <w:rsid w:val="00463777"/>
    <w:rsid w:val="0046410C"/>
    <w:rsid w:val="00464356"/>
    <w:rsid w:val="00464DB9"/>
    <w:rsid w:val="00465D72"/>
    <w:rsid w:val="00466731"/>
    <w:rsid w:val="00466DD5"/>
    <w:rsid w:val="00467E83"/>
    <w:rsid w:val="00470780"/>
    <w:rsid w:val="00470E9C"/>
    <w:rsid w:val="0047265F"/>
    <w:rsid w:val="004736ED"/>
    <w:rsid w:val="00473B71"/>
    <w:rsid w:val="00473B7B"/>
    <w:rsid w:val="004755FE"/>
    <w:rsid w:val="004765C8"/>
    <w:rsid w:val="00476CFD"/>
    <w:rsid w:val="004809C2"/>
    <w:rsid w:val="00482B81"/>
    <w:rsid w:val="00482D4C"/>
    <w:rsid w:val="00483475"/>
    <w:rsid w:val="004838E4"/>
    <w:rsid w:val="00483CF0"/>
    <w:rsid w:val="0048463A"/>
    <w:rsid w:val="00485014"/>
    <w:rsid w:val="00485D03"/>
    <w:rsid w:val="00485F12"/>
    <w:rsid w:val="00486F0A"/>
    <w:rsid w:val="00492BF6"/>
    <w:rsid w:val="004A0D63"/>
    <w:rsid w:val="004A10CE"/>
    <w:rsid w:val="004A1638"/>
    <w:rsid w:val="004A170F"/>
    <w:rsid w:val="004A20E1"/>
    <w:rsid w:val="004A27A8"/>
    <w:rsid w:val="004A3018"/>
    <w:rsid w:val="004A4499"/>
    <w:rsid w:val="004A4E37"/>
    <w:rsid w:val="004A5B1E"/>
    <w:rsid w:val="004A5D1E"/>
    <w:rsid w:val="004B08D7"/>
    <w:rsid w:val="004B1572"/>
    <w:rsid w:val="004B386A"/>
    <w:rsid w:val="004B3C0F"/>
    <w:rsid w:val="004B3E20"/>
    <w:rsid w:val="004B4A3C"/>
    <w:rsid w:val="004B4E77"/>
    <w:rsid w:val="004B5901"/>
    <w:rsid w:val="004B6DC1"/>
    <w:rsid w:val="004B6DC6"/>
    <w:rsid w:val="004C035E"/>
    <w:rsid w:val="004C05E4"/>
    <w:rsid w:val="004C11C7"/>
    <w:rsid w:val="004C28DF"/>
    <w:rsid w:val="004C3B4D"/>
    <w:rsid w:val="004C61C5"/>
    <w:rsid w:val="004C72E9"/>
    <w:rsid w:val="004D146F"/>
    <w:rsid w:val="004D4AE5"/>
    <w:rsid w:val="004D6B8B"/>
    <w:rsid w:val="004D79C2"/>
    <w:rsid w:val="004E0D8F"/>
    <w:rsid w:val="004E1293"/>
    <w:rsid w:val="004E2EE7"/>
    <w:rsid w:val="004E3590"/>
    <w:rsid w:val="004E39E1"/>
    <w:rsid w:val="004F00BA"/>
    <w:rsid w:val="004F011F"/>
    <w:rsid w:val="004F03F4"/>
    <w:rsid w:val="004F1F5E"/>
    <w:rsid w:val="004F2558"/>
    <w:rsid w:val="004F2840"/>
    <w:rsid w:val="004F287B"/>
    <w:rsid w:val="004F4478"/>
    <w:rsid w:val="004F4C00"/>
    <w:rsid w:val="004F56D0"/>
    <w:rsid w:val="004F5C7B"/>
    <w:rsid w:val="004F6B05"/>
    <w:rsid w:val="0050050E"/>
    <w:rsid w:val="005010B0"/>
    <w:rsid w:val="0050235E"/>
    <w:rsid w:val="00503A99"/>
    <w:rsid w:val="00503C06"/>
    <w:rsid w:val="00503E44"/>
    <w:rsid w:val="00503EDA"/>
    <w:rsid w:val="00505648"/>
    <w:rsid w:val="005068D8"/>
    <w:rsid w:val="0050777E"/>
    <w:rsid w:val="00507AE4"/>
    <w:rsid w:val="005113E7"/>
    <w:rsid w:val="00512ADD"/>
    <w:rsid w:val="00513FE8"/>
    <w:rsid w:val="0051429B"/>
    <w:rsid w:val="00515283"/>
    <w:rsid w:val="00517A14"/>
    <w:rsid w:val="005227CE"/>
    <w:rsid w:val="00522E6F"/>
    <w:rsid w:val="00523128"/>
    <w:rsid w:val="005231C5"/>
    <w:rsid w:val="00524004"/>
    <w:rsid w:val="0052409F"/>
    <w:rsid w:val="00524FEB"/>
    <w:rsid w:val="00525ABC"/>
    <w:rsid w:val="005276A1"/>
    <w:rsid w:val="0053088A"/>
    <w:rsid w:val="005320A3"/>
    <w:rsid w:val="00533926"/>
    <w:rsid w:val="00533EF1"/>
    <w:rsid w:val="00534144"/>
    <w:rsid w:val="005341F9"/>
    <w:rsid w:val="00534A39"/>
    <w:rsid w:val="00535410"/>
    <w:rsid w:val="00535C33"/>
    <w:rsid w:val="00537FB7"/>
    <w:rsid w:val="005411D1"/>
    <w:rsid w:val="00541997"/>
    <w:rsid w:val="00542873"/>
    <w:rsid w:val="005453C9"/>
    <w:rsid w:val="00545EF6"/>
    <w:rsid w:val="00547D5A"/>
    <w:rsid w:val="005500D0"/>
    <w:rsid w:val="0055675D"/>
    <w:rsid w:val="005573C4"/>
    <w:rsid w:val="00560F78"/>
    <w:rsid w:val="00564559"/>
    <w:rsid w:val="0056621F"/>
    <w:rsid w:val="00566E8F"/>
    <w:rsid w:val="005700D4"/>
    <w:rsid w:val="005709DE"/>
    <w:rsid w:val="00572308"/>
    <w:rsid w:val="005726BA"/>
    <w:rsid w:val="00573200"/>
    <w:rsid w:val="00573FFC"/>
    <w:rsid w:val="005741F5"/>
    <w:rsid w:val="0057422E"/>
    <w:rsid w:val="00574714"/>
    <w:rsid w:val="00581906"/>
    <w:rsid w:val="005833BE"/>
    <w:rsid w:val="0058354F"/>
    <w:rsid w:val="00583C30"/>
    <w:rsid w:val="00583FEE"/>
    <w:rsid w:val="005858FB"/>
    <w:rsid w:val="0059065B"/>
    <w:rsid w:val="0059302A"/>
    <w:rsid w:val="005935C0"/>
    <w:rsid w:val="005936FA"/>
    <w:rsid w:val="00594AAB"/>
    <w:rsid w:val="005957A7"/>
    <w:rsid w:val="00596CCD"/>
    <w:rsid w:val="005A2572"/>
    <w:rsid w:val="005A27FB"/>
    <w:rsid w:val="005A45A6"/>
    <w:rsid w:val="005A730E"/>
    <w:rsid w:val="005A7DBE"/>
    <w:rsid w:val="005B12E4"/>
    <w:rsid w:val="005B16C3"/>
    <w:rsid w:val="005B25F2"/>
    <w:rsid w:val="005B28DD"/>
    <w:rsid w:val="005B3AF1"/>
    <w:rsid w:val="005B4BF6"/>
    <w:rsid w:val="005B660D"/>
    <w:rsid w:val="005C032C"/>
    <w:rsid w:val="005C2548"/>
    <w:rsid w:val="005C587A"/>
    <w:rsid w:val="005C73D6"/>
    <w:rsid w:val="005D2168"/>
    <w:rsid w:val="005D5132"/>
    <w:rsid w:val="005D7D5A"/>
    <w:rsid w:val="005D7E35"/>
    <w:rsid w:val="005E0019"/>
    <w:rsid w:val="005E09EF"/>
    <w:rsid w:val="005E1B9E"/>
    <w:rsid w:val="005E38F5"/>
    <w:rsid w:val="005E4792"/>
    <w:rsid w:val="005E49C6"/>
    <w:rsid w:val="005E4BAC"/>
    <w:rsid w:val="005E580A"/>
    <w:rsid w:val="005E7F70"/>
    <w:rsid w:val="005F0983"/>
    <w:rsid w:val="005F0ABE"/>
    <w:rsid w:val="005F177C"/>
    <w:rsid w:val="005F1BC2"/>
    <w:rsid w:val="005F34F2"/>
    <w:rsid w:val="005F3A52"/>
    <w:rsid w:val="005F4778"/>
    <w:rsid w:val="005F7728"/>
    <w:rsid w:val="006007B1"/>
    <w:rsid w:val="0060130D"/>
    <w:rsid w:val="00602993"/>
    <w:rsid w:val="006040B2"/>
    <w:rsid w:val="00604F82"/>
    <w:rsid w:val="006054AC"/>
    <w:rsid w:val="00606671"/>
    <w:rsid w:val="0061009D"/>
    <w:rsid w:val="006100E5"/>
    <w:rsid w:val="00610544"/>
    <w:rsid w:val="00612329"/>
    <w:rsid w:val="00612740"/>
    <w:rsid w:val="00612DDB"/>
    <w:rsid w:val="006137A6"/>
    <w:rsid w:val="00613B16"/>
    <w:rsid w:val="00615574"/>
    <w:rsid w:val="0061564C"/>
    <w:rsid w:val="00617DD1"/>
    <w:rsid w:val="00621CD0"/>
    <w:rsid w:val="00622F9A"/>
    <w:rsid w:val="00623A4B"/>
    <w:rsid w:val="00623F9C"/>
    <w:rsid w:val="006243C6"/>
    <w:rsid w:val="006254A4"/>
    <w:rsid w:val="00625D92"/>
    <w:rsid w:val="00626373"/>
    <w:rsid w:val="00630893"/>
    <w:rsid w:val="00632AB6"/>
    <w:rsid w:val="00632E1B"/>
    <w:rsid w:val="00634AA3"/>
    <w:rsid w:val="0064129F"/>
    <w:rsid w:val="00642EE1"/>
    <w:rsid w:val="0064309D"/>
    <w:rsid w:val="0064744C"/>
    <w:rsid w:val="00647BB7"/>
    <w:rsid w:val="006505CB"/>
    <w:rsid w:val="00650E7D"/>
    <w:rsid w:val="00651189"/>
    <w:rsid w:val="0065183A"/>
    <w:rsid w:val="00654840"/>
    <w:rsid w:val="00654DDD"/>
    <w:rsid w:val="00657138"/>
    <w:rsid w:val="0065744B"/>
    <w:rsid w:val="00660C19"/>
    <w:rsid w:val="00660F56"/>
    <w:rsid w:val="006617FF"/>
    <w:rsid w:val="00661C5D"/>
    <w:rsid w:val="00664730"/>
    <w:rsid w:val="00665141"/>
    <w:rsid w:val="00665DBC"/>
    <w:rsid w:val="006671FF"/>
    <w:rsid w:val="00670861"/>
    <w:rsid w:val="006711DF"/>
    <w:rsid w:val="00671955"/>
    <w:rsid w:val="006727BE"/>
    <w:rsid w:val="00674D12"/>
    <w:rsid w:val="00675730"/>
    <w:rsid w:val="00675EFE"/>
    <w:rsid w:val="006762DF"/>
    <w:rsid w:val="00676E51"/>
    <w:rsid w:val="00677442"/>
    <w:rsid w:val="00677834"/>
    <w:rsid w:val="00677C25"/>
    <w:rsid w:val="00677D7F"/>
    <w:rsid w:val="00680297"/>
    <w:rsid w:val="0068046D"/>
    <w:rsid w:val="00680871"/>
    <w:rsid w:val="00681620"/>
    <w:rsid w:val="00681F29"/>
    <w:rsid w:val="006825F4"/>
    <w:rsid w:val="006830D6"/>
    <w:rsid w:val="00683956"/>
    <w:rsid w:val="00683B4F"/>
    <w:rsid w:val="00684A5D"/>
    <w:rsid w:val="006873CE"/>
    <w:rsid w:val="006908E9"/>
    <w:rsid w:val="0069137E"/>
    <w:rsid w:val="0069205F"/>
    <w:rsid w:val="00692310"/>
    <w:rsid w:val="00692A3B"/>
    <w:rsid w:val="00697D6A"/>
    <w:rsid w:val="006A0392"/>
    <w:rsid w:val="006A054E"/>
    <w:rsid w:val="006A0786"/>
    <w:rsid w:val="006A11D6"/>
    <w:rsid w:val="006A3075"/>
    <w:rsid w:val="006A3E28"/>
    <w:rsid w:val="006A572A"/>
    <w:rsid w:val="006A7849"/>
    <w:rsid w:val="006B520A"/>
    <w:rsid w:val="006B523A"/>
    <w:rsid w:val="006C0A50"/>
    <w:rsid w:val="006C170A"/>
    <w:rsid w:val="006C34F8"/>
    <w:rsid w:val="006C3E4B"/>
    <w:rsid w:val="006C59F1"/>
    <w:rsid w:val="006C5C7E"/>
    <w:rsid w:val="006D10EC"/>
    <w:rsid w:val="006D1E26"/>
    <w:rsid w:val="006D1ED3"/>
    <w:rsid w:val="006D235C"/>
    <w:rsid w:val="006D478B"/>
    <w:rsid w:val="006D4DAA"/>
    <w:rsid w:val="006D54FE"/>
    <w:rsid w:val="006D60D0"/>
    <w:rsid w:val="006D672B"/>
    <w:rsid w:val="006D6FB5"/>
    <w:rsid w:val="006D7A8C"/>
    <w:rsid w:val="006E04DB"/>
    <w:rsid w:val="006E0852"/>
    <w:rsid w:val="006E0CBA"/>
    <w:rsid w:val="006E23FE"/>
    <w:rsid w:val="006E3AB4"/>
    <w:rsid w:val="006E458D"/>
    <w:rsid w:val="006E6162"/>
    <w:rsid w:val="006E6321"/>
    <w:rsid w:val="006E6A0F"/>
    <w:rsid w:val="006E6B07"/>
    <w:rsid w:val="006E714A"/>
    <w:rsid w:val="006F06C1"/>
    <w:rsid w:val="006F152E"/>
    <w:rsid w:val="006F1E49"/>
    <w:rsid w:val="006F54EF"/>
    <w:rsid w:val="006F683C"/>
    <w:rsid w:val="006F6C2A"/>
    <w:rsid w:val="006F74AB"/>
    <w:rsid w:val="006F7969"/>
    <w:rsid w:val="00701563"/>
    <w:rsid w:val="007015A3"/>
    <w:rsid w:val="0070169C"/>
    <w:rsid w:val="00701F57"/>
    <w:rsid w:val="0070286D"/>
    <w:rsid w:val="007030D9"/>
    <w:rsid w:val="0070426D"/>
    <w:rsid w:val="00704CCA"/>
    <w:rsid w:val="00705171"/>
    <w:rsid w:val="007053B0"/>
    <w:rsid w:val="00705E67"/>
    <w:rsid w:val="00706966"/>
    <w:rsid w:val="007077D4"/>
    <w:rsid w:val="00707E3F"/>
    <w:rsid w:val="00707E61"/>
    <w:rsid w:val="00710E94"/>
    <w:rsid w:val="0071138A"/>
    <w:rsid w:val="0071289D"/>
    <w:rsid w:val="00714BA0"/>
    <w:rsid w:val="00716C31"/>
    <w:rsid w:val="0072081D"/>
    <w:rsid w:val="007208C8"/>
    <w:rsid w:val="007219DE"/>
    <w:rsid w:val="00725599"/>
    <w:rsid w:val="0072673D"/>
    <w:rsid w:val="00727919"/>
    <w:rsid w:val="0072797A"/>
    <w:rsid w:val="00727D8A"/>
    <w:rsid w:val="00730DA8"/>
    <w:rsid w:val="00731FEA"/>
    <w:rsid w:val="007323F4"/>
    <w:rsid w:val="00732F95"/>
    <w:rsid w:val="007332F3"/>
    <w:rsid w:val="00733DFE"/>
    <w:rsid w:val="007341E7"/>
    <w:rsid w:val="00734333"/>
    <w:rsid w:val="007355E3"/>
    <w:rsid w:val="00735921"/>
    <w:rsid w:val="0073599B"/>
    <w:rsid w:val="00736F61"/>
    <w:rsid w:val="0074185E"/>
    <w:rsid w:val="00742253"/>
    <w:rsid w:val="007434F2"/>
    <w:rsid w:val="007436F0"/>
    <w:rsid w:val="00743AD1"/>
    <w:rsid w:val="0074422A"/>
    <w:rsid w:val="00746340"/>
    <w:rsid w:val="00746EAE"/>
    <w:rsid w:val="0074728E"/>
    <w:rsid w:val="0075329D"/>
    <w:rsid w:val="00753DF4"/>
    <w:rsid w:val="00753E35"/>
    <w:rsid w:val="00755041"/>
    <w:rsid w:val="00756C25"/>
    <w:rsid w:val="00757990"/>
    <w:rsid w:val="00757B95"/>
    <w:rsid w:val="00760036"/>
    <w:rsid w:val="007605E5"/>
    <w:rsid w:val="00765F05"/>
    <w:rsid w:val="007662C7"/>
    <w:rsid w:val="007664CF"/>
    <w:rsid w:val="00767625"/>
    <w:rsid w:val="00772FAF"/>
    <w:rsid w:val="00776306"/>
    <w:rsid w:val="00777992"/>
    <w:rsid w:val="00780133"/>
    <w:rsid w:val="007816E2"/>
    <w:rsid w:val="0078397E"/>
    <w:rsid w:val="00785483"/>
    <w:rsid w:val="00786591"/>
    <w:rsid w:val="007901ED"/>
    <w:rsid w:val="007948E1"/>
    <w:rsid w:val="007950C8"/>
    <w:rsid w:val="00796633"/>
    <w:rsid w:val="007968D8"/>
    <w:rsid w:val="007A0114"/>
    <w:rsid w:val="007A1887"/>
    <w:rsid w:val="007A33F8"/>
    <w:rsid w:val="007A364D"/>
    <w:rsid w:val="007A55A7"/>
    <w:rsid w:val="007A57BC"/>
    <w:rsid w:val="007A6925"/>
    <w:rsid w:val="007A6937"/>
    <w:rsid w:val="007B15D5"/>
    <w:rsid w:val="007B1F10"/>
    <w:rsid w:val="007B2143"/>
    <w:rsid w:val="007B335E"/>
    <w:rsid w:val="007B3507"/>
    <w:rsid w:val="007B4A9D"/>
    <w:rsid w:val="007C01E6"/>
    <w:rsid w:val="007C137D"/>
    <w:rsid w:val="007C290A"/>
    <w:rsid w:val="007C3843"/>
    <w:rsid w:val="007C4798"/>
    <w:rsid w:val="007C4A4A"/>
    <w:rsid w:val="007C5321"/>
    <w:rsid w:val="007C7BB8"/>
    <w:rsid w:val="007C7D64"/>
    <w:rsid w:val="007D0AFB"/>
    <w:rsid w:val="007D215B"/>
    <w:rsid w:val="007D2FA0"/>
    <w:rsid w:val="007D58C6"/>
    <w:rsid w:val="007D6771"/>
    <w:rsid w:val="007D7B39"/>
    <w:rsid w:val="007E018D"/>
    <w:rsid w:val="007E0DFF"/>
    <w:rsid w:val="007E29E6"/>
    <w:rsid w:val="007E31F8"/>
    <w:rsid w:val="007E5151"/>
    <w:rsid w:val="007E6A45"/>
    <w:rsid w:val="007E701E"/>
    <w:rsid w:val="007F1B71"/>
    <w:rsid w:val="007F2060"/>
    <w:rsid w:val="007F37A8"/>
    <w:rsid w:val="007F5F80"/>
    <w:rsid w:val="00800633"/>
    <w:rsid w:val="0080320B"/>
    <w:rsid w:val="008034AA"/>
    <w:rsid w:val="00803E2C"/>
    <w:rsid w:val="0080522F"/>
    <w:rsid w:val="00807C9D"/>
    <w:rsid w:val="00807E7D"/>
    <w:rsid w:val="0081005C"/>
    <w:rsid w:val="00810608"/>
    <w:rsid w:val="00811D5D"/>
    <w:rsid w:val="008120A8"/>
    <w:rsid w:val="00812297"/>
    <w:rsid w:val="008145BA"/>
    <w:rsid w:val="00815BD9"/>
    <w:rsid w:val="008160D4"/>
    <w:rsid w:val="008162D1"/>
    <w:rsid w:val="00816965"/>
    <w:rsid w:val="00820784"/>
    <w:rsid w:val="008249BE"/>
    <w:rsid w:val="00824F87"/>
    <w:rsid w:val="0082539D"/>
    <w:rsid w:val="00831675"/>
    <w:rsid w:val="008327AD"/>
    <w:rsid w:val="00833654"/>
    <w:rsid w:val="008341B4"/>
    <w:rsid w:val="00834E7B"/>
    <w:rsid w:val="008373AD"/>
    <w:rsid w:val="00840394"/>
    <w:rsid w:val="008404AD"/>
    <w:rsid w:val="00841BD9"/>
    <w:rsid w:val="00843B7A"/>
    <w:rsid w:val="00843CB5"/>
    <w:rsid w:val="00843D4F"/>
    <w:rsid w:val="008446B8"/>
    <w:rsid w:val="00844849"/>
    <w:rsid w:val="0084596A"/>
    <w:rsid w:val="00845A4E"/>
    <w:rsid w:val="00845A80"/>
    <w:rsid w:val="00847EC0"/>
    <w:rsid w:val="0085015F"/>
    <w:rsid w:val="0085082D"/>
    <w:rsid w:val="00853C04"/>
    <w:rsid w:val="00854D27"/>
    <w:rsid w:val="008552D6"/>
    <w:rsid w:val="00855DA3"/>
    <w:rsid w:val="008578E5"/>
    <w:rsid w:val="00860BB5"/>
    <w:rsid w:val="00862443"/>
    <w:rsid w:val="008650A3"/>
    <w:rsid w:val="00870ED0"/>
    <w:rsid w:val="00871BE3"/>
    <w:rsid w:val="00872108"/>
    <w:rsid w:val="00873EA2"/>
    <w:rsid w:val="00874241"/>
    <w:rsid w:val="00874A4D"/>
    <w:rsid w:val="00874B27"/>
    <w:rsid w:val="00876359"/>
    <w:rsid w:val="00877071"/>
    <w:rsid w:val="008779B4"/>
    <w:rsid w:val="00877A2F"/>
    <w:rsid w:val="00880FE9"/>
    <w:rsid w:val="0088138D"/>
    <w:rsid w:val="00882529"/>
    <w:rsid w:val="00882567"/>
    <w:rsid w:val="00883863"/>
    <w:rsid w:val="0088467C"/>
    <w:rsid w:val="008853B9"/>
    <w:rsid w:val="00885AA3"/>
    <w:rsid w:val="00886931"/>
    <w:rsid w:val="00890112"/>
    <w:rsid w:val="008912E7"/>
    <w:rsid w:val="00891F21"/>
    <w:rsid w:val="00892862"/>
    <w:rsid w:val="00892D3B"/>
    <w:rsid w:val="00894579"/>
    <w:rsid w:val="008A0EAC"/>
    <w:rsid w:val="008A1B8F"/>
    <w:rsid w:val="008A26B6"/>
    <w:rsid w:val="008A2BDB"/>
    <w:rsid w:val="008A381A"/>
    <w:rsid w:val="008A5B67"/>
    <w:rsid w:val="008A5CCD"/>
    <w:rsid w:val="008A60B4"/>
    <w:rsid w:val="008A6A6D"/>
    <w:rsid w:val="008B29E7"/>
    <w:rsid w:val="008B2C4E"/>
    <w:rsid w:val="008B33DF"/>
    <w:rsid w:val="008B58DA"/>
    <w:rsid w:val="008B5C0B"/>
    <w:rsid w:val="008B6D4D"/>
    <w:rsid w:val="008B7FCD"/>
    <w:rsid w:val="008C2216"/>
    <w:rsid w:val="008C47F8"/>
    <w:rsid w:val="008C4BF9"/>
    <w:rsid w:val="008C4D27"/>
    <w:rsid w:val="008C5B99"/>
    <w:rsid w:val="008C5C44"/>
    <w:rsid w:val="008D07E2"/>
    <w:rsid w:val="008D16F7"/>
    <w:rsid w:val="008D3DF6"/>
    <w:rsid w:val="008D40FA"/>
    <w:rsid w:val="008D4835"/>
    <w:rsid w:val="008D5313"/>
    <w:rsid w:val="008D69A0"/>
    <w:rsid w:val="008E0035"/>
    <w:rsid w:val="008E1427"/>
    <w:rsid w:val="008E52C7"/>
    <w:rsid w:val="008E5A1D"/>
    <w:rsid w:val="008E6261"/>
    <w:rsid w:val="008F0C50"/>
    <w:rsid w:val="008F2529"/>
    <w:rsid w:val="008F2AB8"/>
    <w:rsid w:val="008F778A"/>
    <w:rsid w:val="008F7B13"/>
    <w:rsid w:val="0090105C"/>
    <w:rsid w:val="00902ED6"/>
    <w:rsid w:val="0090320B"/>
    <w:rsid w:val="00906037"/>
    <w:rsid w:val="00911AAD"/>
    <w:rsid w:val="0091280A"/>
    <w:rsid w:val="00913932"/>
    <w:rsid w:val="00913B89"/>
    <w:rsid w:val="0091434B"/>
    <w:rsid w:val="009143A0"/>
    <w:rsid w:val="00914FA3"/>
    <w:rsid w:val="00917D93"/>
    <w:rsid w:val="00920F46"/>
    <w:rsid w:val="00921B5A"/>
    <w:rsid w:val="00922B92"/>
    <w:rsid w:val="009244EB"/>
    <w:rsid w:val="00925124"/>
    <w:rsid w:val="00925635"/>
    <w:rsid w:val="00925A90"/>
    <w:rsid w:val="00927B19"/>
    <w:rsid w:val="00927C59"/>
    <w:rsid w:val="00930175"/>
    <w:rsid w:val="00930AF7"/>
    <w:rsid w:val="00931200"/>
    <w:rsid w:val="00931881"/>
    <w:rsid w:val="00932F1E"/>
    <w:rsid w:val="0093421F"/>
    <w:rsid w:val="00936902"/>
    <w:rsid w:val="00941C3A"/>
    <w:rsid w:val="00941CEA"/>
    <w:rsid w:val="00942170"/>
    <w:rsid w:val="009434AE"/>
    <w:rsid w:val="0094435F"/>
    <w:rsid w:val="0094486D"/>
    <w:rsid w:val="00944C94"/>
    <w:rsid w:val="00945A3A"/>
    <w:rsid w:val="00950E58"/>
    <w:rsid w:val="00952931"/>
    <w:rsid w:val="00952DF0"/>
    <w:rsid w:val="00954679"/>
    <w:rsid w:val="00954CFE"/>
    <w:rsid w:val="009552FE"/>
    <w:rsid w:val="00955673"/>
    <w:rsid w:val="00955ABE"/>
    <w:rsid w:val="009562E9"/>
    <w:rsid w:val="009569D1"/>
    <w:rsid w:val="009579C5"/>
    <w:rsid w:val="009636DE"/>
    <w:rsid w:val="009655DA"/>
    <w:rsid w:val="00965BBC"/>
    <w:rsid w:val="00965D62"/>
    <w:rsid w:val="009673D0"/>
    <w:rsid w:val="00967C7B"/>
    <w:rsid w:val="00967F75"/>
    <w:rsid w:val="00970CEC"/>
    <w:rsid w:val="009713F2"/>
    <w:rsid w:val="00972823"/>
    <w:rsid w:val="00973D16"/>
    <w:rsid w:val="009746EA"/>
    <w:rsid w:val="009748F0"/>
    <w:rsid w:val="00974996"/>
    <w:rsid w:val="00975F99"/>
    <w:rsid w:val="00976A34"/>
    <w:rsid w:val="00982CB2"/>
    <w:rsid w:val="00986F20"/>
    <w:rsid w:val="0098737D"/>
    <w:rsid w:val="00987E83"/>
    <w:rsid w:val="00990BE6"/>
    <w:rsid w:val="00991486"/>
    <w:rsid w:val="00991C67"/>
    <w:rsid w:val="00991DCD"/>
    <w:rsid w:val="0099439E"/>
    <w:rsid w:val="00995E02"/>
    <w:rsid w:val="009A12CB"/>
    <w:rsid w:val="009A2167"/>
    <w:rsid w:val="009A2FB2"/>
    <w:rsid w:val="009A34F8"/>
    <w:rsid w:val="009A49F0"/>
    <w:rsid w:val="009A5307"/>
    <w:rsid w:val="009B0AD3"/>
    <w:rsid w:val="009B415A"/>
    <w:rsid w:val="009B43B4"/>
    <w:rsid w:val="009B7A38"/>
    <w:rsid w:val="009C0051"/>
    <w:rsid w:val="009C1E49"/>
    <w:rsid w:val="009C2364"/>
    <w:rsid w:val="009C6A1E"/>
    <w:rsid w:val="009C79FA"/>
    <w:rsid w:val="009D005A"/>
    <w:rsid w:val="009D2F0C"/>
    <w:rsid w:val="009D477C"/>
    <w:rsid w:val="009D5B6D"/>
    <w:rsid w:val="009E006C"/>
    <w:rsid w:val="009E179E"/>
    <w:rsid w:val="009E27A5"/>
    <w:rsid w:val="009E2F86"/>
    <w:rsid w:val="009E2F99"/>
    <w:rsid w:val="009E485D"/>
    <w:rsid w:val="009E490B"/>
    <w:rsid w:val="009E4EBE"/>
    <w:rsid w:val="009E6202"/>
    <w:rsid w:val="009E73DE"/>
    <w:rsid w:val="009E77D5"/>
    <w:rsid w:val="009E79B8"/>
    <w:rsid w:val="009F29DD"/>
    <w:rsid w:val="009F3623"/>
    <w:rsid w:val="009F3779"/>
    <w:rsid w:val="009F6ABF"/>
    <w:rsid w:val="00A06FD8"/>
    <w:rsid w:val="00A07281"/>
    <w:rsid w:val="00A079EE"/>
    <w:rsid w:val="00A12209"/>
    <w:rsid w:val="00A127CC"/>
    <w:rsid w:val="00A12A6B"/>
    <w:rsid w:val="00A13848"/>
    <w:rsid w:val="00A200E9"/>
    <w:rsid w:val="00A2306B"/>
    <w:rsid w:val="00A24707"/>
    <w:rsid w:val="00A24B71"/>
    <w:rsid w:val="00A278D6"/>
    <w:rsid w:val="00A3060F"/>
    <w:rsid w:val="00A3125E"/>
    <w:rsid w:val="00A31484"/>
    <w:rsid w:val="00A31681"/>
    <w:rsid w:val="00A31CA4"/>
    <w:rsid w:val="00A31D93"/>
    <w:rsid w:val="00A32E82"/>
    <w:rsid w:val="00A34CA4"/>
    <w:rsid w:val="00A36DF3"/>
    <w:rsid w:val="00A37C9A"/>
    <w:rsid w:val="00A401A4"/>
    <w:rsid w:val="00A41960"/>
    <w:rsid w:val="00A438C9"/>
    <w:rsid w:val="00A43D68"/>
    <w:rsid w:val="00A442BF"/>
    <w:rsid w:val="00A4441D"/>
    <w:rsid w:val="00A506B5"/>
    <w:rsid w:val="00A50B4D"/>
    <w:rsid w:val="00A51A3C"/>
    <w:rsid w:val="00A5210B"/>
    <w:rsid w:val="00A527E5"/>
    <w:rsid w:val="00A532DD"/>
    <w:rsid w:val="00A540DE"/>
    <w:rsid w:val="00A5522E"/>
    <w:rsid w:val="00A56FA1"/>
    <w:rsid w:val="00A57DED"/>
    <w:rsid w:val="00A6091C"/>
    <w:rsid w:val="00A60EBC"/>
    <w:rsid w:val="00A649B6"/>
    <w:rsid w:val="00A66194"/>
    <w:rsid w:val="00A70A8A"/>
    <w:rsid w:val="00A71066"/>
    <w:rsid w:val="00A728C0"/>
    <w:rsid w:val="00A73144"/>
    <w:rsid w:val="00A739F9"/>
    <w:rsid w:val="00A74B90"/>
    <w:rsid w:val="00A75F99"/>
    <w:rsid w:val="00A760F0"/>
    <w:rsid w:val="00A806AF"/>
    <w:rsid w:val="00A80BCF"/>
    <w:rsid w:val="00A825D1"/>
    <w:rsid w:val="00A8369C"/>
    <w:rsid w:val="00A83F5E"/>
    <w:rsid w:val="00A8441E"/>
    <w:rsid w:val="00A8466F"/>
    <w:rsid w:val="00A86579"/>
    <w:rsid w:val="00A87307"/>
    <w:rsid w:val="00A87C33"/>
    <w:rsid w:val="00A90212"/>
    <w:rsid w:val="00A9055B"/>
    <w:rsid w:val="00A90CC4"/>
    <w:rsid w:val="00A9401D"/>
    <w:rsid w:val="00A968C9"/>
    <w:rsid w:val="00AA1658"/>
    <w:rsid w:val="00AA1689"/>
    <w:rsid w:val="00AA2F7D"/>
    <w:rsid w:val="00AA30F0"/>
    <w:rsid w:val="00AA345A"/>
    <w:rsid w:val="00AA3752"/>
    <w:rsid w:val="00AA458C"/>
    <w:rsid w:val="00AA496F"/>
    <w:rsid w:val="00AA563F"/>
    <w:rsid w:val="00AA5770"/>
    <w:rsid w:val="00AA70DB"/>
    <w:rsid w:val="00AA7FE4"/>
    <w:rsid w:val="00AB03E5"/>
    <w:rsid w:val="00AB08A6"/>
    <w:rsid w:val="00AB09F7"/>
    <w:rsid w:val="00AB2E70"/>
    <w:rsid w:val="00AB2F12"/>
    <w:rsid w:val="00AB33C1"/>
    <w:rsid w:val="00AB3E03"/>
    <w:rsid w:val="00AB7B84"/>
    <w:rsid w:val="00AC06E5"/>
    <w:rsid w:val="00AC1D15"/>
    <w:rsid w:val="00AC4D49"/>
    <w:rsid w:val="00AC593A"/>
    <w:rsid w:val="00AC646D"/>
    <w:rsid w:val="00AC6AD9"/>
    <w:rsid w:val="00AD2805"/>
    <w:rsid w:val="00AD3A28"/>
    <w:rsid w:val="00AD4262"/>
    <w:rsid w:val="00AD44C6"/>
    <w:rsid w:val="00AD5368"/>
    <w:rsid w:val="00AD61FE"/>
    <w:rsid w:val="00AD6A13"/>
    <w:rsid w:val="00AD759A"/>
    <w:rsid w:val="00AE0CED"/>
    <w:rsid w:val="00AE14A9"/>
    <w:rsid w:val="00AE2CAB"/>
    <w:rsid w:val="00AE460D"/>
    <w:rsid w:val="00AE590E"/>
    <w:rsid w:val="00AE7F82"/>
    <w:rsid w:val="00AF078F"/>
    <w:rsid w:val="00AF2CA9"/>
    <w:rsid w:val="00AF302D"/>
    <w:rsid w:val="00AF327B"/>
    <w:rsid w:val="00AF391D"/>
    <w:rsid w:val="00AF46B1"/>
    <w:rsid w:val="00AF75C9"/>
    <w:rsid w:val="00AF76EA"/>
    <w:rsid w:val="00AF7AEF"/>
    <w:rsid w:val="00B00DCB"/>
    <w:rsid w:val="00B01857"/>
    <w:rsid w:val="00B02E9A"/>
    <w:rsid w:val="00B03D95"/>
    <w:rsid w:val="00B044F4"/>
    <w:rsid w:val="00B0637B"/>
    <w:rsid w:val="00B07B0C"/>
    <w:rsid w:val="00B120F9"/>
    <w:rsid w:val="00B12D37"/>
    <w:rsid w:val="00B1559F"/>
    <w:rsid w:val="00B15669"/>
    <w:rsid w:val="00B17F5C"/>
    <w:rsid w:val="00B22D5B"/>
    <w:rsid w:val="00B23CDB"/>
    <w:rsid w:val="00B253E7"/>
    <w:rsid w:val="00B25563"/>
    <w:rsid w:val="00B26184"/>
    <w:rsid w:val="00B26439"/>
    <w:rsid w:val="00B26D48"/>
    <w:rsid w:val="00B2789F"/>
    <w:rsid w:val="00B339D4"/>
    <w:rsid w:val="00B3485A"/>
    <w:rsid w:val="00B36ECD"/>
    <w:rsid w:val="00B40949"/>
    <w:rsid w:val="00B40D80"/>
    <w:rsid w:val="00B41F7B"/>
    <w:rsid w:val="00B42EE1"/>
    <w:rsid w:val="00B4313A"/>
    <w:rsid w:val="00B4582B"/>
    <w:rsid w:val="00B47A59"/>
    <w:rsid w:val="00B52D39"/>
    <w:rsid w:val="00B5349B"/>
    <w:rsid w:val="00B53EA1"/>
    <w:rsid w:val="00B5485C"/>
    <w:rsid w:val="00B54C7D"/>
    <w:rsid w:val="00B5649C"/>
    <w:rsid w:val="00B568A7"/>
    <w:rsid w:val="00B616B6"/>
    <w:rsid w:val="00B625F9"/>
    <w:rsid w:val="00B65300"/>
    <w:rsid w:val="00B6748D"/>
    <w:rsid w:val="00B67CC1"/>
    <w:rsid w:val="00B70B5B"/>
    <w:rsid w:val="00B7138A"/>
    <w:rsid w:val="00B71547"/>
    <w:rsid w:val="00B7225C"/>
    <w:rsid w:val="00B72941"/>
    <w:rsid w:val="00B72C94"/>
    <w:rsid w:val="00B72D0B"/>
    <w:rsid w:val="00B7459F"/>
    <w:rsid w:val="00B74642"/>
    <w:rsid w:val="00B74D01"/>
    <w:rsid w:val="00B75F8E"/>
    <w:rsid w:val="00B76E22"/>
    <w:rsid w:val="00B81099"/>
    <w:rsid w:val="00B8293D"/>
    <w:rsid w:val="00B83287"/>
    <w:rsid w:val="00B86AFC"/>
    <w:rsid w:val="00B86B59"/>
    <w:rsid w:val="00B87A49"/>
    <w:rsid w:val="00B90522"/>
    <w:rsid w:val="00B91ECE"/>
    <w:rsid w:val="00B92478"/>
    <w:rsid w:val="00B93883"/>
    <w:rsid w:val="00B943FB"/>
    <w:rsid w:val="00B95AE1"/>
    <w:rsid w:val="00B96739"/>
    <w:rsid w:val="00B97463"/>
    <w:rsid w:val="00B97DA3"/>
    <w:rsid w:val="00BA0A56"/>
    <w:rsid w:val="00BA13A1"/>
    <w:rsid w:val="00BA1887"/>
    <w:rsid w:val="00BA1902"/>
    <w:rsid w:val="00BA25B4"/>
    <w:rsid w:val="00BA473B"/>
    <w:rsid w:val="00BA6188"/>
    <w:rsid w:val="00BB0FB7"/>
    <w:rsid w:val="00BB170D"/>
    <w:rsid w:val="00BB1B48"/>
    <w:rsid w:val="00BB2B35"/>
    <w:rsid w:val="00BB4498"/>
    <w:rsid w:val="00BB49CC"/>
    <w:rsid w:val="00BB608E"/>
    <w:rsid w:val="00BB7567"/>
    <w:rsid w:val="00BC16EB"/>
    <w:rsid w:val="00BC21C0"/>
    <w:rsid w:val="00BC361A"/>
    <w:rsid w:val="00BC3724"/>
    <w:rsid w:val="00BC5182"/>
    <w:rsid w:val="00BC55F2"/>
    <w:rsid w:val="00BC68C2"/>
    <w:rsid w:val="00BC6C8E"/>
    <w:rsid w:val="00BC6D38"/>
    <w:rsid w:val="00BC79E9"/>
    <w:rsid w:val="00BC7B84"/>
    <w:rsid w:val="00BD1CA8"/>
    <w:rsid w:val="00BD1E2F"/>
    <w:rsid w:val="00BD2045"/>
    <w:rsid w:val="00BD2F09"/>
    <w:rsid w:val="00BD32D0"/>
    <w:rsid w:val="00BD3450"/>
    <w:rsid w:val="00BD3D7D"/>
    <w:rsid w:val="00BD46BE"/>
    <w:rsid w:val="00BD49F7"/>
    <w:rsid w:val="00BD61A2"/>
    <w:rsid w:val="00BD6EC3"/>
    <w:rsid w:val="00BD7833"/>
    <w:rsid w:val="00BE21AB"/>
    <w:rsid w:val="00BE484D"/>
    <w:rsid w:val="00BE4CE2"/>
    <w:rsid w:val="00BF06DD"/>
    <w:rsid w:val="00BF241E"/>
    <w:rsid w:val="00BF2596"/>
    <w:rsid w:val="00BF271C"/>
    <w:rsid w:val="00BF292C"/>
    <w:rsid w:val="00BF6CCC"/>
    <w:rsid w:val="00C00B11"/>
    <w:rsid w:val="00C03340"/>
    <w:rsid w:val="00C04FE0"/>
    <w:rsid w:val="00C053F8"/>
    <w:rsid w:val="00C05B99"/>
    <w:rsid w:val="00C07807"/>
    <w:rsid w:val="00C10DCD"/>
    <w:rsid w:val="00C13116"/>
    <w:rsid w:val="00C16267"/>
    <w:rsid w:val="00C200C8"/>
    <w:rsid w:val="00C21C44"/>
    <w:rsid w:val="00C245BF"/>
    <w:rsid w:val="00C246D0"/>
    <w:rsid w:val="00C24EDE"/>
    <w:rsid w:val="00C26970"/>
    <w:rsid w:val="00C27CC3"/>
    <w:rsid w:val="00C302B0"/>
    <w:rsid w:val="00C3050B"/>
    <w:rsid w:val="00C308CC"/>
    <w:rsid w:val="00C30A27"/>
    <w:rsid w:val="00C33736"/>
    <w:rsid w:val="00C337D8"/>
    <w:rsid w:val="00C34860"/>
    <w:rsid w:val="00C37E05"/>
    <w:rsid w:val="00C422CF"/>
    <w:rsid w:val="00C4270A"/>
    <w:rsid w:val="00C43450"/>
    <w:rsid w:val="00C43507"/>
    <w:rsid w:val="00C43E35"/>
    <w:rsid w:val="00C44270"/>
    <w:rsid w:val="00C45538"/>
    <w:rsid w:val="00C468A1"/>
    <w:rsid w:val="00C47789"/>
    <w:rsid w:val="00C47EDA"/>
    <w:rsid w:val="00C50C84"/>
    <w:rsid w:val="00C514A3"/>
    <w:rsid w:val="00C51936"/>
    <w:rsid w:val="00C52172"/>
    <w:rsid w:val="00C52C52"/>
    <w:rsid w:val="00C542A5"/>
    <w:rsid w:val="00C5440E"/>
    <w:rsid w:val="00C55D29"/>
    <w:rsid w:val="00C56F2E"/>
    <w:rsid w:val="00C610BA"/>
    <w:rsid w:val="00C61204"/>
    <w:rsid w:val="00C62B3A"/>
    <w:rsid w:val="00C645F2"/>
    <w:rsid w:val="00C658DE"/>
    <w:rsid w:val="00C65F89"/>
    <w:rsid w:val="00C70AAC"/>
    <w:rsid w:val="00C71108"/>
    <w:rsid w:val="00C743CB"/>
    <w:rsid w:val="00C74C66"/>
    <w:rsid w:val="00C75658"/>
    <w:rsid w:val="00C77F37"/>
    <w:rsid w:val="00C81036"/>
    <w:rsid w:val="00C82CDC"/>
    <w:rsid w:val="00C83DB6"/>
    <w:rsid w:val="00C8414F"/>
    <w:rsid w:val="00C84A9D"/>
    <w:rsid w:val="00C84FA0"/>
    <w:rsid w:val="00C852C7"/>
    <w:rsid w:val="00C856E5"/>
    <w:rsid w:val="00C86587"/>
    <w:rsid w:val="00C86F6D"/>
    <w:rsid w:val="00C9022A"/>
    <w:rsid w:val="00C903F4"/>
    <w:rsid w:val="00C92CF5"/>
    <w:rsid w:val="00C948D8"/>
    <w:rsid w:val="00C94E1B"/>
    <w:rsid w:val="00CA091B"/>
    <w:rsid w:val="00CA0BE9"/>
    <w:rsid w:val="00CA138D"/>
    <w:rsid w:val="00CA3C11"/>
    <w:rsid w:val="00CA569A"/>
    <w:rsid w:val="00CA57D9"/>
    <w:rsid w:val="00CA5D67"/>
    <w:rsid w:val="00CA6353"/>
    <w:rsid w:val="00CB1DE4"/>
    <w:rsid w:val="00CB3911"/>
    <w:rsid w:val="00CB3C91"/>
    <w:rsid w:val="00CB5BB0"/>
    <w:rsid w:val="00CB5E96"/>
    <w:rsid w:val="00CB684F"/>
    <w:rsid w:val="00CC08F4"/>
    <w:rsid w:val="00CC11E3"/>
    <w:rsid w:val="00CC220F"/>
    <w:rsid w:val="00CC25F0"/>
    <w:rsid w:val="00CC29B4"/>
    <w:rsid w:val="00CC2AFE"/>
    <w:rsid w:val="00CC3DE5"/>
    <w:rsid w:val="00CC3E84"/>
    <w:rsid w:val="00CC7641"/>
    <w:rsid w:val="00CC7AB8"/>
    <w:rsid w:val="00CC7CD2"/>
    <w:rsid w:val="00CD0308"/>
    <w:rsid w:val="00CD1DD0"/>
    <w:rsid w:val="00CD2AD8"/>
    <w:rsid w:val="00CD2FED"/>
    <w:rsid w:val="00CD3ABE"/>
    <w:rsid w:val="00CD42F9"/>
    <w:rsid w:val="00CD4318"/>
    <w:rsid w:val="00CD5324"/>
    <w:rsid w:val="00CD5398"/>
    <w:rsid w:val="00CD6C98"/>
    <w:rsid w:val="00CE0366"/>
    <w:rsid w:val="00CE0679"/>
    <w:rsid w:val="00CE0A63"/>
    <w:rsid w:val="00CE0B46"/>
    <w:rsid w:val="00CE160D"/>
    <w:rsid w:val="00CE1F59"/>
    <w:rsid w:val="00CE26D0"/>
    <w:rsid w:val="00CE332B"/>
    <w:rsid w:val="00CE4AFA"/>
    <w:rsid w:val="00CE4CA4"/>
    <w:rsid w:val="00CE4EFB"/>
    <w:rsid w:val="00CE547B"/>
    <w:rsid w:val="00CE7D19"/>
    <w:rsid w:val="00CF0681"/>
    <w:rsid w:val="00CF0933"/>
    <w:rsid w:val="00CF2185"/>
    <w:rsid w:val="00CF22ED"/>
    <w:rsid w:val="00CF2515"/>
    <w:rsid w:val="00CF2EBA"/>
    <w:rsid w:val="00CF3E79"/>
    <w:rsid w:val="00CF4889"/>
    <w:rsid w:val="00CF4BCF"/>
    <w:rsid w:val="00CF4EAE"/>
    <w:rsid w:val="00CF55DF"/>
    <w:rsid w:val="00CF5EFC"/>
    <w:rsid w:val="00CF6131"/>
    <w:rsid w:val="00CF65D7"/>
    <w:rsid w:val="00D00E7D"/>
    <w:rsid w:val="00D030F0"/>
    <w:rsid w:val="00D04F9F"/>
    <w:rsid w:val="00D070E2"/>
    <w:rsid w:val="00D074A2"/>
    <w:rsid w:val="00D1022B"/>
    <w:rsid w:val="00D11407"/>
    <w:rsid w:val="00D1233E"/>
    <w:rsid w:val="00D13794"/>
    <w:rsid w:val="00D1478F"/>
    <w:rsid w:val="00D16DD5"/>
    <w:rsid w:val="00D17CFE"/>
    <w:rsid w:val="00D21859"/>
    <w:rsid w:val="00D218E7"/>
    <w:rsid w:val="00D219C4"/>
    <w:rsid w:val="00D24052"/>
    <w:rsid w:val="00D240F3"/>
    <w:rsid w:val="00D24386"/>
    <w:rsid w:val="00D30532"/>
    <w:rsid w:val="00D308A0"/>
    <w:rsid w:val="00D31575"/>
    <w:rsid w:val="00D31A89"/>
    <w:rsid w:val="00D31C80"/>
    <w:rsid w:val="00D32429"/>
    <w:rsid w:val="00D34626"/>
    <w:rsid w:val="00D34FB4"/>
    <w:rsid w:val="00D359BA"/>
    <w:rsid w:val="00D35FFD"/>
    <w:rsid w:val="00D4257A"/>
    <w:rsid w:val="00D43F2A"/>
    <w:rsid w:val="00D4523D"/>
    <w:rsid w:val="00D456A9"/>
    <w:rsid w:val="00D46EB2"/>
    <w:rsid w:val="00D474E9"/>
    <w:rsid w:val="00D479BE"/>
    <w:rsid w:val="00D50E33"/>
    <w:rsid w:val="00D50EEC"/>
    <w:rsid w:val="00D514CA"/>
    <w:rsid w:val="00D51D7B"/>
    <w:rsid w:val="00D52798"/>
    <w:rsid w:val="00D528C1"/>
    <w:rsid w:val="00D5468A"/>
    <w:rsid w:val="00D54DE0"/>
    <w:rsid w:val="00D56968"/>
    <w:rsid w:val="00D5784B"/>
    <w:rsid w:val="00D60A80"/>
    <w:rsid w:val="00D60E13"/>
    <w:rsid w:val="00D60FD4"/>
    <w:rsid w:val="00D61745"/>
    <w:rsid w:val="00D62665"/>
    <w:rsid w:val="00D6282B"/>
    <w:rsid w:val="00D645AC"/>
    <w:rsid w:val="00D64ECB"/>
    <w:rsid w:val="00D658DD"/>
    <w:rsid w:val="00D66C71"/>
    <w:rsid w:val="00D66D7C"/>
    <w:rsid w:val="00D70205"/>
    <w:rsid w:val="00D71F3E"/>
    <w:rsid w:val="00D72CE6"/>
    <w:rsid w:val="00D734FC"/>
    <w:rsid w:val="00D735EF"/>
    <w:rsid w:val="00D73D73"/>
    <w:rsid w:val="00D7609F"/>
    <w:rsid w:val="00D770E9"/>
    <w:rsid w:val="00D81039"/>
    <w:rsid w:val="00D81AA7"/>
    <w:rsid w:val="00D82E47"/>
    <w:rsid w:val="00D843AC"/>
    <w:rsid w:val="00D84A01"/>
    <w:rsid w:val="00D855F8"/>
    <w:rsid w:val="00D85CF3"/>
    <w:rsid w:val="00D9058B"/>
    <w:rsid w:val="00D9066F"/>
    <w:rsid w:val="00D977EA"/>
    <w:rsid w:val="00DA20DB"/>
    <w:rsid w:val="00DA37AB"/>
    <w:rsid w:val="00DA37E0"/>
    <w:rsid w:val="00DA48FB"/>
    <w:rsid w:val="00DB148C"/>
    <w:rsid w:val="00DB1A31"/>
    <w:rsid w:val="00DB202E"/>
    <w:rsid w:val="00DB20D4"/>
    <w:rsid w:val="00DB335A"/>
    <w:rsid w:val="00DB3A97"/>
    <w:rsid w:val="00DB4F78"/>
    <w:rsid w:val="00DB6705"/>
    <w:rsid w:val="00DC027B"/>
    <w:rsid w:val="00DC0CDE"/>
    <w:rsid w:val="00DC1A85"/>
    <w:rsid w:val="00DC498E"/>
    <w:rsid w:val="00DC4D72"/>
    <w:rsid w:val="00DC54F6"/>
    <w:rsid w:val="00DC6525"/>
    <w:rsid w:val="00DC7018"/>
    <w:rsid w:val="00DC79FB"/>
    <w:rsid w:val="00DD12B0"/>
    <w:rsid w:val="00DD3011"/>
    <w:rsid w:val="00DD5610"/>
    <w:rsid w:val="00DD5EB9"/>
    <w:rsid w:val="00DD6EDC"/>
    <w:rsid w:val="00DE14DC"/>
    <w:rsid w:val="00DE24AD"/>
    <w:rsid w:val="00DE4AE7"/>
    <w:rsid w:val="00DE4D75"/>
    <w:rsid w:val="00DE6700"/>
    <w:rsid w:val="00DE7559"/>
    <w:rsid w:val="00DE7839"/>
    <w:rsid w:val="00DF0CB3"/>
    <w:rsid w:val="00DF1F7B"/>
    <w:rsid w:val="00DF494C"/>
    <w:rsid w:val="00DF6D0B"/>
    <w:rsid w:val="00DF7436"/>
    <w:rsid w:val="00DF7E0D"/>
    <w:rsid w:val="00E055AD"/>
    <w:rsid w:val="00E05AB6"/>
    <w:rsid w:val="00E0624D"/>
    <w:rsid w:val="00E11AA0"/>
    <w:rsid w:val="00E1356C"/>
    <w:rsid w:val="00E13B23"/>
    <w:rsid w:val="00E145A3"/>
    <w:rsid w:val="00E1541D"/>
    <w:rsid w:val="00E16039"/>
    <w:rsid w:val="00E179D4"/>
    <w:rsid w:val="00E20023"/>
    <w:rsid w:val="00E2444B"/>
    <w:rsid w:val="00E25E9C"/>
    <w:rsid w:val="00E30FB3"/>
    <w:rsid w:val="00E31DCA"/>
    <w:rsid w:val="00E32EAC"/>
    <w:rsid w:val="00E34373"/>
    <w:rsid w:val="00E353A3"/>
    <w:rsid w:val="00E35C9D"/>
    <w:rsid w:val="00E37012"/>
    <w:rsid w:val="00E37FF7"/>
    <w:rsid w:val="00E40AE5"/>
    <w:rsid w:val="00E42827"/>
    <w:rsid w:val="00E42F55"/>
    <w:rsid w:val="00E438BD"/>
    <w:rsid w:val="00E4438C"/>
    <w:rsid w:val="00E457F3"/>
    <w:rsid w:val="00E50663"/>
    <w:rsid w:val="00E50C33"/>
    <w:rsid w:val="00E50D72"/>
    <w:rsid w:val="00E51335"/>
    <w:rsid w:val="00E51DCF"/>
    <w:rsid w:val="00E521E7"/>
    <w:rsid w:val="00E527B6"/>
    <w:rsid w:val="00E53F7D"/>
    <w:rsid w:val="00E54B9B"/>
    <w:rsid w:val="00E54D7A"/>
    <w:rsid w:val="00E55F9B"/>
    <w:rsid w:val="00E576F5"/>
    <w:rsid w:val="00E57710"/>
    <w:rsid w:val="00E57A6A"/>
    <w:rsid w:val="00E62C5F"/>
    <w:rsid w:val="00E6409C"/>
    <w:rsid w:val="00E66606"/>
    <w:rsid w:val="00E66D39"/>
    <w:rsid w:val="00E679E9"/>
    <w:rsid w:val="00E70935"/>
    <w:rsid w:val="00E73CC1"/>
    <w:rsid w:val="00E75014"/>
    <w:rsid w:val="00E75446"/>
    <w:rsid w:val="00E76584"/>
    <w:rsid w:val="00E76AC9"/>
    <w:rsid w:val="00E777C9"/>
    <w:rsid w:val="00E77909"/>
    <w:rsid w:val="00E80A34"/>
    <w:rsid w:val="00E825B8"/>
    <w:rsid w:val="00E848A6"/>
    <w:rsid w:val="00E8500C"/>
    <w:rsid w:val="00E86357"/>
    <w:rsid w:val="00E8652C"/>
    <w:rsid w:val="00E87284"/>
    <w:rsid w:val="00E87379"/>
    <w:rsid w:val="00E91D4F"/>
    <w:rsid w:val="00E92798"/>
    <w:rsid w:val="00E92B4D"/>
    <w:rsid w:val="00E9399C"/>
    <w:rsid w:val="00E970CC"/>
    <w:rsid w:val="00E97664"/>
    <w:rsid w:val="00EA1535"/>
    <w:rsid w:val="00EA2572"/>
    <w:rsid w:val="00EA347C"/>
    <w:rsid w:val="00EA4125"/>
    <w:rsid w:val="00EA4DD8"/>
    <w:rsid w:val="00EA6703"/>
    <w:rsid w:val="00EA72A7"/>
    <w:rsid w:val="00EA7959"/>
    <w:rsid w:val="00EA7E86"/>
    <w:rsid w:val="00EB0307"/>
    <w:rsid w:val="00EB1C35"/>
    <w:rsid w:val="00EB2AEF"/>
    <w:rsid w:val="00EB2BED"/>
    <w:rsid w:val="00EB4B4C"/>
    <w:rsid w:val="00EB71DB"/>
    <w:rsid w:val="00EB7E71"/>
    <w:rsid w:val="00EC1D3E"/>
    <w:rsid w:val="00EC1EAC"/>
    <w:rsid w:val="00EC7FE7"/>
    <w:rsid w:val="00ED123E"/>
    <w:rsid w:val="00ED1F15"/>
    <w:rsid w:val="00ED216B"/>
    <w:rsid w:val="00ED28ED"/>
    <w:rsid w:val="00ED2FD2"/>
    <w:rsid w:val="00ED3EF7"/>
    <w:rsid w:val="00ED6985"/>
    <w:rsid w:val="00EE1A37"/>
    <w:rsid w:val="00EE1F0D"/>
    <w:rsid w:val="00EE1FB4"/>
    <w:rsid w:val="00EE21D3"/>
    <w:rsid w:val="00EE33DD"/>
    <w:rsid w:val="00EE3498"/>
    <w:rsid w:val="00EE63E4"/>
    <w:rsid w:val="00EE6629"/>
    <w:rsid w:val="00EE797D"/>
    <w:rsid w:val="00EE7AFF"/>
    <w:rsid w:val="00EF0226"/>
    <w:rsid w:val="00EF0BA4"/>
    <w:rsid w:val="00EF23B1"/>
    <w:rsid w:val="00EF2788"/>
    <w:rsid w:val="00EF3103"/>
    <w:rsid w:val="00EF52D5"/>
    <w:rsid w:val="00EF6E9B"/>
    <w:rsid w:val="00EF7714"/>
    <w:rsid w:val="00EF789E"/>
    <w:rsid w:val="00F0132C"/>
    <w:rsid w:val="00F01D94"/>
    <w:rsid w:val="00F0238C"/>
    <w:rsid w:val="00F023DB"/>
    <w:rsid w:val="00F0371B"/>
    <w:rsid w:val="00F04B3F"/>
    <w:rsid w:val="00F05202"/>
    <w:rsid w:val="00F070D0"/>
    <w:rsid w:val="00F077BA"/>
    <w:rsid w:val="00F109D4"/>
    <w:rsid w:val="00F10A6F"/>
    <w:rsid w:val="00F127BA"/>
    <w:rsid w:val="00F13A9E"/>
    <w:rsid w:val="00F149CE"/>
    <w:rsid w:val="00F15E70"/>
    <w:rsid w:val="00F15EE9"/>
    <w:rsid w:val="00F2272D"/>
    <w:rsid w:val="00F239EE"/>
    <w:rsid w:val="00F24736"/>
    <w:rsid w:val="00F24C4B"/>
    <w:rsid w:val="00F2680F"/>
    <w:rsid w:val="00F27344"/>
    <w:rsid w:val="00F31425"/>
    <w:rsid w:val="00F3436F"/>
    <w:rsid w:val="00F343AA"/>
    <w:rsid w:val="00F40D71"/>
    <w:rsid w:val="00F4241B"/>
    <w:rsid w:val="00F434ED"/>
    <w:rsid w:val="00F4439C"/>
    <w:rsid w:val="00F44BB5"/>
    <w:rsid w:val="00F45A6B"/>
    <w:rsid w:val="00F46064"/>
    <w:rsid w:val="00F46704"/>
    <w:rsid w:val="00F46C17"/>
    <w:rsid w:val="00F472CE"/>
    <w:rsid w:val="00F47585"/>
    <w:rsid w:val="00F5071C"/>
    <w:rsid w:val="00F509EA"/>
    <w:rsid w:val="00F50ACD"/>
    <w:rsid w:val="00F51713"/>
    <w:rsid w:val="00F51BCF"/>
    <w:rsid w:val="00F529F9"/>
    <w:rsid w:val="00F52D02"/>
    <w:rsid w:val="00F5363D"/>
    <w:rsid w:val="00F56843"/>
    <w:rsid w:val="00F5728A"/>
    <w:rsid w:val="00F57B70"/>
    <w:rsid w:val="00F60936"/>
    <w:rsid w:val="00F6249C"/>
    <w:rsid w:val="00F62FCF"/>
    <w:rsid w:val="00F6323F"/>
    <w:rsid w:val="00F65522"/>
    <w:rsid w:val="00F678B8"/>
    <w:rsid w:val="00F7078E"/>
    <w:rsid w:val="00F70F4F"/>
    <w:rsid w:val="00F748A9"/>
    <w:rsid w:val="00F74B0F"/>
    <w:rsid w:val="00F75BDB"/>
    <w:rsid w:val="00F777A5"/>
    <w:rsid w:val="00F77C91"/>
    <w:rsid w:val="00F80743"/>
    <w:rsid w:val="00F81232"/>
    <w:rsid w:val="00F8128B"/>
    <w:rsid w:val="00F81FD4"/>
    <w:rsid w:val="00F8291C"/>
    <w:rsid w:val="00F835C1"/>
    <w:rsid w:val="00F85CB5"/>
    <w:rsid w:val="00F85E6F"/>
    <w:rsid w:val="00F862C4"/>
    <w:rsid w:val="00F87188"/>
    <w:rsid w:val="00F87AA4"/>
    <w:rsid w:val="00F91CFF"/>
    <w:rsid w:val="00F9248B"/>
    <w:rsid w:val="00F92CD1"/>
    <w:rsid w:val="00F93925"/>
    <w:rsid w:val="00F94053"/>
    <w:rsid w:val="00F95449"/>
    <w:rsid w:val="00F963FB"/>
    <w:rsid w:val="00F97E4C"/>
    <w:rsid w:val="00FA1942"/>
    <w:rsid w:val="00FA380A"/>
    <w:rsid w:val="00FA3953"/>
    <w:rsid w:val="00FA56F6"/>
    <w:rsid w:val="00FA6694"/>
    <w:rsid w:val="00FB03AE"/>
    <w:rsid w:val="00FB0629"/>
    <w:rsid w:val="00FB2C93"/>
    <w:rsid w:val="00FB354B"/>
    <w:rsid w:val="00FB4533"/>
    <w:rsid w:val="00FB5262"/>
    <w:rsid w:val="00FB5486"/>
    <w:rsid w:val="00FB5A2F"/>
    <w:rsid w:val="00FC019A"/>
    <w:rsid w:val="00FC2CB5"/>
    <w:rsid w:val="00FC38D9"/>
    <w:rsid w:val="00FC3A8F"/>
    <w:rsid w:val="00FC595E"/>
    <w:rsid w:val="00FC786D"/>
    <w:rsid w:val="00FD02B5"/>
    <w:rsid w:val="00FD19F7"/>
    <w:rsid w:val="00FD2813"/>
    <w:rsid w:val="00FD3805"/>
    <w:rsid w:val="00FD711F"/>
    <w:rsid w:val="00FD7402"/>
    <w:rsid w:val="00FE04E4"/>
    <w:rsid w:val="00FE28C5"/>
    <w:rsid w:val="00FE2DD7"/>
    <w:rsid w:val="00FE3796"/>
    <w:rsid w:val="00FE41FE"/>
    <w:rsid w:val="00FE73F9"/>
    <w:rsid w:val="00FF1057"/>
    <w:rsid w:val="00FF312F"/>
    <w:rsid w:val="00FF3E25"/>
    <w:rsid w:val="00FF5FD8"/>
    <w:rsid w:val="00FF658F"/>
    <w:rsid w:val="1072DD86"/>
    <w:rsid w:val="1C9F1FFC"/>
    <w:rsid w:val="261C486E"/>
    <w:rsid w:val="2AA9DD01"/>
    <w:rsid w:val="40719B65"/>
    <w:rsid w:val="4B84497D"/>
    <w:rsid w:val="67AF82BB"/>
    <w:rsid w:val="6C8151B1"/>
    <w:rsid w:val="6DE1146F"/>
    <w:rsid w:val="78827D7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67E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uiPriority w:val="9"/>
    <w:qFormat/>
    <w:rsid w:val="00E4438C"/>
    <w:pPr>
      <w:spacing w:before="120"/>
      <w:outlineLvl w:val="3"/>
    </w:pPr>
  </w:style>
  <w:style w:type="paragraph" w:styleId="Heading5">
    <w:name w:val="heading 5"/>
    <w:basedOn w:val="Normal"/>
    <w:next w:val="Normalparatextnonumbers"/>
    <w:link w:val="Heading5Char"/>
    <w:uiPriority w:val="9"/>
    <w:unhideWhenUsed/>
    <w:qFormat/>
    <w:rsid w:val="006F54EF"/>
    <w:pPr>
      <w:keepNext/>
      <w:keepLines/>
      <w:spacing w:before="240" w:after="240"/>
      <w:contextualSpacing/>
      <w:outlineLvl w:val="4"/>
    </w:pPr>
    <w:rPr>
      <w:rFonts w:ascii="Helvetica" w:eastAsiaTheme="majorEastAsia" w:hAnsi="Helvetica" w:cstheme="majorBidi"/>
      <w:b/>
      <w:spacing w:val="-10"/>
      <w:kern w:val="28"/>
      <w:szCs w:val="56"/>
      <w:lang w:eastAsia="en-US"/>
    </w:rPr>
  </w:style>
  <w:style w:type="paragraph" w:styleId="Heading6">
    <w:name w:val="heading 6"/>
    <w:basedOn w:val="Normal"/>
    <w:next w:val="Normal"/>
    <w:link w:val="Heading6Char"/>
    <w:uiPriority w:val="9"/>
    <w:semiHidden/>
    <w:unhideWhenUsed/>
    <w:qFormat/>
    <w:rsid w:val="006F54EF"/>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F54EF"/>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F54E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F54E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ListParagraph">
    <w:name w:val="List Paragraph"/>
    <w:basedOn w:val="Normal"/>
    <w:uiPriority w:val="34"/>
    <w:qFormat/>
    <w:rsid w:val="007B2143"/>
    <w:pPr>
      <w:ind w:left="720"/>
      <w:contextualSpacing/>
    </w:pPr>
  </w:style>
  <w:style w:type="paragraph" w:styleId="Revision">
    <w:name w:val="Revision"/>
    <w:hidden/>
    <w:uiPriority w:val="99"/>
    <w:semiHidden/>
    <w:rsid w:val="00623F9C"/>
    <w:rPr>
      <w:sz w:val="24"/>
    </w:rPr>
  </w:style>
  <w:style w:type="character" w:styleId="UnresolvedMention">
    <w:name w:val="Unresolved Mention"/>
    <w:basedOn w:val="DefaultParagraphFont"/>
    <w:uiPriority w:val="99"/>
    <w:semiHidden/>
    <w:unhideWhenUsed/>
    <w:rsid w:val="0069205F"/>
    <w:rPr>
      <w:color w:val="605E5C"/>
      <w:shd w:val="clear" w:color="auto" w:fill="E1DFDD"/>
    </w:rPr>
  </w:style>
  <w:style w:type="paragraph" w:styleId="NormalWeb">
    <w:name w:val="Normal (Web)"/>
    <w:basedOn w:val="Normal"/>
    <w:uiPriority w:val="99"/>
    <w:semiHidden/>
    <w:unhideWhenUsed/>
    <w:rsid w:val="00B2789F"/>
    <w:pPr>
      <w:spacing w:before="100" w:beforeAutospacing="1" w:after="100" w:afterAutospacing="1"/>
    </w:pPr>
    <w:rPr>
      <w:szCs w:val="24"/>
    </w:rPr>
  </w:style>
  <w:style w:type="character" w:customStyle="1" w:styleId="ui-provider">
    <w:name w:val="ui-provider"/>
    <w:basedOn w:val="DefaultParagraphFont"/>
    <w:rsid w:val="00906037"/>
  </w:style>
  <w:style w:type="character" w:customStyle="1" w:styleId="Heading5Char">
    <w:name w:val="Heading 5 Char"/>
    <w:basedOn w:val="DefaultParagraphFont"/>
    <w:link w:val="Heading5"/>
    <w:uiPriority w:val="9"/>
    <w:rsid w:val="006F54EF"/>
    <w:rPr>
      <w:rFonts w:ascii="Helvetica" w:eastAsiaTheme="majorEastAsia" w:hAnsi="Helvetica" w:cstheme="majorBidi"/>
      <w:b/>
      <w:spacing w:val="-10"/>
      <w:kern w:val="28"/>
      <w:sz w:val="24"/>
      <w:szCs w:val="56"/>
      <w:lang w:eastAsia="en-US"/>
    </w:rPr>
  </w:style>
  <w:style w:type="paragraph" w:customStyle="1" w:styleId="Normalparatextnonumbers">
    <w:name w:val="Normal para text (no numbers)"/>
    <w:basedOn w:val="Normal"/>
    <w:link w:val="NormalparatextnonumbersChar"/>
    <w:qFormat/>
    <w:rsid w:val="006F54EF"/>
    <w:rPr>
      <w:rFonts w:eastAsiaTheme="minorHAnsi" w:cstheme="minorBidi"/>
      <w:sz w:val="22"/>
      <w:szCs w:val="22"/>
      <w:lang w:eastAsia="en-US"/>
    </w:rPr>
  </w:style>
  <w:style w:type="paragraph" w:customStyle="1" w:styleId="TableHeading">
    <w:name w:val="Table Heading"/>
    <w:basedOn w:val="Heading4"/>
    <w:next w:val="Normalparatextnonumbers"/>
    <w:uiPriority w:val="1"/>
    <w:rsid w:val="006F54EF"/>
    <w:pPr>
      <w:numPr>
        <w:ilvl w:val="4"/>
        <w:numId w:val="18"/>
      </w:numPr>
      <w:tabs>
        <w:tab w:val="clear" w:pos="1987"/>
      </w:tabs>
      <w:spacing w:before="240" w:after="200"/>
      <w:ind w:left="0" w:firstLine="0"/>
    </w:pPr>
    <w:rPr>
      <w:rFonts w:ascii="Helvetica" w:hAnsi="Helvetica" w:cs="Helvetica"/>
      <w:i/>
      <w:iCs/>
      <w:kern w:val="0"/>
      <w:sz w:val="22"/>
      <w:szCs w:val="22"/>
      <w:lang w:eastAsia="en-US"/>
    </w:rPr>
  </w:style>
  <w:style w:type="paragraph" w:customStyle="1" w:styleId="Chapterheading">
    <w:name w:val="Chapter heading"/>
    <w:basedOn w:val="Heading1"/>
    <w:next w:val="Normalparatextnonumbers"/>
    <w:rsid w:val="006F54EF"/>
    <w:pPr>
      <w:keepLines/>
      <w:numPr>
        <w:numId w:val="18"/>
      </w:numPr>
      <w:pBdr>
        <w:bottom w:val="single" w:sz="4" w:space="8" w:color="auto"/>
      </w:pBdr>
      <w:spacing w:before="0" w:after="480"/>
      <w:jc w:val="left"/>
    </w:pPr>
    <w:rPr>
      <w:rFonts w:ascii="Helvitica" w:eastAsiaTheme="majorEastAsia" w:hAnsi="Helvitica" w:cstheme="majorBidi"/>
      <w:i/>
      <w:kern w:val="0"/>
      <w:sz w:val="40"/>
      <w:szCs w:val="32"/>
      <w:u w:val="none"/>
      <w:lang w:eastAsia="en-US"/>
    </w:rPr>
  </w:style>
  <w:style w:type="paragraph" w:customStyle="1" w:styleId="DiagramHeading">
    <w:name w:val="Diagram Heading"/>
    <w:basedOn w:val="TableHeading"/>
    <w:next w:val="Normalparatextnonumbers"/>
    <w:uiPriority w:val="1"/>
    <w:rsid w:val="006F54EF"/>
    <w:pPr>
      <w:numPr>
        <w:ilvl w:val="2"/>
      </w:numPr>
      <w:tabs>
        <w:tab w:val="num" w:pos="360"/>
      </w:tabs>
      <w:ind w:left="0" w:firstLine="0"/>
    </w:pPr>
  </w:style>
  <w:style w:type="paragraph" w:customStyle="1" w:styleId="ExampleHeading">
    <w:name w:val="Example Heading"/>
    <w:basedOn w:val="TableHeading"/>
    <w:next w:val="Normal"/>
    <w:uiPriority w:val="1"/>
    <w:rsid w:val="006F54EF"/>
    <w:pPr>
      <w:numPr>
        <w:ilvl w:val="3"/>
      </w:numPr>
      <w:tabs>
        <w:tab w:val="num" w:pos="360"/>
      </w:tabs>
      <w:ind w:left="0" w:firstLine="0"/>
    </w:pPr>
  </w:style>
  <w:style w:type="paragraph" w:customStyle="1" w:styleId="Normalparatextwithnumbers">
    <w:name w:val="Normal para text (with numbers)"/>
    <w:basedOn w:val="Normalparatextnonumbers"/>
    <w:link w:val="NormalparatextwithnumbersChar"/>
    <w:qFormat/>
    <w:rsid w:val="006F54EF"/>
    <w:pPr>
      <w:numPr>
        <w:ilvl w:val="1"/>
        <w:numId w:val="18"/>
      </w:numPr>
    </w:pPr>
  </w:style>
  <w:style w:type="character" w:customStyle="1" w:styleId="NormalparatextnonumbersChar">
    <w:name w:val="Normal para text (no numbers) Char"/>
    <w:basedOn w:val="DefaultParagraphFont"/>
    <w:link w:val="Normalparatextnonumbers"/>
    <w:rsid w:val="006F54EF"/>
    <w:rPr>
      <w:rFonts w:eastAsiaTheme="minorHAnsi" w:cstheme="minorBidi"/>
      <w:sz w:val="22"/>
      <w:szCs w:val="22"/>
      <w:lang w:eastAsia="en-US"/>
    </w:rPr>
  </w:style>
  <w:style w:type="character" w:customStyle="1" w:styleId="NormalparatextwithnumbersChar">
    <w:name w:val="Normal para text (with numbers) Char"/>
    <w:basedOn w:val="DefaultParagraphFont"/>
    <w:link w:val="Normalparatextwithnumbers"/>
    <w:rsid w:val="006F54EF"/>
    <w:rPr>
      <w:rFonts w:eastAsiaTheme="minorHAnsi" w:cstheme="minorBidi"/>
      <w:sz w:val="22"/>
      <w:szCs w:val="22"/>
      <w:lang w:eastAsia="en-US"/>
    </w:rPr>
  </w:style>
  <w:style w:type="numbering" w:customStyle="1" w:styleId="ArticleSection1">
    <w:name w:val="Article / Section1"/>
    <w:basedOn w:val="NoList"/>
    <w:next w:val="ArticleSection"/>
    <w:rsid w:val="006F54EF"/>
    <w:pPr>
      <w:numPr>
        <w:numId w:val="19"/>
      </w:numPr>
    </w:pPr>
  </w:style>
  <w:style w:type="character" w:customStyle="1" w:styleId="Heading6Char">
    <w:name w:val="Heading 6 Char"/>
    <w:basedOn w:val="DefaultParagraphFont"/>
    <w:link w:val="Heading6"/>
    <w:uiPriority w:val="9"/>
    <w:semiHidden/>
    <w:rsid w:val="006F54EF"/>
    <w:rPr>
      <w:rFonts w:asciiTheme="majorHAnsi" w:eastAsiaTheme="majorEastAsia" w:hAnsiTheme="majorHAnsi" w:cstheme="majorBidi"/>
      <w:color w:val="243F60" w:themeColor="accent1" w:themeShade="7F"/>
      <w:sz w:val="24"/>
    </w:rPr>
  </w:style>
  <w:style w:type="character" w:customStyle="1" w:styleId="Heading7Char">
    <w:name w:val="Heading 7 Char"/>
    <w:basedOn w:val="DefaultParagraphFont"/>
    <w:link w:val="Heading7"/>
    <w:uiPriority w:val="9"/>
    <w:semiHidden/>
    <w:rsid w:val="006F54EF"/>
    <w:rPr>
      <w:rFonts w:asciiTheme="majorHAnsi" w:eastAsiaTheme="majorEastAsia" w:hAnsiTheme="majorHAnsi" w:cstheme="majorBidi"/>
      <w:i/>
      <w:iCs/>
      <w:color w:val="243F60" w:themeColor="accent1" w:themeShade="7F"/>
      <w:sz w:val="24"/>
    </w:rPr>
  </w:style>
  <w:style w:type="character" w:customStyle="1" w:styleId="Heading8Char">
    <w:name w:val="Heading 8 Char"/>
    <w:basedOn w:val="DefaultParagraphFont"/>
    <w:link w:val="Heading8"/>
    <w:uiPriority w:val="9"/>
    <w:semiHidden/>
    <w:rsid w:val="006F54E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F54EF"/>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6F54EF"/>
  </w:style>
  <w:style w:type="character" w:customStyle="1" w:styleId="References">
    <w:name w:val="References"/>
    <w:basedOn w:val="DefaultParagraphFont"/>
    <w:uiPriority w:val="1"/>
    <w:rsid w:val="001D6093"/>
    <w:rPr>
      <w:rFonts w:ascii="Times New Roman" w:hAnsi="Times New Roman"/>
      <w:b/>
      <w:bCs/>
      <w:i/>
      <w:i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77539">
      <w:bodyDiv w:val="1"/>
      <w:marLeft w:val="0"/>
      <w:marRight w:val="0"/>
      <w:marTop w:val="0"/>
      <w:marBottom w:val="0"/>
      <w:divBdr>
        <w:top w:val="none" w:sz="0" w:space="0" w:color="auto"/>
        <w:left w:val="none" w:sz="0" w:space="0" w:color="auto"/>
        <w:bottom w:val="none" w:sz="0" w:space="0" w:color="auto"/>
        <w:right w:val="none" w:sz="0" w:space="0" w:color="auto"/>
      </w:divBdr>
    </w:div>
    <w:div w:id="342557721">
      <w:bodyDiv w:val="1"/>
      <w:marLeft w:val="0"/>
      <w:marRight w:val="0"/>
      <w:marTop w:val="0"/>
      <w:marBottom w:val="0"/>
      <w:divBdr>
        <w:top w:val="none" w:sz="0" w:space="0" w:color="auto"/>
        <w:left w:val="none" w:sz="0" w:space="0" w:color="auto"/>
        <w:bottom w:val="none" w:sz="0" w:space="0" w:color="auto"/>
        <w:right w:val="none" w:sz="0" w:space="0" w:color="auto"/>
      </w:divBdr>
    </w:div>
    <w:div w:id="909118737">
      <w:bodyDiv w:val="1"/>
      <w:marLeft w:val="0"/>
      <w:marRight w:val="0"/>
      <w:marTop w:val="0"/>
      <w:marBottom w:val="0"/>
      <w:divBdr>
        <w:top w:val="none" w:sz="0" w:space="0" w:color="auto"/>
        <w:left w:val="none" w:sz="0" w:space="0" w:color="auto"/>
        <w:bottom w:val="none" w:sz="0" w:space="0" w:color="auto"/>
        <w:right w:val="none" w:sz="0" w:space="0" w:color="auto"/>
      </w:divBdr>
    </w:div>
    <w:div w:id="995109907">
      <w:bodyDiv w:val="1"/>
      <w:marLeft w:val="0"/>
      <w:marRight w:val="0"/>
      <w:marTop w:val="0"/>
      <w:marBottom w:val="0"/>
      <w:divBdr>
        <w:top w:val="none" w:sz="0" w:space="0" w:color="auto"/>
        <w:left w:val="none" w:sz="0" w:space="0" w:color="auto"/>
        <w:bottom w:val="none" w:sz="0" w:space="0" w:color="auto"/>
        <w:right w:val="none" w:sz="0" w:space="0" w:color="auto"/>
      </w:divBdr>
    </w:div>
    <w:div w:id="1188374926">
      <w:bodyDiv w:val="1"/>
      <w:marLeft w:val="0"/>
      <w:marRight w:val="0"/>
      <w:marTop w:val="0"/>
      <w:marBottom w:val="0"/>
      <w:divBdr>
        <w:top w:val="none" w:sz="0" w:space="0" w:color="auto"/>
        <w:left w:val="none" w:sz="0" w:space="0" w:color="auto"/>
        <w:bottom w:val="none" w:sz="0" w:space="0" w:color="auto"/>
        <w:right w:val="none" w:sz="0" w:space="0" w:color="auto"/>
      </w:divBdr>
    </w:div>
    <w:div w:id="1488133812">
      <w:bodyDiv w:val="1"/>
      <w:marLeft w:val="0"/>
      <w:marRight w:val="0"/>
      <w:marTop w:val="0"/>
      <w:marBottom w:val="0"/>
      <w:divBdr>
        <w:top w:val="none" w:sz="0" w:space="0" w:color="auto"/>
        <w:left w:val="none" w:sz="0" w:space="0" w:color="auto"/>
        <w:bottom w:val="none" w:sz="0" w:space="0" w:color="auto"/>
        <w:right w:val="none" w:sz="0" w:space="0" w:color="auto"/>
      </w:divBdr>
    </w:div>
    <w:div w:id="1636637589">
      <w:bodyDiv w:val="1"/>
      <w:marLeft w:val="0"/>
      <w:marRight w:val="0"/>
      <w:marTop w:val="0"/>
      <w:marBottom w:val="0"/>
      <w:divBdr>
        <w:top w:val="none" w:sz="0" w:space="0" w:color="auto"/>
        <w:left w:val="none" w:sz="0" w:space="0" w:color="auto"/>
        <w:bottom w:val="none" w:sz="0" w:space="0" w:color="auto"/>
        <w:right w:val="none" w:sz="0" w:space="0" w:color="auto"/>
      </w:divBdr>
    </w:div>
    <w:div w:id="1646396389">
      <w:bodyDiv w:val="1"/>
      <w:marLeft w:val="0"/>
      <w:marRight w:val="0"/>
      <w:marTop w:val="0"/>
      <w:marBottom w:val="0"/>
      <w:divBdr>
        <w:top w:val="none" w:sz="0" w:space="0" w:color="auto"/>
        <w:left w:val="none" w:sz="0" w:space="0" w:color="auto"/>
        <w:bottom w:val="none" w:sz="0" w:space="0" w:color="auto"/>
        <w:right w:val="none" w:sz="0" w:space="0" w:color="auto"/>
      </w:divBdr>
    </w:div>
    <w:div w:id="1728526328">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 w:id="2010406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oecd.org/en/topics/sub-issues/global-minimum-tax/global-anti-base-erosion-model-rules-pillar-two.html" TargetMode="External"/><Relationship Id="rId3" Type="http://schemas.openxmlformats.org/officeDocument/2006/relationships/settings" Target="settings.xml"/><Relationship Id="rId7" Type="http://schemas.openxmlformats.org/officeDocument/2006/relationships/hyperlink" Target="https://oecd.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E712176B74F0AAB77FCED0A28F8FB"/>
        <w:category>
          <w:name w:val="General"/>
          <w:gallery w:val="placeholder"/>
        </w:category>
        <w:types>
          <w:type w:val="bbPlcHdr"/>
        </w:types>
        <w:behaviors>
          <w:behavior w:val="content"/>
        </w:behaviors>
        <w:guid w:val="{16CBBA54-1A56-498F-8AA9-8AB821C2BF40}"/>
      </w:docPartPr>
      <w:docPartBody>
        <w:p w:rsidR="004D09F6" w:rsidRDefault="005A27FB">
          <w:pPr>
            <w:pStyle w:val="4BCE712176B74F0AAB77FCED0A28F8FB"/>
          </w:pPr>
          <w:r w:rsidRPr="003C5719">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itica">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058"/>
    <w:rsid w:val="00010EFE"/>
    <w:rsid w:val="00030851"/>
    <w:rsid w:val="00044901"/>
    <w:rsid w:val="00061971"/>
    <w:rsid w:val="000C367C"/>
    <w:rsid w:val="00124FAB"/>
    <w:rsid w:val="001C6595"/>
    <w:rsid w:val="00260E04"/>
    <w:rsid w:val="002A5164"/>
    <w:rsid w:val="00301759"/>
    <w:rsid w:val="00360896"/>
    <w:rsid w:val="00426D28"/>
    <w:rsid w:val="004D09F6"/>
    <w:rsid w:val="004D7E30"/>
    <w:rsid w:val="00505648"/>
    <w:rsid w:val="0053088A"/>
    <w:rsid w:val="00537F84"/>
    <w:rsid w:val="005A27FB"/>
    <w:rsid w:val="00637F9C"/>
    <w:rsid w:val="006B432F"/>
    <w:rsid w:val="006D54FE"/>
    <w:rsid w:val="00770EB1"/>
    <w:rsid w:val="00786591"/>
    <w:rsid w:val="00834F05"/>
    <w:rsid w:val="008C5B99"/>
    <w:rsid w:val="00A22B93"/>
    <w:rsid w:val="00A806AF"/>
    <w:rsid w:val="00AB3BF7"/>
    <w:rsid w:val="00B00C2B"/>
    <w:rsid w:val="00B70B5B"/>
    <w:rsid w:val="00BC7B84"/>
    <w:rsid w:val="00CD5324"/>
    <w:rsid w:val="00D505BB"/>
    <w:rsid w:val="00DB0058"/>
    <w:rsid w:val="00E76584"/>
    <w:rsid w:val="00E76AC9"/>
    <w:rsid w:val="00FD62C2"/>
    <w:rsid w:val="00FF5E0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BCE712176B74F0AAB77FCED0A28F8FB">
    <w:name w:val="4BCE712176B74F0AAB77FCED0A28F8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3080</Words>
  <Characters>16484</Characters>
  <Application>Microsoft Office Word</Application>
  <DocSecurity>0</DocSecurity>
  <Lines>279</Lines>
  <Paragraphs>139</Paragraphs>
  <ScaleCrop>false</ScaleCrop>
  <HeadingPairs>
    <vt:vector size="2" baseType="variant">
      <vt:variant>
        <vt:lpstr>Title</vt:lpstr>
      </vt:variant>
      <vt:variant>
        <vt:i4>1</vt:i4>
      </vt:variant>
    </vt:vector>
  </HeadingPairs>
  <TitlesOfParts>
    <vt:vector size="1" baseType="lpstr">
      <vt:lpstr>Explanatory statement – Taxation (Multinational—Global and Domestic Minimum Tax) Amendment (2025 Measures No. 1) Rules 2025</vt:lpstr>
    </vt:vector>
  </TitlesOfParts>
  <Company/>
  <LinksUpToDate>false</LinksUpToDate>
  <CharactersWithSpaces>19425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 Taxation (Multinational—Global and Domestic Minimum Tax) Amendment (2025 Measures No. 1) Rules 2025</dc:title>
  <dc:subject/>
  <dc:creator>Australian Government</dc:creator>
  <cp:keywords/>
  <dc:description/>
  <cp:lastModifiedBy/>
  <cp:revision>1</cp:revision>
  <dcterms:created xsi:type="dcterms:W3CDTF">2025-10-22T01:52:00Z</dcterms:created>
  <dcterms:modified xsi:type="dcterms:W3CDTF">2025-10-22T01:53:00Z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2025-10-22T01:52:33Z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0b4c6a19-d4ef-4d6d-9a7f-fac921827108</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y fmtid="{D5CDD505-2E9C-101B-9397-08002B2CF9AE}" pid="10" name="Language">
    <vt:lpwstr>English</vt:lpwstr>
  </property>
</Properties>
</file>