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A4C76" w14:textId="0B9D61F2" w:rsidR="00FC71FB" w:rsidRPr="005F1388" w:rsidRDefault="00FC71FB" w:rsidP="00FC71FB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6B87083" wp14:editId="500CAD2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540828" w:rsidRPr="00290521" w14:paraId="42665766" w14:textId="77777777" w:rsidTr="00540828">
        <w:trPr>
          <w:trHeight w:val="629"/>
        </w:trPr>
        <w:tc>
          <w:tcPr>
            <w:tcW w:w="5000" w:type="pct"/>
            <w:shd w:val="clear" w:color="auto" w:fill="auto"/>
          </w:tcPr>
          <w:p w14:paraId="665412E9" w14:textId="77777777" w:rsidR="00540828" w:rsidRPr="00290521" w:rsidRDefault="00540828" w:rsidP="00256789">
            <w:pPr>
              <w:jc w:val="center"/>
              <w:rPr>
                <w:b/>
                <w:sz w:val="20"/>
              </w:rPr>
            </w:pPr>
            <w:r w:rsidRPr="00290521">
              <w:rPr>
                <w:b/>
                <w:sz w:val="26"/>
              </w:rPr>
              <w:t>EXPOSURE DRAFT</w:t>
            </w:r>
          </w:p>
        </w:tc>
      </w:tr>
    </w:tbl>
    <w:p w14:paraId="3BC42F7F" w14:textId="77777777" w:rsidR="00FC71FB" w:rsidRDefault="00FC71FB" w:rsidP="00FC71FB">
      <w:pPr>
        <w:rPr>
          <w:sz w:val="19"/>
        </w:rPr>
      </w:pPr>
    </w:p>
    <w:p w14:paraId="579ABD11" w14:textId="77777777" w:rsidR="00540828" w:rsidRPr="00E500D4" w:rsidRDefault="00540828" w:rsidP="00FC71FB">
      <w:pPr>
        <w:rPr>
          <w:sz w:val="19"/>
        </w:rPr>
      </w:pPr>
    </w:p>
    <w:p w14:paraId="705EF2CD" w14:textId="77777777" w:rsidR="00FC71FB" w:rsidRPr="00E500D4" w:rsidRDefault="00FC71FB" w:rsidP="00FC71FB">
      <w:pPr>
        <w:pStyle w:val="ShortT"/>
      </w:pPr>
      <w:r w:rsidRPr="00712780">
        <w:t xml:space="preserve">Competition and Consumer (Scams Prevention Framework—External Dispute Resolution) </w:t>
      </w:r>
      <w:r>
        <w:t>Authorisation 2025</w:t>
      </w:r>
    </w:p>
    <w:p w14:paraId="0595903F" w14:textId="07625B87" w:rsidR="00FC71FB" w:rsidRPr="00BC5754" w:rsidRDefault="00FC71FB" w:rsidP="00FC71FB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Pr="00712780">
        <w:rPr>
          <w:szCs w:val="22"/>
        </w:rPr>
        <w:t xml:space="preserve">Daniel Mulino, Assistant Treasurer and Minister for Financial Services, having considered the matters set out in </w:t>
      </w:r>
      <w:r>
        <w:rPr>
          <w:szCs w:val="22"/>
        </w:rPr>
        <w:t>subsection</w:t>
      </w:r>
      <w:r w:rsidRPr="00712780">
        <w:rPr>
          <w:szCs w:val="22"/>
        </w:rPr>
        <w:t xml:space="preserve"> 58</w:t>
      </w:r>
      <w:r>
        <w:rPr>
          <w:szCs w:val="22"/>
        </w:rPr>
        <w:t>DB(2)</w:t>
      </w:r>
      <w:r w:rsidRPr="00712780">
        <w:rPr>
          <w:szCs w:val="22"/>
        </w:rPr>
        <w:t xml:space="preserve"> of the C</w:t>
      </w:r>
      <w:r w:rsidRPr="00712780">
        <w:rPr>
          <w:i/>
          <w:iCs/>
          <w:szCs w:val="22"/>
        </w:rPr>
        <w:t>ompetition and Consumer Act 2010</w:t>
      </w:r>
      <w:r w:rsidRPr="00712780">
        <w:rPr>
          <w:szCs w:val="22"/>
        </w:rPr>
        <w:t>,</w:t>
      </w:r>
      <w:r>
        <w:rPr>
          <w:szCs w:val="22"/>
        </w:rPr>
        <w:t xml:space="preserve"> </w:t>
      </w:r>
      <w:r w:rsidRPr="00712780">
        <w:rPr>
          <w:szCs w:val="22"/>
        </w:rPr>
        <w:t xml:space="preserve">make the following </w:t>
      </w:r>
      <w:r w:rsidR="002E7227">
        <w:rPr>
          <w:szCs w:val="22"/>
        </w:rPr>
        <w:t>authorisation</w:t>
      </w:r>
      <w:r w:rsidRPr="00BC5754">
        <w:rPr>
          <w:szCs w:val="22"/>
        </w:rPr>
        <w:t>.</w:t>
      </w:r>
    </w:p>
    <w:p w14:paraId="55CB7868" w14:textId="77777777" w:rsidR="00FC71FB" w:rsidRPr="00BC5754" w:rsidRDefault="00FC71FB" w:rsidP="002E7227">
      <w:pPr>
        <w:keepNext/>
        <w:spacing w:before="720" w:after="236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>
        <w:rPr>
          <w:szCs w:val="22"/>
        </w:rPr>
        <w:t>2025</w:t>
      </w:r>
    </w:p>
    <w:p w14:paraId="79D71E78" w14:textId="77777777" w:rsidR="00FC71FB" w:rsidRPr="00BC5754" w:rsidRDefault="00FC71FB" w:rsidP="00FC71F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12780">
        <w:rPr>
          <w:szCs w:val="22"/>
        </w:rPr>
        <w:t xml:space="preserve">Dr Daniel Mulino </w:t>
      </w:r>
      <w:r w:rsidRPr="00E426F7">
        <w:rPr>
          <w:b/>
          <w:szCs w:val="22"/>
          <w:highlight w:val="lightGray"/>
        </w:rPr>
        <w:t>[DRAFT ONLY—NOT FOR SIGNATURE]</w:t>
      </w:r>
    </w:p>
    <w:p w14:paraId="4CB8E8FD" w14:textId="77777777" w:rsidR="00FC71FB" w:rsidRPr="00712780" w:rsidRDefault="00FC71FB" w:rsidP="00FC71FB">
      <w:pPr>
        <w:pStyle w:val="SignCoverPageEnd"/>
        <w:rPr>
          <w:szCs w:val="22"/>
        </w:rPr>
      </w:pPr>
      <w:r w:rsidRPr="00712780">
        <w:rPr>
          <w:szCs w:val="22"/>
        </w:rPr>
        <w:t xml:space="preserve">Assistant Treasurer </w:t>
      </w:r>
    </w:p>
    <w:p w14:paraId="6CCF1470" w14:textId="77777777" w:rsidR="00FC71FB" w:rsidRPr="00BC5754" w:rsidRDefault="00FC71FB" w:rsidP="00FC71FB">
      <w:pPr>
        <w:pStyle w:val="SignCoverPageEnd"/>
        <w:rPr>
          <w:szCs w:val="22"/>
        </w:rPr>
      </w:pPr>
      <w:r w:rsidRPr="00712780">
        <w:rPr>
          <w:szCs w:val="22"/>
        </w:rPr>
        <w:t>Minister for Financial Services</w:t>
      </w:r>
    </w:p>
    <w:p w14:paraId="5F50076B" w14:textId="77777777" w:rsidR="00FC71FB" w:rsidRPr="00BC5754" w:rsidRDefault="00FC71FB" w:rsidP="00FC71FB">
      <w:pPr>
        <w:rPr>
          <w:rStyle w:val="CharAmSchNo"/>
        </w:rPr>
      </w:pPr>
    </w:p>
    <w:p w14:paraId="1C398218" w14:textId="77777777" w:rsidR="00FC71FB" w:rsidRPr="00ED79B6" w:rsidRDefault="00FC71FB" w:rsidP="00FC71FB">
      <w:pPr>
        <w:pStyle w:val="Header"/>
        <w:tabs>
          <w:tab w:val="clear" w:pos="4150"/>
          <w:tab w:val="clear" w:pos="8307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</w:p>
    <w:p w14:paraId="65408D9C" w14:textId="77777777" w:rsidR="00FC71FB" w:rsidRPr="00ED79B6" w:rsidRDefault="00FC71FB" w:rsidP="00FC71FB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78859108" w14:textId="77777777" w:rsidR="00FC71FB" w:rsidRPr="00ED79B6" w:rsidRDefault="00FC71FB" w:rsidP="00FC71FB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p w14:paraId="3719C74F" w14:textId="77777777" w:rsidR="00FC71FB" w:rsidRDefault="00FC71FB" w:rsidP="00FC71FB">
      <w:pPr>
        <w:sectPr w:rsidR="00FC71FB" w:rsidSect="00FC71F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2FFEEA6" w14:textId="124533E6" w:rsidR="00FC71FB" w:rsidRDefault="00FC71FB" w:rsidP="00FC71FB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ABBDA07" w14:textId="223FCDD8" w:rsidR="004719E3" w:rsidRDefault="00F31227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4719E3">
        <w:rPr>
          <w:sz w:val="18"/>
        </w:rPr>
        <w:fldChar w:fldCharType="begin"/>
      </w:r>
      <w:r>
        <w:rPr>
          <w:sz w:val="18"/>
        </w:rPr>
        <w:instrText xml:space="preserve"> TOC \o "1-9" </w:instrText>
      </w:r>
      <w:r w:rsidRPr="004719E3">
        <w:rPr>
          <w:sz w:val="18"/>
        </w:rPr>
        <w:fldChar w:fldCharType="separate"/>
      </w:r>
      <w:r w:rsidR="004719E3">
        <w:rPr>
          <w:noProof/>
        </w:rPr>
        <w:t>Part 1—Preliminary</w:t>
      </w:r>
      <w:r w:rsidR="004719E3">
        <w:rPr>
          <w:noProof/>
        </w:rPr>
        <w:tab/>
      </w:r>
      <w:r w:rsidR="004719E3" w:rsidRPr="004719E3">
        <w:rPr>
          <w:b w:val="0"/>
          <w:noProof/>
          <w:sz w:val="18"/>
        </w:rPr>
        <w:fldChar w:fldCharType="begin"/>
      </w:r>
      <w:r w:rsidR="004719E3" w:rsidRPr="004719E3">
        <w:rPr>
          <w:b w:val="0"/>
          <w:noProof/>
          <w:sz w:val="18"/>
        </w:rPr>
        <w:instrText xml:space="preserve"> PAGEREF _Toc213077227 \h </w:instrText>
      </w:r>
      <w:r w:rsidR="004719E3" w:rsidRPr="004719E3">
        <w:rPr>
          <w:b w:val="0"/>
          <w:noProof/>
          <w:sz w:val="18"/>
        </w:rPr>
      </w:r>
      <w:r w:rsidR="004719E3" w:rsidRPr="004719E3">
        <w:rPr>
          <w:b w:val="0"/>
          <w:noProof/>
          <w:sz w:val="18"/>
        </w:rPr>
        <w:fldChar w:fldCharType="separate"/>
      </w:r>
      <w:r w:rsidR="00A75326">
        <w:rPr>
          <w:b w:val="0"/>
          <w:noProof/>
          <w:sz w:val="18"/>
        </w:rPr>
        <w:t>1</w:t>
      </w:r>
      <w:r w:rsidR="004719E3" w:rsidRPr="004719E3">
        <w:rPr>
          <w:b w:val="0"/>
          <w:noProof/>
          <w:sz w:val="18"/>
        </w:rPr>
        <w:fldChar w:fldCharType="end"/>
      </w:r>
    </w:p>
    <w:p w14:paraId="23A8172F" w14:textId="1D61ADC2" w:rsidR="004719E3" w:rsidRDefault="004719E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 w:rsidRPr="004719E3">
        <w:rPr>
          <w:noProof/>
        </w:rPr>
        <w:fldChar w:fldCharType="begin"/>
      </w:r>
      <w:r w:rsidRPr="004719E3">
        <w:rPr>
          <w:noProof/>
        </w:rPr>
        <w:instrText xml:space="preserve"> PAGEREF _Toc213077228 \h </w:instrText>
      </w:r>
      <w:r w:rsidRPr="004719E3">
        <w:rPr>
          <w:noProof/>
        </w:rPr>
      </w:r>
      <w:r w:rsidRPr="004719E3">
        <w:rPr>
          <w:noProof/>
        </w:rPr>
        <w:fldChar w:fldCharType="separate"/>
      </w:r>
      <w:r w:rsidR="00A75326">
        <w:rPr>
          <w:noProof/>
        </w:rPr>
        <w:t>1</w:t>
      </w:r>
      <w:r w:rsidRPr="004719E3">
        <w:rPr>
          <w:noProof/>
        </w:rPr>
        <w:fldChar w:fldCharType="end"/>
      </w:r>
    </w:p>
    <w:p w14:paraId="028E3B59" w14:textId="72C2D1BC" w:rsidR="004719E3" w:rsidRDefault="004719E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 w:rsidRPr="004719E3">
        <w:rPr>
          <w:noProof/>
        </w:rPr>
        <w:fldChar w:fldCharType="begin"/>
      </w:r>
      <w:r w:rsidRPr="004719E3">
        <w:rPr>
          <w:noProof/>
        </w:rPr>
        <w:instrText xml:space="preserve"> PAGEREF _Toc213077229 \h </w:instrText>
      </w:r>
      <w:r w:rsidRPr="004719E3">
        <w:rPr>
          <w:noProof/>
        </w:rPr>
      </w:r>
      <w:r w:rsidRPr="004719E3">
        <w:rPr>
          <w:noProof/>
        </w:rPr>
        <w:fldChar w:fldCharType="separate"/>
      </w:r>
      <w:r w:rsidR="00A75326">
        <w:rPr>
          <w:noProof/>
        </w:rPr>
        <w:t>1</w:t>
      </w:r>
      <w:r w:rsidRPr="004719E3">
        <w:rPr>
          <w:noProof/>
        </w:rPr>
        <w:fldChar w:fldCharType="end"/>
      </w:r>
    </w:p>
    <w:p w14:paraId="25876D92" w14:textId="71E62C01" w:rsidR="004719E3" w:rsidRDefault="004719E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 w:rsidRPr="004719E3">
        <w:rPr>
          <w:noProof/>
        </w:rPr>
        <w:fldChar w:fldCharType="begin"/>
      </w:r>
      <w:r w:rsidRPr="004719E3">
        <w:rPr>
          <w:noProof/>
        </w:rPr>
        <w:instrText xml:space="preserve"> PAGEREF _Toc213077230 \h </w:instrText>
      </w:r>
      <w:r w:rsidRPr="004719E3">
        <w:rPr>
          <w:noProof/>
        </w:rPr>
      </w:r>
      <w:r w:rsidRPr="004719E3">
        <w:rPr>
          <w:noProof/>
        </w:rPr>
        <w:fldChar w:fldCharType="separate"/>
      </w:r>
      <w:r w:rsidR="00A75326">
        <w:rPr>
          <w:noProof/>
        </w:rPr>
        <w:t>1</w:t>
      </w:r>
      <w:r w:rsidRPr="004719E3">
        <w:rPr>
          <w:noProof/>
        </w:rPr>
        <w:fldChar w:fldCharType="end"/>
      </w:r>
    </w:p>
    <w:p w14:paraId="57834245" w14:textId="13320175" w:rsidR="004719E3" w:rsidRDefault="004719E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</w:r>
      <w:r w:rsidRPr="004719E3">
        <w:rPr>
          <w:noProof/>
        </w:rPr>
        <w:fldChar w:fldCharType="begin"/>
      </w:r>
      <w:r w:rsidRPr="004719E3">
        <w:rPr>
          <w:noProof/>
        </w:rPr>
        <w:instrText xml:space="preserve"> PAGEREF _Toc213077231 \h </w:instrText>
      </w:r>
      <w:r w:rsidRPr="004719E3">
        <w:rPr>
          <w:noProof/>
        </w:rPr>
      </w:r>
      <w:r w:rsidRPr="004719E3">
        <w:rPr>
          <w:noProof/>
        </w:rPr>
        <w:fldChar w:fldCharType="separate"/>
      </w:r>
      <w:r w:rsidR="00A75326">
        <w:rPr>
          <w:noProof/>
        </w:rPr>
        <w:t>1</w:t>
      </w:r>
      <w:r w:rsidRPr="004719E3">
        <w:rPr>
          <w:noProof/>
        </w:rPr>
        <w:fldChar w:fldCharType="end"/>
      </w:r>
    </w:p>
    <w:p w14:paraId="619245CE" w14:textId="2EDE3C1F" w:rsidR="004719E3" w:rsidRDefault="004719E3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 2—Authorised external dispute resolution schemes</w:t>
      </w:r>
      <w:r>
        <w:rPr>
          <w:noProof/>
        </w:rPr>
        <w:tab/>
      </w:r>
      <w:r w:rsidRPr="004719E3">
        <w:rPr>
          <w:b w:val="0"/>
          <w:noProof/>
          <w:sz w:val="18"/>
        </w:rPr>
        <w:fldChar w:fldCharType="begin"/>
      </w:r>
      <w:r w:rsidRPr="004719E3">
        <w:rPr>
          <w:b w:val="0"/>
          <w:noProof/>
          <w:sz w:val="18"/>
        </w:rPr>
        <w:instrText xml:space="preserve"> PAGEREF _Toc213077232 \h </w:instrText>
      </w:r>
      <w:r w:rsidRPr="004719E3">
        <w:rPr>
          <w:b w:val="0"/>
          <w:noProof/>
          <w:sz w:val="18"/>
        </w:rPr>
      </w:r>
      <w:r w:rsidRPr="004719E3">
        <w:rPr>
          <w:b w:val="0"/>
          <w:noProof/>
          <w:sz w:val="18"/>
        </w:rPr>
        <w:fldChar w:fldCharType="separate"/>
      </w:r>
      <w:r w:rsidR="00A75326">
        <w:rPr>
          <w:b w:val="0"/>
          <w:noProof/>
          <w:sz w:val="18"/>
        </w:rPr>
        <w:t>3</w:t>
      </w:r>
      <w:r w:rsidRPr="004719E3">
        <w:rPr>
          <w:b w:val="0"/>
          <w:noProof/>
          <w:sz w:val="18"/>
        </w:rPr>
        <w:fldChar w:fldCharType="end"/>
      </w:r>
    </w:p>
    <w:p w14:paraId="438CC986" w14:textId="2C795CD6" w:rsidR="004719E3" w:rsidRDefault="004719E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  Authorisation of external dispute resolution scheme for banking, digital platforms and telecommunications sectors</w:t>
      </w:r>
      <w:r>
        <w:rPr>
          <w:noProof/>
        </w:rPr>
        <w:tab/>
      </w:r>
      <w:r w:rsidRPr="004719E3">
        <w:rPr>
          <w:noProof/>
        </w:rPr>
        <w:fldChar w:fldCharType="begin"/>
      </w:r>
      <w:r w:rsidRPr="004719E3">
        <w:rPr>
          <w:noProof/>
        </w:rPr>
        <w:instrText xml:space="preserve"> PAGEREF _Toc213077233 \h </w:instrText>
      </w:r>
      <w:r w:rsidRPr="004719E3">
        <w:rPr>
          <w:noProof/>
        </w:rPr>
      </w:r>
      <w:r w:rsidRPr="004719E3">
        <w:rPr>
          <w:noProof/>
        </w:rPr>
        <w:fldChar w:fldCharType="separate"/>
      </w:r>
      <w:r w:rsidR="00A75326">
        <w:rPr>
          <w:noProof/>
        </w:rPr>
        <w:t>3</w:t>
      </w:r>
      <w:r w:rsidRPr="004719E3">
        <w:rPr>
          <w:noProof/>
        </w:rPr>
        <w:fldChar w:fldCharType="end"/>
      </w:r>
    </w:p>
    <w:p w14:paraId="0B1C03C8" w14:textId="4A1218D4" w:rsidR="004719E3" w:rsidRDefault="004719E3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 10—Application and transitional provisions</w:t>
      </w:r>
      <w:r>
        <w:rPr>
          <w:noProof/>
        </w:rPr>
        <w:tab/>
      </w:r>
      <w:r w:rsidRPr="004719E3">
        <w:rPr>
          <w:b w:val="0"/>
          <w:noProof/>
          <w:sz w:val="18"/>
        </w:rPr>
        <w:fldChar w:fldCharType="begin"/>
      </w:r>
      <w:r w:rsidRPr="004719E3">
        <w:rPr>
          <w:b w:val="0"/>
          <w:noProof/>
          <w:sz w:val="18"/>
        </w:rPr>
        <w:instrText xml:space="preserve"> PAGEREF _Toc213077234 \h </w:instrText>
      </w:r>
      <w:r w:rsidRPr="004719E3">
        <w:rPr>
          <w:b w:val="0"/>
          <w:noProof/>
          <w:sz w:val="18"/>
        </w:rPr>
      </w:r>
      <w:r w:rsidRPr="004719E3">
        <w:rPr>
          <w:b w:val="0"/>
          <w:noProof/>
          <w:sz w:val="18"/>
        </w:rPr>
        <w:fldChar w:fldCharType="separate"/>
      </w:r>
      <w:r w:rsidR="00A75326">
        <w:rPr>
          <w:b w:val="0"/>
          <w:noProof/>
          <w:sz w:val="18"/>
        </w:rPr>
        <w:t>4</w:t>
      </w:r>
      <w:r w:rsidRPr="004719E3">
        <w:rPr>
          <w:b w:val="0"/>
          <w:noProof/>
          <w:sz w:val="18"/>
        </w:rPr>
        <w:fldChar w:fldCharType="end"/>
      </w:r>
    </w:p>
    <w:p w14:paraId="4CC9CAED" w14:textId="043FD2B2" w:rsidR="004719E3" w:rsidRPr="004719E3" w:rsidRDefault="004719E3">
      <w:pPr>
        <w:pStyle w:val="TOC5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50  Application of authorisation</w:t>
      </w:r>
      <w:r>
        <w:rPr>
          <w:noProof/>
        </w:rPr>
        <w:tab/>
      </w:r>
      <w:r w:rsidRPr="004719E3">
        <w:rPr>
          <w:noProof/>
        </w:rPr>
        <w:fldChar w:fldCharType="begin"/>
      </w:r>
      <w:r w:rsidRPr="004719E3">
        <w:rPr>
          <w:noProof/>
        </w:rPr>
        <w:instrText xml:space="preserve"> PAGEREF _Toc213077235 \h </w:instrText>
      </w:r>
      <w:r w:rsidRPr="004719E3">
        <w:rPr>
          <w:noProof/>
        </w:rPr>
      </w:r>
      <w:r w:rsidRPr="004719E3">
        <w:rPr>
          <w:noProof/>
        </w:rPr>
        <w:fldChar w:fldCharType="separate"/>
      </w:r>
      <w:r w:rsidR="00A75326">
        <w:rPr>
          <w:noProof/>
        </w:rPr>
        <w:t>4</w:t>
      </w:r>
      <w:r w:rsidRPr="004719E3">
        <w:rPr>
          <w:noProof/>
        </w:rPr>
        <w:fldChar w:fldCharType="end"/>
      </w:r>
    </w:p>
    <w:p w14:paraId="7DFD814B" w14:textId="747AB392" w:rsidR="00FC71FB" w:rsidRDefault="00F31227" w:rsidP="00FC71FB">
      <w:r w:rsidRPr="004719E3">
        <w:rPr>
          <w:sz w:val="18"/>
        </w:rPr>
        <w:fldChar w:fldCharType="end"/>
      </w:r>
    </w:p>
    <w:p w14:paraId="01560F23" w14:textId="77777777" w:rsidR="00FC71FB" w:rsidRDefault="00FC71FB" w:rsidP="00FC71FB">
      <w:pPr>
        <w:sectPr w:rsidR="00FC71FB" w:rsidSect="00FC71FB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BDCF9BC" w14:textId="568EF8EB" w:rsidR="000B090F" w:rsidRPr="000B090F" w:rsidRDefault="000B090F" w:rsidP="000B090F">
      <w:pPr>
        <w:pStyle w:val="ActHead2"/>
        <w:pageBreakBefore/>
        <w:rPr>
          <w:rFonts w:eastAsiaTheme="minorHAnsi"/>
        </w:rPr>
      </w:pPr>
      <w:bookmarkStart w:id="4" w:name="_Toc213077227"/>
      <w:r w:rsidRPr="000B090F">
        <w:rPr>
          <w:rStyle w:val="CharPartNo"/>
        </w:rPr>
        <w:lastRenderedPageBreak/>
        <w:t>Part 1</w:t>
      </w:r>
      <w:r>
        <w:t>—</w:t>
      </w:r>
      <w:r w:rsidRPr="000B090F">
        <w:rPr>
          <w:rStyle w:val="CharPartText"/>
        </w:rPr>
        <w:t>Preliminary</w:t>
      </w:r>
      <w:bookmarkEnd w:id="4"/>
    </w:p>
    <w:p w14:paraId="633AC2AD" w14:textId="77777777" w:rsidR="00FC71FB" w:rsidRDefault="00FC71FB" w:rsidP="00FC71FB">
      <w:pPr>
        <w:pStyle w:val="Header"/>
      </w:pPr>
      <w:r>
        <w:t xml:space="preserve">  </w:t>
      </w:r>
    </w:p>
    <w:p w14:paraId="604B54B1" w14:textId="77777777" w:rsidR="00FC71FB" w:rsidRDefault="00FC71FB" w:rsidP="00FC71FB">
      <w:pPr>
        <w:pStyle w:val="ActHead5"/>
      </w:pPr>
      <w:bookmarkStart w:id="5" w:name="_Toc213077228"/>
      <w:r w:rsidRPr="00C2746F">
        <w:rPr>
          <w:rStyle w:val="CharSectno"/>
        </w:rPr>
        <w:t>1</w:t>
      </w:r>
      <w:r>
        <w:t xml:space="preserve">  Name</w:t>
      </w:r>
      <w:bookmarkEnd w:id="5"/>
    </w:p>
    <w:p w14:paraId="44FCEF14" w14:textId="77777777" w:rsidR="00FC71FB" w:rsidRPr="009A038B" w:rsidRDefault="00FC71FB" w:rsidP="00FC71FB">
      <w:pPr>
        <w:pStyle w:val="subsection"/>
      </w:pPr>
      <w:r w:rsidRPr="009A038B">
        <w:tab/>
      </w:r>
      <w:r w:rsidRPr="009A038B">
        <w:tab/>
      </w:r>
      <w:r>
        <w:t xml:space="preserve">This instrument is the </w:t>
      </w:r>
      <w:r w:rsidRPr="00712780">
        <w:rPr>
          <w:i/>
          <w:iCs/>
        </w:rPr>
        <w:t>Competition and Consumer (Scams Prevention Framework—External Dispute Resolution) Authorisation 2025</w:t>
      </w:r>
      <w:r w:rsidRPr="009A038B">
        <w:t>.</w:t>
      </w:r>
    </w:p>
    <w:p w14:paraId="366CB7DF" w14:textId="77777777" w:rsidR="00FC71FB" w:rsidRDefault="00FC71FB" w:rsidP="00FC71FB">
      <w:pPr>
        <w:pStyle w:val="ActHead5"/>
      </w:pPr>
      <w:bookmarkStart w:id="6" w:name="_Toc213077229"/>
      <w:r w:rsidRPr="009A038B">
        <w:rPr>
          <w:rStyle w:val="CharSectno"/>
        </w:rPr>
        <w:t>2</w:t>
      </w:r>
      <w:r w:rsidRPr="009A038B">
        <w:t xml:space="preserve">  Commencement</w:t>
      </w:r>
      <w:bookmarkEnd w:id="6"/>
    </w:p>
    <w:p w14:paraId="03D6A52E" w14:textId="0D10A048" w:rsidR="00FC71FB" w:rsidRDefault="00FC71FB" w:rsidP="00FC71FB">
      <w:pPr>
        <w:pStyle w:val="subsection"/>
      </w:pPr>
      <w:r>
        <w:tab/>
        <w:t>(1)</w:t>
      </w:r>
      <w:r>
        <w:tab/>
        <w:t xml:space="preserve">Each provision of </w:t>
      </w:r>
      <w:r w:rsidR="006A76DE">
        <w:t xml:space="preserve">this </w:t>
      </w:r>
      <w:r>
        <w:t>instrument specified in column 1 of the table commences, or is taken to have commenced, in accordance with column 2 of the table. Any other statement in column 2 has effect according to its terms.</w:t>
      </w:r>
    </w:p>
    <w:p w14:paraId="5C8B8DE8" w14:textId="77777777" w:rsidR="00FC71FB" w:rsidRDefault="00FC71FB" w:rsidP="00FC71FB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C71FB" w14:paraId="71CFC2AC" w14:textId="77777777" w:rsidTr="00FC71F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70CFDFF6" w14:textId="77777777" w:rsidR="00FC71FB" w:rsidRPr="00416235" w:rsidRDefault="00FC71FB">
            <w:pPr>
              <w:pStyle w:val="TableHeading"/>
            </w:pPr>
            <w:r w:rsidRPr="00416235">
              <w:t>Commencement information</w:t>
            </w:r>
          </w:p>
        </w:tc>
      </w:tr>
      <w:tr w:rsidR="00FC71FB" w:rsidRPr="00416235" w14:paraId="533C218E" w14:textId="77777777" w:rsidTr="00FC71F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4A6C2650" w14:textId="77777777" w:rsidR="00FC71FB" w:rsidRPr="00416235" w:rsidRDefault="00FC71FB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32069F35" w14:textId="77777777" w:rsidR="00FC71FB" w:rsidRPr="00416235" w:rsidRDefault="00FC71FB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43168D6B" w14:textId="77777777" w:rsidR="00FC71FB" w:rsidRPr="00416235" w:rsidRDefault="00FC71FB">
            <w:pPr>
              <w:pStyle w:val="TableHeading"/>
            </w:pPr>
            <w:r w:rsidRPr="00416235">
              <w:t>Column 3</w:t>
            </w:r>
          </w:p>
        </w:tc>
      </w:tr>
      <w:tr w:rsidR="00FC71FB" w14:paraId="2A4EC711" w14:textId="77777777" w:rsidTr="00FC71F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44E01CB4" w14:textId="77777777" w:rsidR="00FC71FB" w:rsidRPr="00416235" w:rsidRDefault="00FC71FB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64B9F03E" w14:textId="77777777" w:rsidR="00FC71FB" w:rsidRPr="00416235" w:rsidRDefault="00FC71FB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4C4265F8" w14:textId="77777777" w:rsidR="00FC71FB" w:rsidRPr="00416235" w:rsidRDefault="00FC71FB">
            <w:pPr>
              <w:pStyle w:val="TableHeading"/>
            </w:pPr>
            <w:r w:rsidRPr="00416235">
              <w:t>Date/Details</w:t>
            </w:r>
          </w:p>
        </w:tc>
      </w:tr>
      <w:tr w:rsidR="00FC71FB" w14:paraId="16CDC61E" w14:textId="77777777" w:rsidTr="00FC71F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B37A733" w14:textId="133701A9" w:rsidR="00FC71FB" w:rsidRPr="00845987" w:rsidRDefault="00FC71FB">
            <w:pPr>
              <w:pStyle w:val="Tabletext"/>
            </w:pPr>
            <w:r w:rsidRPr="00845987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1162912" w14:textId="703DA014" w:rsidR="00FC71FB" w:rsidRPr="00845987" w:rsidRDefault="00845987">
            <w:pPr>
              <w:pStyle w:val="Tabletext"/>
            </w:pPr>
            <w:r>
              <w:t xml:space="preserve">1 </w:t>
            </w:r>
            <w:r w:rsidR="00DD698B">
              <w:t xml:space="preserve">September </w:t>
            </w:r>
            <w:r>
              <w:t>2026</w:t>
            </w:r>
            <w:r w:rsidR="00FC71FB" w:rsidRPr="00845987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1A324D57" w14:textId="399C989F" w:rsidR="00FC71FB" w:rsidRPr="00845987" w:rsidRDefault="00845987">
            <w:pPr>
              <w:pStyle w:val="Tabletext"/>
            </w:pPr>
            <w:r>
              <w:t xml:space="preserve">1 </w:t>
            </w:r>
            <w:r w:rsidR="00DD698B">
              <w:t xml:space="preserve">September </w:t>
            </w:r>
            <w:r>
              <w:t>2026</w:t>
            </w:r>
          </w:p>
        </w:tc>
      </w:tr>
    </w:tbl>
    <w:p w14:paraId="6F36399F" w14:textId="77777777" w:rsidR="00FC71FB" w:rsidRPr="001E6DD6" w:rsidRDefault="00FC71FB" w:rsidP="00FC71FB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rPr>
          <w:snapToGrid w:val="0"/>
          <w:lang w:eastAsia="en-US"/>
        </w:rPr>
        <w:t>instrument</w:t>
      </w:r>
      <w:r w:rsidRPr="005F477A">
        <w:rPr>
          <w:snapToGrid w:val="0"/>
          <w:lang w:eastAsia="en-US"/>
        </w:rPr>
        <w:t>.</w:t>
      </w:r>
    </w:p>
    <w:p w14:paraId="0E4D88F8" w14:textId="77777777" w:rsidR="00FC71FB" w:rsidRDefault="00FC71FB" w:rsidP="00FC71FB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4F8C3D7A" w14:textId="77777777" w:rsidR="00FC71FB" w:rsidRDefault="00FC71FB" w:rsidP="00FC71FB">
      <w:pPr>
        <w:pStyle w:val="ActHead5"/>
      </w:pPr>
      <w:bookmarkStart w:id="7" w:name="_Toc213077230"/>
      <w:r w:rsidRPr="00C2746F">
        <w:rPr>
          <w:rStyle w:val="CharSectno"/>
        </w:rPr>
        <w:t>3</w:t>
      </w:r>
      <w:r>
        <w:t xml:space="preserve">  Authority</w:t>
      </w:r>
      <w:bookmarkEnd w:id="7"/>
    </w:p>
    <w:p w14:paraId="521F51AD" w14:textId="77777777" w:rsidR="00FC71FB" w:rsidRDefault="00FC71FB" w:rsidP="00FC71FB">
      <w:pPr>
        <w:pStyle w:val="subsection"/>
      </w:pPr>
      <w:r>
        <w:tab/>
      </w:r>
      <w:r>
        <w:tab/>
        <w:t xml:space="preserve">This instrument is made under </w:t>
      </w:r>
      <w:r w:rsidRPr="00712780">
        <w:t xml:space="preserve">the </w:t>
      </w:r>
      <w:r w:rsidRPr="00712780">
        <w:rPr>
          <w:i/>
        </w:rPr>
        <w:t>Competition and Consumer Act 2010.</w:t>
      </w:r>
    </w:p>
    <w:p w14:paraId="168D4A51" w14:textId="77777777" w:rsidR="00FC71FB" w:rsidRDefault="00FC71FB" w:rsidP="00FC71FB">
      <w:pPr>
        <w:pStyle w:val="ActHead5"/>
      </w:pPr>
      <w:bookmarkStart w:id="8" w:name="_Toc213077231"/>
      <w:r w:rsidRPr="00AE1A82">
        <w:rPr>
          <w:rStyle w:val="CharSectno"/>
        </w:rPr>
        <w:t>4</w:t>
      </w:r>
      <w:r>
        <w:t xml:space="preserve">  Definitions</w:t>
      </w:r>
      <w:bookmarkEnd w:id="8"/>
    </w:p>
    <w:p w14:paraId="6011BF20" w14:textId="1D4CAEE3" w:rsidR="00997646" w:rsidRPr="00997646" w:rsidRDefault="00997646" w:rsidP="00997646">
      <w:pPr>
        <w:pStyle w:val="notemargin"/>
      </w:pPr>
      <w:r w:rsidRPr="00997646">
        <w:t>Note:</w:t>
      </w:r>
      <w:r w:rsidRPr="00997646">
        <w:tab/>
        <w:t xml:space="preserve">Expressions have the same meaning in this instrument as in the </w:t>
      </w:r>
      <w:r w:rsidRPr="00712780">
        <w:rPr>
          <w:i/>
        </w:rPr>
        <w:t>Competition and Consumer Act 2010</w:t>
      </w:r>
      <w:r>
        <w:rPr>
          <w:i/>
        </w:rPr>
        <w:t xml:space="preserve"> </w:t>
      </w:r>
      <w:r w:rsidRPr="00997646">
        <w:t xml:space="preserve">as in force from time to time—see paragraph 13(1)(b) of the </w:t>
      </w:r>
      <w:r w:rsidRPr="00997646">
        <w:rPr>
          <w:i/>
          <w:iCs/>
        </w:rPr>
        <w:t>Legislation Act 2003</w:t>
      </w:r>
      <w:r w:rsidRPr="00997646">
        <w:t>.</w:t>
      </w:r>
    </w:p>
    <w:p w14:paraId="4568D18E" w14:textId="0B68903E" w:rsidR="00FC71FB" w:rsidRPr="00EE2B23" w:rsidRDefault="00FC71FB" w:rsidP="00FC71FB">
      <w:pPr>
        <w:pStyle w:val="subsection"/>
      </w:pPr>
      <w:r>
        <w:tab/>
      </w:r>
      <w:r w:rsidR="00356D57">
        <w:tab/>
      </w:r>
      <w:r w:rsidRPr="00EE2B23">
        <w:t>In this instrument:</w:t>
      </w:r>
    </w:p>
    <w:p w14:paraId="55675B46" w14:textId="77777777" w:rsidR="00FC71FB" w:rsidRPr="00EE2B23" w:rsidRDefault="00FC71FB" w:rsidP="00FC71FB">
      <w:pPr>
        <w:pStyle w:val="Definition"/>
      </w:pPr>
      <w:r w:rsidRPr="00EE2B23">
        <w:rPr>
          <w:b/>
          <w:bCs/>
          <w:i/>
          <w:iCs/>
        </w:rPr>
        <w:t>AFCA</w:t>
      </w:r>
      <w:r w:rsidRPr="00EE2B23">
        <w:t xml:space="preserve"> </w:t>
      </w:r>
      <w:r w:rsidRPr="00714DDC">
        <w:rPr>
          <w:b/>
          <w:bCs/>
          <w:i/>
          <w:iCs/>
        </w:rPr>
        <w:t>scheme</w:t>
      </w:r>
      <w:r w:rsidRPr="00EE2B23">
        <w:t xml:space="preserve"> has the same meaning as in </w:t>
      </w:r>
      <w:r w:rsidRPr="00CF7F1A">
        <w:t xml:space="preserve">section 761A of the </w:t>
      </w:r>
      <w:r w:rsidRPr="00EE2B23">
        <w:rPr>
          <w:i/>
          <w:iCs/>
        </w:rPr>
        <w:t>Corporations Act 2001</w:t>
      </w:r>
      <w:r w:rsidRPr="00EE2B23">
        <w:t>.</w:t>
      </w:r>
    </w:p>
    <w:p w14:paraId="792562D2" w14:textId="1134A76C" w:rsidR="00FC71FB" w:rsidRDefault="00FC71FB" w:rsidP="00FC71FB">
      <w:pPr>
        <w:pStyle w:val="Definition"/>
      </w:pPr>
      <w:r w:rsidRPr="00EE2B23">
        <w:rPr>
          <w:b/>
          <w:bCs/>
          <w:i/>
          <w:iCs/>
        </w:rPr>
        <w:t>banking sector</w:t>
      </w:r>
      <w:r w:rsidRPr="00EE2B23">
        <w:t xml:space="preserve"> means the </w:t>
      </w:r>
      <w:r w:rsidR="00FC4D23">
        <w:t xml:space="preserve">covered </w:t>
      </w:r>
      <w:r w:rsidR="000824A8">
        <w:t xml:space="preserve">banking services designated </w:t>
      </w:r>
      <w:r w:rsidR="00C45B0A">
        <w:t xml:space="preserve">as a regulated </w:t>
      </w:r>
      <w:r w:rsidRPr="00EE2B23">
        <w:t xml:space="preserve">sector </w:t>
      </w:r>
      <w:r w:rsidR="00297168">
        <w:t xml:space="preserve">of the Australian economy </w:t>
      </w:r>
      <w:r w:rsidR="00C45B0A">
        <w:t xml:space="preserve">under the </w:t>
      </w:r>
      <w:r w:rsidRPr="00EE2B23">
        <w:rPr>
          <w:i/>
          <w:iCs/>
        </w:rPr>
        <w:t>Competition and Consumer (Scams Prevention Framework—</w:t>
      </w:r>
      <w:r w:rsidR="00C92DCB">
        <w:rPr>
          <w:i/>
          <w:iCs/>
        </w:rPr>
        <w:t>Regulated</w:t>
      </w:r>
      <w:r w:rsidR="00C92DCB" w:rsidRPr="00EE2B23">
        <w:rPr>
          <w:i/>
          <w:iCs/>
        </w:rPr>
        <w:t xml:space="preserve"> </w:t>
      </w:r>
      <w:r w:rsidRPr="00EE2B23">
        <w:rPr>
          <w:i/>
          <w:iCs/>
        </w:rPr>
        <w:t>Sector</w:t>
      </w:r>
      <w:r w:rsidR="00C92DCB">
        <w:rPr>
          <w:i/>
          <w:iCs/>
        </w:rPr>
        <w:t>s</w:t>
      </w:r>
      <w:r w:rsidRPr="00EE2B23">
        <w:rPr>
          <w:i/>
          <w:iCs/>
        </w:rPr>
        <w:t xml:space="preserve">) Designation </w:t>
      </w:r>
      <w:r w:rsidRPr="00276438">
        <w:rPr>
          <w:i/>
          <w:iCs/>
        </w:rPr>
        <w:t>2025</w:t>
      </w:r>
      <w:r w:rsidRPr="00EE2B23">
        <w:t>.</w:t>
      </w:r>
    </w:p>
    <w:p w14:paraId="4B70AD3B" w14:textId="611426CD" w:rsidR="00997646" w:rsidRDefault="00997646" w:rsidP="00997646">
      <w:pPr>
        <w:pStyle w:val="Definition"/>
        <w:rPr>
          <w:i/>
          <w:iCs/>
        </w:rPr>
      </w:pPr>
      <w:r w:rsidRPr="00EE2B23">
        <w:rPr>
          <w:b/>
          <w:bCs/>
          <w:i/>
          <w:iCs/>
        </w:rPr>
        <w:t>digital platforms sector</w:t>
      </w:r>
      <w:r w:rsidRPr="00EE2B23">
        <w:t xml:space="preserve"> means the </w:t>
      </w:r>
      <w:r w:rsidR="00CA7D60">
        <w:t xml:space="preserve">covered </w:t>
      </w:r>
      <w:r w:rsidR="00AA44C1">
        <w:t>digital plat</w:t>
      </w:r>
      <w:r w:rsidR="00E0626D">
        <w:t>form</w:t>
      </w:r>
      <w:r w:rsidR="005561C3">
        <w:t xml:space="preserve"> services</w:t>
      </w:r>
      <w:r w:rsidR="00992E81">
        <w:t xml:space="preserve"> </w:t>
      </w:r>
      <w:r w:rsidRPr="00EE2B23">
        <w:t xml:space="preserve">designated </w:t>
      </w:r>
      <w:r w:rsidR="00E0626D">
        <w:t xml:space="preserve">as a regulated sector </w:t>
      </w:r>
      <w:r w:rsidR="00074328">
        <w:t>of the Australian economy</w:t>
      </w:r>
      <w:r w:rsidR="004A70FC">
        <w:t xml:space="preserve"> </w:t>
      </w:r>
      <w:r w:rsidR="00E0626D">
        <w:t xml:space="preserve">under the </w:t>
      </w:r>
      <w:r w:rsidR="00E0626D" w:rsidRPr="00CF7F1A">
        <w:rPr>
          <w:i/>
          <w:iCs/>
        </w:rPr>
        <w:t>Competition and Consumer</w:t>
      </w:r>
      <w:r w:rsidR="007D4484" w:rsidRPr="00CF7F1A">
        <w:rPr>
          <w:i/>
          <w:iCs/>
        </w:rPr>
        <w:t xml:space="preserve"> (Scams Prevention Framework—Regulated Sectors Designation 2025</w:t>
      </w:r>
      <w:r w:rsidR="007D4484">
        <w:t>.</w:t>
      </w:r>
    </w:p>
    <w:p w14:paraId="2A4CFCB0" w14:textId="19394D71" w:rsidR="00FC71FB" w:rsidRPr="00EE2B23" w:rsidRDefault="00FC71FB" w:rsidP="00FC71FB">
      <w:pPr>
        <w:pStyle w:val="Definition"/>
      </w:pPr>
      <w:r w:rsidRPr="00EE2B23">
        <w:rPr>
          <w:b/>
          <w:bCs/>
          <w:i/>
          <w:iCs/>
        </w:rPr>
        <w:t>telecommunications sector</w:t>
      </w:r>
      <w:r w:rsidRPr="00EE2B23">
        <w:t xml:space="preserve"> means the</w:t>
      </w:r>
      <w:r w:rsidR="00BF1711">
        <w:t xml:space="preserve"> </w:t>
      </w:r>
      <w:r w:rsidR="00CA7D60">
        <w:t xml:space="preserve">covered </w:t>
      </w:r>
      <w:r w:rsidR="00BF1711">
        <w:t>telecommunications</w:t>
      </w:r>
      <w:r w:rsidR="00C426A8">
        <w:t xml:space="preserve"> services designated as a regulated</w:t>
      </w:r>
      <w:r w:rsidRPr="00EE2B23">
        <w:t xml:space="preserve"> sector </w:t>
      </w:r>
      <w:r w:rsidR="00297168">
        <w:t xml:space="preserve">of the Australian economy </w:t>
      </w:r>
      <w:r w:rsidR="00C426A8">
        <w:t xml:space="preserve">under the </w:t>
      </w:r>
      <w:r w:rsidRPr="00EE2B23">
        <w:rPr>
          <w:i/>
          <w:iCs/>
        </w:rPr>
        <w:lastRenderedPageBreak/>
        <w:t>Competition and Consumer (Scams Prevention Framework—</w:t>
      </w:r>
      <w:r w:rsidR="00C426A8">
        <w:rPr>
          <w:i/>
          <w:iCs/>
        </w:rPr>
        <w:t>Regulated</w:t>
      </w:r>
      <w:r w:rsidR="00C426A8" w:rsidRPr="00EE2B23">
        <w:rPr>
          <w:i/>
          <w:iCs/>
        </w:rPr>
        <w:t xml:space="preserve"> </w:t>
      </w:r>
      <w:r w:rsidRPr="00EE2B23">
        <w:rPr>
          <w:i/>
          <w:iCs/>
        </w:rPr>
        <w:t>Sector</w:t>
      </w:r>
      <w:r w:rsidR="00C426A8">
        <w:rPr>
          <w:i/>
          <w:iCs/>
        </w:rPr>
        <w:t>s</w:t>
      </w:r>
      <w:r w:rsidRPr="00EE2B23">
        <w:rPr>
          <w:i/>
          <w:iCs/>
        </w:rPr>
        <w:t xml:space="preserve">) </w:t>
      </w:r>
      <w:r w:rsidR="002E2358" w:rsidRPr="00EE2B23">
        <w:rPr>
          <w:i/>
          <w:iCs/>
        </w:rPr>
        <w:t>Designation</w:t>
      </w:r>
      <w:r w:rsidR="002E2358">
        <w:rPr>
          <w:i/>
          <w:iCs/>
        </w:rPr>
        <w:t> </w:t>
      </w:r>
      <w:r w:rsidRPr="00EE2B23">
        <w:rPr>
          <w:i/>
          <w:iCs/>
        </w:rPr>
        <w:t>2025</w:t>
      </w:r>
      <w:r w:rsidRPr="00EE2B23">
        <w:t xml:space="preserve">. </w:t>
      </w:r>
    </w:p>
    <w:p w14:paraId="29830D02" w14:textId="77777777" w:rsidR="00230747" w:rsidRPr="00EE2B23" w:rsidRDefault="00230747" w:rsidP="00230747">
      <w:pPr>
        <w:pStyle w:val="Definition"/>
      </w:pPr>
      <w:r w:rsidRPr="00CF7F1A">
        <w:rPr>
          <w:b/>
          <w:bCs/>
          <w:i/>
          <w:iCs/>
        </w:rPr>
        <w:t>the</w:t>
      </w:r>
      <w:r w:rsidRPr="00897BB5">
        <w:t xml:space="preserve"> </w:t>
      </w:r>
      <w:r w:rsidRPr="00EE2B23">
        <w:rPr>
          <w:b/>
          <w:bCs/>
          <w:i/>
          <w:iCs/>
        </w:rPr>
        <w:t>Act</w:t>
      </w:r>
      <w:r w:rsidRPr="00EE2B23">
        <w:t xml:space="preserve"> means the </w:t>
      </w:r>
      <w:r w:rsidRPr="00EE2B23">
        <w:rPr>
          <w:i/>
          <w:iCs/>
        </w:rPr>
        <w:t>Competition and Consumer Act 2010</w:t>
      </w:r>
      <w:r w:rsidRPr="00EE2B23">
        <w:t>.</w:t>
      </w:r>
    </w:p>
    <w:p w14:paraId="0BDF3D54" w14:textId="465CA9D6" w:rsidR="002E2358" w:rsidRPr="002E2358" w:rsidRDefault="002E2358" w:rsidP="002E2358">
      <w:pPr>
        <w:pStyle w:val="ActHead2"/>
        <w:pageBreakBefore/>
        <w:rPr>
          <w:rFonts w:eastAsiaTheme="minorHAnsi"/>
        </w:rPr>
      </w:pPr>
      <w:bookmarkStart w:id="9" w:name="_Toc213077232"/>
      <w:r w:rsidRPr="002E2358">
        <w:rPr>
          <w:rStyle w:val="CharPartNo"/>
        </w:rPr>
        <w:lastRenderedPageBreak/>
        <w:t>Part 2</w:t>
      </w:r>
      <w:r>
        <w:t>—</w:t>
      </w:r>
      <w:r w:rsidRPr="002E2358">
        <w:rPr>
          <w:rStyle w:val="CharPartText"/>
        </w:rPr>
        <w:t>Authorised external dispute resolution schemes</w:t>
      </w:r>
      <w:bookmarkEnd w:id="9"/>
    </w:p>
    <w:p w14:paraId="019C4931" w14:textId="77777777" w:rsidR="00FC71FB" w:rsidRDefault="00FC71FB" w:rsidP="00FC71FB">
      <w:pPr>
        <w:pStyle w:val="Header"/>
      </w:pPr>
      <w:r>
        <w:t xml:space="preserve">  </w:t>
      </w:r>
    </w:p>
    <w:p w14:paraId="63B08DE1" w14:textId="39D84274" w:rsidR="00FC71FB" w:rsidRDefault="00FC71FB" w:rsidP="00FC71FB">
      <w:pPr>
        <w:pStyle w:val="ActHead5"/>
      </w:pPr>
      <w:bookmarkStart w:id="10" w:name="_Toc213077233"/>
      <w:r>
        <w:rPr>
          <w:rStyle w:val="CharSectno"/>
        </w:rPr>
        <w:t>5</w:t>
      </w:r>
      <w:r>
        <w:t xml:space="preserve">  </w:t>
      </w:r>
      <w:r w:rsidRPr="00FD119A">
        <w:t>Authorisation of</w:t>
      </w:r>
      <w:r w:rsidR="003C4DB3">
        <w:t xml:space="preserve"> </w:t>
      </w:r>
      <w:r w:rsidR="00997646">
        <w:t>external dispute resolution</w:t>
      </w:r>
      <w:r w:rsidRPr="00FD119A">
        <w:t xml:space="preserve"> scheme for </w:t>
      </w:r>
      <w:r w:rsidR="006D0FCB">
        <w:t xml:space="preserve">banking, digital platforms and telecommunications </w:t>
      </w:r>
      <w:r w:rsidRPr="00FD119A">
        <w:t>sectors</w:t>
      </w:r>
      <w:bookmarkEnd w:id="10"/>
    </w:p>
    <w:p w14:paraId="073FC99C" w14:textId="0D9F937F" w:rsidR="00FC71FB" w:rsidRPr="003A2D1E" w:rsidRDefault="00FC71FB" w:rsidP="00FC71FB">
      <w:pPr>
        <w:pStyle w:val="subsection"/>
      </w:pPr>
      <w:r w:rsidRPr="003A2D1E">
        <w:tab/>
      </w:r>
      <w:r w:rsidRPr="003A2D1E">
        <w:tab/>
        <w:t xml:space="preserve">Under subsection 58DB(1) of the Act, the </w:t>
      </w:r>
      <w:r w:rsidR="00A873AE">
        <w:t xml:space="preserve">AFCA </w:t>
      </w:r>
      <w:r w:rsidR="00497464">
        <w:t>s</w:t>
      </w:r>
      <w:r w:rsidR="00A873AE">
        <w:t xml:space="preserve">cheme, being an </w:t>
      </w:r>
      <w:r w:rsidR="00190480">
        <w:t xml:space="preserve">external dispute resolution </w:t>
      </w:r>
      <w:r w:rsidRPr="003A2D1E">
        <w:t>scheme</w:t>
      </w:r>
      <w:r w:rsidR="00A873AE">
        <w:t>,</w:t>
      </w:r>
      <w:r w:rsidRPr="003A2D1E">
        <w:t xml:space="preserve"> is authorised for the purposes of Part</w:t>
      </w:r>
      <w:r w:rsidR="000A0924">
        <w:t> </w:t>
      </w:r>
      <w:r w:rsidRPr="003A2D1E">
        <w:t>IVF of the Act and for each of the following regulated sectors:</w:t>
      </w:r>
    </w:p>
    <w:p w14:paraId="35260E95" w14:textId="269144AE" w:rsidR="00FC71FB" w:rsidRPr="003A2D1E" w:rsidRDefault="00FC71FB" w:rsidP="00E93D79">
      <w:pPr>
        <w:pStyle w:val="paragraph"/>
      </w:pPr>
      <w:r w:rsidRPr="003A2D1E">
        <w:tab/>
        <w:t>(a)</w:t>
      </w:r>
      <w:r w:rsidRPr="003A2D1E">
        <w:tab/>
        <w:t xml:space="preserve">the </w:t>
      </w:r>
      <w:r w:rsidRPr="00CF7F1A">
        <w:t>banking sector</w:t>
      </w:r>
      <w:r w:rsidRPr="00B75AB8">
        <w:t>;</w:t>
      </w:r>
    </w:p>
    <w:p w14:paraId="100A4AB7" w14:textId="7B299EA9" w:rsidR="00FC71FB" w:rsidRPr="00E22B39" w:rsidRDefault="00FC71FB" w:rsidP="00E93D79">
      <w:pPr>
        <w:pStyle w:val="paragraph"/>
      </w:pPr>
      <w:r w:rsidRPr="00E22B39">
        <w:tab/>
        <w:t>(b)</w:t>
      </w:r>
      <w:r w:rsidRPr="00E22B39">
        <w:tab/>
        <w:t xml:space="preserve">the </w:t>
      </w:r>
      <w:r w:rsidR="00306466" w:rsidRPr="00E22B39">
        <w:t>digital platforms sector</w:t>
      </w:r>
      <w:r w:rsidR="00306466">
        <w:t>;</w:t>
      </w:r>
    </w:p>
    <w:p w14:paraId="75E10720" w14:textId="1B529C22" w:rsidR="00FC71FB" w:rsidRPr="00E22B39" w:rsidRDefault="00FC71FB" w:rsidP="00E93D79">
      <w:pPr>
        <w:pStyle w:val="paragraph"/>
      </w:pPr>
      <w:r w:rsidRPr="00E22B39">
        <w:tab/>
        <w:t>(c)</w:t>
      </w:r>
      <w:r w:rsidRPr="00E22B39">
        <w:tab/>
        <w:t xml:space="preserve">the </w:t>
      </w:r>
      <w:r w:rsidR="00127F1E">
        <w:t>telecommunications</w:t>
      </w:r>
      <w:r w:rsidRPr="00E22B39">
        <w:t xml:space="preserve"> sector.</w:t>
      </w:r>
    </w:p>
    <w:p w14:paraId="4D90F138" w14:textId="252552DF" w:rsidR="00FC71FB" w:rsidRDefault="00FC71FB" w:rsidP="00FC71FB">
      <w:pPr>
        <w:pStyle w:val="notetext"/>
      </w:pPr>
      <w:r>
        <w:t>Note</w:t>
      </w:r>
      <w:r w:rsidR="00190480">
        <w:t xml:space="preserve"> 1</w:t>
      </w:r>
      <w:r>
        <w:t>:</w:t>
      </w:r>
      <w:r>
        <w:tab/>
        <w:t xml:space="preserve">Paragraph 58DB(1)(a) of the Act allows the Minister to authorise an external dispute resolution scheme if </w:t>
      </w:r>
      <w:r w:rsidRPr="000379B3">
        <w:t>the scheme is already authorised under a Commonwealth law for another purpose</w:t>
      </w:r>
      <w:r>
        <w:t xml:space="preserve">. </w:t>
      </w:r>
      <w:r w:rsidRPr="00AD1802">
        <w:t>The AFCA scheme is</w:t>
      </w:r>
      <w:r>
        <w:t xml:space="preserve"> already</w:t>
      </w:r>
      <w:r w:rsidRPr="00AD1802">
        <w:t xml:space="preserve"> authorised for the purposes of the </w:t>
      </w:r>
      <w:r w:rsidRPr="00AD1802">
        <w:rPr>
          <w:i/>
          <w:iCs/>
        </w:rPr>
        <w:t>Corporations Act 2001</w:t>
      </w:r>
      <w:r w:rsidRPr="00AD1802">
        <w:t xml:space="preserve"> (see Part 7.10A </w:t>
      </w:r>
      <w:r>
        <w:t xml:space="preserve">of that Act </w:t>
      </w:r>
      <w:r w:rsidRPr="00AD1802">
        <w:t xml:space="preserve">and the </w:t>
      </w:r>
      <w:r w:rsidRPr="00AD1802">
        <w:rPr>
          <w:i/>
          <w:iCs/>
        </w:rPr>
        <w:t>AFCA Scheme Authorisation 2018</w:t>
      </w:r>
      <w:r w:rsidRPr="00AD1802">
        <w:t>).</w:t>
      </w:r>
    </w:p>
    <w:p w14:paraId="033B7A83" w14:textId="51E0A070" w:rsidR="00FA06CA" w:rsidRDefault="00FC71FB" w:rsidP="002E2358">
      <w:pPr>
        <w:pStyle w:val="notetext"/>
      </w:pPr>
      <w:r>
        <w:t>Note</w:t>
      </w:r>
      <w:r w:rsidR="00190480">
        <w:t xml:space="preserve"> 2</w:t>
      </w:r>
      <w:r>
        <w:t xml:space="preserve">: </w:t>
      </w:r>
      <w:r>
        <w:tab/>
      </w:r>
      <w:r w:rsidR="007C2508">
        <w:t>An</w:t>
      </w:r>
      <w:r>
        <w:t xml:space="preserve"> effect of the authorisation under this section is that </w:t>
      </w:r>
      <w:r w:rsidRPr="000379B3">
        <w:t xml:space="preserve">ASIC’s functions and powers relating to the AFCA scheme will also apply for the purposes of Part </w:t>
      </w:r>
      <w:r>
        <w:t xml:space="preserve">IVF of the Act </w:t>
      </w:r>
      <w:r w:rsidRPr="000379B3">
        <w:t xml:space="preserve">and </w:t>
      </w:r>
      <w:r w:rsidR="00DF0AC8">
        <w:t>each</w:t>
      </w:r>
      <w:r w:rsidR="00DF0AC8" w:rsidRPr="000379B3">
        <w:t xml:space="preserve"> </w:t>
      </w:r>
      <w:r w:rsidRPr="000379B3">
        <w:t>regulated sector</w:t>
      </w:r>
      <w:r w:rsidR="00190480">
        <w:t xml:space="preserve"> (see subsection 58DB(1) of the Act)</w:t>
      </w:r>
      <w:r w:rsidRPr="000379B3">
        <w:t>.</w:t>
      </w:r>
    </w:p>
    <w:p w14:paraId="290959B1" w14:textId="3008FEE2" w:rsidR="00590260" w:rsidRPr="00590260" w:rsidRDefault="00590260" w:rsidP="00590260">
      <w:pPr>
        <w:pStyle w:val="ActHead2"/>
        <w:pageBreakBefore/>
        <w:rPr>
          <w:rFonts w:eastAsiaTheme="minorHAnsi"/>
        </w:rPr>
      </w:pPr>
      <w:bookmarkStart w:id="11" w:name="_Toc213077234"/>
      <w:r w:rsidRPr="00590260">
        <w:rPr>
          <w:rStyle w:val="CharPartNo"/>
        </w:rPr>
        <w:lastRenderedPageBreak/>
        <w:t>Part </w:t>
      </w:r>
      <w:r w:rsidR="002D7693">
        <w:rPr>
          <w:rStyle w:val="CharPartNo"/>
        </w:rPr>
        <w:t>10</w:t>
      </w:r>
      <w:r>
        <w:t>—</w:t>
      </w:r>
      <w:r w:rsidRPr="00590260">
        <w:rPr>
          <w:rStyle w:val="CharPartText"/>
        </w:rPr>
        <w:t xml:space="preserve">Application </w:t>
      </w:r>
      <w:r w:rsidR="007E6AA8">
        <w:rPr>
          <w:rStyle w:val="CharPartText"/>
        </w:rPr>
        <w:t xml:space="preserve">and transitional </w:t>
      </w:r>
      <w:r w:rsidRPr="00590260">
        <w:rPr>
          <w:rStyle w:val="CharPartText"/>
        </w:rPr>
        <w:t>provisions</w:t>
      </w:r>
      <w:bookmarkEnd w:id="11"/>
    </w:p>
    <w:p w14:paraId="7744D533" w14:textId="77777777" w:rsidR="00590260" w:rsidRDefault="00590260" w:rsidP="00590260">
      <w:pPr>
        <w:pStyle w:val="Header"/>
      </w:pPr>
      <w:r>
        <w:t xml:space="preserve">  </w:t>
      </w:r>
    </w:p>
    <w:p w14:paraId="59B6FE25" w14:textId="0A8C8C4C" w:rsidR="00590260" w:rsidRDefault="002D7693" w:rsidP="00590260">
      <w:pPr>
        <w:pStyle w:val="ActHead5"/>
      </w:pPr>
      <w:bookmarkStart w:id="12" w:name="_Toc213077235"/>
      <w:r>
        <w:rPr>
          <w:rStyle w:val="CharSectno"/>
        </w:rPr>
        <w:t>50</w:t>
      </w:r>
      <w:r w:rsidR="00590260">
        <w:t xml:space="preserve">  Application of authorisation</w:t>
      </w:r>
      <w:bookmarkEnd w:id="12"/>
    </w:p>
    <w:p w14:paraId="7F926566" w14:textId="2A0ED4BB" w:rsidR="002D7693" w:rsidRPr="002D7693" w:rsidRDefault="006A5144" w:rsidP="008826BC">
      <w:pPr>
        <w:pStyle w:val="subsection"/>
      </w:pPr>
      <w:r>
        <w:tab/>
      </w:r>
      <w:r>
        <w:tab/>
        <w:t xml:space="preserve">This instrument applies in relation to complaints made to </w:t>
      </w:r>
      <w:r w:rsidR="00497464">
        <w:t xml:space="preserve">the operator of the </w:t>
      </w:r>
      <w:r>
        <w:t>AFCA</w:t>
      </w:r>
      <w:r w:rsidR="00497464">
        <w:t xml:space="preserve"> scheme on or after 1 January 2027</w:t>
      </w:r>
      <w:r w:rsidR="0071763E">
        <w:t xml:space="preserve"> (whether </w:t>
      </w:r>
      <w:r w:rsidR="00603963">
        <w:t xml:space="preserve">the </w:t>
      </w:r>
      <w:r w:rsidR="003761D8">
        <w:t>consumer complaint</w:t>
      </w:r>
      <w:r w:rsidR="00B85850">
        <w:t>,</w:t>
      </w:r>
      <w:r w:rsidR="003761D8">
        <w:t xml:space="preserve"> </w:t>
      </w:r>
      <w:r w:rsidR="00C00A22">
        <w:t xml:space="preserve">or </w:t>
      </w:r>
      <w:r w:rsidR="00B85850">
        <w:t xml:space="preserve">the </w:t>
      </w:r>
      <w:r w:rsidR="00603963">
        <w:t xml:space="preserve">matter </w:t>
      </w:r>
      <w:r w:rsidR="00F26977">
        <w:t>resulting</w:t>
      </w:r>
      <w:r w:rsidR="009F0493">
        <w:t xml:space="preserve"> </w:t>
      </w:r>
      <w:r w:rsidR="00C00A22">
        <w:t>in the complaint</w:t>
      </w:r>
      <w:r w:rsidR="00B85850">
        <w:t>,</w:t>
      </w:r>
      <w:r w:rsidR="00C00A22">
        <w:t xml:space="preserve"> arose </w:t>
      </w:r>
      <w:r w:rsidR="00B85850">
        <w:t>before</w:t>
      </w:r>
      <w:r w:rsidR="00103F92">
        <w:t>, on</w:t>
      </w:r>
      <w:r w:rsidR="00B85850">
        <w:t xml:space="preserve"> or after 1 January 2027)</w:t>
      </w:r>
      <w:r w:rsidR="00497464">
        <w:t>.</w:t>
      </w:r>
    </w:p>
    <w:sectPr w:rsidR="002D7693" w:rsidRPr="002D7693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CCA38" w14:textId="77777777" w:rsidR="00EF5499" w:rsidRDefault="00EF5499" w:rsidP="00FA06CA">
      <w:pPr>
        <w:spacing w:line="240" w:lineRule="auto"/>
      </w:pPr>
      <w:r>
        <w:separator/>
      </w:r>
    </w:p>
  </w:endnote>
  <w:endnote w:type="continuationSeparator" w:id="0">
    <w:p w14:paraId="3C0C0D4D" w14:textId="77777777" w:rsidR="00EF5499" w:rsidRDefault="00EF5499" w:rsidP="00FA06CA">
      <w:pPr>
        <w:spacing w:line="240" w:lineRule="auto"/>
      </w:pPr>
      <w:r>
        <w:continuationSeparator/>
      </w:r>
    </w:p>
  </w:endnote>
  <w:endnote w:type="continuationNotice" w:id="1">
    <w:p w14:paraId="4E4DBA4E" w14:textId="77777777" w:rsidR="00EF5499" w:rsidRDefault="00EF54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313"/>
    </w:tblGrid>
    <w:tr w:rsidR="00FC71FB" w14:paraId="03FA7789" w14:textId="77777777">
      <w:tc>
        <w:tcPr>
          <w:tcW w:w="8472" w:type="dxa"/>
        </w:tcPr>
        <w:p w14:paraId="723C1432" w14:textId="43E36DF2" w:rsidR="00540828" w:rsidRDefault="00540828">
          <w:pPr>
            <w:jc w:val="right"/>
            <w:rPr>
              <w:i/>
              <w:noProof/>
              <w:sz w:val="18"/>
              <w:lang w:eastAsia="en-AU"/>
            </w:rPr>
          </w:pPr>
          <w:r>
            <w:rPr>
              <w:i/>
              <w:noProof/>
              <w:sz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58247" behindDoc="1" locked="0" layoutInCell="1" allowOverlap="1" wp14:anchorId="06FDA78C" wp14:editId="7EA5ED6B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3250" cy="395605"/>
                    <wp:effectExtent l="0" t="0" r="6350" b="4445"/>
                    <wp:wrapNone/>
                    <wp:docPr id="274707200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3250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1E8F9B" w14:textId="1A800E70" w:rsidR="00540828" w:rsidRPr="00540828" w:rsidRDefault="00540828" w:rsidP="00540828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Classification 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A75326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EXPOSURE DRAFT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FDA78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8" type="#_x0000_t202" style="position:absolute;left:0;text-align:left;margin-left:0;margin-top:793.7pt;width:347.5pt;height:31.15pt;z-index:-251658233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k4ROw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yoIOY6x4s4XyhAQ5aGfHW75SWOya+fDMHA4L4sMFCE94SA2YCzqJkj24n3+7&#10;j/7YQ7RSUuPwFdT/ODAnKNFfDXb3bjAex2lNynjycYiKu7Vsby3mUC0BORjgqlmexOgf9FmUDqpX&#10;3JNFzIomZjjmLmg4i8vQrgTuGReLRXLC+bQsrM3G8vNcxFa8NK/M2a5fATv9COcxZfmbtrW+LeuL&#10;QwCpUk+vrHb042ynqej2MC7PrZ68rl+L+S8A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PKZOETsCAAB1BAAADgAAAAAA&#10;AAAAAAAAAAAuAgAAZHJzL2Uyb0RvYy54bWxQSwECLQAUAAYACAAAACEAziZn3N4AAAAKAQAADwAA&#10;AAAAAAAAAAAAAACVBAAAZHJzL2Rvd25yZXYueG1sUEsFBgAAAAAEAAQA8wAAAKAFAAAAAA==&#10;" stroked="f" strokeweight=".5pt">
                    <v:path arrowok="t"/>
                    <v:textbox>
                      <w:txbxContent>
                        <w:p w14:paraId="501E8F9B" w14:textId="1A800E70" w:rsidR="00540828" w:rsidRPr="00540828" w:rsidRDefault="00540828" w:rsidP="0054082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7532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</w:p>
        <w:p w14:paraId="5C88B7A7" w14:textId="139FBDAB" w:rsidR="00FC71FB" w:rsidRDefault="00FC71FB">
          <w:pPr>
            <w:jc w:val="right"/>
            <w:rPr>
              <w:sz w:val="18"/>
            </w:rPr>
          </w:pPr>
        </w:p>
      </w:tc>
    </w:tr>
  </w:tbl>
  <w:p w14:paraId="3AC86B88" w14:textId="77777777" w:rsidR="00FC71FB" w:rsidRPr="007500C8" w:rsidRDefault="00FC71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4C6C" w14:textId="209CF6AA" w:rsidR="00540828" w:rsidRDefault="0054082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40AF9CB1" wp14:editId="61375F5A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8411358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4E8B82" w14:textId="21BDEAC8" w:rsidR="00540828" w:rsidRPr="00540828" w:rsidRDefault="00540828" w:rsidP="0054082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7532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AF9CB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793.7pt;width:347.5pt;height:31.15pt;z-index:-25165823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HE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" stroked="f" strokeweight=".5pt">
              <v:path arrowok="t"/>
              <v:textbox>
                <w:txbxContent>
                  <w:p w14:paraId="254E8B82" w14:textId="21BDEAC8" w:rsidR="00540828" w:rsidRPr="00540828" w:rsidRDefault="00540828" w:rsidP="0054082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75326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A9343" w14:textId="330AD79C" w:rsidR="00FC71FB" w:rsidRPr="00E33C1C" w:rsidRDefault="0054082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41FE4A59" wp14:editId="032C8224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9447656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B68B7D" w14:textId="3F1A961F" w:rsidR="00540828" w:rsidRPr="00540828" w:rsidRDefault="00540828" w:rsidP="0054082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7532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E4A5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0;margin-top:793.7pt;width:347.5pt;height:31.15pt;z-index:-251658231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5Ly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" stroked="f" strokeweight=".5pt">
              <v:path arrowok="t"/>
              <v:textbox>
                <w:txbxContent>
                  <w:p w14:paraId="3CB68B7D" w14:textId="3F1A961F" w:rsidR="00540828" w:rsidRPr="00540828" w:rsidRDefault="00540828" w:rsidP="0054082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75326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C71FB" w14:paraId="36AA9903" w14:textId="777777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0F0590B" w14:textId="77777777" w:rsidR="00FC71FB" w:rsidRDefault="00FC71F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94BD75" w14:textId="0EA74AA6" w:rsidR="00FC71FB" w:rsidRDefault="00FC71FB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A75326">
            <w:rPr>
              <w:i/>
              <w:noProof/>
              <w:sz w:val="18"/>
            </w:rPr>
            <w:t>Competition and Consumer (Scams Prevention Framework—External Dispute Resolution) Authorisation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E487F6F" w14:textId="77777777" w:rsidR="00540828" w:rsidRDefault="00540828">
          <w:pPr>
            <w:spacing w:line="0" w:lineRule="atLeast"/>
            <w:jc w:val="right"/>
            <w:rPr>
              <w:sz w:val="18"/>
            </w:rPr>
          </w:pPr>
        </w:p>
        <w:p w14:paraId="48350FC3" w14:textId="72638093" w:rsidR="00FC71FB" w:rsidRDefault="00FC71FB">
          <w:pPr>
            <w:spacing w:line="0" w:lineRule="atLeast"/>
            <w:jc w:val="right"/>
            <w:rPr>
              <w:sz w:val="18"/>
            </w:rPr>
          </w:pPr>
        </w:p>
      </w:tc>
    </w:tr>
    <w:tr w:rsidR="00FC71FB" w14:paraId="6C31B048" w14:textId="77777777">
      <w:tc>
        <w:tcPr>
          <w:tcW w:w="8472" w:type="dxa"/>
          <w:gridSpan w:val="3"/>
        </w:tcPr>
        <w:p w14:paraId="5BB54254" w14:textId="77777777" w:rsidR="00540828" w:rsidRDefault="00540828">
          <w:pPr>
            <w:jc w:val="right"/>
            <w:rPr>
              <w:i/>
              <w:sz w:val="18"/>
            </w:rPr>
          </w:pPr>
        </w:p>
        <w:p w14:paraId="49BCD484" w14:textId="743621A2" w:rsidR="00FC71FB" w:rsidRDefault="00FC71FB">
          <w:pPr>
            <w:jc w:val="right"/>
            <w:rPr>
              <w:sz w:val="18"/>
            </w:rPr>
          </w:pPr>
        </w:p>
      </w:tc>
    </w:tr>
  </w:tbl>
  <w:p w14:paraId="49449C50" w14:textId="77777777" w:rsidR="00FC71FB" w:rsidRPr="00ED79B6" w:rsidRDefault="00FC71FB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EACB2" w14:textId="2A0F3235" w:rsidR="00FC71FB" w:rsidRPr="00E33C1C" w:rsidRDefault="0054082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0" w:name="_Hlk26286441"/>
    <w:bookmarkStart w:id="1" w:name="_Hlk26286442"/>
    <w:bookmarkStart w:id="2" w:name="_Hlk26286445"/>
    <w:bookmarkStart w:id="3" w:name="_Hlk26286446"/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2405D387" wp14:editId="287EC89F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79919927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C3FD3B" w14:textId="38774693" w:rsidR="00540828" w:rsidRPr="00540828" w:rsidRDefault="00540828" w:rsidP="0054082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7532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05D38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margin-left:0;margin-top:793.7pt;width:347.5pt;height:31.15pt;z-index:-2516582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PdHdJzsCAAB1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09C3FD3B" w14:textId="38774693" w:rsidR="00540828" w:rsidRPr="00540828" w:rsidRDefault="00540828" w:rsidP="0054082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75326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C71FB" w14:paraId="120B831C" w14:textId="7777777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1F3F1DF" w14:textId="77777777" w:rsidR="00FC71FB" w:rsidRDefault="00FC71FB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5692BD3F" w14:textId="165C35EB" w:rsidR="00FC71FB" w:rsidRDefault="00FC71FB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DB4CB3">
            <w:rPr>
              <w:i/>
              <w:noProof/>
              <w:sz w:val="18"/>
            </w:rPr>
            <w:t>Competition and Consumer (Scams Prevention Framework—External Dispute Resolution) Authorisation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72ED6E" w14:textId="77777777" w:rsidR="00FC71FB" w:rsidRDefault="00FC71F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0"/>
    <w:bookmarkEnd w:id="1"/>
    <w:bookmarkEnd w:id="2"/>
    <w:bookmarkEnd w:id="3"/>
  </w:tbl>
  <w:p w14:paraId="5EB17D18" w14:textId="77777777" w:rsidR="00FC71FB" w:rsidRPr="00ED79B6" w:rsidRDefault="00FC71FB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6E86F" w14:textId="77777777" w:rsidR="00FC71FB" w:rsidRPr="00540828" w:rsidRDefault="00FC71FB" w:rsidP="0054082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ED4E" w14:textId="2E84A154" w:rsidR="000A2860" w:rsidRPr="00E33C1C" w:rsidRDefault="0054082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312DEFAE" wp14:editId="5FE90FE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61599618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558B86" w14:textId="3A13B734" w:rsidR="00540828" w:rsidRPr="00540828" w:rsidRDefault="00540828" w:rsidP="0054082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7532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2DEFA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style="position:absolute;margin-left:0;margin-top:793.7pt;width:347.5pt;height:31.15pt;z-index:251658251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VIOwIAAHY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mQizUa82kJ5QoYctMPjLV8prHbNfHhmDqcFAeIGhCc8pAZMBp1EyR7cz7/d&#10;R39sIlopqXH6Cup/HJgTlOivBtt7NxiP47gmZTz5OETF3Vq2txZzqJaAJAxw1yxPYvQP+ixKB9Ur&#10;LsoiZkUTMxxzFzScxWVodwIXjYvFIjnhgFoW1mZj+XkwYi9emlfmbNewgK1+hPOcsvxN31rflvbF&#10;IYBUqalXVjv+cbjTWHSLGLfnVk9e18/F/BcA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RHDlSDsCAAB2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13558B86" w14:textId="3A13B734" w:rsidR="00540828" w:rsidRPr="00540828" w:rsidRDefault="00540828" w:rsidP="0054082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75326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F02FA" w14:paraId="62513226" w14:textId="77777777" w:rsidTr="00FC71F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217F36" w14:textId="77777777" w:rsidR="000A2860" w:rsidRDefault="0063607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1A0519" w14:textId="61429DB4" w:rsidR="000A2860" w:rsidRDefault="0063607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DB4CB3">
            <w:rPr>
              <w:i/>
              <w:noProof/>
              <w:sz w:val="18"/>
            </w:rPr>
            <w:t>Competition and Consumer (Scams Prevention Framework—External Dispute Resolution) Authorisation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679C14D" w14:textId="77777777" w:rsidR="00540828" w:rsidRDefault="00540828">
          <w:pPr>
            <w:spacing w:line="0" w:lineRule="atLeast"/>
            <w:jc w:val="right"/>
            <w:rPr>
              <w:sz w:val="18"/>
            </w:rPr>
          </w:pPr>
        </w:p>
        <w:p w14:paraId="4E4258B0" w14:textId="1A4364AB" w:rsidR="000A2860" w:rsidRDefault="000A2860">
          <w:pPr>
            <w:spacing w:line="0" w:lineRule="atLeast"/>
            <w:jc w:val="right"/>
            <w:rPr>
              <w:sz w:val="18"/>
            </w:rPr>
          </w:pPr>
        </w:p>
      </w:tc>
    </w:tr>
  </w:tbl>
  <w:p w14:paraId="1C293D81" w14:textId="77777777" w:rsidR="000A2860" w:rsidRPr="00ED79B6" w:rsidRDefault="000A2860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7CC4" w14:textId="287AE691" w:rsidR="000A2860" w:rsidRPr="00E33C1C" w:rsidRDefault="0054082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7" w:name="_Hlk26286453"/>
    <w:bookmarkStart w:id="18" w:name="_Hlk26286454"/>
    <w:bookmarkStart w:id="19" w:name="_Hlk26286457"/>
    <w:bookmarkStart w:id="20" w:name="_Hlk26286458"/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0DEC0226" wp14:editId="73C813D7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3167129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7EA271" w14:textId="373D1765" w:rsidR="00540828" w:rsidRPr="00540828" w:rsidRDefault="00540828" w:rsidP="0054082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7532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EC022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7" type="#_x0000_t202" style="position:absolute;margin-left:0;margin-top:793.7pt;width:347.5pt;height:31.15pt;z-index:25165825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" stroked="f" strokeweight=".5pt">
              <v:path arrowok="t"/>
              <v:textbox>
                <w:txbxContent>
                  <w:p w14:paraId="787EA271" w14:textId="373D1765" w:rsidR="00540828" w:rsidRPr="00540828" w:rsidRDefault="00540828" w:rsidP="0054082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75326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3F02FA" w14:paraId="63B6196C" w14:textId="77777777" w:rsidTr="00FC71FB">
      <w:tc>
        <w:tcPr>
          <w:tcW w:w="1357" w:type="dxa"/>
          <w:tcBorders>
            <w:top w:val="nil"/>
            <w:left w:val="nil"/>
            <w:bottom w:val="nil"/>
            <w:right w:val="nil"/>
          </w:tcBorders>
        </w:tcPr>
        <w:p w14:paraId="15FD5587" w14:textId="77777777" w:rsidR="000A2860" w:rsidRDefault="000A2860">
          <w:pPr>
            <w:spacing w:line="0" w:lineRule="atLeast"/>
            <w:rPr>
              <w:sz w:val="18"/>
            </w:rPr>
          </w:pPr>
        </w:p>
      </w:tc>
      <w:tc>
        <w:tcPr>
          <w:tcW w:w="6257" w:type="dxa"/>
          <w:tcBorders>
            <w:top w:val="nil"/>
            <w:left w:val="nil"/>
            <w:bottom w:val="nil"/>
            <w:right w:val="nil"/>
          </w:tcBorders>
        </w:tcPr>
        <w:p w14:paraId="32C6EC38" w14:textId="752D27F3" w:rsidR="000A2860" w:rsidRDefault="0063607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DB4CB3">
            <w:rPr>
              <w:i/>
              <w:noProof/>
              <w:sz w:val="18"/>
            </w:rPr>
            <w:t>Competition and Consumer (Scams Prevention Framework—External Dispute Resolution) Authorisation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</w:tcPr>
        <w:p w14:paraId="1460E176" w14:textId="77777777" w:rsidR="000A2860" w:rsidRDefault="0063607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7"/>
    <w:bookmarkEnd w:id="18"/>
    <w:bookmarkEnd w:id="19"/>
    <w:bookmarkEnd w:id="20"/>
  </w:tbl>
  <w:p w14:paraId="0233D84E" w14:textId="77777777" w:rsidR="000A2860" w:rsidRPr="00ED79B6" w:rsidRDefault="000A2860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902FF" w14:textId="77777777" w:rsidR="000A2860" w:rsidRPr="00E33C1C" w:rsidRDefault="000A2860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23" w:name="_Hlk26286455"/>
    <w:bookmarkStart w:id="24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5"/>
      <w:gridCol w:w="6259"/>
      <w:gridCol w:w="699"/>
    </w:tblGrid>
    <w:tr w:rsidR="003F02FA" w14:paraId="109DC749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64CD2D" w14:textId="77777777" w:rsidR="000A2860" w:rsidRDefault="000A286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71FF756" w14:textId="0AD83379" w:rsidR="000A2860" w:rsidRDefault="0063607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75326">
            <w:rPr>
              <w:i/>
              <w:sz w:val="18"/>
            </w:rPr>
            <w:t>Competition and Consumer (Scams Prevention Framework—External Dispute Resolution) Authorisation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0607CBB" w14:textId="77777777" w:rsidR="000A2860" w:rsidRDefault="0063607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F02FA" w14:paraId="77AA76F2" w14:textId="77777777">
      <w:tc>
        <w:tcPr>
          <w:tcW w:w="8472" w:type="dxa"/>
          <w:gridSpan w:val="3"/>
        </w:tcPr>
        <w:p w14:paraId="559BC275" w14:textId="77777777" w:rsidR="00540828" w:rsidRDefault="00540828">
          <w:pPr>
            <w:rPr>
              <w:i/>
              <w:sz w:val="18"/>
            </w:rPr>
          </w:pPr>
        </w:p>
        <w:p w14:paraId="0FF2FB97" w14:textId="3C6A506A" w:rsidR="000A2860" w:rsidRDefault="000A2860">
          <w:pPr>
            <w:rPr>
              <w:sz w:val="18"/>
            </w:rPr>
          </w:pPr>
        </w:p>
      </w:tc>
    </w:tr>
    <w:bookmarkEnd w:id="23"/>
    <w:bookmarkEnd w:id="24"/>
  </w:tbl>
  <w:p w14:paraId="61A222EC" w14:textId="77777777" w:rsidR="000A2860" w:rsidRPr="00ED79B6" w:rsidRDefault="000A2860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98B46" w14:textId="77777777" w:rsidR="00EF5499" w:rsidRDefault="00EF5499" w:rsidP="00FA06CA">
      <w:pPr>
        <w:spacing w:line="240" w:lineRule="auto"/>
      </w:pPr>
      <w:r>
        <w:separator/>
      </w:r>
    </w:p>
  </w:footnote>
  <w:footnote w:type="continuationSeparator" w:id="0">
    <w:p w14:paraId="09609800" w14:textId="77777777" w:rsidR="00EF5499" w:rsidRDefault="00EF5499" w:rsidP="00FA06CA">
      <w:pPr>
        <w:spacing w:line="240" w:lineRule="auto"/>
      </w:pPr>
      <w:r>
        <w:continuationSeparator/>
      </w:r>
    </w:p>
  </w:footnote>
  <w:footnote w:type="continuationNotice" w:id="1">
    <w:p w14:paraId="64E20A10" w14:textId="77777777" w:rsidR="00EF5499" w:rsidRDefault="00EF549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4EED" w14:textId="70FD173A" w:rsidR="00FC71FB" w:rsidRPr="005F1388" w:rsidRDefault="00540828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871047B" wp14:editId="1E4E4D7D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4972172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063459" w14:textId="3A821C2C" w:rsidR="00540828" w:rsidRPr="00540828" w:rsidRDefault="00540828" w:rsidP="0054082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7532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7104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1.3pt;width:347.5pt;height:31.1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" stroked="f" strokeweight=".5pt">
              <v:path arrowok="t"/>
              <v:textbox>
                <w:txbxContent>
                  <w:p w14:paraId="38063459" w14:textId="3A821C2C" w:rsidR="00540828" w:rsidRPr="00540828" w:rsidRDefault="00540828" w:rsidP="0054082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75326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4FD62" w14:textId="02BFE314" w:rsidR="00FC71FB" w:rsidRPr="005F1388" w:rsidRDefault="00540828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6773642" wp14:editId="5D7295D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3158925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9E27E6" w14:textId="4C84917B" w:rsidR="00540828" w:rsidRPr="00540828" w:rsidRDefault="00540828" w:rsidP="0054082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7532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736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11.3pt;width:347.5pt;height:31.1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D8du+1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369E27E6" w14:textId="4C84917B" w:rsidR="00540828" w:rsidRPr="00540828" w:rsidRDefault="00540828" w:rsidP="0054082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75326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A51B5" w14:textId="77777777" w:rsidR="00FC71FB" w:rsidRPr="005F1388" w:rsidRDefault="00FC71FB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153D" w14:textId="65D256DE" w:rsidR="00FC71FB" w:rsidRPr="00ED79B6" w:rsidRDefault="00540828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515B6567" wp14:editId="05FBA4C1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5210614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94CF8C" w14:textId="3BC8C1AA" w:rsidR="00540828" w:rsidRPr="00540828" w:rsidRDefault="00540828" w:rsidP="0054082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7532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5B656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11.3pt;width:347.5pt;height:31.1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XyD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qw9xoo3WyhPSJCDdna85SuFxa6ZD8/M4bAgPlyA8ISH1IC5oJMo2YP7+bf7&#10;6I89RCslNQ5fQf2PA3OCEv3VYHfvBuNxnNakjCcfh6i4W8v21mIO1RKQgwGumuVJjP5Bn0XpoHrF&#10;PVnErGhihmPugoazuAztSuCecbFYJCecT8vC2mwsP89FbMVL88qc7foVsNOPcB5Tlr9pW+vbsr44&#10;BJAq9fTKakc/znaaim4P4/Lc6snr+rWY/wI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D9AXyD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2B94CF8C" w14:textId="3BC8C1AA" w:rsidR="00540828" w:rsidRPr="00540828" w:rsidRDefault="00540828" w:rsidP="0054082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75326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229D3" w14:textId="0EE45704" w:rsidR="00FC71FB" w:rsidRPr="00ED79B6" w:rsidRDefault="00540828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8EAF0C5" wp14:editId="0314789A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12799604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717799" w14:textId="337090C7" w:rsidR="00540828" w:rsidRPr="00540828" w:rsidRDefault="00540828" w:rsidP="0054082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7532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EAF0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0;margin-top:11.3pt;width:347.5pt;height:31.1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NW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yoKmSuPNFsoTEuSgnR1v+UphsWvmwzNzOCyIDxcgPOEhNWAu6CRK9uB+/u0+&#10;+mMP0UpJjcNXUP/jwJygRH812N27wXgcpzUp48nHISru1rK9tZhDtQTkYICrZnkSo3/QZ1E6qF5x&#10;TxYxK5qY4Zi7oOEsLkO7ErhnXCwWyQnn07KwNhvLz3MRW/HSvDJnu34F7PQjnMeU5W/a1vq2rC8O&#10;AaRKPb2y2tGPs52motvDuDy3evK6fi3mvwA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CCszNW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63717799" w14:textId="337090C7" w:rsidR="00540828" w:rsidRPr="00540828" w:rsidRDefault="00540828" w:rsidP="0054082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75326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6748F" w14:textId="77777777" w:rsidR="00FC71FB" w:rsidRPr="00ED79B6" w:rsidRDefault="00FC71FB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B14A" w14:textId="05E1A853" w:rsidR="000A2860" w:rsidRDefault="00540828">
    <w:pPr>
      <w:rPr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A0BA0C1" wp14:editId="36EBBBB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6981348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F69899" w14:textId="573B0294" w:rsidR="00540828" w:rsidRPr="00540828" w:rsidRDefault="00540828" w:rsidP="0054082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7532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0BA0C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0;margin-top:11.3pt;width:347.5pt;height:31.15pt;z-index:-251658235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" stroked="f" strokeweight=".5pt">
              <v:path arrowok="t"/>
              <v:textbox>
                <w:txbxContent>
                  <w:p w14:paraId="69F69899" w14:textId="573B0294" w:rsidR="00540828" w:rsidRPr="00540828" w:rsidRDefault="00540828" w:rsidP="0054082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75326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636078" w:rsidRPr="007A1328">
      <w:rPr>
        <w:b/>
        <w:sz w:val="20"/>
      </w:rPr>
      <w:fldChar w:fldCharType="begin"/>
    </w:r>
    <w:r w:rsidR="00636078" w:rsidRPr="007A1328">
      <w:rPr>
        <w:b/>
        <w:sz w:val="20"/>
      </w:rPr>
      <w:instrText xml:space="preserve"> STYLEREF CharChapNo </w:instrText>
    </w:r>
    <w:r w:rsidR="00636078" w:rsidRPr="007A1328">
      <w:rPr>
        <w:b/>
        <w:sz w:val="20"/>
      </w:rPr>
      <w:fldChar w:fldCharType="end"/>
    </w:r>
    <w:r w:rsidR="00636078" w:rsidRPr="007A1328">
      <w:rPr>
        <w:b/>
        <w:sz w:val="20"/>
      </w:rPr>
      <w:t xml:space="preserve"> </w:t>
    </w:r>
    <w:r w:rsidR="00636078">
      <w:rPr>
        <w:sz w:val="20"/>
      </w:rPr>
      <w:t xml:space="preserve"> </w:t>
    </w:r>
    <w:r w:rsidR="00636078">
      <w:rPr>
        <w:sz w:val="20"/>
      </w:rPr>
      <w:fldChar w:fldCharType="begin"/>
    </w:r>
    <w:r w:rsidR="00636078">
      <w:rPr>
        <w:sz w:val="20"/>
      </w:rPr>
      <w:instrText xml:space="preserve"> STYLEREF CharChapText </w:instrText>
    </w:r>
    <w:r w:rsidR="00636078">
      <w:rPr>
        <w:sz w:val="20"/>
      </w:rPr>
      <w:fldChar w:fldCharType="end"/>
    </w:r>
  </w:p>
  <w:p w14:paraId="3BCA49F0" w14:textId="36FF706B" w:rsidR="000A2860" w:rsidRDefault="00636078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DB4CB3">
      <w:rPr>
        <w:b/>
        <w:noProof/>
        <w:sz w:val="20"/>
      </w:rPr>
      <w:t>Part 10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DB4CB3">
      <w:rPr>
        <w:noProof/>
        <w:sz w:val="20"/>
      </w:rPr>
      <w:t>Application and transitional provisions</w:t>
    </w:r>
    <w:r>
      <w:rPr>
        <w:sz w:val="20"/>
      </w:rPr>
      <w:fldChar w:fldCharType="end"/>
    </w:r>
  </w:p>
  <w:p w14:paraId="5A833ECC" w14:textId="15EE4E2C" w:rsidR="000A2860" w:rsidRPr="007A1328" w:rsidRDefault="00636078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780D044D" w14:textId="77777777" w:rsidR="000A2860" w:rsidRPr="007A1328" w:rsidRDefault="000A2860">
    <w:pPr>
      <w:rPr>
        <w:b/>
        <w:sz w:val="24"/>
      </w:rPr>
    </w:pPr>
  </w:p>
  <w:p w14:paraId="266B0944" w14:textId="27AC20C6" w:rsidR="000A2860" w:rsidRPr="007A1328" w:rsidRDefault="0063607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A75326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B4CB3">
      <w:rPr>
        <w:noProof/>
        <w:sz w:val="24"/>
      </w:rPr>
      <w:t>50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86EE5" w14:textId="15044CF2" w:rsidR="000A2860" w:rsidRPr="007A1328" w:rsidRDefault="00540828">
    <w:pPr>
      <w:jc w:val="right"/>
      <w:rPr>
        <w:sz w:val="20"/>
      </w:rPr>
    </w:pPr>
    <w:bookmarkStart w:id="13" w:name="_Hlk26286447"/>
    <w:bookmarkStart w:id="14" w:name="_Hlk26286448"/>
    <w:bookmarkStart w:id="15" w:name="_Hlk26286451"/>
    <w:bookmarkStart w:id="16" w:name="_Hlk26286452"/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401820A6" wp14:editId="6B5198A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11916434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0C3B47" w14:textId="37615F7B" w:rsidR="00540828" w:rsidRPr="00540828" w:rsidRDefault="00540828" w:rsidP="0054082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7532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1820A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5" type="#_x0000_t202" style="position:absolute;left:0;text-align:left;margin-left:0;margin-top:11.3pt;width:347.5pt;height:31.15pt;z-index:-2516582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" stroked="f" strokeweight=".5pt">
              <v:path arrowok="t"/>
              <v:textbox>
                <w:txbxContent>
                  <w:p w14:paraId="740C3B47" w14:textId="37615F7B" w:rsidR="00540828" w:rsidRPr="00540828" w:rsidRDefault="00540828" w:rsidP="0054082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75326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636078" w:rsidRPr="007A1328">
      <w:rPr>
        <w:sz w:val="20"/>
      </w:rPr>
      <w:fldChar w:fldCharType="begin"/>
    </w:r>
    <w:r w:rsidR="00636078" w:rsidRPr="007A1328">
      <w:rPr>
        <w:sz w:val="20"/>
      </w:rPr>
      <w:instrText xml:space="preserve"> STYLEREF CharChapText </w:instrText>
    </w:r>
    <w:r w:rsidR="00636078" w:rsidRPr="007A1328">
      <w:rPr>
        <w:sz w:val="20"/>
      </w:rPr>
      <w:fldChar w:fldCharType="end"/>
    </w:r>
    <w:r w:rsidR="00636078" w:rsidRPr="007A1328">
      <w:rPr>
        <w:sz w:val="20"/>
      </w:rPr>
      <w:t xml:space="preserve"> </w:t>
    </w:r>
    <w:r w:rsidR="00636078" w:rsidRPr="007A1328">
      <w:rPr>
        <w:b/>
        <w:sz w:val="20"/>
      </w:rPr>
      <w:t xml:space="preserve"> </w:t>
    </w:r>
    <w:r w:rsidR="00636078">
      <w:rPr>
        <w:b/>
        <w:sz w:val="20"/>
      </w:rPr>
      <w:fldChar w:fldCharType="begin"/>
    </w:r>
    <w:r w:rsidR="00636078">
      <w:rPr>
        <w:b/>
        <w:sz w:val="20"/>
      </w:rPr>
      <w:instrText xml:space="preserve"> STYLEREF CharChapNo </w:instrText>
    </w:r>
    <w:r w:rsidR="00636078">
      <w:rPr>
        <w:b/>
        <w:sz w:val="20"/>
      </w:rPr>
      <w:fldChar w:fldCharType="end"/>
    </w:r>
  </w:p>
  <w:p w14:paraId="1E532288" w14:textId="253AD5A5" w:rsidR="000A2860" w:rsidRPr="007A1328" w:rsidRDefault="0063607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F77E83">
      <w:rPr>
        <w:sz w:val="20"/>
      </w:rPr>
      <w:fldChar w:fldCharType="separate"/>
    </w:r>
    <w:r w:rsidR="00DB4CB3">
      <w:rPr>
        <w:noProof/>
        <w:sz w:val="20"/>
      </w:rPr>
      <w:t>Authorised external dispute resolution schemes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F77E83">
      <w:rPr>
        <w:b/>
        <w:sz w:val="20"/>
      </w:rPr>
      <w:fldChar w:fldCharType="separate"/>
    </w:r>
    <w:r w:rsidR="00DB4CB3">
      <w:rPr>
        <w:b/>
        <w:noProof/>
        <w:sz w:val="20"/>
      </w:rPr>
      <w:t>Part 2</w:t>
    </w:r>
    <w:r>
      <w:rPr>
        <w:b/>
        <w:sz w:val="20"/>
      </w:rPr>
      <w:fldChar w:fldCharType="end"/>
    </w:r>
  </w:p>
  <w:p w14:paraId="76607EFD" w14:textId="0934CC4D" w:rsidR="000A2860" w:rsidRPr="007A1328" w:rsidRDefault="0063607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6EF4A9F7" w14:textId="77777777" w:rsidR="000A2860" w:rsidRPr="007A1328" w:rsidRDefault="000A2860">
    <w:pPr>
      <w:jc w:val="right"/>
      <w:rPr>
        <w:b/>
        <w:sz w:val="24"/>
      </w:rPr>
    </w:pPr>
  </w:p>
  <w:p w14:paraId="3B2964E3" w14:textId="77186AC8" w:rsidR="000A2860" w:rsidRPr="007A1328" w:rsidRDefault="00636078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A75326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B4CB3">
      <w:rPr>
        <w:noProof/>
        <w:sz w:val="24"/>
      </w:rPr>
      <w:t>5</w:t>
    </w:r>
    <w:r w:rsidRPr="007A1328">
      <w:rPr>
        <w:sz w:val="24"/>
      </w:rPr>
      <w:fldChar w:fldCharType="end"/>
    </w:r>
    <w:bookmarkEnd w:id="13"/>
    <w:bookmarkEnd w:id="14"/>
    <w:bookmarkEnd w:id="15"/>
    <w:bookmarkEnd w:id="16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CF3DE" w14:textId="77777777" w:rsidR="000A2860" w:rsidRPr="007A1328" w:rsidRDefault="000A2860">
    <w:bookmarkStart w:id="21" w:name="_Hlk26286449"/>
    <w:bookmarkStart w:id="22" w:name="_Hlk26286450"/>
    <w:bookmarkEnd w:id="21"/>
    <w:bookmarkEnd w:id="2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908223929">
    <w:abstractNumId w:val="9"/>
  </w:num>
  <w:num w:numId="2" w16cid:durableId="1915046980">
    <w:abstractNumId w:val="7"/>
  </w:num>
  <w:num w:numId="3" w16cid:durableId="1115639452">
    <w:abstractNumId w:val="6"/>
  </w:num>
  <w:num w:numId="4" w16cid:durableId="1883708289">
    <w:abstractNumId w:val="5"/>
  </w:num>
  <w:num w:numId="5" w16cid:durableId="763041200">
    <w:abstractNumId w:val="4"/>
  </w:num>
  <w:num w:numId="6" w16cid:durableId="643660334">
    <w:abstractNumId w:val="8"/>
  </w:num>
  <w:num w:numId="7" w16cid:durableId="1349986469">
    <w:abstractNumId w:val="3"/>
  </w:num>
  <w:num w:numId="8" w16cid:durableId="663702135">
    <w:abstractNumId w:val="2"/>
  </w:num>
  <w:num w:numId="9" w16cid:durableId="434980995">
    <w:abstractNumId w:val="1"/>
  </w:num>
  <w:num w:numId="10" w16cid:durableId="2087458800">
    <w:abstractNumId w:val="0"/>
  </w:num>
  <w:num w:numId="11" w16cid:durableId="1090395299">
    <w:abstractNumId w:val="11"/>
  </w:num>
  <w:num w:numId="12" w16cid:durableId="14578729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trackRevisions/>
  <w:documentProtection w:edit="trackedChanges" w:enforcement="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FB"/>
    <w:rsid w:val="000215D2"/>
    <w:rsid w:val="00031159"/>
    <w:rsid w:val="00041243"/>
    <w:rsid w:val="00042CFF"/>
    <w:rsid w:val="000439B3"/>
    <w:rsid w:val="00044695"/>
    <w:rsid w:val="000527D4"/>
    <w:rsid w:val="0005441A"/>
    <w:rsid w:val="0005504A"/>
    <w:rsid w:val="00055228"/>
    <w:rsid w:val="00057CF5"/>
    <w:rsid w:val="00066B80"/>
    <w:rsid w:val="00070C9B"/>
    <w:rsid w:val="00071029"/>
    <w:rsid w:val="00073B90"/>
    <w:rsid w:val="00074328"/>
    <w:rsid w:val="00074759"/>
    <w:rsid w:val="00077301"/>
    <w:rsid w:val="00077914"/>
    <w:rsid w:val="00081790"/>
    <w:rsid w:val="00082162"/>
    <w:rsid w:val="000824A8"/>
    <w:rsid w:val="0009209A"/>
    <w:rsid w:val="00093A28"/>
    <w:rsid w:val="00097E8B"/>
    <w:rsid w:val="000A0924"/>
    <w:rsid w:val="000A2860"/>
    <w:rsid w:val="000A711D"/>
    <w:rsid w:val="000B090F"/>
    <w:rsid w:val="000B38BB"/>
    <w:rsid w:val="000B5D88"/>
    <w:rsid w:val="000B7A08"/>
    <w:rsid w:val="000C3455"/>
    <w:rsid w:val="000C37B1"/>
    <w:rsid w:val="000D5B16"/>
    <w:rsid w:val="000D636B"/>
    <w:rsid w:val="000E7E74"/>
    <w:rsid w:val="000F2E2B"/>
    <w:rsid w:val="000F3749"/>
    <w:rsid w:val="00102AC5"/>
    <w:rsid w:val="001030F8"/>
    <w:rsid w:val="00103F92"/>
    <w:rsid w:val="00106D8D"/>
    <w:rsid w:val="00107803"/>
    <w:rsid w:val="0011329A"/>
    <w:rsid w:val="00114460"/>
    <w:rsid w:val="0011656D"/>
    <w:rsid w:val="00127F1E"/>
    <w:rsid w:val="0013686B"/>
    <w:rsid w:val="00155111"/>
    <w:rsid w:val="0015775F"/>
    <w:rsid w:val="00162F16"/>
    <w:rsid w:val="00166BC9"/>
    <w:rsid w:val="0017184B"/>
    <w:rsid w:val="0017309F"/>
    <w:rsid w:val="00177EC4"/>
    <w:rsid w:val="0018178E"/>
    <w:rsid w:val="001834F0"/>
    <w:rsid w:val="00190480"/>
    <w:rsid w:val="00190DB7"/>
    <w:rsid w:val="00191463"/>
    <w:rsid w:val="00191C52"/>
    <w:rsid w:val="001920AF"/>
    <w:rsid w:val="00193760"/>
    <w:rsid w:val="001A134A"/>
    <w:rsid w:val="001A41DD"/>
    <w:rsid w:val="001A4C9E"/>
    <w:rsid w:val="001B1722"/>
    <w:rsid w:val="001B22EE"/>
    <w:rsid w:val="001C6F9E"/>
    <w:rsid w:val="001F29FA"/>
    <w:rsid w:val="001F4944"/>
    <w:rsid w:val="001F5F03"/>
    <w:rsid w:val="0020631E"/>
    <w:rsid w:val="002064A3"/>
    <w:rsid w:val="00211689"/>
    <w:rsid w:val="00221F7C"/>
    <w:rsid w:val="002265A9"/>
    <w:rsid w:val="0022663E"/>
    <w:rsid w:val="00226728"/>
    <w:rsid w:val="00226AC8"/>
    <w:rsid w:val="00230747"/>
    <w:rsid w:val="002344E4"/>
    <w:rsid w:val="00237FD7"/>
    <w:rsid w:val="00247328"/>
    <w:rsid w:val="00253529"/>
    <w:rsid w:val="00257EC7"/>
    <w:rsid w:val="00265481"/>
    <w:rsid w:val="002743A1"/>
    <w:rsid w:val="00276438"/>
    <w:rsid w:val="00280805"/>
    <w:rsid w:val="002820D7"/>
    <w:rsid w:val="00282D58"/>
    <w:rsid w:val="002920FA"/>
    <w:rsid w:val="00297168"/>
    <w:rsid w:val="002A5AB7"/>
    <w:rsid w:val="002A70C4"/>
    <w:rsid w:val="002A790E"/>
    <w:rsid w:val="002B12EC"/>
    <w:rsid w:val="002B780C"/>
    <w:rsid w:val="002C06AD"/>
    <w:rsid w:val="002C344D"/>
    <w:rsid w:val="002D6F32"/>
    <w:rsid w:val="002D7693"/>
    <w:rsid w:val="002E0FE5"/>
    <w:rsid w:val="002E2358"/>
    <w:rsid w:val="002E7227"/>
    <w:rsid w:val="002F455F"/>
    <w:rsid w:val="0030581D"/>
    <w:rsid w:val="00306466"/>
    <w:rsid w:val="0034129A"/>
    <w:rsid w:val="00341D74"/>
    <w:rsid w:val="0034220B"/>
    <w:rsid w:val="00342725"/>
    <w:rsid w:val="00346398"/>
    <w:rsid w:val="003467FB"/>
    <w:rsid w:val="00356D57"/>
    <w:rsid w:val="00361330"/>
    <w:rsid w:val="00362DDD"/>
    <w:rsid w:val="003667C4"/>
    <w:rsid w:val="003670BE"/>
    <w:rsid w:val="003705FF"/>
    <w:rsid w:val="003761D8"/>
    <w:rsid w:val="00377423"/>
    <w:rsid w:val="00384E8E"/>
    <w:rsid w:val="0038563B"/>
    <w:rsid w:val="00385F1B"/>
    <w:rsid w:val="0038747A"/>
    <w:rsid w:val="00394DEF"/>
    <w:rsid w:val="003954BE"/>
    <w:rsid w:val="003A5EA8"/>
    <w:rsid w:val="003B3BA9"/>
    <w:rsid w:val="003C227E"/>
    <w:rsid w:val="003C2E38"/>
    <w:rsid w:val="003C4DB3"/>
    <w:rsid w:val="003C6A57"/>
    <w:rsid w:val="003D442D"/>
    <w:rsid w:val="003F02FA"/>
    <w:rsid w:val="003F12D9"/>
    <w:rsid w:val="003F1324"/>
    <w:rsid w:val="003F2135"/>
    <w:rsid w:val="003F5887"/>
    <w:rsid w:val="00402D7D"/>
    <w:rsid w:val="00413059"/>
    <w:rsid w:val="00424592"/>
    <w:rsid w:val="004301E8"/>
    <w:rsid w:val="00443305"/>
    <w:rsid w:val="00443326"/>
    <w:rsid w:val="00443757"/>
    <w:rsid w:val="00447BA1"/>
    <w:rsid w:val="00447DA7"/>
    <w:rsid w:val="00452B53"/>
    <w:rsid w:val="00454EB8"/>
    <w:rsid w:val="004572F2"/>
    <w:rsid w:val="004627BB"/>
    <w:rsid w:val="004646C5"/>
    <w:rsid w:val="004719E3"/>
    <w:rsid w:val="004806AE"/>
    <w:rsid w:val="0048094C"/>
    <w:rsid w:val="00493DCC"/>
    <w:rsid w:val="004943C6"/>
    <w:rsid w:val="00494B7E"/>
    <w:rsid w:val="004951DB"/>
    <w:rsid w:val="004959FA"/>
    <w:rsid w:val="00495F53"/>
    <w:rsid w:val="00497464"/>
    <w:rsid w:val="004A70FC"/>
    <w:rsid w:val="004C0BB0"/>
    <w:rsid w:val="004C7BCA"/>
    <w:rsid w:val="004C7DDE"/>
    <w:rsid w:val="004D319C"/>
    <w:rsid w:val="004E1112"/>
    <w:rsid w:val="004E2FCF"/>
    <w:rsid w:val="004F57D9"/>
    <w:rsid w:val="00512D8C"/>
    <w:rsid w:val="00512D8D"/>
    <w:rsid w:val="00513CD7"/>
    <w:rsid w:val="0051782E"/>
    <w:rsid w:val="0053506D"/>
    <w:rsid w:val="00540828"/>
    <w:rsid w:val="00543211"/>
    <w:rsid w:val="00543C71"/>
    <w:rsid w:val="00547BD2"/>
    <w:rsid w:val="00551E0E"/>
    <w:rsid w:val="005527D3"/>
    <w:rsid w:val="005528A6"/>
    <w:rsid w:val="005544FA"/>
    <w:rsid w:val="005561C3"/>
    <w:rsid w:val="005565C9"/>
    <w:rsid w:val="0056070C"/>
    <w:rsid w:val="00571345"/>
    <w:rsid w:val="005713C4"/>
    <w:rsid w:val="00581BCF"/>
    <w:rsid w:val="00590260"/>
    <w:rsid w:val="00590615"/>
    <w:rsid w:val="00590ADB"/>
    <w:rsid w:val="005910F6"/>
    <w:rsid w:val="00594C19"/>
    <w:rsid w:val="005A3F9A"/>
    <w:rsid w:val="005A4B01"/>
    <w:rsid w:val="005A5C9F"/>
    <w:rsid w:val="005B0469"/>
    <w:rsid w:val="005B1675"/>
    <w:rsid w:val="005B4CA2"/>
    <w:rsid w:val="005D3B89"/>
    <w:rsid w:val="005D412E"/>
    <w:rsid w:val="005D4A3A"/>
    <w:rsid w:val="005E63CE"/>
    <w:rsid w:val="0060230B"/>
    <w:rsid w:val="00603963"/>
    <w:rsid w:val="0061458B"/>
    <w:rsid w:val="00636078"/>
    <w:rsid w:val="00642421"/>
    <w:rsid w:val="006509A5"/>
    <w:rsid w:val="00660284"/>
    <w:rsid w:val="00672592"/>
    <w:rsid w:val="00690F3F"/>
    <w:rsid w:val="006A5144"/>
    <w:rsid w:val="006A628D"/>
    <w:rsid w:val="006A76DE"/>
    <w:rsid w:val="006B1EFB"/>
    <w:rsid w:val="006B6A77"/>
    <w:rsid w:val="006C1CD5"/>
    <w:rsid w:val="006C6CF7"/>
    <w:rsid w:val="006D0FCB"/>
    <w:rsid w:val="006D1592"/>
    <w:rsid w:val="006D7F1D"/>
    <w:rsid w:val="006E1072"/>
    <w:rsid w:val="006F2711"/>
    <w:rsid w:val="006F41C5"/>
    <w:rsid w:val="006F5109"/>
    <w:rsid w:val="00713942"/>
    <w:rsid w:val="007142A9"/>
    <w:rsid w:val="0071746D"/>
    <w:rsid w:val="0071763E"/>
    <w:rsid w:val="00742494"/>
    <w:rsid w:val="00747C3C"/>
    <w:rsid w:val="00752F2D"/>
    <w:rsid w:val="0075557A"/>
    <w:rsid w:val="00765C7B"/>
    <w:rsid w:val="00770ABE"/>
    <w:rsid w:val="00797072"/>
    <w:rsid w:val="00797302"/>
    <w:rsid w:val="007A0044"/>
    <w:rsid w:val="007A3571"/>
    <w:rsid w:val="007A4AAB"/>
    <w:rsid w:val="007A55EF"/>
    <w:rsid w:val="007B59B2"/>
    <w:rsid w:val="007C2508"/>
    <w:rsid w:val="007C626A"/>
    <w:rsid w:val="007C6F62"/>
    <w:rsid w:val="007D11DE"/>
    <w:rsid w:val="007D1232"/>
    <w:rsid w:val="007D174C"/>
    <w:rsid w:val="007D3A93"/>
    <w:rsid w:val="007D3FCF"/>
    <w:rsid w:val="007D4484"/>
    <w:rsid w:val="007E6AA8"/>
    <w:rsid w:val="007F0413"/>
    <w:rsid w:val="007F773F"/>
    <w:rsid w:val="00805B09"/>
    <w:rsid w:val="00816CB9"/>
    <w:rsid w:val="00822E96"/>
    <w:rsid w:val="00831D86"/>
    <w:rsid w:val="0083642A"/>
    <w:rsid w:val="00844AAB"/>
    <w:rsid w:val="008453FF"/>
    <w:rsid w:val="00845987"/>
    <w:rsid w:val="00851A40"/>
    <w:rsid w:val="00860806"/>
    <w:rsid w:val="00867AC0"/>
    <w:rsid w:val="00874313"/>
    <w:rsid w:val="00880BA4"/>
    <w:rsid w:val="008826BC"/>
    <w:rsid w:val="00884D22"/>
    <w:rsid w:val="008909AF"/>
    <w:rsid w:val="00893CCF"/>
    <w:rsid w:val="008A2D47"/>
    <w:rsid w:val="008B1FDC"/>
    <w:rsid w:val="008B2457"/>
    <w:rsid w:val="008B750C"/>
    <w:rsid w:val="008C0500"/>
    <w:rsid w:val="008C1E29"/>
    <w:rsid w:val="008C260B"/>
    <w:rsid w:val="008C4454"/>
    <w:rsid w:val="008D12E3"/>
    <w:rsid w:val="008D40D2"/>
    <w:rsid w:val="008E4190"/>
    <w:rsid w:val="008E6725"/>
    <w:rsid w:val="008F103D"/>
    <w:rsid w:val="009045C5"/>
    <w:rsid w:val="00904F7E"/>
    <w:rsid w:val="009054CE"/>
    <w:rsid w:val="00912CC3"/>
    <w:rsid w:val="00915EE4"/>
    <w:rsid w:val="0093297A"/>
    <w:rsid w:val="00937230"/>
    <w:rsid w:val="00942E5E"/>
    <w:rsid w:val="00943460"/>
    <w:rsid w:val="00943764"/>
    <w:rsid w:val="009448CD"/>
    <w:rsid w:val="00945AFE"/>
    <w:rsid w:val="00957121"/>
    <w:rsid w:val="009641C2"/>
    <w:rsid w:val="00967219"/>
    <w:rsid w:val="00986E39"/>
    <w:rsid w:val="009875FA"/>
    <w:rsid w:val="00992E81"/>
    <w:rsid w:val="00993206"/>
    <w:rsid w:val="00994B2D"/>
    <w:rsid w:val="00996096"/>
    <w:rsid w:val="00997646"/>
    <w:rsid w:val="009A06FB"/>
    <w:rsid w:val="009A27FD"/>
    <w:rsid w:val="009A45DF"/>
    <w:rsid w:val="009B087C"/>
    <w:rsid w:val="009B1939"/>
    <w:rsid w:val="009C7B13"/>
    <w:rsid w:val="009D013C"/>
    <w:rsid w:val="009D3D8F"/>
    <w:rsid w:val="009F0493"/>
    <w:rsid w:val="009F09E4"/>
    <w:rsid w:val="00A03DDD"/>
    <w:rsid w:val="00A04BCA"/>
    <w:rsid w:val="00A056E7"/>
    <w:rsid w:val="00A069E8"/>
    <w:rsid w:val="00A20A7D"/>
    <w:rsid w:val="00A20C21"/>
    <w:rsid w:val="00A24522"/>
    <w:rsid w:val="00A32371"/>
    <w:rsid w:val="00A32C99"/>
    <w:rsid w:val="00A410E4"/>
    <w:rsid w:val="00A46A6E"/>
    <w:rsid w:val="00A479A1"/>
    <w:rsid w:val="00A523D9"/>
    <w:rsid w:val="00A537A9"/>
    <w:rsid w:val="00A75326"/>
    <w:rsid w:val="00A83B05"/>
    <w:rsid w:val="00A84360"/>
    <w:rsid w:val="00A86692"/>
    <w:rsid w:val="00A873AE"/>
    <w:rsid w:val="00A93A52"/>
    <w:rsid w:val="00A977DE"/>
    <w:rsid w:val="00AA44C1"/>
    <w:rsid w:val="00AA4F55"/>
    <w:rsid w:val="00AB5433"/>
    <w:rsid w:val="00AB5B0F"/>
    <w:rsid w:val="00AC2849"/>
    <w:rsid w:val="00AC3B4E"/>
    <w:rsid w:val="00AC5B7B"/>
    <w:rsid w:val="00AC623F"/>
    <w:rsid w:val="00AC737B"/>
    <w:rsid w:val="00AD3EFE"/>
    <w:rsid w:val="00AD4F4F"/>
    <w:rsid w:val="00B00979"/>
    <w:rsid w:val="00B034DB"/>
    <w:rsid w:val="00B051D7"/>
    <w:rsid w:val="00B053A8"/>
    <w:rsid w:val="00B058E3"/>
    <w:rsid w:val="00B21431"/>
    <w:rsid w:val="00B25D74"/>
    <w:rsid w:val="00B409E6"/>
    <w:rsid w:val="00B50F46"/>
    <w:rsid w:val="00B53052"/>
    <w:rsid w:val="00B6417A"/>
    <w:rsid w:val="00B71EC0"/>
    <w:rsid w:val="00B75AB8"/>
    <w:rsid w:val="00B84BAA"/>
    <w:rsid w:val="00B85850"/>
    <w:rsid w:val="00B91F02"/>
    <w:rsid w:val="00B933DC"/>
    <w:rsid w:val="00B9561D"/>
    <w:rsid w:val="00BA3AAB"/>
    <w:rsid w:val="00BB33DE"/>
    <w:rsid w:val="00BC1B66"/>
    <w:rsid w:val="00BC2D1E"/>
    <w:rsid w:val="00BC426A"/>
    <w:rsid w:val="00BD12B2"/>
    <w:rsid w:val="00BD397F"/>
    <w:rsid w:val="00BE70D6"/>
    <w:rsid w:val="00BF1711"/>
    <w:rsid w:val="00C00A22"/>
    <w:rsid w:val="00C00A98"/>
    <w:rsid w:val="00C07166"/>
    <w:rsid w:val="00C07D18"/>
    <w:rsid w:val="00C15826"/>
    <w:rsid w:val="00C33554"/>
    <w:rsid w:val="00C3556D"/>
    <w:rsid w:val="00C4081B"/>
    <w:rsid w:val="00C411CF"/>
    <w:rsid w:val="00C426A8"/>
    <w:rsid w:val="00C44AA3"/>
    <w:rsid w:val="00C45B0A"/>
    <w:rsid w:val="00C47F8A"/>
    <w:rsid w:val="00C53081"/>
    <w:rsid w:val="00C531CC"/>
    <w:rsid w:val="00C548FB"/>
    <w:rsid w:val="00C6534F"/>
    <w:rsid w:val="00C7364A"/>
    <w:rsid w:val="00C7478E"/>
    <w:rsid w:val="00C768B7"/>
    <w:rsid w:val="00C81263"/>
    <w:rsid w:val="00C9209D"/>
    <w:rsid w:val="00C9270C"/>
    <w:rsid w:val="00C92DCB"/>
    <w:rsid w:val="00C947FD"/>
    <w:rsid w:val="00C9500F"/>
    <w:rsid w:val="00C95354"/>
    <w:rsid w:val="00CA05B2"/>
    <w:rsid w:val="00CA11AD"/>
    <w:rsid w:val="00CA7D60"/>
    <w:rsid w:val="00CB06BB"/>
    <w:rsid w:val="00CC32F7"/>
    <w:rsid w:val="00CC40B2"/>
    <w:rsid w:val="00CE08FA"/>
    <w:rsid w:val="00CE2D2F"/>
    <w:rsid w:val="00CF2185"/>
    <w:rsid w:val="00CF7F1A"/>
    <w:rsid w:val="00D0382D"/>
    <w:rsid w:val="00D04A73"/>
    <w:rsid w:val="00D04AD2"/>
    <w:rsid w:val="00D155D6"/>
    <w:rsid w:val="00D15903"/>
    <w:rsid w:val="00D2392F"/>
    <w:rsid w:val="00D23A70"/>
    <w:rsid w:val="00D36B56"/>
    <w:rsid w:val="00D36ED2"/>
    <w:rsid w:val="00D4128D"/>
    <w:rsid w:val="00D44961"/>
    <w:rsid w:val="00D44A8C"/>
    <w:rsid w:val="00D51493"/>
    <w:rsid w:val="00D527B0"/>
    <w:rsid w:val="00D64477"/>
    <w:rsid w:val="00D70CC3"/>
    <w:rsid w:val="00D7290F"/>
    <w:rsid w:val="00D74555"/>
    <w:rsid w:val="00D74741"/>
    <w:rsid w:val="00D76C96"/>
    <w:rsid w:val="00D8290D"/>
    <w:rsid w:val="00D85623"/>
    <w:rsid w:val="00D86833"/>
    <w:rsid w:val="00D86C84"/>
    <w:rsid w:val="00D879E3"/>
    <w:rsid w:val="00D91199"/>
    <w:rsid w:val="00DB4CB3"/>
    <w:rsid w:val="00DB614A"/>
    <w:rsid w:val="00DB7E90"/>
    <w:rsid w:val="00DC0972"/>
    <w:rsid w:val="00DC3E58"/>
    <w:rsid w:val="00DD3688"/>
    <w:rsid w:val="00DD698B"/>
    <w:rsid w:val="00DE0584"/>
    <w:rsid w:val="00DE375F"/>
    <w:rsid w:val="00DE50B6"/>
    <w:rsid w:val="00DF0AC8"/>
    <w:rsid w:val="00DF36C6"/>
    <w:rsid w:val="00E0626D"/>
    <w:rsid w:val="00E0657A"/>
    <w:rsid w:val="00E11DCE"/>
    <w:rsid w:val="00E160B6"/>
    <w:rsid w:val="00E22B39"/>
    <w:rsid w:val="00E23C60"/>
    <w:rsid w:val="00E35C31"/>
    <w:rsid w:val="00E44814"/>
    <w:rsid w:val="00E46099"/>
    <w:rsid w:val="00E47C6E"/>
    <w:rsid w:val="00E51666"/>
    <w:rsid w:val="00E543E9"/>
    <w:rsid w:val="00E557E6"/>
    <w:rsid w:val="00E73F2E"/>
    <w:rsid w:val="00E74167"/>
    <w:rsid w:val="00E74539"/>
    <w:rsid w:val="00E752BB"/>
    <w:rsid w:val="00E85425"/>
    <w:rsid w:val="00E9121F"/>
    <w:rsid w:val="00E92B7C"/>
    <w:rsid w:val="00E93D79"/>
    <w:rsid w:val="00E95034"/>
    <w:rsid w:val="00E960D5"/>
    <w:rsid w:val="00E960DA"/>
    <w:rsid w:val="00EA25A9"/>
    <w:rsid w:val="00EA51D4"/>
    <w:rsid w:val="00EB2EA9"/>
    <w:rsid w:val="00ED2B92"/>
    <w:rsid w:val="00ED7652"/>
    <w:rsid w:val="00EE22E7"/>
    <w:rsid w:val="00EE25D3"/>
    <w:rsid w:val="00EE296A"/>
    <w:rsid w:val="00EE4E03"/>
    <w:rsid w:val="00EE6944"/>
    <w:rsid w:val="00EF3ED7"/>
    <w:rsid w:val="00EF5499"/>
    <w:rsid w:val="00F0185B"/>
    <w:rsid w:val="00F11A89"/>
    <w:rsid w:val="00F20738"/>
    <w:rsid w:val="00F25766"/>
    <w:rsid w:val="00F262A1"/>
    <w:rsid w:val="00F26977"/>
    <w:rsid w:val="00F27465"/>
    <w:rsid w:val="00F2787C"/>
    <w:rsid w:val="00F31227"/>
    <w:rsid w:val="00F46908"/>
    <w:rsid w:val="00F52CE9"/>
    <w:rsid w:val="00F53EDD"/>
    <w:rsid w:val="00F64931"/>
    <w:rsid w:val="00F6522F"/>
    <w:rsid w:val="00F726C0"/>
    <w:rsid w:val="00F73373"/>
    <w:rsid w:val="00F77E83"/>
    <w:rsid w:val="00F77FCE"/>
    <w:rsid w:val="00F807ED"/>
    <w:rsid w:val="00F87585"/>
    <w:rsid w:val="00F955C8"/>
    <w:rsid w:val="00F97C09"/>
    <w:rsid w:val="00FA06CA"/>
    <w:rsid w:val="00FA2F3F"/>
    <w:rsid w:val="00FA35C3"/>
    <w:rsid w:val="00FA6801"/>
    <w:rsid w:val="00FB18BE"/>
    <w:rsid w:val="00FB1B5B"/>
    <w:rsid w:val="00FB583F"/>
    <w:rsid w:val="00FC4D23"/>
    <w:rsid w:val="00FC5B6B"/>
    <w:rsid w:val="00FC71FB"/>
    <w:rsid w:val="00FD04D5"/>
    <w:rsid w:val="00FE35BB"/>
    <w:rsid w:val="00FF603D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2FD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C71FB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6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6C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6CA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6CA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A06CA"/>
  </w:style>
  <w:style w:type="paragraph" w:customStyle="1" w:styleId="OPCParaBase">
    <w:name w:val="OPCParaBase"/>
    <w:qFormat/>
    <w:rsid w:val="00FA06CA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A06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06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06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06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06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06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06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06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06CA"/>
  </w:style>
  <w:style w:type="paragraph" w:customStyle="1" w:styleId="Blocks">
    <w:name w:val="Blocks"/>
    <w:aliases w:val="bb"/>
    <w:basedOn w:val="OPCParaBase"/>
    <w:qFormat/>
    <w:rsid w:val="00FA06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06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06CA"/>
    <w:rPr>
      <w:i/>
    </w:rPr>
  </w:style>
  <w:style w:type="paragraph" w:customStyle="1" w:styleId="BoxList">
    <w:name w:val="BoxList"/>
    <w:aliases w:val="bl"/>
    <w:basedOn w:val="BoxText"/>
    <w:qFormat/>
    <w:rsid w:val="00FA06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06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06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06C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A06CA"/>
  </w:style>
  <w:style w:type="character" w:customStyle="1" w:styleId="CharAmPartText">
    <w:name w:val="CharAmPartText"/>
    <w:basedOn w:val="OPCCharBase"/>
    <w:uiPriority w:val="1"/>
    <w:qFormat/>
    <w:rsid w:val="00FA06CA"/>
  </w:style>
  <w:style w:type="character" w:customStyle="1" w:styleId="CharAmSchNo">
    <w:name w:val="CharAmSchNo"/>
    <w:basedOn w:val="OPCCharBase"/>
    <w:uiPriority w:val="1"/>
    <w:qFormat/>
    <w:rsid w:val="00FA06CA"/>
  </w:style>
  <w:style w:type="character" w:customStyle="1" w:styleId="CharAmSchText">
    <w:name w:val="CharAmSchText"/>
    <w:basedOn w:val="OPCCharBase"/>
    <w:uiPriority w:val="1"/>
    <w:qFormat/>
    <w:rsid w:val="00FA06CA"/>
  </w:style>
  <w:style w:type="character" w:customStyle="1" w:styleId="CharBoldItalic">
    <w:name w:val="CharBoldItalic"/>
    <w:basedOn w:val="OPCCharBase"/>
    <w:uiPriority w:val="1"/>
    <w:qFormat/>
    <w:rsid w:val="00FA06CA"/>
    <w:rPr>
      <w:b/>
      <w:i/>
    </w:rPr>
  </w:style>
  <w:style w:type="character" w:customStyle="1" w:styleId="CharChapNo">
    <w:name w:val="CharChapNo"/>
    <w:basedOn w:val="OPCCharBase"/>
    <w:qFormat/>
    <w:rsid w:val="00FA06CA"/>
  </w:style>
  <w:style w:type="character" w:customStyle="1" w:styleId="CharChapText">
    <w:name w:val="CharChapText"/>
    <w:basedOn w:val="OPCCharBase"/>
    <w:qFormat/>
    <w:rsid w:val="00FA06CA"/>
  </w:style>
  <w:style w:type="character" w:customStyle="1" w:styleId="CharDivNo">
    <w:name w:val="CharDivNo"/>
    <w:basedOn w:val="OPCCharBase"/>
    <w:qFormat/>
    <w:rsid w:val="00FA06CA"/>
  </w:style>
  <w:style w:type="character" w:customStyle="1" w:styleId="CharDivText">
    <w:name w:val="CharDivText"/>
    <w:basedOn w:val="OPCCharBase"/>
    <w:qFormat/>
    <w:rsid w:val="00FA06CA"/>
  </w:style>
  <w:style w:type="character" w:customStyle="1" w:styleId="CharItalic">
    <w:name w:val="CharItalic"/>
    <w:basedOn w:val="OPCCharBase"/>
    <w:uiPriority w:val="1"/>
    <w:qFormat/>
    <w:rsid w:val="00FA06CA"/>
    <w:rPr>
      <w:i/>
    </w:rPr>
  </w:style>
  <w:style w:type="character" w:customStyle="1" w:styleId="CharPartNo">
    <w:name w:val="CharPartNo"/>
    <w:basedOn w:val="OPCCharBase"/>
    <w:qFormat/>
    <w:rsid w:val="00FA06CA"/>
  </w:style>
  <w:style w:type="character" w:customStyle="1" w:styleId="CharPartText">
    <w:name w:val="CharPartText"/>
    <w:basedOn w:val="OPCCharBase"/>
    <w:qFormat/>
    <w:rsid w:val="00FA06CA"/>
  </w:style>
  <w:style w:type="character" w:customStyle="1" w:styleId="CharSectno">
    <w:name w:val="CharSectno"/>
    <w:basedOn w:val="OPCCharBase"/>
    <w:qFormat/>
    <w:rsid w:val="00FA06CA"/>
  </w:style>
  <w:style w:type="character" w:customStyle="1" w:styleId="CharSubdNo">
    <w:name w:val="CharSubdNo"/>
    <w:basedOn w:val="OPCCharBase"/>
    <w:uiPriority w:val="1"/>
    <w:qFormat/>
    <w:rsid w:val="00FA06CA"/>
  </w:style>
  <w:style w:type="character" w:customStyle="1" w:styleId="CharSubdText">
    <w:name w:val="CharSubdText"/>
    <w:basedOn w:val="OPCCharBase"/>
    <w:uiPriority w:val="1"/>
    <w:qFormat/>
    <w:rsid w:val="00FA06CA"/>
  </w:style>
  <w:style w:type="paragraph" w:customStyle="1" w:styleId="CTA--">
    <w:name w:val="CTA --"/>
    <w:basedOn w:val="OPCParaBase"/>
    <w:next w:val="Normal"/>
    <w:rsid w:val="00FA06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06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06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06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06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06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06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06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06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06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06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06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06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A06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06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A06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06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06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06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06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06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A06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A06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06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06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06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06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06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06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06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06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06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06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06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06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06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06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06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06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06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06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06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06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06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06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06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06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06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06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06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06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06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06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06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06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06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06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06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06CA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06CA"/>
    <w:rPr>
      <w:sz w:val="16"/>
    </w:rPr>
  </w:style>
  <w:style w:type="table" w:customStyle="1" w:styleId="CFlag">
    <w:name w:val="CFlag"/>
    <w:basedOn w:val="TableNormal"/>
    <w:uiPriority w:val="99"/>
    <w:rsid w:val="00FA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A06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6CA"/>
    <w:pPr>
      <w:spacing w:after="0" w:line="240" w:lineRule="auto"/>
    </w:pPr>
    <w:rPr>
      <w:rFonts w:ascii="Times New Roman" w:hAnsi="Times New Roman"/>
      <w:sz w:val="20"/>
      <w:szCs w:val="20"/>
    </w:rPr>
    <w:tblPr/>
  </w:style>
  <w:style w:type="paragraph" w:customStyle="1" w:styleId="InstNo">
    <w:name w:val="InstNo"/>
    <w:basedOn w:val="OPCParaBase"/>
    <w:next w:val="Normal"/>
    <w:rsid w:val="00FA06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06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06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06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06C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06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A06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06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06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06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A06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06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06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06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06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06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06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06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06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06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06CA"/>
  </w:style>
  <w:style w:type="character" w:customStyle="1" w:styleId="CharSubPartNoCASA">
    <w:name w:val="CharSubPartNo(CASA)"/>
    <w:basedOn w:val="OPCCharBase"/>
    <w:uiPriority w:val="1"/>
    <w:rsid w:val="00FA06CA"/>
  </w:style>
  <w:style w:type="paragraph" w:customStyle="1" w:styleId="ENoteTTIndentHeadingSub">
    <w:name w:val="ENoteTTIndentHeadingSub"/>
    <w:aliases w:val="enTTHis"/>
    <w:basedOn w:val="OPCParaBase"/>
    <w:rsid w:val="00FA06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06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06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06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06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A06CA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A06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06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06CA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A06CA"/>
  </w:style>
  <w:style w:type="paragraph" w:customStyle="1" w:styleId="TableHeading">
    <w:name w:val="TableHeading"/>
    <w:aliases w:val="th"/>
    <w:basedOn w:val="OPCParaBase"/>
    <w:next w:val="Tabletext"/>
    <w:rsid w:val="00FA06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06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06CA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06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06CA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A06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06CA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06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06CA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06CA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A06C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06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06CA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C7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71F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71FB"/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D3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9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7227"/>
    <w:pPr>
      <w:spacing w:after="0" w:line="240" w:lineRule="auto"/>
    </w:pPr>
    <w:rPr>
      <w:rFonts w:ascii="Times New Roman" w:hAnsi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646"/>
    <w:rPr>
      <w:rFonts w:ascii="Times New Roman" w:hAnsi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142A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iginalSubject xmlns="fe39d773-a83d-4623-ae74-f25711a76616" xsi:nil="true"/>
    <MeasureOrigin xmlns="1fb18721-c3a1-4d75-89f3-c98e46760fb0" xsi:nil="true"/>
    <From1 xmlns="fe39d773-a83d-4623-ae74-f25711a76616" xsi:nil="true"/>
    <_dlc_DocId xmlns="fe39d773-a83d-4623-ae74-f25711a76616">5D7SUYYWNZQE-823359493-734</_dlc_DocId>
    <MailIn-Reply-To xmlns="fe39d773-a83d-4623-ae74-f25711a76616" xsi:nil="true"/>
    <MailTo xmlns="fe39d773-a83d-4623-ae74-f25711a76616" xsi:nil="true"/>
    <Date12 xmlns="fe39d773-a83d-4623-ae74-f25711a76616" xsi:nil="true"/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Parliament xmlns="1fb18721-c3a1-4d75-89f3-c98e46760fb0" xsi:nil="true"/>
    <ge25bdd0d6464e36b066695d9e81d63d xmlns="fe39d773-a83d-4623-ae74-f25711a76616">
      <Terms xmlns="http://schemas.microsoft.com/office/infopath/2007/PartnerControls"/>
    </ge25bdd0d6464e36b066695d9e81d63d>
    <Keydoc_x003f_ xmlns="1fb18721-c3a1-4d75-89f3-c98e46760fb0">false</Keydoc_x003f_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ProjectName xmlns="1fb18721-c3a1-4d75-89f3-c98e46760fb0" xsi:nil="true"/>
    <oae75e2df9d943898d59cb03ca0993c5 xmlns="fe39d773-a83d-4623-ae74-f25711a76616" xsi:nil="true"/>
    <MailReferences xmlns="fe39d773-a83d-4623-ae74-f25711a76616" xsi:nil="true"/>
    <TaxCatchAll xmlns="ff38c824-6e29-4496-8487-69f397e7ed29">
      <Value>68</Value>
      <Value>95</Value>
      <Value>1</Value>
      <Value>28</Value>
    </TaxCatchAll>
    <EmailAttachments xmlns="fe39d773-a83d-4623-ae74-f25711a76616">false</EmailAttachments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Consumer</TermName>
          <TermId xmlns="http://schemas.microsoft.com/office/infopath/2007/PartnerControls">061f16b5-21de-40bb-a136-07b896bfb829</TermId>
        </TermInfo>
      </Terms>
    </gfba5f33532c49208d2320ce38cc3c2b>
    <Act_x0028_s_x0029_BeingAmended xmlns="1fb18721-c3a1-4d75-89f3-c98e46760fb0" xsi:nil="true"/>
    <TSY_ModifiedByDivision xmlns="ff38c824-6e29-4496-8487-69f397e7ed29">Small Business Corporate and Law Group - Law Division</TSY_ModifiedByDivision>
    <TSY_CreatedByDivision xmlns="ff38c824-6e29-4496-8487-69f397e7ed29">Small Business Corporate and Law Group - Law Division</TSY_CreatedByDivision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PT_x002f_MeasureNo_x002e_ xmlns="1fb18721-c3a1-4d75-89f3-c98e46760fb0" xsi:nil="true"/>
    <_dlc_DocIdUrl xmlns="fe39d773-a83d-4623-ae74-f25711a76616">
      <Url>https://austreasury.sharepoint.com/sites/leg-meas-function/_layouts/15/DocIdRedir.aspx?ID=5D7SUYYWNZQE-823359493-734</Url>
      <Description>5D7SUYYWNZQE-823359493-734</Description>
    </_dlc_DocIdUrl>
    <MailSubject xmlns="fe39d773-a83d-4623-ae74-f25711a76616" xsi:nil="true"/>
    <Cc xmlns="fe39d773-a83d-4623-ae74-f25711a7661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mail" ma:contentTypeID="0x0101003ECC5A3B3DB5EC46B1D76B9A37FC8269004AAC2CB5661758458C45B4EC4A303080" ma:contentTypeVersion="42" ma:contentTypeDescription="" ma:contentTypeScope="" ma:versionID="bde70463db8d42f5dcad9a39dcaedace">
  <xsd:schema xmlns:xsd="http://www.w3.org/2001/XMLSchema" xmlns:xs="http://www.w3.org/2001/XMLSchema" xmlns:p="http://schemas.microsoft.com/office/2006/metadata/properties" xmlns:ns2="ff38c824-6e29-4496-8487-69f397e7ed29" xmlns:ns3="fe39d773-a83d-4623-ae74-f25711a76616" xmlns:ns4="1fb18721-c3a1-4d75-89f3-c98e46760fb0" targetNamespace="http://schemas.microsoft.com/office/2006/metadata/properties" ma:root="true" ma:fieldsID="29b06e70e22f78460c5a3a911cd17232" ns2:_="" ns3:_="" ns4:_="">
    <xsd:import namespace="ff38c824-6e29-4496-8487-69f397e7ed29"/>
    <xsd:import namespace="fe39d773-a83d-4623-ae74-f25711a76616"/>
    <xsd:import namespace="1fb18721-c3a1-4d75-89f3-c98e46760fb0"/>
    <xsd:element name="properties">
      <xsd:complexType>
        <xsd:sequence>
          <xsd:element name="documentManagement">
            <xsd:complexType>
              <xsd:all>
                <xsd:element ref="ns3:Cc" minOccurs="0"/>
                <xsd:element ref="ns3:Date12" minOccurs="0"/>
                <xsd:element ref="ns3:EmailAttachments" minOccurs="0"/>
                <xsd:element ref="ns3:From1" minOccurs="0"/>
                <xsd:element ref="ns3:MailIn-Reply-To" minOccurs="0"/>
                <xsd:element ref="ns3:MailReferences" minOccurs="0"/>
                <xsd:element ref="ns3:MailSubject" minOccurs="0"/>
                <xsd:element ref="ns3:MailTo" minOccurs="0"/>
                <xsd:element ref="ns3:OriginalSubject" minOccurs="0"/>
                <xsd:element ref="ns3:a48f371a4a874164b16a8c4aab488f5c"/>
                <xsd:element ref="ns3:kfc39f3e4e2747ae990d3c8bb74a5a64"/>
                <xsd:element ref="ns3:ge25bdd0d6464e36b066695d9e81d63d" minOccurs="0"/>
                <xsd:element ref="ns3:_dlc_DocId" minOccurs="0"/>
                <xsd:element ref="ns2:TaxCatchAll" minOccurs="0"/>
                <xsd:element ref="ns3:gfba5f33532c49208d2320ce38cc3c2b"/>
                <xsd:element ref="ns3:_dlc_DocIdPersistId" minOccurs="0"/>
                <xsd:element ref="ns3:e4fe7dcdd1c0411bbf19a4de3665191f"/>
                <xsd:element ref="ns3:_dlc_DocIdUrl" minOccurs="0"/>
                <xsd:element ref="ns2:TaxCatchAllLabel" minOccurs="0"/>
                <xsd:element ref="ns3:oae75e2df9d943898d59cb03ca0993c5" minOccurs="0"/>
                <xsd:element ref="ns2:TSY_CreatedByDivision" minOccurs="0"/>
                <xsd:element ref="ns2:TSY_ModifiedByDivision" minOccurs="0"/>
                <xsd:element ref="ns4:Parliament" minOccurs="0"/>
                <xsd:element ref="ns4:PT_x002f_MeasureNo_x002e_" minOccurs="0"/>
                <xsd:element ref="ns4:MeasureOrigin" minOccurs="0"/>
                <xsd:element ref="ns4:Act_x0028_s_x0029_BeingAmended" minOccurs="0"/>
                <xsd:element ref="ns4:ProjectName" minOccurs="0"/>
                <xsd:element ref="ns4:Keydoc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1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Y_CreatedByDivision" ma:index="33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34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Cc" ma:index="7" nillable="true" ma:displayName="Cc" ma:internalName="Cc" ma:readOnly="false">
      <xsd:simpleType>
        <xsd:restriction base="dms:Note">
          <xsd:maxLength value="255"/>
        </xsd:restriction>
      </xsd:simpleType>
    </xsd:element>
    <xsd:element name="Date12" ma:index="8" nillable="true" ma:displayName="Date" ma:description="The date and time when the message was sent" ma:format="DateTime" ma:internalName="Date12" ma:readOnly="false">
      <xsd:simpleType>
        <xsd:restriction base="dms:DateTime"/>
      </xsd:simpleType>
    </xsd:element>
    <xsd:element name="EmailAttachments" ma:index="9" nillable="true" ma:displayName="EmailAttachments" ma:default="0" ma:description="Indicates if the e-mail message contains one or more attachments" ma:internalName="EmailAttachments" ma:readOnly="false">
      <xsd:simpleType>
        <xsd:restriction base="dms:Boolean"/>
      </xsd:simpleType>
    </xsd:element>
    <xsd:element name="From1" ma:index="10" nillable="true" ma:displayName="From" ma:description="The identity of the person who sent the message." ma:internalName="From1" ma:readOnly="false">
      <xsd:simpleType>
        <xsd:restriction base="dms:Text">
          <xsd:maxLength value="255"/>
        </xsd:restriction>
      </xsd:simpleType>
    </xsd:element>
    <xsd:element name="MailIn-Reply-To" ma:index="11" nillable="true" ma:displayName="MailIn-Reply-To" ma:description="The contents of this field identify previous correspondence that this message answers" ma:internalName="MailIn_x002d_Reply_x002d_To" ma:readOnly="false">
      <xsd:simpleType>
        <xsd:restriction base="dms:Text">
          <xsd:maxLength value="255"/>
        </xsd:restriction>
      </xsd:simpleType>
    </xsd:element>
    <xsd:element name="MailReferences" ma:index="12" nillable="true" ma:displayName="MailReferences" ma:description="The contents of this field identify other correspondence that this message answers" ma:internalName="MailReferences" ma:readOnly="false">
      <xsd:simpleType>
        <xsd:restriction base="dms:Text">
          <xsd:maxLength value="255"/>
        </xsd:restriction>
      </xsd:simpleType>
    </xsd:element>
    <xsd:element name="MailSubject" ma:index="13" nillable="true" ma:displayName="MailSubject" ma:description="A summary of the message" ma:internalName="MailSubject" ma:readOnly="false">
      <xsd:simpleType>
        <xsd:restriction base="dms:Text">
          <xsd:maxLength value="255"/>
        </xsd:restriction>
      </xsd:simpleType>
    </xsd:element>
    <xsd:element name="MailTo" ma:index="14" nillable="true" ma:displayName="MailTo" ma:internalName="MailTo" ma:readOnly="false">
      <xsd:simpleType>
        <xsd:restriction base="dms:Note">
          <xsd:maxLength value="255"/>
        </xsd:restriction>
      </xsd:simpleType>
    </xsd:element>
    <xsd:element name="OriginalSubject" ma:index="15" nillable="true" ma:displayName="OriginalSubject" ma:internalName="OriginalSubject" ma:readOnly="false">
      <xsd:simpleType>
        <xsd:restriction base="dms:Text">
          <xsd:maxLength value="255"/>
        </xsd:restriction>
      </xsd:simpleType>
    </xsd:element>
    <xsd:element name="a48f371a4a874164b16a8c4aab488f5c" ma:index="17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0" nillable="true" ma:taxonomy="true" ma:internalName="ge25bdd0d6464e36b066695d9e81d63d" ma:taxonomyFieldName="TSYStatus" ma:displayName="TSY 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gfba5f33532c49208d2320ce38cc3c2b" ma:index="2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e7dcdd1c0411bbf19a4de3665191f" ma:index="29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ae75e2df9d943898d59cb03ca0993c5" ma:index="32" nillable="true" ma:displayName="Topics_1" ma:hidden="true" ma:internalName="oae75e2df9d943898d59cb03ca0993c5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8721-c3a1-4d75-89f3-c98e46760fb0" elementFormDefault="qualified">
    <xsd:import namespace="http://schemas.microsoft.com/office/2006/documentManagement/types"/>
    <xsd:import namespace="http://schemas.microsoft.com/office/infopath/2007/PartnerControls"/>
    <xsd:element name="Parliament" ma:index="35" nillable="true" ma:displayName="Parliament" ma:description="Optional tag, designed for client advisers to use at the end of each Parliament to filter out delivered measures in the default view" ma:format="Dropdown" ma:internalName="Parlia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47th"/>
                    <xsd:enumeration value="48th"/>
                  </xsd:restriction>
                </xsd:simpleType>
              </xsd:element>
            </xsd:sequence>
          </xsd:extension>
        </xsd:complexContent>
      </xsd:complexType>
    </xsd:element>
    <xsd:element name="PT_x002f_MeasureNo_x002e_" ma:index="36" nillable="true" ma:displayName="PT/Measure No." ma:format="Dropdown" ma:internalName="PT_x002f_MeasureNo_x002e_">
      <xsd:simpleType>
        <xsd:restriction base="dms:Text">
          <xsd:maxLength value="255"/>
        </xsd:restriction>
      </xsd:simpleType>
    </xsd:element>
    <xsd:element name="MeasureOrigin" ma:index="3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3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  <xsd:element name="ProjectName" ma:index="39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Keydoc_x003f_" ma:index="40" nillable="true" ma:displayName="Key doc?" ma:default="0" ma:description="Optional tag to help keep track of key documents in a measure (e.g. the exposure draft, introduced versions of explanatory memoranda, a finalised NPP, particularly important legal advices)" ma:format="Dropdown" ma:internalName="Keydoc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4A5A0D-C436-48D5-AAAC-E761B50F449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AE6CD73-9263-4901-A824-E4C5649DC5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9B78C5-36F5-49A2-BD27-A5A283AE6647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1fb18721-c3a1-4d75-89f3-c98e46760fb0"/>
    <ds:schemaRef ds:uri="ff38c824-6e29-4496-8487-69f397e7ed29"/>
  </ds:schemaRefs>
</ds:datastoreItem>
</file>

<file path=customXml/itemProps5.xml><?xml version="1.0" encoding="utf-8"?>
<ds:datastoreItem xmlns:ds="http://schemas.openxmlformats.org/officeDocument/2006/customXml" ds:itemID="{8535DE4B-A716-4141-9AB7-231F2A995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fe39d773-a83d-4623-ae74-f25711a76616"/>
    <ds:schemaRef ds:uri="1fb18721-c3a1-4d75-89f3-c98e46760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instrument: Competition and Consumer (Scams Prevention Framework—External Dispute Resolution) Authorisation 2025</dc:title>
  <dc:subject/>
  <dc:creator>Treasury</dc:creator>
  <cp:keywords/>
  <dc:description/>
  <cp:lastModifiedBy/>
  <cp:revision>1</cp:revision>
  <dcterms:created xsi:type="dcterms:W3CDTF">2025-11-27T05:12:00Z</dcterms:created>
  <dcterms:modified xsi:type="dcterms:W3CDTF">2025-11-27T05:12:00Z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2025-11-27T05:12:18Z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64e939d9-d055-49ad-b390-e9acea226379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  <property fmtid="{D5CDD505-2E9C-101B-9397-08002B2CF9AE}" pid="10" name="TSYStatus">
    <vt:lpwstr/>
  </property>
  <property fmtid="{D5CDD505-2E9C-101B-9397-08002B2CF9AE}" pid="11" name="ActNo">
    <vt:lpwstr/>
  </property>
  <property fmtid="{D5CDD505-2E9C-101B-9397-08002B2CF9AE}" pid="12" name="Class">
    <vt:lpwstr>Instrument</vt:lpwstr>
  </property>
  <property fmtid="{D5CDD505-2E9C-101B-9397-08002B2CF9AE}" pid="13" name="ContentTypeId">
    <vt:lpwstr>0x0101003ECC5A3B3DB5EC46B1D76B9A37FC8269004AAC2CB5661758458C45B4EC4A303080</vt:lpwstr>
  </property>
  <property fmtid="{D5CDD505-2E9C-101B-9397-08002B2CF9AE}" pid="14" name="eDocumentType">
    <vt:lpwstr>68;#Legislation|bc5c492f-641e-4b74-8651-322acd553d0f</vt:lpwstr>
  </property>
  <property fmtid="{D5CDD505-2E9C-101B-9397-08002B2CF9AE}" pid="15" name="DateMade">
    <vt:lpwstr>2017</vt:lpwstr>
  </property>
  <property fmtid="{D5CDD505-2E9C-101B-9397-08002B2CF9AE}" pid="16" name="Classification">
    <vt:lpwstr>EXPOSURE DRAFT</vt:lpwstr>
  </property>
  <property fmtid="{D5CDD505-2E9C-101B-9397-08002B2CF9AE}" pid="17" name="ID">
    <vt:lpwstr> </vt:lpwstr>
  </property>
  <property fmtid="{D5CDD505-2E9C-101B-9397-08002B2CF9AE}" pid="18" name="DLM">
    <vt:lpwstr>No DLM</vt:lpwstr>
  </property>
  <property fmtid="{D5CDD505-2E9C-101B-9397-08002B2CF9AE}" pid="19" name="docLang">
    <vt:lpwstr>en</vt:lpwstr>
  </property>
  <property fmtid="{D5CDD505-2E9C-101B-9397-08002B2CF9AE}" pid="20" name="Authority">
    <vt:lpwstr>Unk</vt:lpwstr>
  </property>
  <property fmtid="{D5CDD505-2E9C-101B-9397-08002B2CF9AE}" pid="21" name="Type">
    <vt:lpwstr>LI</vt:lpwstr>
  </property>
  <property fmtid="{D5CDD505-2E9C-101B-9397-08002B2CF9AE}" pid="22" name="TSYRecordClass">
    <vt:lpwstr>1;#AE-20260-Destroy 7 years after action completed|623f5ec9-ec5d-4824-8e13-9c9bfc51fe7e</vt:lpwstr>
  </property>
  <property fmtid="{D5CDD505-2E9C-101B-9397-08002B2CF9AE}" pid="23" name="Exco">
    <vt:lpwstr>No</vt:lpwstr>
  </property>
  <property fmtid="{D5CDD505-2E9C-101B-9397-08002B2CF9AE}" pid="24" name="_dlc_DocIdItemGuid">
    <vt:lpwstr>ec03712f-4ca5-4133-9864-27fa481240b0</vt:lpwstr>
  </property>
  <property fmtid="{D5CDD505-2E9C-101B-9397-08002B2CF9AE}" pid="25" name="Header">
    <vt:lpwstr>Section</vt:lpwstr>
  </property>
  <property fmtid="{D5CDD505-2E9C-101B-9397-08002B2CF9AE}" pid="26" name="eTopic">
    <vt:lpwstr>95;#Consumer|061f16b5-21de-40bb-a136-07b896bfb829</vt:lpwstr>
  </property>
  <property fmtid="{D5CDD505-2E9C-101B-9397-08002B2CF9AE}" pid="27" name="DocType">
    <vt:lpwstr>NEW</vt:lpwstr>
  </property>
  <property fmtid="{D5CDD505-2E9C-101B-9397-08002B2CF9AE}" pid="28" name="ShortT">
    <vt:lpwstr>Competition and Consumer (Scams Prevention Framework—External Dispute Resolution) Authorisation 2025</vt:lpwstr>
  </property>
  <property fmtid="{D5CDD505-2E9C-101B-9397-08002B2CF9AE}" pid="29" name="eTheme">
    <vt:lpwstr>1</vt:lpwstr>
  </property>
  <property fmtid="{D5CDD505-2E9C-101B-9397-08002B2CF9AE}" pid="30" name="eActivity">
    <vt:lpwstr>28</vt:lpwstr>
  </property>
</Properties>
</file>