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2F83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146D95ED" w14:textId="5F66DC2C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r w:rsidR="0034225A">
        <w:rPr>
          <w:rStyle w:val="DefaultChar"/>
        </w:rPr>
        <w:t>the Assistant Treasurer and Minister for Financial Services</w:t>
      </w:r>
      <w:r w:rsidR="00076178" w:rsidRPr="003C5719">
        <w:rPr>
          <w:sz w:val="24"/>
          <w:szCs w:val="24"/>
        </w:rPr>
        <w:t xml:space="preserve"> </w:t>
      </w:r>
    </w:p>
    <w:p w14:paraId="4B1D56B3" w14:textId="352621B4" w:rsidR="00F109D4" w:rsidRPr="003C5719" w:rsidRDefault="008C7776" w:rsidP="004A27A8">
      <w:pPr>
        <w:spacing w:before="240" w:after="240"/>
        <w:jc w:val="center"/>
        <w:rPr>
          <w:i/>
        </w:rPr>
      </w:pPr>
      <w:r>
        <w:rPr>
          <w:i/>
        </w:rPr>
        <w:t>Competition and Consumer Act 2010</w:t>
      </w:r>
    </w:p>
    <w:p w14:paraId="3F93F44F" w14:textId="17D8ADFE" w:rsidR="00F109D4" w:rsidRPr="003C5719" w:rsidRDefault="0034225A" w:rsidP="004A27A8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 xml:space="preserve">Competition and Consumer (Scams Prevention Framework – External Dispute Resolution) Authorisation 2025 </w:t>
      </w:r>
    </w:p>
    <w:p w14:paraId="6FFD18A4" w14:textId="3DC3ECCC" w:rsidR="00044D30" w:rsidRDefault="00B31C86" w:rsidP="00044D30">
      <w:pPr>
        <w:spacing w:before="240"/>
      </w:pPr>
      <w:r>
        <w:t>Paragraph</w:t>
      </w:r>
      <w:r w:rsidR="00044D30">
        <w:t xml:space="preserve"> 58DB(1)</w:t>
      </w:r>
      <w:r>
        <w:t>(</w:t>
      </w:r>
      <w:r w:rsidR="00B55D1B">
        <w:t>a)</w:t>
      </w:r>
      <w:r w:rsidR="00044D30" w:rsidRPr="003C5719">
        <w:t xml:space="preserve"> of the</w:t>
      </w:r>
      <w:r w:rsidR="00044D30" w:rsidRPr="00890DDA">
        <w:rPr>
          <w:i/>
          <w:iCs/>
        </w:rPr>
        <w:t xml:space="preserve"> </w:t>
      </w:r>
      <w:r w:rsidR="00044D30">
        <w:rPr>
          <w:i/>
          <w:iCs/>
        </w:rPr>
        <w:t xml:space="preserve">Competition and Consumer Act 2010 </w:t>
      </w:r>
      <w:r w:rsidR="00044D30">
        <w:t>(</w:t>
      </w:r>
      <w:r w:rsidR="00044D30" w:rsidRPr="003C5719">
        <w:t xml:space="preserve">the Act) provides that </w:t>
      </w:r>
      <w:r w:rsidR="006A7BDD">
        <w:t>the</w:t>
      </w:r>
      <w:r w:rsidR="00044D30">
        <w:t xml:space="preserve"> Minister may</w:t>
      </w:r>
      <w:r w:rsidR="00950A6F">
        <w:t>,</w:t>
      </w:r>
      <w:r w:rsidR="00044D30">
        <w:t xml:space="preserve"> </w:t>
      </w:r>
      <w:r w:rsidR="00950A6F">
        <w:t>by</w:t>
      </w:r>
      <w:r w:rsidR="00044D30">
        <w:t xml:space="preserve"> legislative instrument</w:t>
      </w:r>
      <w:r w:rsidR="00950A6F">
        <w:t xml:space="preserve">, </w:t>
      </w:r>
      <w:r w:rsidR="00044D30">
        <w:t xml:space="preserve">authorise an external dispute resolution </w:t>
      </w:r>
      <w:r w:rsidR="00950A6F">
        <w:t xml:space="preserve">(EDR) </w:t>
      </w:r>
      <w:r w:rsidR="00044D30">
        <w:t>scheme</w:t>
      </w:r>
      <w:r w:rsidR="00D242ED">
        <w:t xml:space="preserve"> </w:t>
      </w:r>
      <w:r w:rsidR="00044D30">
        <w:t>for the</w:t>
      </w:r>
      <w:r w:rsidR="00202B89">
        <w:t xml:space="preserve"> purposes of </w:t>
      </w:r>
      <w:r w:rsidR="00FE5FDD">
        <w:t>Part IVF</w:t>
      </w:r>
      <w:r>
        <w:t xml:space="preserve"> </w:t>
      </w:r>
      <w:r w:rsidR="000C64CF">
        <w:t xml:space="preserve">of the Act </w:t>
      </w:r>
      <w:r>
        <w:t>and one or more regulated sectors under t</w:t>
      </w:r>
      <w:r w:rsidR="00FE5FDD">
        <w:t>hat Part</w:t>
      </w:r>
      <w:r>
        <w:t>,</w:t>
      </w:r>
      <w:r w:rsidR="00CF6023">
        <w:t xml:space="preserve"> </w:t>
      </w:r>
      <w:r w:rsidR="00044D30">
        <w:t xml:space="preserve">if the scheme is already authorised under a Commonwealth law for another purpose. </w:t>
      </w:r>
    </w:p>
    <w:p w14:paraId="6F0F6A06" w14:textId="1B6EF342" w:rsidR="002267A6" w:rsidRPr="002267A6" w:rsidRDefault="00F169EE" w:rsidP="00F169EE">
      <w:pPr>
        <w:spacing w:before="240"/>
      </w:pPr>
      <w:r w:rsidRPr="00612395">
        <w:t>Part IVF</w:t>
      </w:r>
      <w:r w:rsidR="00FE5FDD">
        <w:t xml:space="preserve"> of the Act</w:t>
      </w:r>
      <w:r w:rsidRPr="00612395">
        <w:t xml:space="preserve"> </w:t>
      </w:r>
      <w:r w:rsidR="00776230">
        <w:t>establishes</w:t>
      </w:r>
      <w:r>
        <w:t xml:space="preserve"> </w:t>
      </w:r>
      <w:r w:rsidR="00FE5FDD">
        <w:t>the Scams Prevention Framework (SPF)</w:t>
      </w:r>
      <w:r w:rsidRPr="00612395">
        <w:t xml:space="preserve"> for preventing and responding to scams that impact the Australian community</w:t>
      </w:r>
      <w:r w:rsidR="00AD4106" w:rsidRPr="00AD4106">
        <w:t>, by requiring sectors</w:t>
      </w:r>
      <w:r w:rsidR="00F5047F">
        <w:t xml:space="preserve"> </w:t>
      </w:r>
      <w:r w:rsidR="00AD4106" w:rsidRPr="00AD4106">
        <w:t xml:space="preserve">of the Australian economy </w:t>
      </w:r>
      <w:r w:rsidR="00F5047F">
        <w:t xml:space="preserve">designated under the </w:t>
      </w:r>
      <w:r w:rsidR="00125C15">
        <w:t xml:space="preserve">SPF </w:t>
      </w:r>
      <w:r w:rsidR="00AD4106" w:rsidRPr="00AD4106">
        <w:t>to adhere to principle-based obligations (called SPF principles) and sector-specific codes (called SPF codes). </w:t>
      </w:r>
      <w:r w:rsidR="002267A6">
        <w:rPr>
          <w:iCs/>
        </w:rPr>
        <w:t xml:space="preserve">Under the </w:t>
      </w:r>
      <w:r w:rsidR="002267A6" w:rsidRPr="00F42D19">
        <w:rPr>
          <w:i/>
        </w:rPr>
        <w:t>C</w:t>
      </w:r>
      <w:r w:rsidR="002267A6" w:rsidRPr="00F42D19">
        <w:rPr>
          <w:i/>
          <w:iCs/>
        </w:rPr>
        <w:t>ompetition and Consumer (Scams Prevention Framework—Regulated Sectors) Designation 2025</w:t>
      </w:r>
      <w:r w:rsidR="002267A6">
        <w:t xml:space="preserve">, the banking sector, telecommunications sector and digital platforms sector are </w:t>
      </w:r>
      <w:r w:rsidR="001F6EB1">
        <w:t xml:space="preserve">each </w:t>
      </w:r>
      <w:r w:rsidR="002267A6">
        <w:t xml:space="preserve">designated as </w:t>
      </w:r>
      <w:r w:rsidR="001F6EB1">
        <w:t xml:space="preserve">a </w:t>
      </w:r>
      <w:r w:rsidR="002267A6">
        <w:t>regulated sector for the purposes of the SPF.</w:t>
      </w:r>
    </w:p>
    <w:p w14:paraId="08C0B3C0" w14:textId="7FEBF008" w:rsidR="00B50753" w:rsidRDefault="00683DCC" w:rsidP="00B50753">
      <w:pPr>
        <w:spacing w:before="240"/>
        <w:rPr>
          <w:iCs/>
        </w:rPr>
      </w:pPr>
      <w:r>
        <w:t>The</w:t>
      </w:r>
      <w:r w:rsidR="00810EAF">
        <w:t xml:space="preserve"> purpose of the</w:t>
      </w:r>
      <w:r w:rsidR="006A191B">
        <w:t xml:space="preserve"> </w:t>
      </w:r>
      <w:r w:rsidR="002C4B39">
        <w:rPr>
          <w:i/>
        </w:rPr>
        <w:t xml:space="preserve">Competition and Consumer (Scams Prevention Framework – External Dispute Resolution) Authorisation 2025 </w:t>
      </w:r>
      <w:r w:rsidR="00D041C0">
        <w:rPr>
          <w:iCs/>
        </w:rPr>
        <w:t xml:space="preserve">(the Authorisation) </w:t>
      </w:r>
      <w:r w:rsidR="00A82E4C">
        <w:rPr>
          <w:iCs/>
        </w:rPr>
        <w:t xml:space="preserve">is to </w:t>
      </w:r>
      <w:r w:rsidR="002C4B39">
        <w:rPr>
          <w:iCs/>
        </w:rPr>
        <w:t>authorise</w:t>
      </w:r>
      <w:r>
        <w:rPr>
          <w:iCs/>
        </w:rPr>
        <w:t xml:space="preserve"> </w:t>
      </w:r>
      <w:r w:rsidR="00994576">
        <w:rPr>
          <w:iCs/>
        </w:rPr>
        <w:t xml:space="preserve">the </w:t>
      </w:r>
      <w:r w:rsidR="00952AA1">
        <w:rPr>
          <w:iCs/>
        </w:rPr>
        <w:t>Australian Financial Complaints Authority (</w:t>
      </w:r>
      <w:r w:rsidR="00994576">
        <w:rPr>
          <w:iCs/>
        </w:rPr>
        <w:t>AFCA</w:t>
      </w:r>
      <w:r w:rsidR="00952AA1">
        <w:rPr>
          <w:iCs/>
        </w:rPr>
        <w:t>)</w:t>
      </w:r>
      <w:r w:rsidR="00994576">
        <w:rPr>
          <w:iCs/>
        </w:rPr>
        <w:t xml:space="preserve"> scheme</w:t>
      </w:r>
      <w:r w:rsidR="00AC0298">
        <w:rPr>
          <w:iCs/>
        </w:rPr>
        <w:t xml:space="preserve"> </w:t>
      </w:r>
      <w:r w:rsidR="00F6465B">
        <w:rPr>
          <w:iCs/>
        </w:rPr>
        <w:t>to be the SPF EDR scheme</w:t>
      </w:r>
      <w:r w:rsidR="00EC590D">
        <w:rPr>
          <w:iCs/>
        </w:rPr>
        <w:t xml:space="preserve"> </w:t>
      </w:r>
      <w:r>
        <w:rPr>
          <w:iCs/>
        </w:rPr>
        <w:t>for the banking, telecommunications and digital platforms sector</w:t>
      </w:r>
      <w:r w:rsidR="000D56B6">
        <w:rPr>
          <w:iCs/>
        </w:rPr>
        <w:t>s</w:t>
      </w:r>
      <w:r>
        <w:rPr>
          <w:iCs/>
        </w:rPr>
        <w:t>.</w:t>
      </w:r>
      <w:r w:rsidR="009D2B79">
        <w:rPr>
          <w:iCs/>
        </w:rPr>
        <w:t xml:space="preserve"> </w:t>
      </w:r>
      <w:r w:rsidR="00074F54">
        <w:rPr>
          <w:iCs/>
        </w:rPr>
        <w:t>As a result</w:t>
      </w:r>
      <w:r w:rsidR="00AD7D0F">
        <w:rPr>
          <w:iCs/>
        </w:rPr>
        <w:t xml:space="preserve">, </w:t>
      </w:r>
      <w:r w:rsidR="00074F54">
        <w:rPr>
          <w:iCs/>
        </w:rPr>
        <w:t>a</w:t>
      </w:r>
      <w:r w:rsidR="00B50753">
        <w:rPr>
          <w:iCs/>
        </w:rPr>
        <w:t xml:space="preserve"> regulated entity providing a regulated service in one of those sectors must</w:t>
      </w:r>
      <w:r w:rsidR="00074F54">
        <w:rPr>
          <w:iCs/>
        </w:rPr>
        <w:t>, among other things,</w:t>
      </w:r>
      <w:r w:rsidR="00B50753">
        <w:rPr>
          <w:iCs/>
        </w:rPr>
        <w:t xml:space="preserve"> become a member of the AFCA scheme</w:t>
      </w:r>
      <w:r w:rsidR="005F2414">
        <w:rPr>
          <w:iCs/>
        </w:rPr>
        <w:t xml:space="preserve"> – and provide reasonable assistance to, and cooperate with, the operator of the scheme – </w:t>
      </w:r>
      <w:r w:rsidR="00B50753">
        <w:rPr>
          <w:iCs/>
        </w:rPr>
        <w:t>under subsection</w:t>
      </w:r>
      <w:r w:rsidR="005F2414">
        <w:rPr>
          <w:iCs/>
        </w:rPr>
        <w:t>s</w:t>
      </w:r>
      <w:r w:rsidR="00B50753">
        <w:rPr>
          <w:iCs/>
        </w:rPr>
        <w:t xml:space="preserve"> 58</w:t>
      </w:r>
      <w:proofErr w:type="gramStart"/>
      <w:r w:rsidR="00B50753">
        <w:rPr>
          <w:iCs/>
        </w:rPr>
        <w:t>BZG(</w:t>
      </w:r>
      <w:proofErr w:type="gramEnd"/>
      <w:r w:rsidR="00B50753">
        <w:rPr>
          <w:iCs/>
        </w:rPr>
        <w:t>1)</w:t>
      </w:r>
      <w:r w:rsidR="005F2414">
        <w:rPr>
          <w:iCs/>
        </w:rPr>
        <w:t xml:space="preserve"> and (2)</w:t>
      </w:r>
      <w:r w:rsidR="00B50753">
        <w:rPr>
          <w:iCs/>
        </w:rPr>
        <w:t xml:space="preserve"> of the Act</w:t>
      </w:r>
      <w:r w:rsidR="00B066B1">
        <w:rPr>
          <w:iCs/>
        </w:rPr>
        <w:t xml:space="preserve">, </w:t>
      </w:r>
      <w:r w:rsidR="005241E6">
        <w:rPr>
          <w:iCs/>
        </w:rPr>
        <w:t>which are</w:t>
      </w:r>
      <w:r w:rsidR="00B066B1">
        <w:rPr>
          <w:iCs/>
        </w:rPr>
        <w:t xml:space="preserve"> civil penalty</w:t>
      </w:r>
      <w:r w:rsidR="005241E6">
        <w:rPr>
          <w:iCs/>
        </w:rPr>
        <w:t xml:space="preserve"> provisions</w:t>
      </w:r>
      <w:r w:rsidR="00B066B1">
        <w:rPr>
          <w:iCs/>
        </w:rPr>
        <w:t>.</w:t>
      </w:r>
      <w:r w:rsidR="00B50753">
        <w:rPr>
          <w:iCs/>
        </w:rPr>
        <w:t xml:space="preserve"> </w:t>
      </w:r>
    </w:p>
    <w:p w14:paraId="31BAD9D2" w14:textId="21B6D3D0" w:rsidR="00B50753" w:rsidRDefault="008C5039" w:rsidP="00B50753">
      <w:pPr>
        <w:spacing w:before="240"/>
        <w:rPr>
          <w:iCs/>
        </w:rPr>
      </w:pPr>
      <w:r>
        <w:rPr>
          <w:iCs/>
        </w:rPr>
        <w:t xml:space="preserve">The </w:t>
      </w:r>
      <w:r>
        <w:rPr>
          <w:i/>
        </w:rPr>
        <w:t>AFCA Scheme Authorisation 2018</w:t>
      </w:r>
      <w:r w:rsidR="009F0311">
        <w:rPr>
          <w:iCs/>
        </w:rPr>
        <w:t xml:space="preserve"> </w:t>
      </w:r>
      <w:r>
        <w:rPr>
          <w:iCs/>
        </w:rPr>
        <w:t>already</w:t>
      </w:r>
      <w:r w:rsidR="0064462A">
        <w:rPr>
          <w:iCs/>
        </w:rPr>
        <w:t xml:space="preserve"> </w:t>
      </w:r>
      <w:r w:rsidR="0066541C">
        <w:rPr>
          <w:iCs/>
        </w:rPr>
        <w:t>authorise</w:t>
      </w:r>
      <w:r>
        <w:rPr>
          <w:iCs/>
        </w:rPr>
        <w:t>s the AFCA scheme</w:t>
      </w:r>
      <w:r w:rsidR="00D95786">
        <w:rPr>
          <w:iCs/>
        </w:rPr>
        <w:t xml:space="preserve"> as </w:t>
      </w:r>
      <w:r w:rsidR="005270D4">
        <w:rPr>
          <w:iCs/>
        </w:rPr>
        <w:t>an</w:t>
      </w:r>
      <w:r w:rsidR="00D95786">
        <w:rPr>
          <w:iCs/>
        </w:rPr>
        <w:t xml:space="preserve"> EDR scheme</w:t>
      </w:r>
      <w:r>
        <w:rPr>
          <w:iCs/>
        </w:rPr>
        <w:t xml:space="preserve"> </w:t>
      </w:r>
      <w:r w:rsidR="0018560A">
        <w:rPr>
          <w:iCs/>
        </w:rPr>
        <w:t>under</w:t>
      </w:r>
      <w:r w:rsidR="006D22E3">
        <w:rPr>
          <w:iCs/>
        </w:rPr>
        <w:t xml:space="preserve"> Part 7.10A of </w:t>
      </w:r>
      <w:r w:rsidR="009F0311">
        <w:rPr>
          <w:iCs/>
        </w:rPr>
        <w:t xml:space="preserve">the </w:t>
      </w:r>
      <w:r w:rsidR="009F0311" w:rsidRPr="00A03B46">
        <w:rPr>
          <w:i/>
        </w:rPr>
        <w:t>Corporations</w:t>
      </w:r>
      <w:r w:rsidR="006D22E3" w:rsidRPr="00A03B46">
        <w:rPr>
          <w:i/>
        </w:rPr>
        <w:t xml:space="preserve"> Act</w:t>
      </w:r>
      <w:r w:rsidR="00BD6EB1">
        <w:rPr>
          <w:iCs/>
        </w:rPr>
        <w:t xml:space="preserve"> </w:t>
      </w:r>
      <w:r w:rsidR="00BD6EB1">
        <w:rPr>
          <w:i/>
        </w:rPr>
        <w:t>2001</w:t>
      </w:r>
      <w:r w:rsidR="00AB6447">
        <w:rPr>
          <w:i/>
        </w:rPr>
        <w:t xml:space="preserve"> </w:t>
      </w:r>
      <w:r w:rsidR="00AB6447">
        <w:rPr>
          <w:iCs/>
        </w:rPr>
        <w:t>(Corporations Act)</w:t>
      </w:r>
      <w:r w:rsidR="009A6BC8" w:rsidRPr="009A6BC8">
        <w:rPr>
          <w:iCs/>
        </w:rPr>
        <w:t xml:space="preserve">. </w:t>
      </w:r>
      <w:r w:rsidR="00427740">
        <w:rPr>
          <w:iCs/>
        </w:rPr>
        <w:t xml:space="preserve">The AFCA scheme </w:t>
      </w:r>
      <w:r w:rsidR="00B50753">
        <w:rPr>
          <w:iCs/>
        </w:rPr>
        <w:t>is</w:t>
      </w:r>
      <w:r w:rsidR="00431B71">
        <w:rPr>
          <w:iCs/>
        </w:rPr>
        <w:t xml:space="preserve"> </w:t>
      </w:r>
      <w:r w:rsidR="00B50753">
        <w:rPr>
          <w:iCs/>
        </w:rPr>
        <w:t>a</w:t>
      </w:r>
      <w:r w:rsidR="009300A0">
        <w:rPr>
          <w:iCs/>
        </w:rPr>
        <w:t xml:space="preserve"> </w:t>
      </w:r>
      <w:r w:rsidR="007C0A0A">
        <w:rPr>
          <w:iCs/>
        </w:rPr>
        <w:t>member-funded</w:t>
      </w:r>
      <w:r w:rsidR="002C23D2">
        <w:rPr>
          <w:iCs/>
        </w:rPr>
        <w:t xml:space="preserve"> EDR scheme </w:t>
      </w:r>
      <w:r w:rsidR="00097788">
        <w:rPr>
          <w:iCs/>
        </w:rPr>
        <w:t xml:space="preserve">operated by </w:t>
      </w:r>
      <w:r w:rsidR="00721878">
        <w:rPr>
          <w:iCs/>
        </w:rPr>
        <w:t>AFCA</w:t>
      </w:r>
      <w:r w:rsidR="00097788">
        <w:rPr>
          <w:iCs/>
        </w:rPr>
        <w:t>. The scheme</w:t>
      </w:r>
      <w:r w:rsidR="001F2F9E">
        <w:rPr>
          <w:iCs/>
        </w:rPr>
        <w:t xml:space="preserve"> is </w:t>
      </w:r>
      <w:r w:rsidR="007C0A0A">
        <w:rPr>
          <w:iCs/>
        </w:rPr>
        <w:t>subject to mandatory requirements under section 1051 of the Corporations Act</w:t>
      </w:r>
      <w:r w:rsidR="00E75A02">
        <w:rPr>
          <w:iCs/>
        </w:rPr>
        <w:t xml:space="preserve"> and </w:t>
      </w:r>
      <w:r w:rsidR="00E43C30">
        <w:rPr>
          <w:iCs/>
        </w:rPr>
        <w:t xml:space="preserve">is </w:t>
      </w:r>
      <w:r w:rsidR="00032CAA">
        <w:rPr>
          <w:iCs/>
        </w:rPr>
        <w:t xml:space="preserve">overseen </w:t>
      </w:r>
      <w:r w:rsidR="00E75A02">
        <w:rPr>
          <w:iCs/>
        </w:rPr>
        <w:t>by the Australian Securities and Investment Commission</w:t>
      </w:r>
      <w:r w:rsidR="002A1188">
        <w:rPr>
          <w:iCs/>
        </w:rPr>
        <w:t xml:space="preserve"> </w:t>
      </w:r>
      <w:r w:rsidR="00032CAA">
        <w:rPr>
          <w:iCs/>
        </w:rPr>
        <w:t xml:space="preserve">(ASIC) </w:t>
      </w:r>
      <w:r w:rsidR="00862BDA">
        <w:rPr>
          <w:iCs/>
        </w:rPr>
        <w:t xml:space="preserve">under </w:t>
      </w:r>
      <w:r w:rsidR="00C638BF">
        <w:rPr>
          <w:iCs/>
        </w:rPr>
        <w:t xml:space="preserve">Division 2 of Part 7.10A of </w:t>
      </w:r>
      <w:r w:rsidR="00E43C30">
        <w:rPr>
          <w:iCs/>
        </w:rPr>
        <w:t>that</w:t>
      </w:r>
      <w:r w:rsidR="00C638BF">
        <w:rPr>
          <w:iCs/>
        </w:rPr>
        <w:t xml:space="preserve"> Act</w:t>
      </w:r>
      <w:r w:rsidR="00E75A02">
        <w:rPr>
          <w:iCs/>
        </w:rPr>
        <w:t>.</w:t>
      </w:r>
      <w:r w:rsidR="0095120D">
        <w:rPr>
          <w:iCs/>
        </w:rPr>
        <w:t xml:space="preserve"> One of these requirements is </w:t>
      </w:r>
      <w:r w:rsidR="00324A58">
        <w:rPr>
          <w:iCs/>
        </w:rPr>
        <w:t xml:space="preserve">that complaints </w:t>
      </w:r>
      <w:r w:rsidR="0065239E">
        <w:rPr>
          <w:iCs/>
        </w:rPr>
        <w:t>are</w:t>
      </w:r>
      <w:r w:rsidR="00324A58">
        <w:rPr>
          <w:iCs/>
        </w:rPr>
        <w:t xml:space="preserve"> resolved in a wa</w:t>
      </w:r>
      <w:r w:rsidR="00354CE4">
        <w:rPr>
          <w:iCs/>
        </w:rPr>
        <w:t>y</w:t>
      </w:r>
      <w:r w:rsidR="00324A58">
        <w:rPr>
          <w:iCs/>
        </w:rPr>
        <w:t xml:space="preserve"> that is fair, efficient, timely and independent.</w:t>
      </w:r>
    </w:p>
    <w:p w14:paraId="58B420AB" w14:textId="62E6E70C" w:rsidR="009A6BC8" w:rsidRDefault="008A47B8" w:rsidP="00B50753">
      <w:pPr>
        <w:spacing w:before="240"/>
        <w:rPr>
          <w:iCs/>
        </w:rPr>
      </w:pPr>
      <w:r>
        <w:rPr>
          <w:iCs/>
        </w:rPr>
        <w:t>Authorising</w:t>
      </w:r>
      <w:r w:rsidR="009A6BC8" w:rsidRPr="009A6BC8">
        <w:rPr>
          <w:iCs/>
        </w:rPr>
        <w:t xml:space="preserve"> the AFCA scheme as </w:t>
      </w:r>
      <w:r w:rsidR="00047483">
        <w:rPr>
          <w:iCs/>
        </w:rPr>
        <w:t>an</w:t>
      </w:r>
      <w:r w:rsidR="009A6BC8" w:rsidRPr="009A6BC8">
        <w:rPr>
          <w:iCs/>
        </w:rPr>
        <w:t xml:space="preserve"> SPF EDR scheme</w:t>
      </w:r>
      <w:r w:rsidR="00047483">
        <w:rPr>
          <w:iCs/>
        </w:rPr>
        <w:t xml:space="preserve"> for </w:t>
      </w:r>
      <w:r w:rsidR="002F3718">
        <w:rPr>
          <w:iCs/>
        </w:rPr>
        <w:t xml:space="preserve">the </w:t>
      </w:r>
      <w:r w:rsidR="00487D8A">
        <w:rPr>
          <w:iCs/>
        </w:rPr>
        <w:t>three regulated</w:t>
      </w:r>
      <w:r w:rsidR="00047483">
        <w:rPr>
          <w:iCs/>
        </w:rPr>
        <w:t xml:space="preserve"> sectors</w:t>
      </w:r>
      <w:r w:rsidR="000B7167">
        <w:rPr>
          <w:iCs/>
        </w:rPr>
        <w:t xml:space="preserve"> </w:t>
      </w:r>
      <w:r w:rsidR="009A6BC8" w:rsidRPr="009A6BC8">
        <w:rPr>
          <w:iCs/>
        </w:rPr>
        <w:t>ensures SPF</w:t>
      </w:r>
      <w:r w:rsidR="009A6BC8">
        <w:rPr>
          <w:iCs/>
        </w:rPr>
        <w:t xml:space="preserve"> </w:t>
      </w:r>
      <w:r w:rsidR="009A6BC8" w:rsidRPr="009A6BC8">
        <w:rPr>
          <w:iCs/>
        </w:rPr>
        <w:t xml:space="preserve">consumers in </w:t>
      </w:r>
      <w:r w:rsidR="00043E26">
        <w:rPr>
          <w:iCs/>
        </w:rPr>
        <w:t>these</w:t>
      </w:r>
      <w:r w:rsidR="009A6BC8" w:rsidRPr="009A6BC8">
        <w:rPr>
          <w:iCs/>
        </w:rPr>
        <w:t xml:space="preserve"> sectors have access to</w:t>
      </w:r>
      <w:r w:rsidR="00B47E46">
        <w:rPr>
          <w:iCs/>
        </w:rPr>
        <w:t xml:space="preserve"> </w:t>
      </w:r>
      <w:r w:rsidR="00FB3986">
        <w:rPr>
          <w:iCs/>
        </w:rPr>
        <w:t>a ‘</w:t>
      </w:r>
      <w:r w:rsidR="009A6BC8" w:rsidRPr="009A6BC8">
        <w:rPr>
          <w:iCs/>
        </w:rPr>
        <w:t>single door’</w:t>
      </w:r>
      <w:r w:rsidR="00A9187B">
        <w:rPr>
          <w:iCs/>
        </w:rPr>
        <w:t xml:space="preserve">, free and </w:t>
      </w:r>
      <w:r w:rsidR="00812BAB">
        <w:rPr>
          <w:iCs/>
        </w:rPr>
        <w:t>fair</w:t>
      </w:r>
      <w:r w:rsidR="009A6BC8" w:rsidRPr="009A6BC8">
        <w:rPr>
          <w:iCs/>
        </w:rPr>
        <w:t xml:space="preserve"> complaints resolution mechanism </w:t>
      </w:r>
      <w:r w:rsidR="00B14F09">
        <w:rPr>
          <w:iCs/>
        </w:rPr>
        <w:t xml:space="preserve">to seek redress </w:t>
      </w:r>
      <w:r w:rsidR="009A6BC8" w:rsidRPr="009A6BC8">
        <w:rPr>
          <w:iCs/>
        </w:rPr>
        <w:t>for their scams-related complaints.</w:t>
      </w:r>
      <w:r w:rsidR="009A6BC8">
        <w:rPr>
          <w:iCs/>
        </w:rPr>
        <w:t xml:space="preserve"> </w:t>
      </w:r>
      <w:r w:rsidR="00B47CEF">
        <w:rPr>
          <w:iCs/>
        </w:rPr>
        <w:t>This</w:t>
      </w:r>
      <w:r w:rsidR="00680379">
        <w:rPr>
          <w:iCs/>
        </w:rPr>
        <w:t xml:space="preserve"> </w:t>
      </w:r>
      <w:r w:rsidR="00B47CEF">
        <w:rPr>
          <w:iCs/>
        </w:rPr>
        <w:t>avoids the administrative</w:t>
      </w:r>
      <w:r w:rsidR="009A6BC8" w:rsidRPr="009A6BC8">
        <w:rPr>
          <w:iCs/>
        </w:rPr>
        <w:t xml:space="preserve"> burden for </w:t>
      </w:r>
      <w:r w:rsidR="00FA38CF">
        <w:rPr>
          <w:iCs/>
        </w:rPr>
        <w:t>both complainants</w:t>
      </w:r>
      <w:r w:rsidR="009A6BC8" w:rsidRPr="009A6BC8">
        <w:rPr>
          <w:iCs/>
        </w:rPr>
        <w:t xml:space="preserve"> and regulated entities</w:t>
      </w:r>
      <w:r w:rsidR="00B47CEF">
        <w:rPr>
          <w:iCs/>
        </w:rPr>
        <w:t xml:space="preserve"> of having </w:t>
      </w:r>
      <w:r w:rsidR="009A6BC8" w:rsidRPr="009A6BC8">
        <w:rPr>
          <w:iCs/>
        </w:rPr>
        <w:t xml:space="preserve">multiple SPF EDR schemes involved </w:t>
      </w:r>
      <w:r w:rsidR="00C61A9A">
        <w:rPr>
          <w:iCs/>
        </w:rPr>
        <w:t>in complaints</w:t>
      </w:r>
      <w:r w:rsidR="00D576F7">
        <w:rPr>
          <w:iCs/>
        </w:rPr>
        <w:t xml:space="preserve"> </w:t>
      </w:r>
      <w:r w:rsidR="00C61A9A">
        <w:rPr>
          <w:iCs/>
        </w:rPr>
        <w:t>that</w:t>
      </w:r>
      <w:r w:rsidR="00B47CEF">
        <w:rPr>
          <w:iCs/>
        </w:rPr>
        <w:t xml:space="preserve"> relate</w:t>
      </w:r>
      <w:r w:rsidR="009A6BC8" w:rsidRPr="009A6BC8">
        <w:rPr>
          <w:iCs/>
        </w:rPr>
        <w:t xml:space="preserve"> </w:t>
      </w:r>
      <w:r w:rsidR="000439F1">
        <w:rPr>
          <w:iCs/>
        </w:rPr>
        <w:t xml:space="preserve">to </w:t>
      </w:r>
      <w:r w:rsidR="009A6BC8" w:rsidRPr="009A6BC8">
        <w:rPr>
          <w:iCs/>
        </w:rPr>
        <w:t>multiple regulated entities across different sectors</w:t>
      </w:r>
      <w:r w:rsidR="00AF2BC2">
        <w:rPr>
          <w:iCs/>
        </w:rPr>
        <w:t>.</w:t>
      </w:r>
      <w:r w:rsidR="002B432A">
        <w:rPr>
          <w:iCs/>
        </w:rPr>
        <w:t xml:space="preserve"> </w:t>
      </w:r>
    </w:p>
    <w:p w14:paraId="50330831" w14:textId="4F3A92B2" w:rsidR="0079037A" w:rsidRDefault="00132BC7" w:rsidP="0079037A">
      <w:pPr>
        <w:spacing w:before="240"/>
        <w:rPr>
          <w:iCs/>
        </w:rPr>
      </w:pPr>
      <w:r>
        <w:rPr>
          <w:iCs/>
        </w:rPr>
        <w:t>I</w:t>
      </w:r>
      <w:r w:rsidR="0072447A">
        <w:rPr>
          <w:iCs/>
        </w:rPr>
        <w:t>n</w:t>
      </w:r>
      <w:r w:rsidR="0079037A">
        <w:rPr>
          <w:iCs/>
        </w:rPr>
        <w:t xml:space="preserve"> making the Authorisation, the Minister has considered the accessibility, independence, fairness, accountability, efficiency and effectiveness of the AFCA scheme, in accordance with subsection </w:t>
      </w:r>
      <w:r w:rsidR="00F429D9">
        <w:rPr>
          <w:iCs/>
        </w:rPr>
        <w:t>58</w:t>
      </w:r>
      <w:proofErr w:type="gramStart"/>
      <w:r w:rsidR="00F429D9">
        <w:rPr>
          <w:iCs/>
        </w:rPr>
        <w:t>DB(</w:t>
      </w:r>
      <w:proofErr w:type="gramEnd"/>
      <w:r w:rsidR="00F429D9">
        <w:rPr>
          <w:iCs/>
        </w:rPr>
        <w:t>2)</w:t>
      </w:r>
      <w:r w:rsidR="0079037A">
        <w:rPr>
          <w:iCs/>
        </w:rPr>
        <w:t xml:space="preserve"> of the Act</w:t>
      </w:r>
      <w:r w:rsidR="0072447A">
        <w:rPr>
          <w:iCs/>
        </w:rPr>
        <w:t>.</w:t>
      </w:r>
    </w:p>
    <w:p w14:paraId="08995B56" w14:textId="151AA09E" w:rsidR="002C226C" w:rsidRDefault="002C226C" w:rsidP="004A27A8">
      <w:pPr>
        <w:spacing w:before="240"/>
      </w:pPr>
      <w:r w:rsidRPr="003C5719">
        <w:lastRenderedPageBreak/>
        <w:t xml:space="preserve">The </w:t>
      </w:r>
      <w:r w:rsidR="00D041C0">
        <w:t xml:space="preserve">Authorisation </w:t>
      </w:r>
      <w:r w:rsidR="00D041C0" w:rsidRPr="00740B03">
        <w:t>is</w:t>
      </w:r>
      <w:r w:rsidR="00F906AC" w:rsidRPr="00740B03">
        <w:t xml:space="preserve"> </w:t>
      </w:r>
      <w:r w:rsidRPr="00E670A4">
        <w:t xml:space="preserve">a legislative instrument for the purposes of the </w:t>
      </w:r>
      <w:r w:rsidRPr="00E670A4">
        <w:rPr>
          <w:i/>
          <w:iCs/>
        </w:rPr>
        <w:t>Legislation Act</w:t>
      </w:r>
      <w:r w:rsidR="00A31681" w:rsidRPr="00E670A4">
        <w:rPr>
          <w:i/>
          <w:iCs/>
        </w:rPr>
        <w:t> </w:t>
      </w:r>
      <w:r w:rsidRPr="00E670A4">
        <w:rPr>
          <w:i/>
          <w:iCs/>
        </w:rPr>
        <w:t>2003</w:t>
      </w:r>
      <w:r w:rsidR="009E7311">
        <w:t xml:space="preserve"> and is </w:t>
      </w:r>
      <w:r w:rsidR="0057398C" w:rsidRPr="00E670A4">
        <w:t>subject to the sunsetting and disallowance regimes set out in that Act.</w:t>
      </w:r>
      <w:r w:rsidR="0057398C" w:rsidRPr="0057398C">
        <w:t xml:space="preserve"> </w:t>
      </w:r>
    </w:p>
    <w:p w14:paraId="7E51B0A7" w14:textId="76C12DA6" w:rsidR="0000628C" w:rsidRDefault="00F109D4" w:rsidP="004A27A8">
      <w:pPr>
        <w:spacing w:before="240"/>
      </w:pPr>
      <w:r>
        <w:t xml:space="preserve">The </w:t>
      </w:r>
      <w:r w:rsidR="00D041C0">
        <w:t>Authorisation</w:t>
      </w:r>
      <w:r w:rsidR="00F906AC">
        <w:t xml:space="preserve"> </w:t>
      </w:r>
      <w:r w:rsidR="00E5676B">
        <w:t>commence</w:t>
      </w:r>
      <w:r w:rsidR="00542EC8">
        <w:t>s</w:t>
      </w:r>
      <w:r w:rsidR="00E5676B">
        <w:t xml:space="preserve"> on </w:t>
      </w:r>
      <w:r w:rsidR="00F429D9">
        <w:t xml:space="preserve">1 </w:t>
      </w:r>
      <w:r w:rsidR="6648C4EF">
        <w:t xml:space="preserve">September </w:t>
      </w:r>
      <w:r w:rsidR="00F429D9">
        <w:t>2026</w:t>
      </w:r>
      <w:r w:rsidR="00254D3C">
        <w:t>.</w:t>
      </w:r>
      <w:r w:rsidR="008B34CA">
        <w:t xml:space="preserve"> </w:t>
      </w:r>
      <w:r w:rsidR="005B7151" w:rsidRPr="54C26236">
        <w:rPr>
          <w:color w:val="FF0000"/>
        </w:rPr>
        <w:t xml:space="preserve">              </w:t>
      </w:r>
    </w:p>
    <w:p w14:paraId="6BB8E661" w14:textId="2A88EEB9" w:rsidR="0011527C" w:rsidRPr="003C5719" w:rsidRDefault="0011527C" w:rsidP="004A27A8">
      <w:pPr>
        <w:spacing w:before="240"/>
      </w:pPr>
      <w:r w:rsidRPr="003C5719">
        <w:t xml:space="preserve">Details of the </w:t>
      </w:r>
      <w:r w:rsidR="00E5676B">
        <w:t>Authorisation</w:t>
      </w:r>
      <w:r w:rsidRPr="003C5719">
        <w:t xml:space="preserve"> are set out in </w:t>
      </w:r>
      <w:r w:rsidRPr="003C5719">
        <w:rPr>
          <w:u w:val="single"/>
        </w:rPr>
        <w:t>Attach</w:t>
      </w:r>
      <w:r w:rsidRPr="00E5676B">
        <w:rPr>
          <w:u w:val="single"/>
        </w:rPr>
        <w:t>ment</w:t>
      </w:r>
      <w:r w:rsidR="00E5676B" w:rsidRPr="00E5676B">
        <w:rPr>
          <w:u w:val="single"/>
        </w:rPr>
        <w:t xml:space="preserve"> A.</w:t>
      </w:r>
    </w:p>
    <w:p w14:paraId="1A6BFA5E" w14:textId="77777777" w:rsidR="00EB2AEF" w:rsidRPr="003C5719" w:rsidRDefault="00EB2AEF" w:rsidP="004A27A8">
      <w:pPr>
        <w:spacing w:before="240"/>
      </w:pPr>
    </w:p>
    <w:p w14:paraId="3B70A2BE" w14:textId="4F6D8C05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>ATTACHMENT</w:t>
      </w:r>
      <w:r w:rsidR="00BB4AF3">
        <w:rPr>
          <w:b/>
          <w:u w:val="single"/>
        </w:rPr>
        <w:t xml:space="preserve"> A</w:t>
      </w:r>
    </w:p>
    <w:p w14:paraId="6B202E82" w14:textId="28DEAAA4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>Details of the</w:t>
      </w:r>
      <w:r w:rsidR="001F12F5">
        <w:rPr>
          <w:b/>
          <w:bCs/>
          <w:u w:val="single"/>
        </w:rPr>
        <w:t xml:space="preserve"> </w:t>
      </w:r>
      <w:r w:rsidR="00A20FEF" w:rsidRPr="00A20FEF">
        <w:rPr>
          <w:b/>
          <w:bCs/>
          <w:i/>
          <w:iCs/>
          <w:u w:val="single"/>
        </w:rPr>
        <w:t>Competition and Consumer (Scams Prevention Framework – External Dispute Resolution) Authorisation 2025</w:t>
      </w:r>
      <w:r w:rsidRPr="003C5719">
        <w:rPr>
          <w:b/>
          <w:bCs/>
          <w:u w:val="single"/>
        </w:rPr>
        <w:t xml:space="preserve"> </w:t>
      </w:r>
    </w:p>
    <w:p w14:paraId="4F9CF495" w14:textId="2903325D" w:rsidR="00445CEC" w:rsidRDefault="00445CEC" w:rsidP="004A27A8">
      <w:pPr>
        <w:spacing w:before="240"/>
        <w:rPr>
          <w:u w:val="single"/>
        </w:rPr>
      </w:pPr>
      <w:r w:rsidRPr="00445CEC">
        <w:rPr>
          <w:u w:val="single"/>
        </w:rPr>
        <w:t xml:space="preserve">Part 1 </w:t>
      </w:r>
      <w:r w:rsidR="004316C5">
        <w:rPr>
          <w:u w:val="single"/>
        </w:rPr>
        <w:t>–</w:t>
      </w:r>
      <w:r w:rsidRPr="00445CEC">
        <w:rPr>
          <w:u w:val="single"/>
        </w:rPr>
        <w:t xml:space="preserve"> </w:t>
      </w:r>
      <w:r w:rsidR="004316C5">
        <w:rPr>
          <w:u w:val="single"/>
        </w:rPr>
        <w:t xml:space="preserve">Preliminary </w:t>
      </w:r>
    </w:p>
    <w:p w14:paraId="4B0833F6" w14:textId="695573B4" w:rsidR="004316C5" w:rsidRPr="004316C5" w:rsidRDefault="004316C5" w:rsidP="004A27A8">
      <w:pPr>
        <w:spacing w:before="240"/>
      </w:pPr>
      <w:r>
        <w:t xml:space="preserve">This Part </w:t>
      </w:r>
      <w:r w:rsidR="00EC4E63">
        <w:t>sets out</w:t>
      </w:r>
      <w:r>
        <w:t xml:space="preserve"> machinery </w:t>
      </w:r>
      <w:r w:rsidR="00EC4E63">
        <w:t>matters</w:t>
      </w:r>
      <w:r>
        <w:t xml:space="preserve">, </w:t>
      </w:r>
      <w:r w:rsidR="004E7D5C">
        <w:t>which include the name, commencement</w:t>
      </w:r>
      <w:r w:rsidR="00C000B9">
        <w:t>,</w:t>
      </w:r>
      <w:r w:rsidR="004E7D5C">
        <w:t xml:space="preserve"> legislative authority and definitions.  </w:t>
      </w:r>
    </w:p>
    <w:p w14:paraId="4CA5291D" w14:textId="240E31E5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772708FC" w14:textId="34653DE6" w:rsidR="00EA4DD8" w:rsidRDefault="00EA4DD8" w:rsidP="004A27A8">
      <w:pPr>
        <w:spacing w:before="240"/>
      </w:pPr>
      <w:r w:rsidRPr="003C5719">
        <w:t xml:space="preserve">This section provides that the name of the </w:t>
      </w:r>
      <w:r w:rsidR="005634A7">
        <w:t>instrument</w:t>
      </w:r>
      <w:r w:rsidR="00F906AC">
        <w:t xml:space="preserve"> </w:t>
      </w:r>
      <w:r w:rsidRPr="003C5719">
        <w:t xml:space="preserve">is the </w:t>
      </w:r>
      <w:r w:rsidR="00F02E36">
        <w:rPr>
          <w:i/>
          <w:iCs/>
        </w:rPr>
        <w:t>Competition and Consumer (Scams Prevention Framework – External Dispute Resolution) Authorisation 2025</w:t>
      </w:r>
      <w:r w:rsidR="001F12F5" w:rsidRPr="00901303">
        <w:rPr>
          <w:color w:val="000000" w:themeColor="text1"/>
        </w:rPr>
        <w:t xml:space="preserve"> </w:t>
      </w:r>
      <w:r w:rsidRPr="00901303">
        <w:rPr>
          <w:color w:val="000000" w:themeColor="text1"/>
        </w:rPr>
        <w:t>(th</w:t>
      </w:r>
      <w:r w:rsidRPr="003C5719">
        <w:t>e </w:t>
      </w:r>
      <w:r w:rsidR="00D041C0">
        <w:t>Authorisation</w:t>
      </w:r>
      <w:r w:rsidRPr="003C5719">
        <w:t>).</w:t>
      </w:r>
    </w:p>
    <w:p w14:paraId="6A6089F3" w14:textId="49A3303C" w:rsidR="009C5973" w:rsidRPr="003C5719" w:rsidRDefault="009C5973" w:rsidP="004A27A8">
      <w:pPr>
        <w:spacing w:before="240"/>
      </w:pPr>
      <w:r>
        <w:t xml:space="preserve">All legislative references are to the Authorisation unless noted otherwise. </w:t>
      </w:r>
    </w:p>
    <w:p w14:paraId="2F90A861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176DF5F1" w14:textId="438EEFA3" w:rsidR="00EA4DD8" w:rsidRDefault="00407317" w:rsidP="54C26236">
      <w:pPr>
        <w:spacing w:before="240"/>
      </w:pPr>
      <w:r>
        <w:t>T</w:t>
      </w:r>
      <w:r w:rsidR="00EA4DD8">
        <w:t xml:space="preserve">he </w:t>
      </w:r>
      <w:r w:rsidR="00D041C0">
        <w:t>Authorisation</w:t>
      </w:r>
      <w:r w:rsidR="00EA4DD8">
        <w:t xml:space="preserve"> commence</w:t>
      </w:r>
      <w:r>
        <w:t>s</w:t>
      </w:r>
      <w:r w:rsidR="00EA4DD8">
        <w:t xml:space="preserve"> on </w:t>
      </w:r>
      <w:r w:rsidR="00274AF1">
        <w:t xml:space="preserve">1 </w:t>
      </w:r>
      <w:r w:rsidR="28B7050D">
        <w:t xml:space="preserve">September </w:t>
      </w:r>
      <w:r w:rsidR="00274AF1">
        <w:t>202</w:t>
      </w:r>
      <w:r w:rsidR="005F091C">
        <w:t>6</w:t>
      </w:r>
      <w:r w:rsidR="00EA4DD8">
        <w:t>.</w:t>
      </w:r>
    </w:p>
    <w:p w14:paraId="7F1D4948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21915102" w14:textId="6D12CE14" w:rsidR="00EA4DD8" w:rsidRPr="003C5719" w:rsidRDefault="00EA4DD8" w:rsidP="004A27A8">
      <w:pPr>
        <w:spacing w:before="240"/>
      </w:pPr>
      <w:r w:rsidRPr="003C5719">
        <w:t xml:space="preserve">The </w:t>
      </w:r>
      <w:r w:rsidR="00D041C0">
        <w:t>Authorisation</w:t>
      </w:r>
      <w:r w:rsidR="007A7AC6">
        <w:t xml:space="preserve"> is </w:t>
      </w:r>
      <w:r w:rsidRPr="003C5719">
        <w:t>made under the</w:t>
      </w:r>
      <w:r w:rsidR="001F12F5">
        <w:t xml:space="preserve"> </w:t>
      </w:r>
      <w:r w:rsidR="007A7AC6">
        <w:rPr>
          <w:i/>
          <w:iCs/>
        </w:rPr>
        <w:t>Competition and Consumer Act 2010</w:t>
      </w:r>
      <w:r w:rsidRPr="003C5719">
        <w:t xml:space="preserve"> (the Act).</w:t>
      </w:r>
    </w:p>
    <w:p w14:paraId="4E578633" w14:textId="0B21BFAD" w:rsidR="00282D37" w:rsidRPr="003C5719" w:rsidRDefault="00282D37" w:rsidP="00282D37">
      <w:pPr>
        <w:spacing w:before="240"/>
        <w:rPr>
          <w:u w:val="single"/>
        </w:rPr>
      </w:pPr>
      <w:r w:rsidRPr="003C5719">
        <w:rPr>
          <w:u w:val="single"/>
        </w:rPr>
        <w:t xml:space="preserve">Section 4 – </w:t>
      </w:r>
      <w:r>
        <w:rPr>
          <w:u w:val="single"/>
        </w:rPr>
        <w:t>Definitions</w:t>
      </w:r>
    </w:p>
    <w:p w14:paraId="70F94926" w14:textId="12FCB538" w:rsidR="00AD7975" w:rsidRDefault="00AD7975" w:rsidP="004A27A8">
      <w:pPr>
        <w:spacing w:before="240"/>
      </w:pPr>
      <w:r>
        <w:t xml:space="preserve">This section sets out definitions </w:t>
      </w:r>
      <w:r w:rsidR="007C582E">
        <w:t>of terms used in this Authorisation as follows:</w:t>
      </w:r>
    </w:p>
    <w:p w14:paraId="19D7701E" w14:textId="28D47F10" w:rsidR="007C582E" w:rsidRDefault="007C582E" w:rsidP="007C582E">
      <w:pPr>
        <w:pStyle w:val="Bullet"/>
      </w:pPr>
      <w:r>
        <w:t xml:space="preserve">‘AFCA scheme’ </w:t>
      </w:r>
      <w:r w:rsidR="00017360">
        <w:t xml:space="preserve">has the same meaning as in section 761A of the </w:t>
      </w:r>
      <w:r w:rsidR="00017360">
        <w:rPr>
          <w:i/>
          <w:iCs/>
        </w:rPr>
        <w:t>Corporations Act 2001</w:t>
      </w:r>
      <w:r w:rsidR="009B3B50">
        <w:rPr>
          <w:i/>
          <w:iCs/>
        </w:rPr>
        <w:t xml:space="preserve"> </w:t>
      </w:r>
      <w:r w:rsidR="009B3B50">
        <w:t>(Corporations Act)</w:t>
      </w:r>
      <w:r w:rsidR="00017360">
        <w:t>.</w:t>
      </w:r>
      <w:r w:rsidR="009330F4">
        <w:t xml:space="preserve"> Under section 761A of that Act, the AFCA scheme is an external dispute resolution (EDR) scheme </w:t>
      </w:r>
      <w:r w:rsidR="009B3B50">
        <w:t xml:space="preserve">for which an authorisation under Part 7.10A of the Corporations Act is in force. </w:t>
      </w:r>
      <w:r w:rsidR="00E87822">
        <w:t xml:space="preserve">Further, </w:t>
      </w:r>
      <w:r w:rsidR="002329FD">
        <w:t xml:space="preserve">‘AFCA’ </w:t>
      </w:r>
      <w:r w:rsidR="00B82767">
        <w:t>(</w:t>
      </w:r>
      <w:r w:rsidR="002329FD">
        <w:t>short for the Australian Financial Complaints Authority</w:t>
      </w:r>
      <w:r w:rsidR="00B82767">
        <w:t xml:space="preserve">) </w:t>
      </w:r>
      <w:r w:rsidR="002329FD">
        <w:t xml:space="preserve">is the operator of the AFCA scheme. </w:t>
      </w:r>
    </w:p>
    <w:p w14:paraId="42EF3C97" w14:textId="63D8D0DC" w:rsidR="00791BCB" w:rsidRDefault="003F048F" w:rsidP="007C582E">
      <w:pPr>
        <w:pStyle w:val="Bullet"/>
      </w:pPr>
      <w:r>
        <w:t>‘</w:t>
      </w:r>
      <w:r w:rsidR="006E2DB8">
        <w:t>B</w:t>
      </w:r>
      <w:r>
        <w:t xml:space="preserve">anking sector’ means the covered banking services designated as a regulated sector </w:t>
      </w:r>
      <w:r w:rsidR="00E6542E">
        <w:t xml:space="preserve">of the Australian economy under the </w:t>
      </w:r>
      <w:r w:rsidR="00F90860" w:rsidRPr="00F42D19">
        <w:rPr>
          <w:i/>
        </w:rPr>
        <w:t>C</w:t>
      </w:r>
      <w:r w:rsidR="00F90860" w:rsidRPr="00F42D19">
        <w:rPr>
          <w:i/>
          <w:iCs/>
        </w:rPr>
        <w:t>ompetition and Consumer (Scams Prevention Framework—Regulated Sectors) Designation 2025</w:t>
      </w:r>
      <w:r w:rsidR="00F90860">
        <w:rPr>
          <w:i/>
          <w:iCs/>
        </w:rPr>
        <w:t xml:space="preserve"> </w:t>
      </w:r>
      <w:r w:rsidR="00F90860">
        <w:t>(the Designation)</w:t>
      </w:r>
      <w:r w:rsidR="006E2DB8">
        <w:t>.</w:t>
      </w:r>
      <w:r w:rsidR="00B771DB">
        <w:t xml:space="preserve"> </w:t>
      </w:r>
      <w:r w:rsidR="00006A22">
        <w:t>Broadly, c</w:t>
      </w:r>
      <w:r w:rsidR="00026991">
        <w:t>overed banking services</w:t>
      </w:r>
      <w:r w:rsidR="00B771DB">
        <w:t xml:space="preserve"> encompass services provided by an </w:t>
      </w:r>
      <w:r w:rsidR="003A2EAF">
        <w:t>authorised deposit-taking institution (ADI)</w:t>
      </w:r>
      <w:r w:rsidR="00B771DB">
        <w:t xml:space="preserve"> </w:t>
      </w:r>
      <w:proofErr w:type="gramStart"/>
      <w:r w:rsidR="00B771DB">
        <w:t>in the course of</w:t>
      </w:r>
      <w:proofErr w:type="gramEnd"/>
      <w:r w:rsidR="00B771DB">
        <w:t xml:space="preserve"> its banking business</w:t>
      </w:r>
      <w:r w:rsidR="00BE5599">
        <w:t xml:space="preserve"> and the provision of </w:t>
      </w:r>
      <w:r w:rsidR="00D24AA3">
        <w:t xml:space="preserve">a </w:t>
      </w:r>
      <w:r w:rsidR="00006A22">
        <w:t xml:space="preserve">purchased payment </w:t>
      </w:r>
      <w:r w:rsidR="00D24AA3">
        <w:t>facility</w:t>
      </w:r>
      <w:r w:rsidR="00006A22">
        <w:t xml:space="preserve"> by an ADI</w:t>
      </w:r>
      <w:r w:rsidR="00B771DB">
        <w:t xml:space="preserve">. </w:t>
      </w:r>
    </w:p>
    <w:p w14:paraId="432645B4" w14:textId="58BE9C13" w:rsidR="006E2DB8" w:rsidRDefault="006E2DB8" w:rsidP="007C582E">
      <w:pPr>
        <w:pStyle w:val="Bullet"/>
      </w:pPr>
      <w:r>
        <w:t xml:space="preserve">‘Digital </w:t>
      </w:r>
      <w:r w:rsidR="001A3C5D">
        <w:t xml:space="preserve">platforms </w:t>
      </w:r>
      <w:r>
        <w:t xml:space="preserve">sector’ means the covered digital platform services designated as a regulated sector </w:t>
      </w:r>
      <w:r w:rsidR="008E26C9">
        <w:t>of the Australian economy under the Designation.</w:t>
      </w:r>
      <w:r w:rsidR="003A503C">
        <w:t xml:space="preserve"> </w:t>
      </w:r>
      <w:r w:rsidR="00006A22">
        <w:t>Broadly, c</w:t>
      </w:r>
      <w:r w:rsidR="00026991">
        <w:t xml:space="preserve">overed </w:t>
      </w:r>
      <w:r w:rsidR="00EE60D0">
        <w:t xml:space="preserve">digital platform services </w:t>
      </w:r>
      <w:r w:rsidR="005F091C">
        <w:t xml:space="preserve">comprise social media services, </w:t>
      </w:r>
      <w:r w:rsidR="009F6DA6">
        <w:t>instant messaging services and internet search engine services</w:t>
      </w:r>
      <w:r w:rsidR="00B771DB">
        <w:t xml:space="preserve"> provided by entities of a certain size.</w:t>
      </w:r>
      <w:r w:rsidR="009F6DA6">
        <w:t xml:space="preserve"> </w:t>
      </w:r>
    </w:p>
    <w:p w14:paraId="6345C260" w14:textId="106AE1B2" w:rsidR="008E26C9" w:rsidRDefault="008E26C9" w:rsidP="007C582E">
      <w:pPr>
        <w:pStyle w:val="Bullet"/>
      </w:pPr>
      <w:r>
        <w:t xml:space="preserve">‘Telecommunications sector’ means the covered telecommunications services designated as regulated sector of the Australian economy </w:t>
      </w:r>
      <w:r w:rsidR="007364E7">
        <w:t>under the Designation.</w:t>
      </w:r>
      <w:r w:rsidR="00B771DB">
        <w:t xml:space="preserve"> </w:t>
      </w:r>
      <w:r w:rsidR="00006A22">
        <w:t>Broadly, c</w:t>
      </w:r>
      <w:r w:rsidR="00EE60D0">
        <w:t>overed telecommunications services</w:t>
      </w:r>
      <w:r w:rsidR="00B771DB">
        <w:t xml:space="preserve"> encompass </w:t>
      </w:r>
      <w:r w:rsidR="00026991">
        <w:t>voice call serv</w:t>
      </w:r>
      <w:r w:rsidR="00EE60D0">
        <w:t xml:space="preserve">ices and message services </w:t>
      </w:r>
      <w:r w:rsidR="00316DC6">
        <w:t xml:space="preserve">provided by carriers and public carriage service </w:t>
      </w:r>
      <w:r w:rsidR="00CF17C6">
        <w:t>providers.</w:t>
      </w:r>
    </w:p>
    <w:p w14:paraId="6B934EF0" w14:textId="31CEE2A7" w:rsidR="007364E7" w:rsidRDefault="007364E7" w:rsidP="007C582E">
      <w:pPr>
        <w:pStyle w:val="Bullet"/>
      </w:pPr>
      <w:r>
        <w:lastRenderedPageBreak/>
        <w:t xml:space="preserve">‘The Act’ refers to the </w:t>
      </w:r>
      <w:r>
        <w:rPr>
          <w:i/>
          <w:iCs/>
        </w:rPr>
        <w:t>Competition and Consumer Act 2010</w:t>
      </w:r>
      <w:r>
        <w:t>.</w:t>
      </w:r>
    </w:p>
    <w:p w14:paraId="33DCC653" w14:textId="357C9A97" w:rsidR="007C582E" w:rsidRDefault="00BC6FA1" w:rsidP="004A27A8">
      <w:pPr>
        <w:spacing w:before="240"/>
      </w:pPr>
      <w:r>
        <w:t>E</w:t>
      </w:r>
      <w:r w:rsidR="003E6E9F">
        <w:t xml:space="preserve">xpressions in the Authorisation otherwise have the same meaning as in </w:t>
      </w:r>
      <w:r w:rsidR="007F0FC6">
        <w:t xml:space="preserve">the Act as in force from time to time, in accordance with paragraph 13(1)(b) of the </w:t>
      </w:r>
      <w:r w:rsidR="007F0FC6">
        <w:rPr>
          <w:i/>
          <w:iCs/>
        </w:rPr>
        <w:t xml:space="preserve">Legislation Act </w:t>
      </w:r>
      <w:r w:rsidR="00F9089A">
        <w:rPr>
          <w:i/>
          <w:iCs/>
        </w:rPr>
        <w:t>2003</w:t>
      </w:r>
      <w:r w:rsidR="00F9089A">
        <w:t>.</w:t>
      </w:r>
    </w:p>
    <w:p w14:paraId="3AB03AF4" w14:textId="3E4F5D47" w:rsidR="004E7D5C" w:rsidRPr="00A03B46" w:rsidRDefault="004E7D5C" w:rsidP="004A27A8">
      <w:pPr>
        <w:spacing w:before="240"/>
        <w:rPr>
          <w:b/>
          <w:bCs/>
        </w:rPr>
      </w:pPr>
      <w:r w:rsidRPr="00A03B46">
        <w:rPr>
          <w:b/>
          <w:bCs/>
        </w:rPr>
        <w:t xml:space="preserve">Part 2 </w:t>
      </w:r>
      <w:r w:rsidR="00EC4E63" w:rsidRPr="00A03B46">
        <w:rPr>
          <w:b/>
          <w:bCs/>
        </w:rPr>
        <w:t>–</w:t>
      </w:r>
      <w:r w:rsidRPr="00A03B46">
        <w:rPr>
          <w:b/>
          <w:bCs/>
        </w:rPr>
        <w:t xml:space="preserve"> </w:t>
      </w:r>
      <w:r w:rsidR="00EC4E63" w:rsidRPr="00A03B46">
        <w:rPr>
          <w:b/>
          <w:bCs/>
        </w:rPr>
        <w:t>Authorised external dispute resolution schemes</w:t>
      </w:r>
    </w:p>
    <w:p w14:paraId="1EC1DCE8" w14:textId="62991862" w:rsidR="00AC7851" w:rsidRDefault="00FE0354" w:rsidP="00466DD5">
      <w:pPr>
        <w:spacing w:before="240" w:after="200"/>
      </w:pPr>
      <w:r>
        <w:rPr>
          <w:u w:val="single"/>
        </w:rPr>
        <w:t xml:space="preserve">Section 5 </w:t>
      </w:r>
      <w:r w:rsidR="00EE2B83">
        <w:rPr>
          <w:u w:val="single"/>
        </w:rPr>
        <w:t>–</w:t>
      </w:r>
      <w:r>
        <w:rPr>
          <w:u w:val="single"/>
        </w:rPr>
        <w:t xml:space="preserve"> </w:t>
      </w:r>
      <w:r w:rsidR="0026239F">
        <w:rPr>
          <w:u w:val="single"/>
        </w:rPr>
        <w:t>Authorisation</w:t>
      </w:r>
      <w:r w:rsidR="00EE2B83">
        <w:rPr>
          <w:u w:val="single"/>
        </w:rPr>
        <w:t xml:space="preserve"> of external dispute resolution scheme for banking</w:t>
      </w:r>
      <w:r w:rsidR="0026239F">
        <w:rPr>
          <w:u w:val="single"/>
        </w:rPr>
        <w:t>, digital platforms and telecommunications sector</w:t>
      </w:r>
      <w:r w:rsidR="000B48DB">
        <w:rPr>
          <w:u w:val="single"/>
        </w:rPr>
        <w:t>s</w:t>
      </w:r>
    </w:p>
    <w:p w14:paraId="27BD386D" w14:textId="422806D7" w:rsidR="00E944E7" w:rsidRDefault="00F231A1" w:rsidP="0008471E">
      <w:pPr>
        <w:spacing w:before="240" w:after="200"/>
      </w:pPr>
      <w:r>
        <w:t xml:space="preserve">This section authorises the AFCA scheme </w:t>
      </w:r>
      <w:r w:rsidR="0008471E">
        <w:t xml:space="preserve">as the SPF EDR scheme </w:t>
      </w:r>
      <w:r>
        <w:t>for</w:t>
      </w:r>
      <w:r w:rsidR="00E134EC">
        <w:t xml:space="preserve"> </w:t>
      </w:r>
      <w:r w:rsidR="0008471E">
        <w:t xml:space="preserve">the purposes of </w:t>
      </w:r>
      <w:r w:rsidR="000B48DB">
        <w:t>the Scams Prevention Framework (SPF) in Part IVF of the Act</w:t>
      </w:r>
      <w:r>
        <w:t xml:space="preserve"> </w:t>
      </w:r>
      <w:r w:rsidR="00521961">
        <w:t xml:space="preserve">for </w:t>
      </w:r>
      <w:r w:rsidR="008C35CE">
        <w:t>the</w:t>
      </w:r>
      <w:r w:rsidR="00521961">
        <w:t xml:space="preserve"> banking sector, </w:t>
      </w:r>
      <w:r w:rsidR="008C35CE">
        <w:t xml:space="preserve">the </w:t>
      </w:r>
      <w:r w:rsidR="00521961">
        <w:t>telecommunications sector and the digital platforms secto</w:t>
      </w:r>
      <w:r w:rsidR="00F55CDC">
        <w:t>r</w:t>
      </w:r>
      <w:r w:rsidR="00B30159">
        <w:t>,</w:t>
      </w:r>
      <w:r w:rsidR="00853DE3">
        <w:t xml:space="preserve"> respectively,</w:t>
      </w:r>
      <w:r w:rsidR="00B30159">
        <w:t xml:space="preserve"> under subsection 58</w:t>
      </w:r>
      <w:proofErr w:type="gramStart"/>
      <w:r w:rsidR="00B30159">
        <w:t>DB(</w:t>
      </w:r>
      <w:proofErr w:type="gramEnd"/>
      <w:r w:rsidR="00B30159">
        <w:t>1) of the Act</w:t>
      </w:r>
      <w:r w:rsidR="00C02849">
        <w:t>.</w:t>
      </w:r>
      <w:r w:rsidR="0008471E">
        <w:t xml:space="preserve"> </w:t>
      </w:r>
    </w:p>
    <w:p w14:paraId="08085ADE" w14:textId="6A4CC7A3" w:rsidR="00B30159" w:rsidRDefault="009567BD" w:rsidP="0008471E">
      <w:pPr>
        <w:spacing w:before="240" w:after="200"/>
      </w:pPr>
      <w:r>
        <w:t>Paragraph</w:t>
      </w:r>
      <w:r w:rsidR="00B30159">
        <w:t xml:space="preserve"> 58DB(1)(a)</w:t>
      </w:r>
      <w:r w:rsidR="00C63411">
        <w:t xml:space="preserve"> of the Act</w:t>
      </w:r>
      <w:r w:rsidR="00B30159">
        <w:t xml:space="preserve"> </w:t>
      </w:r>
      <w:r w:rsidR="00C63411">
        <w:t xml:space="preserve">allows the Minister to authorise </w:t>
      </w:r>
      <w:r w:rsidR="00BA770B">
        <w:t xml:space="preserve">an EDR scheme if the scheme is already authorised under a Commonwealth law for another purpose. </w:t>
      </w:r>
      <w:r w:rsidR="003329D1">
        <w:t xml:space="preserve">The </w:t>
      </w:r>
      <w:r w:rsidR="00475DDF">
        <w:t xml:space="preserve">AFCA scheme is already authorised for the purposes of Part 7.10A of the Corporations Act (see the </w:t>
      </w:r>
      <w:r w:rsidR="00475DDF">
        <w:rPr>
          <w:i/>
          <w:iCs/>
        </w:rPr>
        <w:t>A</w:t>
      </w:r>
      <w:r w:rsidR="003329D1">
        <w:rPr>
          <w:i/>
          <w:iCs/>
        </w:rPr>
        <w:t>FCA Scheme Authorisation 2018</w:t>
      </w:r>
      <w:r w:rsidR="003329D1">
        <w:t>).</w:t>
      </w:r>
      <w:r w:rsidR="00475DDF">
        <w:t xml:space="preserve"> </w:t>
      </w:r>
    </w:p>
    <w:p w14:paraId="3BCA6DA8" w14:textId="1EE0EE8D" w:rsidR="4A8103EF" w:rsidRDefault="14E11A27" w:rsidP="16D50CF5">
      <w:pPr>
        <w:spacing w:before="240" w:after="200"/>
      </w:pPr>
      <w:r>
        <w:t xml:space="preserve">On commencement, the </w:t>
      </w:r>
      <w:r w:rsidR="009D10AB">
        <w:t>A</w:t>
      </w:r>
      <w:r w:rsidR="00E944E7">
        <w:t xml:space="preserve">uthorisation operationalises the obligations in the Act related to an SPF EDR scheme </w:t>
      </w:r>
      <w:r w:rsidR="007700BF">
        <w:t>for</w:t>
      </w:r>
      <w:r w:rsidR="00E944E7">
        <w:t xml:space="preserve"> regulated entities i</w:t>
      </w:r>
      <w:r w:rsidR="000B4B96">
        <w:t>n</w:t>
      </w:r>
      <w:r w:rsidR="00E944E7">
        <w:t xml:space="preserve"> </w:t>
      </w:r>
      <w:r w:rsidR="000B4B96">
        <w:t>the banking, telecommunications and digital platform</w:t>
      </w:r>
      <w:r w:rsidR="000A4846">
        <w:t>s</w:t>
      </w:r>
      <w:r w:rsidR="00E944E7">
        <w:t xml:space="preserve"> sectors. For example, </w:t>
      </w:r>
      <w:r w:rsidR="00EF139D">
        <w:t xml:space="preserve">a regulated entity that provides a regulated service in one of those sectors </w:t>
      </w:r>
      <w:r w:rsidR="000B4B96">
        <w:t>must become a member of the AFCA scheme under subsection 58</w:t>
      </w:r>
      <w:proofErr w:type="gramStart"/>
      <w:r w:rsidR="000B4B96">
        <w:t>BZG(</w:t>
      </w:r>
      <w:proofErr w:type="gramEnd"/>
      <w:r w:rsidR="000B4B96">
        <w:t>1) of the Act.</w:t>
      </w:r>
    </w:p>
    <w:p w14:paraId="2D559F52" w14:textId="3237CD62" w:rsidR="4A8103EF" w:rsidRDefault="320FB0E5" w:rsidP="16D50CF5">
      <w:pPr>
        <w:spacing w:before="240" w:after="200"/>
      </w:pPr>
      <w:r>
        <w:t>The Authorisation commences</w:t>
      </w:r>
      <w:r w:rsidR="4A8103EF">
        <w:t xml:space="preserve"> </w:t>
      </w:r>
      <w:r w:rsidR="000A1ECF">
        <w:t>two</w:t>
      </w:r>
      <w:r w:rsidR="4A8103EF">
        <w:t xml:space="preserve"> months after </w:t>
      </w:r>
      <w:r w:rsidR="38436328">
        <w:t xml:space="preserve">designation of the </w:t>
      </w:r>
      <w:r w:rsidR="4A8103EF">
        <w:t xml:space="preserve">banking, telecommunications and digital platforms sectors </w:t>
      </w:r>
      <w:r w:rsidR="59F474AA">
        <w:t>as regulated sectors</w:t>
      </w:r>
      <w:r w:rsidR="4A8103EF">
        <w:t xml:space="preserve">. This </w:t>
      </w:r>
      <w:r w:rsidR="057455A4">
        <w:t xml:space="preserve">delayed commencement is </w:t>
      </w:r>
      <w:r w:rsidR="4A8103EF">
        <w:t>intended to allow AFCA time to update</w:t>
      </w:r>
      <w:r w:rsidR="6FFDF9E8">
        <w:t xml:space="preserve"> </w:t>
      </w:r>
      <w:r w:rsidR="00B21962">
        <w:t>its</w:t>
      </w:r>
      <w:r w:rsidR="6FFDF9E8">
        <w:t xml:space="preserve"> </w:t>
      </w:r>
      <w:r w:rsidR="4A8103EF">
        <w:t xml:space="preserve">constitution and complaint resolution scheme rules to enable membership of regulated entities in these </w:t>
      </w:r>
      <w:r w:rsidR="1766198E">
        <w:t xml:space="preserve">sectors </w:t>
      </w:r>
      <w:r w:rsidR="4A8103EF">
        <w:t xml:space="preserve">and make other </w:t>
      </w:r>
      <w:r w:rsidR="417F8802">
        <w:t xml:space="preserve">necessary updates </w:t>
      </w:r>
      <w:r w:rsidR="16A33B90">
        <w:t xml:space="preserve">for </w:t>
      </w:r>
      <w:r w:rsidR="4A8103EF">
        <w:t>the purposes of the SPF</w:t>
      </w:r>
      <w:r w:rsidR="6D009534">
        <w:t xml:space="preserve">. </w:t>
      </w:r>
    </w:p>
    <w:p w14:paraId="0A91467C" w14:textId="7A796F13" w:rsidR="009835E6" w:rsidRDefault="009C5973" w:rsidP="00466DD5">
      <w:pPr>
        <w:spacing w:before="240" w:after="200"/>
      </w:pPr>
      <w:r>
        <w:t>ASIC</w:t>
      </w:r>
      <w:r w:rsidR="003B26B5">
        <w:t>’s</w:t>
      </w:r>
      <w:r w:rsidR="00426D5E">
        <w:t xml:space="preserve"> functions and powers relating to the AFCA scheme</w:t>
      </w:r>
      <w:r w:rsidR="00234FEA">
        <w:t xml:space="preserve"> </w:t>
      </w:r>
      <w:r w:rsidR="00426D5E">
        <w:t xml:space="preserve">will also apply for the purposes of the SPF and </w:t>
      </w:r>
      <w:r w:rsidR="00275ED0">
        <w:t xml:space="preserve">each of the </w:t>
      </w:r>
      <w:r w:rsidR="009E7311">
        <w:t xml:space="preserve">banking, digital platforms and telecommunications </w:t>
      </w:r>
      <w:r w:rsidR="00806491">
        <w:t>sector</w:t>
      </w:r>
      <w:r w:rsidR="00445708">
        <w:t>s</w:t>
      </w:r>
      <w:r w:rsidR="007A4C21">
        <w:t>.</w:t>
      </w:r>
      <w:r>
        <w:t xml:space="preserve"> </w:t>
      </w:r>
      <w:r w:rsidR="00D82B48">
        <w:t xml:space="preserve">For example, under </w:t>
      </w:r>
      <w:r w:rsidR="00E34166">
        <w:t xml:space="preserve">section 1052A of the Corporations Act, ASIC may issue regulatory requirements to </w:t>
      </w:r>
      <w:r w:rsidR="00481261">
        <w:t>AFCA relating to compl</w:t>
      </w:r>
      <w:r w:rsidR="00863F9A">
        <w:t xml:space="preserve">iance with the mandatory requirements for the AFCA scheme </w:t>
      </w:r>
      <w:r w:rsidR="008D68E6">
        <w:t>for the purposes of the SPF</w:t>
      </w:r>
      <w:r w:rsidR="0089722D">
        <w:t xml:space="preserve"> and each of those regulated sectors</w:t>
      </w:r>
      <w:r w:rsidR="00481261">
        <w:t>.</w:t>
      </w:r>
      <w:r>
        <w:t xml:space="preserve">  </w:t>
      </w:r>
    </w:p>
    <w:p w14:paraId="22DF5272" w14:textId="40DF98D4" w:rsidR="00652F84" w:rsidRPr="00A03B46" w:rsidRDefault="00652F84" w:rsidP="00466DD5">
      <w:pPr>
        <w:spacing w:before="240" w:after="200"/>
        <w:rPr>
          <w:b/>
          <w:bCs/>
        </w:rPr>
      </w:pPr>
      <w:r w:rsidRPr="00A03B46">
        <w:rPr>
          <w:b/>
          <w:bCs/>
        </w:rPr>
        <w:t xml:space="preserve">Part </w:t>
      </w:r>
      <w:r w:rsidR="00BC6FA1" w:rsidRPr="00A03B46">
        <w:rPr>
          <w:b/>
          <w:bCs/>
        </w:rPr>
        <w:t>10</w:t>
      </w:r>
      <w:r w:rsidRPr="00A03B46">
        <w:rPr>
          <w:b/>
          <w:bCs/>
        </w:rPr>
        <w:t xml:space="preserve"> – Application</w:t>
      </w:r>
      <w:r w:rsidR="00590830" w:rsidRPr="00A03B46">
        <w:rPr>
          <w:b/>
          <w:bCs/>
        </w:rPr>
        <w:t xml:space="preserve"> and transitional provisions</w:t>
      </w:r>
      <w:r w:rsidRPr="00A03B46">
        <w:rPr>
          <w:b/>
          <w:bCs/>
        </w:rPr>
        <w:t xml:space="preserve"> </w:t>
      </w:r>
    </w:p>
    <w:p w14:paraId="345655A2" w14:textId="3661BD68" w:rsidR="000B48DB" w:rsidRDefault="00420F64" w:rsidP="00466DD5">
      <w:pPr>
        <w:spacing w:before="240" w:after="200"/>
      </w:pPr>
      <w:r>
        <w:rPr>
          <w:u w:val="single"/>
        </w:rPr>
        <w:t xml:space="preserve">Section </w:t>
      </w:r>
      <w:r w:rsidR="00BC6FA1">
        <w:rPr>
          <w:u w:val="single"/>
        </w:rPr>
        <w:t>50</w:t>
      </w:r>
      <w:r>
        <w:rPr>
          <w:u w:val="single"/>
        </w:rPr>
        <w:t xml:space="preserve"> – </w:t>
      </w:r>
      <w:r w:rsidR="006D159B">
        <w:rPr>
          <w:u w:val="single"/>
        </w:rPr>
        <w:t>Application of authorisation</w:t>
      </w:r>
    </w:p>
    <w:p w14:paraId="1FF30C59" w14:textId="58C0CD28" w:rsidR="004443F8" w:rsidRDefault="004443F8" w:rsidP="00466DD5">
      <w:pPr>
        <w:spacing w:before="240" w:after="200"/>
      </w:pPr>
      <w:r>
        <w:t>Th</w:t>
      </w:r>
      <w:r w:rsidR="00097C99">
        <w:t>e A</w:t>
      </w:r>
      <w:r>
        <w:t xml:space="preserve">uthorisation only applies in relation </w:t>
      </w:r>
      <w:r w:rsidR="00CE20D2">
        <w:t xml:space="preserve">SPF-related </w:t>
      </w:r>
      <w:r w:rsidR="009300A0">
        <w:t xml:space="preserve">complaints made </w:t>
      </w:r>
      <w:r w:rsidR="009E0E8F">
        <w:t>to AFCA on or after 1 January 2027</w:t>
      </w:r>
      <w:r w:rsidR="00154558">
        <w:t xml:space="preserve"> (whether the complaint, or the matter resulting in the complaint, arose before, on or after 1 January 2027)</w:t>
      </w:r>
      <w:r w:rsidR="009E0E8F">
        <w:t xml:space="preserve">. </w:t>
      </w:r>
    </w:p>
    <w:p w14:paraId="7A80AE4C" w14:textId="5C58BC66" w:rsidR="005D6E7F" w:rsidRDefault="005D6E7F" w:rsidP="00466DD5">
      <w:pPr>
        <w:spacing w:before="240" w:after="200"/>
      </w:pPr>
      <w:r>
        <w:t>Th</w:t>
      </w:r>
      <w:r w:rsidR="00A62183">
        <w:t xml:space="preserve">is </w:t>
      </w:r>
      <w:r w:rsidR="48944AE6">
        <w:t xml:space="preserve">is </w:t>
      </w:r>
      <w:r>
        <w:t>intended to provide AFCA a</w:t>
      </w:r>
      <w:r w:rsidR="7D9187B1">
        <w:t>n additional</w:t>
      </w:r>
      <w:r>
        <w:t xml:space="preserve"> transitional period to operationalise the AFCA scheme </w:t>
      </w:r>
      <w:r w:rsidR="00324E17">
        <w:t>(such as</w:t>
      </w:r>
      <w:r w:rsidR="1473A275">
        <w:t xml:space="preserve"> processing applications for memberships</w:t>
      </w:r>
      <w:r w:rsidR="00324E17">
        <w:t xml:space="preserve">) </w:t>
      </w:r>
      <w:r>
        <w:t xml:space="preserve">for the purposes of the SPF and </w:t>
      </w:r>
      <w:r w:rsidR="00A62183">
        <w:t>banking, telecommunications and digital platforms</w:t>
      </w:r>
      <w:r>
        <w:t xml:space="preserve"> sectors before accepting SPF</w:t>
      </w:r>
      <w:r w:rsidR="00963122">
        <w:noBreakHyphen/>
      </w:r>
      <w:r>
        <w:t>related complaints</w:t>
      </w:r>
      <w:r w:rsidR="00A62183">
        <w:t xml:space="preserve"> from </w:t>
      </w:r>
      <w:r w:rsidR="00582BBA">
        <w:t xml:space="preserve">SPF </w:t>
      </w:r>
      <w:r w:rsidR="00A62183">
        <w:t>consumers</w:t>
      </w:r>
      <w:r>
        <w:t xml:space="preserve">. </w:t>
      </w:r>
      <w:r w:rsidR="008F2406">
        <w:t xml:space="preserve">This does not </w:t>
      </w:r>
      <w:r w:rsidR="00886033">
        <w:t>limit</w:t>
      </w:r>
      <w:r w:rsidR="008F2406">
        <w:t xml:space="preserve"> </w:t>
      </w:r>
      <w:r w:rsidR="008F43E2">
        <w:t xml:space="preserve">the </w:t>
      </w:r>
      <w:r w:rsidR="008F2406">
        <w:t>AFCA</w:t>
      </w:r>
      <w:r w:rsidR="004B4BDA">
        <w:t xml:space="preserve"> </w:t>
      </w:r>
      <w:r w:rsidR="008F43E2">
        <w:t>scheme</w:t>
      </w:r>
      <w:r w:rsidR="008F2406">
        <w:t xml:space="preserve"> to </w:t>
      </w:r>
      <w:r w:rsidR="008F43E2">
        <w:t>SPF</w:t>
      </w:r>
      <w:r w:rsidR="00963122">
        <w:noBreakHyphen/>
      </w:r>
      <w:r w:rsidR="00F041D3">
        <w:t xml:space="preserve">related </w:t>
      </w:r>
      <w:r w:rsidR="008F2406">
        <w:t xml:space="preserve">complaints </w:t>
      </w:r>
      <w:r w:rsidR="008C173C">
        <w:t xml:space="preserve">that </w:t>
      </w:r>
      <w:r w:rsidR="00510FB1">
        <w:t xml:space="preserve">relate </w:t>
      </w:r>
      <w:r w:rsidR="001D6809">
        <w:t>only to</w:t>
      </w:r>
      <w:r w:rsidR="00510FB1">
        <w:t xml:space="preserve"> matter</w:t>
      </w:r>
      <w:r w:rsidR="001D6809">
        <w:t xml:space="preserve">s that occurred </w:t>
      </w:r>
      <w:r w:rsidR="002A62B9">
        <w:t xml:space="preserve">on or after 1 January 2027. </w:t>
      </w:r>
    </w:p>
    <w:p w14:paraId="3F5605AF" w14:textId="1E5E6BA9" w:rsidR="003B1589" w:rsidRDefault="00DC6B31" w:rsidP="00466DD5">
      <w:pPr>
        <w:spacing w:before="240" w:after="200"/>
      </w:pPr>
      <w:r>
        <w:lastRenderedPageBreak/>
        <w:t>T</w:t>
      </w:r>
      <w:r w:rsidR="008656A8">
        <w:t>h</w:t>
      </w:r>
      <w:r w:rsidR="00590830">
        <w:t>is does not affect the</w:t>
      </w:r>
      <w:r w:rsidR="008656A8">
        <w:t xml:space="preserve"> </w:t>
      </w:r>
      <w:r w:rsidR="00590830">
        <w:t xml:space="preserve">application of the </w:t>
      </w:r>
      <w:r w:rsidR="003A06E5">
        <w:t xml:space="preserve">Authorisation </w:t>
      </w:r>
      <w:r w:rsidR="00006BBB">
        <w:t>in relation to</w:t>
      </w:r>
      <w:r w:rsidR="003A06E5">
        <w:t xml:space="preserve"> regulated entities in the </w:t>
      </w:r>
      <w:r w:rsidR="00C05AFE">
        <w:t xml:space="preserve">banking, telecommunications and digital platforms </w:t>
      </w:r>
      <w:r w:rsidR="003A06E5">
        <w:t>sectors. Accordingly, the obligations i</w:t>
      </w:r>
      <w:r w:rsidR="008656A8">
        <w:t xml:space="preserve">n the SPF related to SPF EDR </w:t>
      </w:r>
      <w:r w:rsidR="00251889">
        <w:t xml:space="preserve">schemes </w:t>
      </w:r>
      <w:r w:rsidR="00C05AFE">
        <w:t xml:space="preserve">(such as the obligation to become a member) </w:t>
      </w:r>
      <w:r w:rsidR="00251889">
        <w:t xml:space="preserve">apply to regulated entities in </w:t>
      </w:r>
      <w:r w:rsidR="003A06E5">
        <w:t>these</w:t>
      </w:r>
      <w:r w:rsidR="00251889">
        <w:t xml:space="preserve"> sectors on commencement of the Authorisation</w:t>
      </w:r>
      <w:r w:rsidR="00005802">
        <w:t xml:space="preserve">. </w:t>
      </w:r>
    </w:p>
    <w:p w14:paraId="4BDCF5FE" w14:textId="599F1006" w:rsidR="005871CB" w:rsidRPr="00C84FA0" w:rsidRDefault="005871CB" w:rsidP="00A03B46">
      <w:pPr>
        <w:spacing w:before="240" w:after="200"/>
      </w:pPr>
    </w:p>
    <w:sectPr w:rsidR="005871CB" w:rsidRPr="00C84FA0" w:rsidSect="004A27A8">
      <w:footerReference w:type="default" r:id="rId7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AED8" w14:textId="77777777" w:rsidR="001661A8" w:rsidRDefault="001661A8" w:rsidP="00954679">
      <w:pPr>
        <w:spacing w:before="0" w:after="0"/>
      </w:pPr>
      <w:r>
        <w:separator/>
      </w:r>
    </w:p>
  </w:endnote>
  <w:endnote w:type="continuationSeparator" w:id="0">
    <w:p w14:paraId="203CBB66" w14:textId="77777777" w:rsidR="001661A8" w:rsidRDefault="001661A8" w:rsidP="00954679">
      <w:pPr>
        <w:spacing w:before="0" w:after="0"/>
      </w:pPr>
      <w:r>
        <w:continuationSeparator/>
      </w:r>
    </w:p>
  </w:endnote>
  <w:endnote w:type="continuationNotice" w:id="1">
    <w:p w14:paraId="496E2FAD" w14:textId="77777777" w:rsidR="001661A8" w:rsidRDefault="001661A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474C" w14:textId="3B756BCA" w:rsidR="00954679" w:rsidRDefault="0030087E" w:rsidP="00013390">
    <w:pPr>
      <w:pStyle w:val="Footer"/>
      <w:jc w:val="right"/>
    </w:pPr>
    <w:sdt>
      <w:sdtPr>
        <w:id w:val="160861996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954679" w:rsidRPr="00954679">
              <w:rPr>
                <w:bCs/>
                <w:szCs w:val="24"/>
              </w:rPr>
              <w:fldChar w:fldCharType="begin"/>
            </w:r>
            <w:r w:rsidR="00954679" w:rsidRPr="00954679">
              <w:rPr>
                <w:bCs/>
              </w:rPr>
              <w:instrText xml:space="preserve"> PAGE </w:instrText>
            </w:r>
            <w:r w:rsidR="00954679"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="00954679" w:rsidRPr="00954679">
              <w:rPr>
                <w:bCs/>
                <w:szCs w:val="24"/>
              </w:rPr>
              <w:fldChar w:fldCharType="end"/>
            </w:r>
            <w:r w:rsidR="00954679" w:rsidRPr="00954679">
              <w:t xml:space="preserve"> of </w:t>
            </w:r>
            <w:r w:rsidR="00954679" w:rsidRPr="00954679">
              <w:rPr>
                <w:bCs/>
                <w:szCs w:val="24"/>
              </w:rPr>
              <w:fldChar w:fldCharType="begin"/>
            </w:r>
            <w:r w:rsidR="00954679" w:rsidRPr="00954679">
              <w:rPr>
                <w:bCs/>
              </w:rPr>
              <w:instrText xml:space="preserve"> NUMPAGES  </w:instrText>
            </w:r>
            <w:r w:rsidR="00954679"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="00954679" w:rsidRPr="00954679">
              <w:rPr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D03D" w14:textId="77777777" w:rsidR="001661A8" w:rsidRDefault="001661A8" w:rsidP="00954679">
      <w:pPr>
        <w:spacing w:before="0" w:after="0"/>
      </w:pPr>
      <w:r>
        <w:separator/>
      </w:r>
    </w:p>
  </w:footnote>
  <w:footnote w:type="continuationSeparator" w:id="0">
    <w:p w14:paraId="12587511" w14:textId="77777777" w:rsidR="001661A8" w:rsidRDefault="001661A8" w:rsidP="00954679">
      <w:pPr>
        <w:spacing w:before="0" w:after="0"/>
      </w:pPr>
      <w:r>
        <w:continuationSeparator/>
      </w:r>
    </w:p>
  </w:footnote>
  <w:footnote w:type="continuationNotice" w:id="1">
    <w:p w14:paraId="37DB0A6E" w14:textId="77777777" w:rsidR="001661A8" w:rsidRDefault="001661A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3F75"/>
    <w:multiLevelType w:val="multilevel"/>
    <w:tmpl w:val="405C9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CEE"/>
    <w:multiLevelType w:val="multilevel"/>
    <w:tmpl w:val="F9C80E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E4236F"/>
    <w:multiLevelType w:val="hybridMultilevel"/>
    <w:tmpl w:val="87C86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2D6C425E"/>
    <w:multiLevelType w:val="multilevel"/>
    <w:tmpl w:val="B5A60F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E6715"/>
    <w:multiLevelType w:val="hybridMultilevel"/>
    <w:tmpl w:val="57500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3C0B"/>
    <w:multiLevelType w:val="multilevel"/>
    <w:tmpl w:val="C3D8AF4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5"/>
  </w:num>
  <w:num w:numId="2" w16cid:durableId="92435628">
    <w:abstractNumId w:val="8"/>
  </w:num>
  <w:num w:numId="3" w16cid:durableId="102648425">
    <w:abstractNumId w:val="3"/>
  </w:num>
  <w:num w:numId="4" w16cid:durableId="1451314351">
    <w:abstractNumId w:val="1"/>
  </w:num>
  <w:num w:numId="5" w16cid:durableId="1455824937">
    <w:abstractNumId w:val="8"/>
  </w:num>
  <w:num w:numId="6" w16cid:durableId="2012178582">
    <w:abstractNumId w:val="8"/>
  </w:num>
  <w:num w:numId="7" w16cid:durableId="1173374635">
    <w:abstractNumId w:val="8"/>
  </w:num>
  <w:num w:numId="8" w16cid:durableId="1074162301">
    <w:abstractNumId w:val="8"/>
  </w:num>
  <w:num w:numId="9" w16cid:durableId="1206795025">
    <w:abstractNumId w:val="8"/>
  </w:num>
  <w:num w:numId="10" w16cid:durableId="474571849">
    <w:abstractNumId w:val="8"/>
  </w:num>
  <w:num w:numId="11" w16cid:durableId="890385033">
    <w:abstractNumId w:val="8"/>
  </w:num>
  <w:num w:numId="12" w16cid:durableId="392780191">
    <w:abstractNumId w:val="8"/>
  </w:num>
  <w:num w:numId="13" w16cid:durableId="1793669345">
    <w:abstractNumId w:val="8"/>
  </w:num>
  <w:num w:numId="14" w16cid:durableId="2085832638">
    <w:abstractNumId w:val="8"/>
  </w:num>
  <w:num w:numId="15" w16cid:durableId="724838217">
    <w:abstractNumId w:val="8"/>
  </w:num>
  <w:num w:numId="16" w16cid:durableId="951398036">
    <w:abstractNumId w:val="8"/>
  </w:num>
  <w:num w:numId="17" w16cid:durableId="1266578030">
    <w:abstractNumId w:val="4"/>
  </w:num>
  <w:num w:numId="18" w16cid:durableId="815604492">
    <w:abstractNumId w:val="7"/>
  </w:num>
  <w:num w:numId="19" w16cid:durableId="687559909">
    <w:abstractNumId w:val="0"/>
  </w:num>
  <w:num w:numId="20" w16cid:durableId="2043899154">
    <w:abstractNumId w:val="2"/>
  </w:num>
  <w:num w:numId="21" w16cid:durableId="2047942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A9"/>
    <w:rsid w:val="000026BE"/>
    <w:rsid w:val="00003189"/>
    <w:rsid w:val="00005639"/>
    <w:rsid w:val="00005802"/>
    <w:rsid w:val="00005B51"/>
    <w:rsid w:val="0000628C"/>
    <w:rsid w:val="00006A22"/>
    <w:rsid w:val="00006BBB"/>
    <w:rsid w:val="0001032E"/>
    <w:rsid w:val="00013390"/>
    <w:rsid w:val="00016EA2"/>
    <w:rsid w:val="00017360"/>
    <w:rsid w:val="000228EB"/>
    <w:rsid w:val="00024588"/>
    <w:rsid w:val="0002546A"/>
    <w:rsid w:val="00026991"/>
    <w:rsid w:val="00031AE1"/>
    <w:rsid w:val="00032CAA"/>
    <w:rsid w:val="00041C87"/>
    <w:rsid w:val="0004389D"/>
    <w:rsid w:val="000439F1"/>
    <w:rsid w:val="00043E26"/>
    <w:rsid w:val="00044D30"/>
    <w:rsid w:val="000455BA"/>
    <w:rsid w:val="00047483"/>
    <w:rsid w:val="00051648"/>
    <w:rsid w:val="000524A9"/>
    <w:rsid w:val="0005316A"/>
    <w:rsid w:val="000547DB"/>
    <w:rsid w:val="00064CB1"/>
    <w:rsid w:val="00065146"/>
    <w:rsid w:val="000715B6"/>
    <w:rsid w:val="00072CBC"/>
    <w:rsid w:val="00074F54"/>
    <w:rsid w:val="00075A77"/>
    <w:rsid w:val="00076178"/>
    <w:rsid w:val="00076E15"/>
    <w:rsid w:val="00076FF9"/>
    <w:rsid w:val="00080673"/>
    <w:rsid w:val="0008471E"/>
    <w:rsid w:val="000854E0"/>
    <w:rsid w:val="000861A6"/>
    <w:rsid w:val="0008741E"/>
    <w:rsid w:val="00095211"/>
    <w:rsid w:val="0009613F"/>
    <w:rsid w:val="00097788"/>
    <w:rsid w:val="00097C99"/>
    <w:rsid w:val="000A1ECF"/>
    <w:rsid w:val="000A4846"/>
    <w:rsid w:val="000A5EA9"/>
    <w:rsid w:val="000A69C5"/>
    <w:rsid w:val="000B1D67"/>
    <w:rsid w:val="000B39A1"/>
    <w:rsid w:val="000B4744"/>
    <w:rsid w:val="000B48DB"/>
    <w:rsid w:val="000B4B96"/>
    <w:rsid w:val="000B6B56"/>
    <w:rsid w:val="000B7167"/>
    <w:rsid w:val="000B796C"/>
    <w:rsid w:val="000C10DF"/>
    <w:rsid w:val="000C2E12"/>
    <w:rsid w:val="000C3ECC"/>
    <w:rsid w:val="000C4B61"/>
    <w:rsid w:val="000C5C40"/>
    <w:rsid w:val="000C64CF"/>
    <w:rsid w:val="000C6935"/>
    <w:rsid w:val="000D0570"/>
    <w:rsid w:val="000D11E5"/>
    <w:rsid w:val="000D2234"/>
    <w:rsid w:val="000D44AA"/>
    <w:rsid w:val="000D56B6"/>
    <w:rsid w:val="000D5827"/>
    <w:rsid w:val="000D59B4"/>
    <w:rsid w:val="000D611F"/>
    <w:rsid w:val="000D65C7"/>
    <w:rsid w:val="000E32E3"/>
    <w:rsid w:val="000E4650"/>
    <w:rsid w:val="000E5488"/>
    <w:rsid w:val="000E797C"/>
    <w:rsid w:val="000F1C14"/>
    <w:rsid w:val="000F1F12"/>
    <w:rsid w:val="000F3A05"/>
    <w:rsid w:val="000F5183"/>
    <w:rsid w:val="000F53D9"/>
    <w:rsid w:val="001009D2"/>
    <w:rsid w:val="001012C2"/>
    <w:rsid w:val="00104141"/>
    <w:rsid w:val="00104ACB"/>
    <w:rsid w:val="00110A33"/>
    <w:rsid w:val="00113B45"/>
    <w:rsid w:val="00114003"/>
    <w:rsid w:val="0011527C"/>
    <w:rsid w:val="00117609"/>
    <w:rsid w:val="00117C02"/>
    <w:rsid w:val="001205D0"/>
    <w:rsid w:val="00124D89"/>
    <w:rsid w:val="00125C15"/>
    <w:rsid w:val="001276B4"/>
    <w:rsid w:val="00131010"/>
    <w:rsid w:val="00131232"/>
    <w:rsid w:val="001319C8"/>
    <w:rsid w:val="00132BC7"/>
    <w:rsid w:val="001331B7"/>
    <w:rsid w:val="00133D7A"/>
    <w:rsid w:val="00141044"/>
    <w:rsid w:val="00142253"/>
    <w:rsid w:val="00142BCF"/>
    <w:rsid w:val="001459A7"/>
    <w:rsid w:val="0014608E"/>
    <w:rsid w:val="00152B2D"/>
    <w:rsid w:val="00154558"/>
    <w:rsid w:val="0015547C"/>
    <w:rsid w:val="00155E53"/>
    <w:rsid w:val="001661A8"/>
    <w:rsid w:val="00167554"/>
    <w:rsid w:val="001709D5"/>
    <w:rsid w:val="001710C9"/>
    <w:rsid w:val="00172B5A"/>
    <w:rsid w:val="00174B7E"/>
    <w:rsid w:val="00174C0B"/>
    <w:rsid w:val="001759FA"/>
    <w:rsid w:val="0018560A"/>
    <w:rsid w:val="00185932"/>
    <w:rsid w:val="00186DD8"/>
    <w:rsid w:val="00187857"/>
    <w:rsid w:val="00191F1F"/>
    <w:rsid w:val="00192D82"/>
    <w:rsid w:val="0019371D"/>
    <w:rsid w:val="00195A29"/>
    <w:rsid w:val="0019757B"/>
    <w:rsid w:val="001A0E54"/>
    <w:rsid w:val="001A2B4E"/>
    <w:rsid w:val="001A3BD2"/>
    <w:rsid w:val="001A3C5D"/>
    <w:rsid w:val="001A4E09"/>
    <w:rsid w:val="001B28AD"/>
    <w:rsid w:val="001B35AC"/>
    <w:rsid w:val="001B4919"/>
    <w:rsid w:val="001B7535"/>
    <w:rsid w:val="001B7EC2"/>
    <w:rsid w:val="001C0477"/>
    <w:rsid w:val="001C5B33"/>
    <w:rsid w:val="001C6706"/>
    <w:rsid w:val="001D1FBB"/>
    <w:rsid w:val="001D20E6"/>
    <w:rsid w:val="001D34CE"/>
    <w:rsid w:val="001D4D5A"/>
    <w:rsid w:val="001D6809"/>
    <w:rsid w:val="001E6A74"/>
    <w:rsid w:val="001F099F"/>
    <w:rsid w:val="001F12F5"/>
    <w:rsid w:val="001F2F9E"/>
    <w:rsid w:val="001F3564"/>
    <w:rsid w:val="001F41D0"/>
    <w:rsid w:val="001F462C"/>
    <w:rsid w:val="001F6EB1"/>
    <w:rsid w:val="001F7830"/>
    <w:rsid w:val="001F7B47"/>
    <w:rsid w:val="00202521"/>
    <w:rsid w:val="00202B89"/>
    <w:rsid w:val="00202D4D"/>
    <w:rsid w:val="00202FC2"/>
    <w:rsid w:val="00204080"/>
    <w:rsid w:val="00204254"/>
    <w:rsid w:val="00220340"/>
    <w:rsid w:val="00220F16"/>
    <w:rsid w:val="00221082"/>
    <w:rsid w:val="00221CDC"/>
    <w:rsid w:val="002223EB"/>
    <w:rsid w:val="00224010"/>
    <w:rsid w:val="0022550C"/>
    <w:rsid w:val="002267A6"/>
    <w:rsid w:val="00226FB6"/>
    <w:rsid w:val="00230E1D"/>
    <w:rsid w:val="00230FA2"/>
    <w:rsid w:val="00231837"/>
    <w:rsid w:val="002329FD"/>
    <w:rsid w:val="002349A0"/>
    <w:rsid w:val="00234FEA"/>
    <w:rsid w:val="002357A5"/>
    <w:rsid w:val="002378BA"/>
    <w:rsid w:val="0024032F"/>
    <w:rsid w:val="00240D31"/>
    <w:rsid w:val="00240DF1"/>
    <w:rsid w:val="0024245F"/>
    <w:rsid w:val="002439CC"/>
    <w:rsid w:val="00245EDF"/>
    <w:rsid w:val="0024727F"/>
    <w:rsid w:val="00251696"/>
    <w:rsid w:val="00251889"/>
    <w:rsid w:val="002524FA"/>
    <w:rsid w:val="00254A30"/>
    <w:rsid w:val="00254C5B"/>
    <w:rsid w:val="00254D3C"/>
    <w:rsid w:val="0025519B"/>
    <w:rsid w:val="0026239F"/>
    <w:rsid w:val="00265A34"/>
    <w:rsid w:val="00270DEA"/>
    <w:rsid w:val="0027118E"/>
    <w:rsid w:val="002712BC"/>
    <w:rsid w:val="002725F4"/>
    <w:rsid w:val="002726C6"/>
    <w:rsid w:val="00274AF1"/>
    <w:rsid w:val="00275ED0"/>
    <w:rsid w:val="002771E5"/>
    <w:rsid w:val="002775A3"/>
    <w:rsid w:val="00277840"/>
    <w:rsid w:val="0028029C"/>
    <w:rsid w:val="00282D37"/>
    <w:rsid w:val="00286DC4"/>
    <w:rsid w:val="00287C5A"/>
    <w:rsid w:val="00293839"/>
    <w:rsid w:val="0029674F"/>
    <w:rsid w:val="002A04C3"/>
    <w:rsid w:val="002A1188"/>
    <w:rsid w:val="002A1236"/>
    <w:rsid w:val="002A3C80"/>
    <w:rsid w:val="002A62B9"/>
    <w:rsid w:val="002A6DA4"/>
    <w:rsid w:val="002A735D"/>
    <w:rsid w:val="002A7B74"/>
    <w:rsid w:val="002A7E1F"/>
    <w:rsid w:val="002B432A"/>
    <w:rsid w:val="002C0792"/>
    <w:rsid w:val="002C0A5A"/>
    <w:rsid w:val="002C226C"/>
    <w:rsid w:val="002C23D2"/>
    <w:rsid w:val="002C3EE2"/>
    <w:rsid w:val="002C3F58"/>
    <w:rsid w:val="002C4B39"/>
    <w:rsid w:val="002C65EF"/>
    <w:rsid w:val="002C7A8B"/>
    <w:rsid w:val="002D4B55"/>
    <w:rsid w:val="002D4EF5"/>
    <w:rsid w:val="002E0E97"/>
    <w:rsid w:val="002E1996"/>
    <w:rsid w:val="002E7351"/>
    <w:rsid w:val="002E73BB"/>
    <w:rsid w:val="002F022D"/>
    <w:rsid w:val="002F3718"/>
    <w:rsid w:val="002F4C27"/>
    <w:rsid w:val="002F6BB1"/>
    <w:rsid w:val="002F722E"/>
    <w:rsid w:val="0030087E"/>
    <w:rsid w:val="00301E16"/>
    <w:rsid w:val="003037F8"/>
    <w:rsid w:val="003041FA"/>
    <w:rsid w:val="00305157"/>
    <w:rsid w:val="00312A68"/>
    <w:rsid w:val="00316861"/>
    <w:rsid w:val="00316DC6"/>
    <w:rsid w:val="00324A58"/>
    <w:rsid w:val="00324E17"/>
    <w:rsid w:val="00327DE1"/>
    <w:rsid w:val="003329D1"/>
    <w:rsid w:val="003342CD"/>
    <w:rsid w:val="0033477F"/>
    <w:rsid w:val="00335042"/>
    <w:rsid w:val="00336AD1"/>
    <w:rsid w:val="00337C1C"/>
    <w:rsid w:val="00341642"/>
    <w:rsid w:val="0034225A"/>
    <w:rsid w:val="003436A9"/>
    <w:rsid w:val="00345C7A"/>
    <w:rsid w:val="00347FDD"/>
    <w:rsid w:val="003525BD"/>
    <w:rsid w:val="00354CE4"/>
    <w:rsid w:val="00355872"/>
    <w:rsid w:val="00357733"/>
    <w:rsid w:val="0036001B"/>
    <w:rsid w:val="0036016C"/>
    <w:rsid w:val="00360C0A"/>
    <w:rsid w:val="00362B70"/>
    <w:rsid w:val="00364DEE"/>
    <w:rsid w:val="00366D78"/>
    <w:rsid w:val="00367408"/>
    <w:rsid w:val="00367738"/>
    <w:rsid w:val="00370395"/>
    <w:rsid w:val="0037180D"/>
    <w:rsid w:val="00371E31"/>
    <w:rsid w:val="00373853"/>
    <w:rsid w:val="00374A0B"/>
    <w:rsid w:val="00392BBA"/>
    <w:rsid w:val="00392C0C"/>
    <w:rsid w:val="003954FD"/>
    <w:rsid w:val="00395BD8"/>
    <w:rsid w:val="003A06E5"/>
    <w:rsid w:val="003A2EAF"/>
    <w:rsid w:val="003A461A"/>
    <w:rsid w:val="003A503C"/>
    <w:rsid w:val="003B1589"/>
    <w:rsid w:val="003B19DD"/>
    <w:rsid w:val="003B26B5"/>
    <w:rsid w:val="003B31F4"/>
    <w:rsid w:val="003B4356"/>
    <w:rsid w:val="003B688C"/>
    <w:rsid w:val="003C18D9"/>
    <w:rsid w:val="003C4016"/>
    <w:rsid w:val="003C445C"/>
    <w:rsid w:val="003C5719"/>
    <w:rsid w:val="003C7907"/>
    <w:rsid w:val="003C7B82"/>
    <w:rsid w:val="003D0B99"/>
    <w:rsid w:val="003D2551"/>
    <w:rsid w:val="003D392B"/>
    <w:rsid w:val="003D3BE4"/>
    <w:rsid w:val="003D436C"/>
    <w:rsid w:val="003D47CC"/>
    <w:rsid w:val="003D4B4C"/>
    <w:rsid w:val="003D5663"/>
    <w:rsid w:val="003D60D7"/>
    <w:rsid w:val="003E0377"/>
    <w:rsid w:val="003E0411"/>
    <w:rsid w:val="003E1C8F"/>
    <w:rsid w:val="003E1CE3"/>
    <w:rsid w:val="003E27EC"/>
    <w:rsid w:val="003E5570"/>
    <w:rsid w:val="003E5B31"/>
    <w:rsid w:val="003E6E9F"/>
    <w:rsid w:val="003E77BC"/>
    <w:rsid w:val="003F048F"/>
    <w:rsid w:val="003F09D3"/>
    <w:rsid w:val="003F17A4"/>
    <w:rsid w:val="003F1D68"/>
    <w:rsid w:val="003F3B86"/>
    <w:rsid w:val="003F4EE4"/>
    <w:rsid w:val="004000AE"/>
    <w:rsid w:val="00400687"/>
    <w:rsid w:val="00404955"/>
    <w:rsid w:val="004049A9"/>
    <w:rsid w:val="00406127"/>
    <w:rsid w:val="00407317"/>
    <w:rsid w:val="00411E74"/>
    <w:rsid w:val="00412BB6"/>
    <w:rsid w:val="00420F64"/>
    <w:rsid w:val="0042640D"/>
    <w:rsid w:val="00426D5E"/>
    <w:rsid w:val="00427740"/>
    <w:rsid w:val="004316C5"/>
    <w:rsid w:val="00431B71"/>
    <w:rsid w:val="00431CA8"/>
    <w:rsid w:val="00436952"/>
    <w:rsid w:val="00440C77"/>
    <w:rsid w:val="0044162F"/>
    <w:rsid w:val="004443F8"/>
    <w:rsid w:val="00445708"/>
    <w:rsid w:val="00445CEC"/>
    <w:rsid w:val="00454E2D"/>
    <w:rsid w:val="00456813"/>
    <w:rsid w:val="004577E7"/>
    <w:rsid w:val="00462095"/>
    <w:rsid w:val="00464356"/>
    <w:rsid w:val="00465B93"/>
    <w:rsid w:val="00466731"/>
    <w:rsid w:val="0046684A"/>
    <w:rsid w:val="00466DD5"/>
    <w:rsid w:val="00467AD9"/>
    <w:rsid w:val="00467E83"/>
    <w:rsid w:val="0047265F"/>
    <w:rsid w:val="00473B71"/>
    <w:rsid w:val="004755FE"/>
    <w:rsid w:val="00475DDF"/>
    <w:rsid w:val="00481261"/>
    <w:rsid w:val="00482B81"/>
    <w:rsid w:val="00482D4C"/>
    <w:rsid w:val="00482ECF"/>
    <w:rsid w:val="00483475"/>
    <w:rsid w:val="004838E4"/>
    <w:rsid w:val="0048463A"/>
    <w:rsid w:val="00487D8A"/>
    <w:rsid w:val="00492BF6"/>
    <w:rsid w:val="004938EA"/>
    <w:rsid w:val="00494387"/>
    <w:rsid w:val="004A10CE"/>
    <w:rsid w:val="004A1638"/>
    <w:rsid w:val="004A27A8"/>
    <w:rsid w:val="004A3018"/>
    <w:rsid w:val="004A31F1"/>
    <w:rsid w:val="004A4499"/>
    <w:rsid w:val="004A6740"/>
    <w:rsid w:val="004B06CE"/>
    <w:rsid w:val="004B33C9"/>
    <w:rsid w:val="004B3C0F"/>
    <w:rsid w:val="004B4A3C"/>
    <w:rsid w:val="004B4BDA"/>
    <w:rsid w:val="004B5A6F"/>
    <w:rsid w:val="004C05E4"/>
    <w:rsid w:val="004C28DF"/>
    <w:rsid w:val="004C6D55"/>
    <w:rsid w:val="004D10F7"/>
    <w:rsid w:val="004D4AE5"/>
    <w:rsid w:val="004D50F0"/>
    <w:rsid w:val="004D54F3"/>
    <w:rsid w:val="004D7019"/>
    <w:rsid w:val="004E0F7D"/>
    <w:rsid w:val="004E1293"/>
    <w:rsid w:val="004E2EE7"/>
    <w:rsid w:val="004E3590"/>
    <w:rsid w:val="004E39E1"/>
    <w:rsid w:val="004E54C4"/>
    <w:rsid w:val="004E5F20"/>
    <w:rsid w:val="004E7D5C"/>
    <w:rsid w:val="004F00BA"/>
    <w:rsid w:val="004F011F"/>
    <w:rsid w:val="004F03F4"/>
    <w:rsid w:val="004F12C3"/>
    <w:rsid w:val="004F1A13"/>
    <w:rsid w:val="004F1EBD"/>
    <w:rsid w:val="004F390E"/>
    <w:rsid w:val="004F4C00"/>
    <w:rsid w:val="004F56D0"/>
    <w:rsid w:val="004F6DA0"/>
    <w:rsid w:val="00501F39"/>
    <w:rsid w:val="0050235E"/>
    <w:rsid w:val="00503A99"/>
    <w:rsid w:val="00503E44"/>
    <w:rsid w:val="0050777E"/>
    <w:rsid w:val="00510FB1"/>
    <w:rsid w:val="00513FE8"/>
    <w:rsid w:val="0051429B"/>
    <w:rsid w:val="00515283"/>
    <w:rsid w:val="00521961"/>
    <w:rsid w:val="005227CE"/>
    <w:rsid w:val="005231C5"/>
    <w:rsid w:val="005241E6"/>
    <w:rsid w:val="00524BC9"/>
    <w:rsid w:val="00525057"/>
    <w:rsid w:val="005270D4"/>
    <w:rsid w:val="0053166A"/>
    <w:rsid w:val="00533926"/>
    <w:rsid w:val="00535854"/>
    <w:rsid w:val="00537FB7"/>
    <w:rsid w:val="005411D1"/>
    <w:rsid w:val="00542873"/>
    <w:rsid w:val="00542EC8"/>
    <w:rsid w:val="00556652"/>
    <w:rsid w:val="0055675D"/>
    <w:rsid w:val="005573C4"/>
    <w:rsid w:val="005574F1"/>
    <w:rsid w:val="00561354"/>
    <w:rsid w:val="00561514"/>
    <w:rsid w:val="005634A7"/>
    <w:rsid w:val="005656EA"/>
    <w:rsid w:val="00566E8F"/>
    <w:rsid w:val="005709DE"/>
    <w:rsid w:val="005726BA"/>
    <w:rsid w:val="0057398C"/>
    <w:rsid w:val="00573FFC"/>
    <w:rsid w:val="0057422E"/>
    <w:rsid w:val="005829A4"/>
    <w:rsid w:val="00582BBA"/>
    <w:rsid w:val="005833BE"/>
    <w:rsid w:val="005858FB"/>
    <w:rsid w:val="005869BF"/>
    <w:rsid w:val="005871CB"/>
    <w:rsid w:val="00590830"/>
    <w:rsid w:val="0059302A"/>
    <w:rsid w:val="00595634"/>
    <w:rsid w:val="005A0E3B"/>
    <w:rsid w:val="005A2572"/>
    <w:rsid w:val="005A7C91"/>
    <w:rsid w:val="005B3AF1"/>
    <w:rsid w:val="005B41A5"/>
    <w:rsid w:val="005B7151"/>
    <w:rsid w:val="005C032C"/>
    <w:rsid w:val="005C0D7A"/>
    <w:rsid w:val="005C140A"/>
    <w:rsid w:val="005C642C"/>
    <w:rsid w:val="005C73D6"/>
    <w:rsid w:val="005D2168"/>
    <w:rsid w:val="005D6E7F"/>
    <w:rsid w:val="005D7D5A"/>
    <w:rsid w:val="005D7E35"/>
    <w:rsid w:val="005E07AB"/>
    <w:rsid w:val="005E0E85"/>
    <w:rsid w:val="005E1947"/>
    <w:rsid w:val="005E4792"/>
    <w:rsid w:val="005E4BAC"/>
    <w:rsid w:val="005E580A"/>
    <w:rsid w:val="005F07DA"/>
    <w:rsid w:val="005F091C"/>
    <w:rsid w:val="005F0ABE"/>
    <w:rsid w:val="005F0D16"/>
    <w:rsid w:val="005F1BC2"/>
    <w:rsid w:val="005F2414"/>
    <w:rsid w:val="005F4F43"/>
    <w:rsid w:val="006000A4"/>
    <w:rsid w:val="0060130D"/>
    <w:rsid w:val="006041FB"/>
    <w:rsid w:val="006061BD"/>
    <w:rsid w:val="00606671"/>
    <w:rsid w:val="006100E5"/>
    <w:rsid w:val="00610E03"/>
    <w:rsid w:val="00611494"/>
    <w:rsid w:val="00612329"/>
    <w:rsid w:val="00612395"/>
    <w:rsid w:val="00612E29"/>
    <w:rsid w:val="006133C8"/>
    <w:rsid w:val="006137A6"/>
    <w:rsid w:val="00613B16"/>
    <w:rsid w:val="00615574"/>
    <w:rsid w:val="006222D2"/>
    <w:rsid w:val="00622659"/>
    <w:rsid w:val="00623F9C"/>
    <w:rsid w:val="006243C6"/>
    <w:rsid w:val="00626F26"/>
    <w:rsid w:val="006302F1"/>
    <w:rsid w:val="00630893"/>
    <w:rsid w:val="0064129F"/>
    <w:rsid w:val="00641A75"/>
    <w:rsid w:val="006425A5"/>
    <w:rsid w:val="00643051"/>
    <w:rsid w:val="0064309D"/>
    <w:rsid w:val="00643AF4"/>
    <w:rsid w:val="0064462A"/>
    <w:rsid w:val="00647740"/>
    <w:rsid w:val="00647BB7"/>
    <w:rsid w:val="0065239E"/>
    <w:rsid w:val="00652F84"/>
    <w:rsid w:val="00654890"/>
    <w:rsid w:val="00660F56"/>
    <w:rsid w:val="006631E3"/>
    <w:rsid w:val="0066541C"/>
    <w:rsid w:val="00667BEB"/>
    <w:rsid w:val="006711DF"/>
    <w:rsid w:val="00671D9E"/>
    <w:rsid w:val="0067541A"/>
    <w:rsid w:val="00677455"/>
    <w:rsid w:val="00680297"/>
    <w:rsid w:val="00680379"/>
    <w:rsid w:val="0068046D"/>
    <w:rsid w:val="00680871"/>
    <w:rsid w:val="006830F1"/>
    <w:rsid w:val="00683956"/>
    <w:rsid w:val="00683DCC"/>
    <w:rsid w:val="00684AE9"/>
    <w:rsid w:val="006873CE"/>
    <w:rsid w:val="0069205F"/>
    <w:rsid w:val="00693F90"/>
    <w:rsid w:val="006A0786"/>
    <w:rsid w:val="006A0E85"/>
    <w:rsid w:val="006A0F2C"/>
    <w:rsid w:val="006A11D6"/>
    <w:rsid w:val="006A191B"/>
    <w:rsid w:val="006A335A"/>
    <w:rsid w:val="006A3F4F"/>
    <w:rsid w:val="006A7BDD"/>
    <w:rsid w:val="006B25DC"/>
    <w:rsid w:val="006B520A"/>
    <w:rsid w:val="006B523A"/>
    <w:rsid w:val="006C170A"/>
    <w:rsid w:val="006C4142"/>
    <w:rsid w:val="006C4AAC"/>
    <w:rsid w:val="006C6D8C"/>
    <w:rsid w:val="006D10EC"/>
    <w:rsid w:val="006D159B"/>
    <w:rsid w:val="006D22E3"/>
    <w:rsid w:val="006D459A"/>
    <w:rsid w:val="006D478B"/>
    <w:rsid w:val="006D4DAA"/>
    <w:rsid w:val="006D60D0"/>
    <w:rsid w:val="006D672B"/>
    <w:rsid w:val="006E0111"/>
    <w:rsid w:val="006E04DB"/>
    <w:rsid w:val="006E0852"/>
    <w:rsid w:val="006E0CBA"/>
    <w:rsid w:val="006E2DB8"/>
    <w:rsid w:val="006E3AB4"/>
    <w:rsid w:val="006E5679"/>
    <w:rsid w:val="006E6321"/>
    <w:rsid w:val="006F030A"/>
    <w:rsid w:val="006F06C1"/>
    <w:rsid w:val="006F683C"/>
    <w:rsid w:val="006F6C2A"/>
    <w:rsid w:val="006F74AB"/>
    <w:rsid w:val="0070169C"/>
    <w:rsid w:val="00701857"/>
    <w:rsid w:val="00701F57"/>
    <w:rsid w:val="00704356"/>
    <w:rsid w:val="00704CCA"/>
    <w:rsid w:val="00705171"/>
    <w:rsid w:val="007053B0"/>
    <w:rsid w:val="007074D8"/>
    <w:rsid w:val="0071092A"/>
    <w:rsid w:val="00710E94"/>
    <w:rsid w:val="00712639"/>
    <w:rsid w:val="00712E5D"/>
    <w:rsid w:val="00721878"/>
    <w:rsid w:val="00722C56"/>
    <w:rsid w:val="0072447A"/>
    <w:rsid w:val="00726A40"/>
    <w:rsid w:val="00727D8A"/>
    <w:rsid w:val="00730DA8"/>
    <w:rsid w:val="00731B60"/>
    <w:rsid w:val="00731FEA"/>
    <w:rsid w:val="007323F4"/>
    <w:rsid w:val="007350FF"/>
    <w:rsid w:val="0073518A"/>
    <w:rsid w:val="00735921"/>
    <w:rsid w:val="0073599B"/>
    <w:rsid w:val="007364E7"/>
    <w:rsid w:val="00736F61"/>
    <w:rsid w:val="00740B03"/>
    <w:rsid w:val="0074185E"/>
    <w:rsid w:val="00742253"/>
    <w:rsid w:val="007429F7"/>
    <w:rsid w:val="007436F0"/>
    <w:rsid w:val="0074422A"/>
    <w:rsid w:val="007452BA"/>
    <w:rsid w:val="007468AD"/>
    <w:rsid w:val="0074728E"/>
    <w:rsid w:val="00747C66"/>
    <w:rsid w:val="00753CB6"/>
    <w:rsid w:val="00757B95"/>
    <w:rsid w:val="00761B62"/>
    <w:rsid w:val="00761C70"/>
    <w:rsid w:val="007643AB"/>
    <w:rsid w:val="007662C7"/>
    <w:rsid w:val="00766D8E"/>
    <w:rsid w:val="007700BF"/>
    <w:rsid w:val="007709CA"/>
    <w:rsid w:val="00770D82"/>
    <w:rsid w:val="00771E67"/>
    <w:rsid w:val="00772FAF"/>
    <w:rsid w:val="007738D6"/>
    <w:rsid w:val="00776230"/>
    <w:rsid w:val="00776306"/>
    <w:rsid w:val="007816E2"/>
    <w:rsid w:val="00781A21"/>
    <w:rsid w:val="00783B6F"/>
    <w:rsid w:val="00786AF4"/>
    <w:rsid w:val="00786F34"/>
    <w:rsid w:val="007870C2"/>
    <w:rsid w:val="0079037A"/>
    <w:rsid w:val="00791BCB"/>
    <w:rsid w:val="00796169"/>
    <w:rsid w:val="007A1887"/>
    <w:rsid w:val="007A33F8"/>
    <w:rsid w:val="007A4C21"/>
    <w:rsid w:val="007A55A7"/>
    <w:rsid w:val="007A55F0"/>
    <w:rsid w:val="007A57BC"/>
    <w:rsid w:val="007A7AC6"/>
    <w:rsid w:val="007B189D"/>
    <w:rsid w:val="007B1E1F"/>
    <w:rsid w:val="007B1F10"/>
    <w:rsid w:val="007B2143"/>
    <w:rsid w:val="007B335E"/>
    <w:rsid w:val="007B4A9D"/>
    <w:rsid w:val="007B7DAF"/>
    <w:rsid w:val="007C0A0A"/>
    <w:rsid w:val="007C137D"/>
    <w:rsid w:val="007C582E"/>
    <w:rsid w:val="007C5C2B"/>
    <w:rsid w:val="007C7D64"/>
    <w:rsid w:val="007D6771"/>
    <w:rsid w:val="007E018D"/>
    <w:rsid w:val="007E0CCA"/>
    <w:rsid w:val="007E0F6D"/>
    <w:rsid w:val="007E6429"/>
    <w:rsid w:val="007E6A45"/>
    <w:rsid w:val="007F0FC6"/>
    <w:rsid w:val="007F1B71"/>
    <w:rsid w:val="007F38F5"/>
    <w:rsid w:val="007F473E"/>
    <w:rsid w:val="007F5BE0"/>
    <w:rsid w:val="0080065D"/>
    <w:rsid w:val="0080320B"/>
    <w:rsid w:val="00804CFC"/>
    <w:rsid w:val="00806491"/>
    <w:rsid w:val="00807E7D"/>
    <w:rsid w:val="008108C6"/>
    <w:rsid w:val="00810EAF"/>
    <w:rsid w:val="00810F78"/>
    <w:rsid w:val="00811E8A"/>
    <w:rsid w:val="00812AF7"/>
    <w:rsid w:val="00812BAB"/>
    <w:rsid w:val="008145BA"/>
    <w:rsid w:val="008147E8"/>
    <w:rsid w:val="00822DB3"/>
    <w:rsid w:val="008249BE"/>
    <w:rsid w:val="00824E49"/>
    <w:rsid w:val="00831660"/>
    <w:rsid w:val="00831675"/>
    <w:rsid w:val="008324F8"/>
    <w:rsid w:val="00833654"/>
    <w:rsid w:val="00836242"/>
    <w:rsid w:val="008404AD"/>
    <w:rsid w:val="00843C01"/>
    <w:rsid w:val="00844849"/>
    <w:rsid w:val="00845A80"/>
    <w:rsid w:val="00846427"/>
    <w:rsid w:val="00850CC4"/>
    <w:rsid w:val="00853DE3"/>
    <w:rsid w:val="008552D6"/>
    <w:rsid w:val="00855DA3"/>
    <w:rsid w:val="00860BB5"/>
    <w:rsid w:val="00862443"/>
    <w:rsid w:val="00862BDA"/>
    <w:rsid w:val="00863F9A"/>
    <w:rsid w:val="008656A8"/>
    <w:rsid w:val="00865C8D"/>
    <w:rsid w:val="00871A2F"/>
    <w:rsid w:val="00874C1B"/>
    <w:rsid w:val="00875B1E"/>
    <w:rsid w:val="00876226"/>
    <w:rsid w:val="00877071"/>
    <w:rsid w:val="008777E8"/>
    <w:rsid w:val="008779B4"/>
    <w:rsid w:val="00877A2F"/>
    <w:rsid w:val="0088138D"/>
    <w:rsid w:val="0088383C"/>
    <w:rsid w:val="00883863"/>
    <w:rsid w:val="0088467C"/>
    <w:rsid w:val="008853B9"/>
    <w:rsid w:val="00885AA3"/>
    <w:rsid w:val="00886033"/>
    <w:rsid w:val="0089005D"/>
    <w:rsid w:val="00890DDA"/>
    <w:rsid w:val="00891F21"/>
    <w:rsid w:val="00892D3B"/>
    <w:rsid w:val="00893E93"/>
    <w:rsid w:val="0089409D"/>
    <w:rsid w:val="00894579"/>
    <w:rsid w:val="00895AB9"/>
    <w:rsid w:val="0089722D"/>
    <w:rsid w:val="00897AA3"/>
    <w:rsid w:val="008A2930"/>
    <w:rsid w:val="008A2BDB"/>
    <w:rsid w:val="008A47B8"/>
    <w:rsid w:val="008A4F96"/>
    <w:rsid w:val="008A5B67"/>
    <w:rsid w:val="008A5CCD"/>
    <w:rsid w:val="008A603F"/>
    <w:rsid w:val="008A6A6D"/>
    <w:rsid w:val="008A740F"/>
    <w:rsid w:val="008B29E7"/>
    <w:rsid w:val="008B2C4E"/>
    <w:rsid w:val="008B33DF"/>
    <w:rsid w:val="008B34CA"/>
    <w:rsid w:val="008B41A9"/>
    <w:rsid w:val="008B5C0B"/>
    <w:rsid w:val="008B671F"/>
    <w:rsid w:val="008C029B"/>
    <w:rsid w:val="008C173C"/>
    <w:rsid w:val="008C2216"/>
    <w:rsid w:val="008C3569"/>
    <w:rsid w:val="008C35CE"/>
    <w:rsid w:val="008C5039"/>
    <w:rsid w:val="008C67AD"/>
    <w:rsid w:val="008C7776"/>
    <w:rsid w:val="008D0485"/>
    <w:rsid w:val="008D07E2"/>
    <w:rsid w:val="008D16F7"/>
    <w:rsid w:val="008D40FA"/>
    <w:rsid w:val="008D4835"/>
    <w:rsid w:val="008D68E6"/>
    <w:rsid w:val="008E1427"/>
    <w:rsid w:val="008E26C9"/>
    <w:rsid w:val="008E47D5"/>
    <w:rsid w:val="008E526C"/>
    <w:rsid w:val="008E52C7"/>
    <w:rsid w:val="008E5A1D"/>
    <w:rsid w:val="008F06BA"/>
    <w:rsid w:val="008F0C50"/>
    <w:rsid w:val="008F1171"/>
    <w:rsid w:val="008F2406"/>
    <w:rsid w:val="008F2529"/>
    <w:rsid w:val="008F43E2"/>
    <w:rsid w:val="008F4637"/>
    <w:rsid w:val="008F6D94"/>
    <w:rsid w:val="008F70ED"/>
    <w:rsid w:val="008F778A"/>
    <w:rsid w:val="00900E83"/>
    <w:rsid w:val="00901303"/>
    <w:rsid w:val="00902ED6"/>
    <w:rsid w:val="0090320B"/>
    <w:rsid w:val="009032F5"/>
    <w:rsid w:val="00903737"/>
    <w:rsid w:val="00906037"/>
    <w:rsid w:val="00906FBA"/>
    <w:rsid w:val="0091280A"/>
    <w:rsid w:val="009143A0"/>
    <w:rsid w:val="00915D4F"/>
    <w:rsid w:val="00920CC3"/>
    <w:rsid w:val="00921B5A"/>
    <w:rsid w:val="00922194"/>
    <w:rsid w:val="009225C4"/>
    <w:rsid w:val="00922F5B"/>
    <w:rsid w:val="00925124"/>
    <w:rsid w:val="00925635"/>
    <w:rsid w:val="0092594A"/>
    <w:rsid w:val="009267B1"/>
    <w:rsid w:val="00926DC1"/>
    <w:rsid w:val="00927C59"/>
    <w:rsid w:val="009300A0"/>
    <w:rsid w:val="00931881"/>
    <w:rsid w:val="009330F4"/>
    <w:rsid w:val="0093421F"/>
    <w:rsid w:val="00936902"/>
    <w:rsid w:val="009370B3"/>
    <w:rsid w:val="0094161F"/>
    <w:rsid w:val="00942170"/>
    <w:rsid w:val="009421B2"/>
    <w:rsid w:val="0094486D"/>
    <w:rsid w:val="00944916"/>
    <w:rsid w:val="00944FD7"/>
    <w:rsid w:val="0094516D"/>
    <w:rsid w:val="00945391"/>
    <w:rsid w:val="00946CEC"/>
    <w:rsid w:val="00947E4A"/>
    <w:rsid w:val="00950A6F"/>
    <w:rsid w:val="00950E58"/>
    <w:rsid w:val="0095120D"/>
    <w:rsid w:val="00952AA1"/>
    <w:rsid w:val="00952DF0"/>
    <w:rsid w:val="00954679"/>
    <w:rsid w:val="009552FE"/>
    <w:rsid w:val="00955673"/>
    <w:rsid w:val="00955A09"/>
    <w:rsid w:val="009562E9"/>
    <w:rsid w:val="009567BD"/>
    <w:rsid w:val="00957416"/>
    <w:rsid w:val="00963122"/>
    <w:rsid w:val="009655DA"/>
    <w:rsid w:val="00965BBC"/>
    <w:rsid w:val="00966478"/>
    <w:rsid w:val="009673D0"/>
    <w:rsid w:val="00972823"/>
    <w:rsid w:val="00974453"/>
    <w:rsid w:val="00974996"/>
    <w:rsid w:val="00976253"/>
    <w:rsid w:val="0097692F"/>
    <w:rsid w:val="009835E6"/>
    <w:rsid w:val="0098737D"/>
    <w:rsid w:val="00990BE6"/>
    <w:rsid w:val="00990DEF"/>
    <w:rsid w:val="00994576"/>
    <w:rsid w:val="009A210E"/>
    <w:rsid w:val="009A2167"/>
    <w:rsid w:val="009A3882"/>
    <w:rsid w:val="009A49F0"/>
    <w:rsid w:val="009A5307"/>
    <w:rsid w:val="009A6BC8"/>
    <w:rsid w:val="009B3594"/>
    <w:rsid w:val="009B3B50"/>
    <w:rsid w:val="009B4617"/>
    <w:rsid w:val="009B63D6"/>
    <w:rsid w:val="009B7A38"/>
    <w:rsid w:val="009C0051"/>
    <w:rsid w:val="009C5973"/>
    <w:rsid w:val="009C6A1E"/>
    <w:rsid w:val="009D10AB"/>
    <w:rsid w:val="009D2B79"/>
    <w:rsid w:val="009D2F0C"/>
    <w:rsid w:val="009D477C"/>
    <w:rsid w:val="009D4A47"/>
    <w:rsid w:val="009E0C77"/>
    <w:rsid w:val="009E0E8F"/>
    <w:rsid w:val="009E27A5"/>
    <w:rsid w:val="009E2F86"/>
    <w:rsid w:val="009E39E4"/>
    <w:rsid w:val="009E4F59"/>
    <w:rsid w:val="009E541C"/>
    <w:rsid w:val="009E7311"/>
    <w:rsid w:val="009F0311"/>
    <w:rsid w:val="009F1CF3"/>
    <w:rsid w:val="009F6DA6"/>
    <w:rsid w:val="009F78FE"/>
    <w:rsid w:val="009F7AA6"/>
    <w:rsid w:val="00A03B46"/>
    <w:rsid w:val="00A12209"/>
    <w:rsid w:val="00A14010"/>
    <w:rsid w:val="00A15F28"/>
    <w:rsid w:val="00A20FEF"/>
    <w:rsid w:val="00A22B66"/>
    <w:rsid w:val="00A31484"/>
    <w:rsid w:val="00A31681"/>
    <w:rsid w:val="00A34CA4"/>
    <w:rsid w:val="00A35FA5"/>
    <w:rsid w:val="00A36DF3"/>
    <w:rsid w:val="00A4441D"/>
    <w:rsid w:val="00A4470B"/>
    <w:rsid w:val="00A45B2E"/>
    <w:rsid w:val="00A45FE7"/>
    <w:rsid w:val="00A4675D"/>
    <w:rsid w:val="00A532DD"/>
    <w:rsid w:val="00A5522E"/>
    <w:rsid w:val="00A5703B"/>
    <w:rsid w:val="00A608E4"/>
    <w:rsid w:val="00A62183"/>
    <w:rsid w:val="00A649B6"/>
    <w:rsid w:val="00A64FD1"/>
    <w:rsid w:val="00A66601"/>
    <w:rsid w:val="00A66931"/>
    <w:rsid w:val="00A720CF"/>
    <w:rsid w:val="00A72884"/>
    <w:rsid w:val="00A74B90"/>
    <w:rsid w:val="00A760F0"/>
    <w:rsid w:val="00A776DE"/>
    <w:rsid w:val="00A77F9E"/>
    <w:rsid w:val="00A80BCF"/>
    <w:rsid w:val="00A81B2B"/>
    <w:rsid w:val="00A81B3D"/>
    <w:rsid w:val="00A825D1"/>
    <w:rsid w:val="00A82E4C"/>
    <w:rsid w:val="00A8369C"/>
    <w:rsid w:val="00A85326"/>
    <w:rsid w:val="00A86579"/>
    <w:rsid w:val="00A90212"/>
    <w:rsid w:val="00A90CC4"/>
    <w:rsid w:val="00A9187B"/>
    <w:rsid w:val="00A9401D"/>
    <w:rsid w:val="00A95717"/>
    <w:rsid w:val="00AA1689"/>
    <w:rsid w:val="00AA1B0B"/>
    <w:rsid w:val="00AA496F"/>
    <w:rsid w:val="00AA5770"/>
    <w:rsid w:val="00AA70DB"/>
    <w:rsid w:val="00AB2E70"/>
    <w:rsid w:val="00AB33C1"/>
    <w:rsid w:val="00AB3E03"/>
    <w:rsid w:val="00AB49B0"/>
    <w:rsid w:val="00AB6447"/>
    <w:rsid w:val="00AC0298"/>
    <w:rsid w:val="00AC1D15"/>
    <w:rsid w:val="00AC28C4"/>
    <w:rsid w:val="00AC3C39"/>
    <w:rsid w:val="00AC7851"/>
    <w:rsid w:val="00AD4106"/>
    <w:rsid w:val="00AD44C6"/>
    <w:rsid w:val="00AD7975"/>
    <w:rsid w:val="00AD7D0F"/>
    <w:rsid w:val="00AE2CAB"/>
    <w:rsid w:val="00AE3280"/>
    <w:rsid w:val="00AE3E7D"/>
    <w:rsid w:val="00AE460D"/>
    <w:rsid w:val="00AE7F82"/>
    <w:rsid w:val="00AF2BC2"/>
    <w:rsid w:val="00AF595B"/>
    <w:rsid w:val="00AF79B1"/>
    <w:rsid w:val="00AF7AEF"/>
    <w:rsid w:val="00B007B0"/>
    <w:rsid w:val="00B066B1"/>
    <w:rsid w:val="00B07B0C"/>
    <w:rsid w:val="00B10477"/>
    <w:rsid w:val="00B120F9"/>
    <w:rsid w:val="00B12110"/>
    <w:rsid w:val="00B1312E"/>
    <w:rsid w:val="00B14F09"/>
    <w:rsid w:val="00B21962"/>
    <w:rsid w:val="00B2249B"/>
    <w:rsid w:val="00B2288B"/>
    <w:rsid w:val="00B23A58"/>
    <w:rsid w:val="00B23CDB"/>
    <w:rsid w:val="00B25563"/>
    <w:rsid w:val="00B26D48"/>
    <w:rsid w:val="00B2789F"/>
    <w:rsid w:val="00B30159"/>
    <w:rsid w:val="00B301A7"/>
    <w:rsid w:val="00B31C86"/>
    <w:rsid w:val="00B35D9F"/>
    <w:rsid w:val="00B36ECF"/>
    <w:rsid w:val="00B40949"/>
    <w:rsid w:val="00B40D80"/>
    <w:rsid w:val="00B41F7B"/>
    <w:rsid w:val="00B42EE1"/>
    <w:rsid w:val="00B455E1"/>
    <w:rsid w:val="00B47A59"/>
    <w:rsid w:val="00B47CEF"/>
    <w:rsid w:val="00B47E46"/>
    <w:rsid w:val="00B50753"/>
    <w:rsid w:val="00B50CCB"/>
    <w:rsid w:val="00B5349B"/>
    <w:rsid w:val="00B54A1E"/>
    <w:rsid w:val="00B55D1B"/>
    <w:rsid w:val="00B5649C"/>
    <w:rsid w:val="00B60592"/>
    <w:rsid w:val="00B60A74"/>
    <w:rsid w:val="00B64FA8"/>
    <w:rsid w:val="00B65D6B"/>
    <w:rsid w:val="00B7138A"/>
    <w:rsid w:val="00B716D5"/>
    <w:rsid w:val="00B72428"/>
    <w:rsid w:val="00B73C8C"/>
    <w:rsid w:val="00B7483A"/>
    <w:rsid w:val="00B7622A"/>
    <w:rsid w:val="00B766C3"/>
    <w:rsid w:val="00B771DB"/>
    <w:rsid w:val="00B77410"/>
    <w:rsid w:val="00B7751F"/>
    <w:rsid w:val="00B80CCA"/>
    <w:rsid w:val="00B82767"/>
    <w:rsid w:val="00B8293D"/>
    <w:rsid w:val="00B87A49"/>
    <w:rsid w:val="00B91ECE"/>
    <w:rsid w:val="00B92478"/>
    <w:rsid w:val="00B943FB"/>
    <w:rsid w:val="00B9480E"/>
    <w:rsid w:val="00B949DC"/>
    <w:rsid w:val="00B97463"/>
    <w:rsid w:val="00BA0622"/>
    <w:rsid w:val="00BA13A1"/>
    <w:rsid w:val="00BA25B4"/>
    <w:rsid w:val="00BA6188"/>
    <w:rsid w:val="00BA770B"/>
    <w:rsid w:val="00BB4AF3"/>
    <w:rsid w:val="00BB608E"/>
    <w:rsid w:val="00BB7567"/>
    <w:rsid w:val="00BC1628"/>
    <w:rsid w:val="00BC1FE8"/>
    <w:rsid w:val="00BC361A"/>
    <w:rsid w:val="00BC5E7D"/>
    <w:rsid w:val="00BC68C2"/>
    <w:rsid w:val="00BC6FA1"/>
    <w:rsid w:val="00BD2045"/>
    <w:rsid w:val="00BD3450"/>
    <w:rsid w:val="00BD3D7D"/>
    <w:rsid w:val="00BD49F7"/>
    <w:rsid w:val="00BD61A2"/>
    <w:rsid w:val="00BD6EB1"/>
    <w:rsid w:val="00BE2A64"/>
    <w:rsid w:val="00BE484D"/>
    <w:rsid w:val="00BE5599"/>
    <w:rsid w:val="00BE5DA4"/>
    <w:rsid w:val="00BF2596"/>
    <w:rsid w:val="00C000B9"/>
    <w:rsid w:val="00C00B11"/>
    <w:rsid w:val="00C011FE"/>
    <w:rsid w:val="00C01763"/>
    <w:rsid w:val="00C02849"/>
    <w:rsid w:val="00C03CFF"/>
    <w:rsid w:val="00C05AFE"/>
    <w:rsid w:val="00C134A1"/>
    <w:rsid w:val="00C24EDE"/>
    <w:rsid w:val="00C3484E"/>
    <w:rsid w:val="00C3796D"/>
    <w:rsid w:val="00C37E05"/>
    <w:rsid w:val="00C4270A"/>
    <w:rsid w:val="00C42EEF"/>
    <w:rsid w:val="00C43288"/>
    <w:rsid w:val="00C461AE"/>
    <w:rsid w:val="00C47789"/>
    <w:rsid w:val="00C52172"/>
    <w:rsid w:val="00C5460B"/>
    <w:rsid w:val="00C55D29"/>
    <w:rsid w:val="00C56F2E"/>
    <w:rsid w:val="00C57F2B"/>
    <w:rsid w:val="00C61A9A"/>
    <w:rsid w:val="00C62B3A"/>
    <w:rsid w:val="00C63411"/>
    <w:rsid w:val="00C638BF"/>
    <w:rsid w:val="00C65E6F"/>
    <w:rsid w:val="00C66631"/>
    <w:rsid w:val="00C66D79"/>
    <w:rsid w:val="00C73785"/>
    <w:rsid w:val="00C742B4"/>
    <w:rsid w:val="00C83DB6"/>
    <w:rsid w:val="00C84FA0"/>
    <w:rsid w:val="00C86F6D"/>
    <w:rsid w:val="00C874C7"/>
    <w:rsid w:val="00C91884"/>
    <w:rsid w:val="00C92265"/>
    <w:rsid w:val="00C948D8"/>
    <w:rsid w:val="00CA03B2"/>
    <w:rsid w:val="00CA0BE9"/>
    <w:rsid w:val="00CA138D"/>
    <w:rsid w:val="00CA262A"/>
    <w:rsid w:val="00CA57D9"/>
    <w:rsid w:val="00CA5D67"/>
    <w:rsid w:val="00CB2733"/>
    <w:rsid w:val="00CB502B"/>
    <w:rsid w:val="00CB635E"/>
    <w:rsid w:val="00CB684F"/>
    <w:rsid w:val="00CB6BC8"/>
    <w:rsid w:val="00CB730E"/>
    <w:rsid w:val="00CB7434"/>
    <w:rsid w:val="00CC187E"/>
    <w:rsid w:val="00CC220F"/>
    <w:rsid w:val="00CC2AFE"/>
    <w:rsid w:val="00CC6720"/>
    <w:rsid w:val="00CC7641"/>
    <w:rsid w:val="00CD07BB"/>
    <w:rsid w:val="00CD2BEE"/>
    <w:rsid w:val="00CE0B46"/>
    <w:rsid w:val="00CE20D2"/>
    <w:rsid w:val="00CE4EFB"/>
    <w:rsid w:val="00CE5B8F"/>
    <w:rsid w:val="00CE5E98"/>
    <w:rsid w:val="00CE7D19"/>
    <w:rsid w:val="00CF0681"/>
    <w:rsid w:val="00CF1280"/>
    <w:rsid w:val="00CF17C6"/>
    <w:rsid w:val="00CF2515"/>
    <w:rsid w:val="00CF3E79"/>
    <w:rsid w:val="00CF6023"/>
    <w:rsid w:val="00D041C0"/>
    <w:rsid w:val="00D04A47"/>
    <w:rsid w:val="00D074A2"/>
    <w:rsid w:val="00D07B51"/>
    <w:rsid w:val="00D11833"/>
    <w:rsid w:val="00D13794"/>
    <w:rsid w:val="00D15F51"/>
    <w:rsid w:val="00D1667D"/>
    <w:rsid w:val="00D166E4"/>
    <w:rsid w:val="00D218E7"/>
    <w:rsid w:val="00D2385C"/>
    <w:rsid w:val="00D24052"/>
    <w:rsid w:val="00D242ED"/>
    <w:rsid w:val="00D24386"/>
    <w:rsid w:val="00D24AA3"/>
    <w:rsid w:val="00D26396"/>
    <w:rsid w:val="00D31575"/>
    <w:rsid w:val="00D31A89"/>
    <w:rsid w:val="00D34626"/>
    <w:rsid w:val="00D34A36"/>
    <w:rsid w:val="00D34C8D"/>
    <w:rsid w:val="00D34FB4"/>
    <w:rsid w:val="00D359BA"/>
    <w:rsid w:val="00D366EE"/>
    <w:rsid w:val="00D40898"/>
    <w:rsid w:val="00D4257A"/>
    <w:rsid w:val="00D456A9"/>
    <w:rsid w:val="00D458B5"/>
    <w:rsid w:val="00D52798"/>
    <w:rsid w:val="00D53A3C"/>
    <w:rsid w:val="00D5468A"/>
    <w:rsid w:val="00D576F7"/>
    <w:rsid w:val="00D60F14"/>
    <w:rsid w:val="00D6159D"/>
    <w:rsid w:val="00D61745"/>
    <w:rsid w:val="00D624F2"/>
    <w:rsid w:val="00D6261F"/>
    <w:rsid w:val="00D62665"/>
    <w:rsid w:val="00D63165"/>
    <w:rsid w:val="00D64596"/>
    <w:rsid w:val="00D645AC"/>
    <w:rsid w:val="00D66C71"/>
    <w:rsid w:val="00D66D7C"/>
    <w:rsid w:val="00D678C4"/>
    <w:rsid w:val="00D70205"/>
    <w:rsid w:val="00D735EF"/>
    <w:rsid w:val="00D7407C"/>
    <w:rsid w:val="00D7609F"/>
    <w:rsid w:val="00D776B5"/>
    <w:rsid w:val="00D77A29"/>
    <w:rsid w:val="00D81039"/>
    <w:rsid w:val="00D81AA7"/>
    <w:rsid w:val="00D82B48"/>
    <w:rsid w:val="00D82E47"/>
    <w:rsid w:val="00D84A01"/>
    <w:rsid w:val="00D9010F"/>
    <w:rsid w:val="00D9407B"/>
    <w:rsid w:val="00D95786"/>
    <w:rsid w:val="00D95952"/>
    <w:rsid w:val="00D95C2A"/>
    <w:rsid w:val="00D96CEE"/>
    <w:rsid w:val="00D977EA"/>
    <w:rsid w:val="00DA0DCE"/>
    <w:rsid w:val="00DA1518"/>
    <w:rsid w:val="00DA37E0"/>
    <w:rsid w:val="00DA4DAB"/>
    <w:rsid w:val="00DB148C"/>
    <w:rsid w:val="00DB1A31"/>
    <w:rsid w:val="00DB202E"/>
    <w:rsid w:val="00DB3F90"/>
    <w:rsid w:val="00DB4AA0"/>
    <w:rsid w:val="00DB4F78"/>
    <w:rsid w:val="00DB64A2"/>
    <w:rsid w:val="00DC027B"/>
    <w:rsid w:val="00DC0CDE"/>
    <w:rsid w:val="00DC1A85"/>
    <w:rsid w:val="00DC3D4C"/>
    <w:rsid w:val="00DC498E"/>
    <w:rsid w:val="00DC4D72"/>
    <w:rsid w:val="00DC59A3"/>
    <w:rsid w:val="00DC6525"/>
    <w:rsid w:val="00DC6B31"/>
    <w:rsid w:val="00DC7018"/>
    <w:rsid w:val="00DD12B0"/>
    <w:rsid w:val="00DD260A"/>
    <w:rsid w:val="00DD44FF"/>
    <w:rsid w:val="00DD5610"/>
    <w:rsid w:val="00DD66B8"/>
    <w:rsid w:val="00DE30B7"/>
    <w:rsid w:val="00DF0CB3"/>
    <w:rsid w:val="00DF491D"/>
    <w:rsid w:val="00DF494C"/>
    <w:rsid w:val="00DF6D0B"/>
    <w:rsid w:val="00DF7E0D"/>
    <w:rsid w:val="00E0187C"/>
    <w:rsid w:val="00E02CBF"/>
    <w:rsid w:val="00E0624D"/>
    <w:rsid w:val="00E067AB"/>
    <w:rsid w:val="00E134EC"/>
    <w:rsid w:val="00E1388A"/>
    <w:rsid w:val="00E14BFB"/>
    <w:rsid w:val="00E1687F"/>
    <w:rsid w:val="00E179D4"/>
    <w:rsid w:val="00E20023"/>
    <w:rsid w:val="00E20ED0"/>
    <w:rsid w:val="00E22DA8"/>
    <w:rsid w:val="00E2330A"/>
    <w:rsid w:val="00E276DA"/>
    <w:rsid w:val="00E33FE9"/>
    <w:rsid w:val="00E34166"/>
    <w:rsid w:val="00E353A3"/>
    <w:rsid w:val="00E35C9D"/>
    <w:rsid w:val="00E37FF7"/>
    <w:rsid w:val="00E43C30"/>
    <w:rsid w:val="00E4438C"/>
    <w:rsid w:val="00E457F3"/>
    <w:rsid w:val="00E50663"/>
    <w:rsid w:val="00E53E1F"/>
    <w:rsid w:val="00E55F9B"/>
    <w:rsid w:val="00E5676B"/>
    <w:rsid w:val="00E576F5"/>
    <w:rsid w:val="00E57A6A"/>
    <w:rsid w:val="00E639D8"/>
    <w:rsid w:val="00E64B84"/>
    <w:rsid w:val="00E6542E"/>
    <w:rsid w:val="00E66C0F"/>
    <w:rsid w:val="00E670A4"/>
    <w:rsid w:val="00E73CC1"/>
    <w:rsid w:val="00E75A02"/>
    <w:rsid w:val="00E85F27"/>
    <w:rsid w:val="00E85FC2"/>
    <w:rsid w:val="00E86357"/>
    <w:rsid w:val="00E87284"/>
    <w:rsid w:val="00E87822"/>
    <w:rsid w:val="00E90A51"/>
    <w:rsid w:val="00E944E7"/>
    <w:rsid w:val="00E97664"/>
    <w:rsid w:val="00EA43FD"/>
    <w:rsid w:val="00EA4DD8"/>
    <w:rsid w:val="00EA7959"/>
    <w:rsid w:val="00EB2AEF"/>
    <w:rsid w:val="00EB2BED"/>
    <w:rsid w:val="00EB3E93"/>
    <w:rsid w:val="00EB5B3F"/>
    <w:rsid w:val="00EB7954"/>
    <w:rsid w:val="00EB7E71"/>
    <w:rsid w:val="00EC0CEB"/>
    <w:rsid w:val="00EC0D00"/>
    <w:rsid w:val="00EC4495"/>
    <w:rsid w:val="00EC4E63"/>
    <w:rsid w:val="00EC590D"/>
    <w:rsid w:val="00ED0B7F"/>
    <w:rsid w:val="00ED123E"/>
    <w:rsid w:val="00ED1F15"/>
    <w:rsid w:val="00ED216B"/>
    <w:rsid w:val="00ED35C2"/>
    <w:rsid w:val="00ED6C7E"/>
    <w:rsid w:val="00ED7163"/>
    <w:rsid w:val="00EE0415"/>
    <w:rsid w:val="00EE2B83"/>
    <w:rsid w:val="00EE60D0"/>
    <w:rsid w:val="00EF139D"/>
    <w:rsid w:val="00EF1D56"/>
    <w:rsid w:val="00EF2788"/>
    <w:rsid w:val="00EF3103"/>
    <w:rsid w:val="00EF317A"/>
    <w:rsid w:val="00EF40F6"/>
    <w:rsid w:val="00EF69AD"/>
    <w:rsid w:val="00EF6E9B"/>
    <w:rsid w:val="00EF74AB"/>
    <w:rsid w:val="00EF7714"/>
    <w:rsid w:val="00F023DB"/>
    <w:rsid w:val="00F02E36"/>
    <w:rsid w:val="00F041D3"/>
    <w:rsid w:val="00F067DC"/>
    <w:rsid w:val="00F109D4"/>
    <w:rsid w:val="00F10A6F"/>
    <w:rsid w:val="00F1308B"/>
    <w:rsid w:val="00F13C88"/>
    <w:rsid w:val="00F15EE9"/>
    <w:rsid w:val="00F169EE"/>
    <w:rsid w:val="00F17E56"/>
    <w:rsid w:val="00F22B5C"/>
    <w:rsid w:val="00F231A1"/>
    <w:rsid w:val="00F24736"/>
    <w:rsid w:val="00F27344"/>
    <w:rsid w:val="00F307CF"/>
    <w:rsid w:val="00F343AA"/>
    <w:rsid w:val="00F35525"/>
    <w:rsid w:val="00F4241B"/>
    <w:rsid w:val="00F429D9"/>
    <w:rsid w:val="00F42D19"/>
    <w:rsid w:val="00F4428E"/>
    <w:rsid w:val="00F44626"/>
    <w:rsid w:val="00F46704"/>
    <w:rsid w:val="00F4674D"/>
    <w:rsid w:val="00F46C17"/>
    <w:rsid w:val="00F472CF"/>
    <w:rsid w:val="00F47585"/>
    <w:rsid w:val="00F5047F"/>
    <w:rsid w:val="00F5579D"/>
    <w:rsid w:val="00F55CDC"/>
    <w:rsid w:val="00F6249C"/>
    <w:rsid w:val="00F6465B"/>
    <w:rsid w:val="00F678B8"/>
    <w:rsid w:val="00F6791B"/>
    <w:rsid w:val="00F704D5"/>
    <w:rsid w:val="00F70657"/>
    <w:rsid w:val="00F7078E"/>
    <w:rsid w:val="00F71ED6"/>
    <w:rsid w:val="00F744A8"/>
    <w:rsid w:val="00F74D5B"/>
    <w:rsid w:val="00F75BDB"/>
    <w:rsid w:val="00F81232"/>
    <w:rsid w:val="00F8291C"/>
    <w:rsid w:val="00F84027"/>
    <w:rsid w:val="00F85E6F"/>
    <w:rsid w:val="00F87C3E"/>
    <w:rsid w:val="00F906AC"/>
    <w:rsid w:val="00F90860"/>
    <w:rsid w:val="00F9089A"/>
    <w:rsid w:val="00F95449"/>
    <w:rsid w:val="00FA05E2"/>
    <w:rsid w:val="00FA1942"/>
    <w:rsid w:val="00FA380A"/>
    <w:rsid w:val="00FA38CF"/>
    <w:rsid w:val="00FA3DD6"/>
    <w:rsid w:val="00FB3986"/>
    <w:rsid w:val="00FB741C"/>
    <w:rsid w:val="00FC2CB5"/>
    <w:rsid w:val="00FC2D24"/>
    <w:rsid w:val="00FC38D9"/>
    <w:rsid w:val="00FC3A8F"/>
    <w:rsid w:val="00FC595E"/>
    <w:rsid w:val="00FC621B"/>
    <w:rsid w:val="00FD0032"/>
    <w:rsid w:val="00FD19F7"/>
    <w:rsid w:val="00FD1CB0"/>
    <w:rsid w:val="00FD7402"/>
    <w:rsid w:val="00FE0354"/>
    <w:rsid w:val="00FE04E4"/>
    <w:rsid w:val="00FE2CD2"/>
    <w:rsid w:val="00FE2DD7"/>
    <w:rsid w:val="00FE5FDD"/>
    <w:rsid w:val="00FE700B"/>
    <w:rsid w:val="00FE73F9"/>
    <w:rsid w:val="00FF1057"/>
    <w:rsid w:val="00FF3E25"/>
    <w:rsid w:val="00FF5FD8"/>
    <w:rsid w:val="057455A4"/>
    <w:rsid w:val="06894B3B"/>
    <w:rsid w:val="0827C258"/>
    <w:rsid w:val="1473A275"/>
    <w:rsid w:val="14E11A27"/>
    <w:rsid w:val="16A33B90"/>
    <w:rsid w:val="16D50CF5"/>
    <w:rsid w:val="1766198E"/>
    <w:rsid w:val="1B96BCE5"/>
    <w:rsid w:val="2079090A"/>
    <w:rsid w:val="279852E6"/>
    <w:rsid w:val="28B7050D"/>
    <w:rsid w:val="320FB0E5"/>
    <w:rsid w:val="38436328"/>
    <w:rsid w:val="417F8802"/>
    <w:rsid w:val="4873BC45"/>
    <w:rsid w:val="48944AE6"/>
    <w:rsid w:val="4A8103EF"/>
    <w:rsid w:val="4B11C30D"/>
    <w:rsid w:val="4B5BEC49"/>
    <w:rsid w:val="4E4B58D0"/>
    <w:rsid w:val="54C26236"/>
    <w:rsid w:val="59F474AA"/>
    <w:rsid w:val="65E71A26"/>
    <w:rsid w:val="6648C4EF"/>
    <w:rsid w:val="6D009534"/>
    <w:rsid w:val="6DCAEE4A"/>
    <w:rsid w:val="6FFDF9E8"/>
    <w:rsid w:val="79FCD610"/>
    <w:rsid w:val="7D9187B1"/>
    <w:rsid w:val="7DFFD30C"/>
    <w:rsid w:val="7E76B9D4"/>
    <w:rsid w:val="7F0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A3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character" w:styleId="Mention">
    <w:name w:val="Mention"/>
    <w:basedOn w:val="DefaultParagraphFont"/>
    <w:uiPriority w:val="99"/>
    <w:unhideWhenUsed/>
    <w:rsid w:val="006C4A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statement: Competition and Consumer (Scams Prevention Framework – External Dispute Resolution) Authorisation 2025</vt:lpstr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statement: Competition and Consumer (Scams Prevention Framework – External Dispute Resolution) Authorisation 2025</dc:title>
  <dc:subject/>
  <dc:creator>Treasury</dc:creator>
  <cp:keywords/>
  <dc:description/>
  <cp:lastModifiedBy/>
  <cp:revision>1</cp:revision>
  <dcterms:created xsi:type="dcterms:W3CDTF">2025-11-27T22:48:00Z</dcterms:created>
  <dcterms:modified xsi:type="dcterms:W3CDTF">2025-11-27T22:49:00Z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2025-11-27T22:49:29Z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0fdd07ad-6f27-487d-b0d9-ec18dcc947f4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