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96BD" w14:textId="3A89626C"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311B9A9E" w14:textId="3E736833" w:rsidR="007662C7" w:rsidRPr="003C5719" w:rsidRDefault="00F109D4" w:rsidP="004A27A8">
      <w:pPr>
        <w:pStyle w:val="Heading2"/>
        <w:jc w:val="center"/>
        <w:rPr>
          <w:sz w:val="24"/>
          <w:szCs w:val="24"/>
        </w:rPr>
      </w:pPr>
      <w:r w:rsidRPr="003C5719">
        <w:rPr>
          <w:sz w:val="24"/>
          <w:szCs w:val="24"/>
        </w:rPr>
        <w:t xml:space="preserve">Issued by authority of </w:t>
      </w:r>
      <w:r w:rsidR="00460A37">
        <w:rPr>
          <w:rStyle w:val="DefaultChar"/>
        </w:rPr>
        <w:t>the Assistant Treasurer and Minister for Financial Services</w:t>
      </w:r>
      <w:r w:rsidR="00076178" w:rsidRPr="003C5719">
        <w:rPr>
          <w:sz w:val="24"/>
          <w:szCs w:val="24"/>
        </w:rPr>
        <w:t xml:space="preserve"> </w:t>
      </w:r>
    </w:p>
    <w:p w14:paraId="0B075D98" w14:textId="37767AE3" w:rsidR="00F109D4" w:rsidRPr="003C5719" w:rsidRDefault="00C94435" w:rsidP="004A27A8">
      <w:pPr>
        <w:spacing w:before="240" w:after="240"/>
        <w:jc w:val="center"/>
        <w:rPr>
          <w:i/>
        </w:rPr>
      </w:pPr>
      <w:r>
        <w:rPr>
          <w:i/>
        </w:rPr>
        <w:t>Competition and Consumer Act 2010</w:t>
      </w:r>
    </w:p>
    <w:p w14:paraId="12BF4728" w14:textId="3AA156B5" w:rsidR="00AF7CE1" w:rsidRPr="003C5719" w:rsidRDefault="00AF7CE1" w:rsidP="00AF7CE1">
      <w:pPr>
        <w:tabs>
          <w:tab w:val="left" w:pos="1418"/>
        </w:tabs>
        <w:spacing w:before="0" w:after="240"/>
        <w:jc w:val="center"/>
        <w:rPr>
          <w:i/>
        </w:rPr>
      </w:pPr>
      <w:r>
        <w:rPr>
          <w:i/>
        </w:rPr>
        <w:t>Competition and Consumer (Scams Prevention Framework</w:t>
      </w:r>
      <w:r w:rsidR="00FC6C0D">
        <w:rPr>
          <w:i/>
        </w:rPr>
        <w:t>)</w:t>
      </w:r>
      <w:r w:rsidRPr="00540778">
        <w:rPr>
          <w:i/>
        </w:rPr>
        <w:t xml:space="preserve"> </w:t>
      </w:r>
      <w:r>
        <w:rPr>
          <w:i/>
        </w:rPr>
        <w:t>Rules</w:t>
      </w:r>
      <w:r w:rsidRPr="00540778">
        <w:rPr>
          <w:i/>
        </w:rPr>
        <w:t xml:space="preserve"> 2026</w:t>
      </w:r>
    </w:p>
    <w:p w14:paraId="010805C6" w14:textId="467155BB" w:rsidR="0018273A" w:rsidRDefault="00556D20" w:rsidP="00C50699">
      <w:pPr>
        <w:spacing w:before="240"/>
        <w:rPr>
          <w:rStyle w:val="normaltextrun"/>
          <w:szCs w:val="22"/>
        </w:rPr>
      </w:pPr>
      <w:r>
        <w:rPr>
          <w:rStyle w:val="normaltextrun"/>
          <w:szCs w:val="22"/>
        </w:rPr>
        <w:t>The </w:t>
      </w:r>
      <w:r>
        <w:rPr>
          <w:rStyle w:val="normaltextrun"/>
          <w:i/>
          <w:iCs/>
          <w:szCs w:val="22"/>
        </w:rPr>
        <w:t>Scams Prevention Framework Act 2025 </w:t>
      </w:r>
      <w:r>
        <w:rPr>
          <w:rStyle w:val="normaltextrun"/>
          <w:szCs w:val="22"/>
        </w:rPr>
        <w:t>introduced Part IVF into the </w:t>
      </w:r>
      <w:r>
        <w:rPr>
          <w:rStyle w:val="normaltextrun"/>
          <w:i/>
          <w:iCs/>
          <w:szCs w:val="22"/>
        </w:rPr>
        <w:t>Competition and Consumer Act 2010 </w:t>
      </w:r>
      <w:r>
        <w:rPr>
          <w:rStyle w:val="normaltextrun"/>
          <w:szCs w:val="22"/>
        </w:rPr>
        <w:t xml:space="preserve">(the </w:t>
      </w:r>
      <w:r w:rsidR="009518BC">
        <w:rPr>
          <w:rStyle w:val="normaltextrun"/>
          <w:szCs w:val="22"/>
        </w:rPr>
        <w:t>Act</w:t>
      </w:r>
      <w:r>
        <w:rPr>
          <w:rStyle w:val="normaltextrun"/>
          <w:szCs w:val="22"/>
        </w:rPr>
        <w:t xml:space="preserve">). Part IVF establishes the Scams Prevention Framework (SPF) for preventing and responding to scams that impact the Australian economy. </w:t>
      </w:r>
    </w:p>
    <w:p w14:paraId="118ACB90" w14:textId="77777777" w:rsidR="0018273A" w:rsidRDefault="0018273A" w:rsidP="005C754A">
      <w:pPr>
        <w:spacing w:before="240" w:after="0"/>
      </w:pPr>
      <w:r w:rsidRPr="00A91151">
        <w:t xml:space="preserve">The SPF has the following features: </w:t>
      </w:r>
    </w:p>
    <w:p w14:paraId="14B00332" w14:textId="77777777" w:rsidR="0018273A" w:rsidRDefault="0018273A" w:rsidP="005C754A">
      <w:pPr>
        <w:pStyle w:val="Bullet"/>
        <w:spacing w:after="0"/>
      </w:pPr>
      <w:r w:rsidRPr="00A91151">
        <w:t xml:space="preserve">overarching principles, called SPF principles, that apply to regulated entities in all regulated </w:t>
      </w:r>
      <w:proofErr w:type="gramStart"/>
      <w:r w:rsidRPr="00A91151">
        <w:t>sectors;</w:t>
      </w:r>
      <w:proofErr w:type="gramEnd"/>
      <w:r w:rsidRPr="00A91151">
        <w:t xml:space="preserve"> </w:t>
      </w:r>
    </w:p>
    <w:p w14:paraId="3F774B43" w14:textId="77777777" w:rsidR="0018273A" w:rsidRDefault="0018273A" w:rsidP="005C754A">
      <w:pPr>
        <w:pStyle w:val="Bullet"/>
        <w:spacing w:after="0"/>
      </w:pPr>
      <w:r w:rsidRPr="00A91151">
        <w:t xml:space="preserve">a power to make sector-specific codes, called SPF codes, that apply to regulated entities in the particular regulated </w:t>
      </w:r>
      <w:proofErr w:type="gramStart"/>
      <w:r w:rsidRPr="00A91151">
        <w:t>sector;</w:t>
      </w:r>
      <w:proofErr w:type="gramEnd"/>
      <w:r w:rsidRPr="00A91151">
        <w:t xml:space="preserve"> </w:t>
      </w:r>
    </w:p>
    <w:p w14:paraId="5E8F28B9" w14:textId="77777777" w:rsidR="0018273A" w:rsidRDefault="0018273A" w:rsidP="005C754A">
      <w:pPr>
        <w:pStyle w:val="Bullet"/>
        <w:spacing w:after="0"/>
      </w:pPr>
      <w:r w:rsidRPr="00A91151">
        <w:t xml:space="preserve">a power to make rules, called SPF rules, to support the operation of the </w:t>
      </w:r>
      <w:proofErr w:type="gramStart"/>
      <w:r w:rsidRPr="00A91151">
        <w:t>SPF;</w:t>
      </w:r>
      <w:proofErr w:type="gramEnd"/>
      <w:r w:rsidRPr="00A91151">
        <w:t xml:space="preserve"> </w:t>
      </w:r>
    </w:p>
    <w:p w14:paraId="351A23D0" w14:textId="77777777" w:rsidR="0018273A" w:rsidRDefault="0018273A" w:rsidP="005C754A">
      <w:pPr>
        <w:pStyle w:val="Bullet"/>
        <w:spacing w:after="0"/>
      </w:pPr>
      <w:r w:rsidRPr="00A91151">
        <w:t>a multi-</w:t>
      </w:r>
      <w:proofErr w:type="spellStart"/>
      <w:r w:rsidRPr="00A91151">
        <w:t>regulator</w:t>
      </w:r>
      <w:proofErr w:type="spellEnd"/>
      <w:r w:rsidRPr="00A91151">
        <w:t xml:space="preserve"> framework; regulatory and enforcement mechanisms; and dispute resolution and actions for damages mechanisms.</w:t>
      </w:r>
    </w:p>
    <w:p w14:paraId="1A23F22D" w14:textId="76809373" w:rsidR="0018273A" w:rsidRDefault="004F5636" w:rsidP="00C50699">
      <w:pPr>
        <w:spacing w:before="240"/>
      </w:pPr>
      <w:r>
        <w:t>Section 58GE</w:t>
      </w:r>
      <w:r w:rsidR="009E6C79">
        <w:t xml:space="preserve"> </w:t>
      </w:r>
      <w:r w:rsidR="00D60695">
        <w:t xml:space="preserve">of the </w:t>
      </w:r>
      <w:r w:rsidR="009518BC">
        <w:t xml:space="preserve">Act </w:t>
      </w:r>
      <w:r w:rsidR="009E6C79">
        <w:t>provides that</w:t>
      </w:r>
      <w:r>
        <w:t xml:space="preserve"> the Minister may, by legislative instrument, make rules </w:t>
      </w:r>
      <w:r w:rsidR="0018273A">
        <w:t xml:space="preserve">(SPF rules) </w:t>
      </w:r>
      <w:r>
        <w:t xml:space="preserve">prescribing matters for the purposes of the SPF. </w:t>
      </w:r>
      <w:r w:rsidR="0063609E">
        <w:t xml:space="preserve">Specifically, the SPF rules may prescribe matters relating to </w:t>
      </w:r>
      <w:r w:rsidR="0063609E" w:rsidRPr="00073825">
        <w:t>designat</w:t>
      </w:r>
      <w:r w:rsidR="0063609E">
        <w:t>ed SPF sectors</w:t>
      </w:r>
      <w:r w:rsidR="0063609E" w:rsidRPr="00073825">
        <w:t>, regulated entity reporting, performance measures, record keeping, internal dispute resolution, industry codes, external dispute resolution schemes and arrangements for SPF regulators.</w:t>
      </w:r>
    </w:p>
    <w:p w14:paraId="218C0753" w14:textId="4EB7ECDC" w:rsidR="00DA372B" w:rsidRDefault="00C50699" w:rsidP="00C54EED">
      <w:pPr>
        <w:spacing w:before="240" w:after="0"/>
      </w:pPr>
      <w:r w:rsidRPr="00452A78">
        <w:t>Subsection 58GE(3) </w:t>
      </w:r>
      <w:r>
        <w:t xml:space="preserve">also </w:t>
      </w:r>
      <w:r w:rsidRPr="00452A78">
        <w:t>places</w:t>
      </w:r>
      <w:r w:rsidR="000F5845">
        <w:t xml:space="preserve"> certain</w:t>
      </w:r>
      <w:r w:rsidRPr="00452A78">
        <w:t> limits on the SPF rules. </w:t>
      </w:r>
      <w:r w:rsidR="00B14987">
        <w:t>For example, t</w:t>
      </w:r>
      <w:r w:rsidRPr="00452A78">
        <w:t>he SPF rules may not</w:t>
      </w:r>
      <w:r w:rsidR="00B14987">
        <w:t xml:space="preserve"> create an offence or civil penalty or impose a tax</w:t>
      </w:r>
      <w:r w:rsidRPr="00452A78">
        <w:t>. </w:t>
      </w:r>
    </w:p>
    <w:p w14:paraId="64A74B47" w14:textId="4B01E445" w:rsidR="007A7A0E" w:rsidRDefault="007A7A0E" w:rsidP="007A7A0E">
      <w:pPr>
        <w:pStyle w:val="Bullet"/>
        <w:numPr>
          <w:ilvl w:val="0"/>
          <w:numId w:val="0"/>
        </w:numPr>
      </w:pPr>
      <w:r w:rsidRPr="007A7A0E">
        <w:t xml:space="preserve">The SPF contains </w:t>
      </w:r>
      <w:r w:rsidR="0063609E">
        <w:t xml:space="preserve">the following </w:t>
      </w:r>
      <w:r w:rsidR="00645612">
        <w:t>six</w:t>
      </w:r>
      <w:r w:rsidRPr="007A7A0E">
        <w:t xml:space="preserve"> SPF principles, which regulated entities in all regulated sectors must comply with: </w:t>
      </w:r>
    </w:p>
    <w:p w14:paraId="7EAE1539" w14:textId="3ED58029" w:rsidR="00627163" w:rsidRPr="00D60695" w:rsidRDefault="007A7A0E" w:rsidP="007A7A0E">
      <w:pPr>
        <w:pStyle w:val="Bullet"/>
        <w:numPr>
          <w:ilvl w:val="0"/>
          <w:numId w:val="0"/>
        </w:numPr>
        <w:rPr>
          <w:i/>
          <w:iCs/>
        </w:rPr>
      </w:pPr>
      <w:r w:rsidRPr="00D60695">
        <w:rPr>
          <w:i/>
          <w:iCs/>
        </w:rPr>
        <w:t>SPF principle 1: governance</w:t>
      </w:r>
      <w:r w:rsidR="0063609E">
        <w:rPr>
          <w:i/>
          <w:iCs/>
        </w:rPr>
        <w:t xml:space="preserve"> (sections 58BC–</w:t>
      </w:r>
      <w:r w:rsidR="00037C70">
        <w:rPr>
          <w:i/>
          <w:iCs/>
        </w:rPr>
        <w:t>58BH)</w:t>
      </w:r>
      <w:r w:rsidRPr="00D60695">
        <w:rPr>
          <w:i/>
          <w:iCs/>
        </w:rPr>
        <w:t xml:space="preserve"> </w:t>
      </w:r>
    </w:p>
    <w:p w14:paraId="455C2287" w14:textId="47D3C85D" w:rsidR="007A7A0E" w:rsidRDefault="007A7A0E" w:rsidP="007A7A0E">
      <w:pPr>
        <w:pStyle w:val="Bullet"/>
        <w:numPr>
          <w:ilvl w:val="0"/>
          <w:numId w:val="0"/>
        </w:numPr>
      </w:pPr>
      <w:r w:rsidRPr="007A7A0E">
        <w:t xml:space="preserve">This principle requires, among other things, a regulated entity to document and implement governance policies, procedures, metrics and targets. </w:t>
      </w:r>
      <w:r w:rsidR="007259F0">
        <w:t xml:space="preserve">An entity is required to </w:t>
      </w:r>
      <w:r w:rsidR="007259F0" w:rsidRPr="0028338C">
        <w:t xml:space="preserve">comply with any requirements </w:t>
      </w:r>
      <w:r w:rsidR="00833192" w:rsidRPr="0028338C">
        <w:t xml:space="preserve">prescribed by the SPF rules </w:t>
      </w:r>
      <w:r w:rsidR="007259F0" w:rsidRPr="0028338C">
        <w:t>for those metrics and targets</w:t>
      </w:r>
      <w:r w:rsidR="007259F0">
        <w:t xml:space="preserve"> and </w:t>
      </w:r>
      <w:r w:rsidR="00833192">
        <w:t>record</w:t>
      </w:r>
      <w:r w:rsidR="00BA5AF0">
        <w:noBreakHyphen/>
      </w:r>
      <w:r w:rsidR="00833192">
        <w:t>keeping</w:t>
      </w:r>
      <w:r w:rsidR="007259F0">
        <w:t>.</w:t>
      </w:r>
    </w:p>
    <w:p w14:paraId="2E8072AD" w14:textId="1FA2790B" w:rsidR="00627163" w:rsidRPr="00D60695" w:rsidRDefault="007A7A0E" w:rsidP="007A7A0E">
      <w:pPr>
        <w:pStyle w:val="Bullet"/>
        <w:numPr>
          <w:ilvl w:val="0"/>
          <w:numId w:val="0"/>
        </w:numPr>
        <w:rPr>
          <w:i/>
          <w:iCs/>
        </w:rPr>
      </w:pPr>
      <w:r w:rsidRPr="00D60695">
        <w:rPr>
          <w:i/>
          <w:iCs/>
        </w:rPr>
        <w:t>SPF principle 2: prevent</w:t>
      </w:r>
      <w:r w:rsidR="00037C70">
        <w:rPr>
          <w:i/>
          <w:iCs/>
        </w:rPr>
        <w:t xml:space="preserve"> (sections 58BI–58BK)</w:t>
      </w:r>
      <w:r w:rsidRPr="00D60695">
        <w:rPr>
          <w:i/>
          <w:iCs/>
        </w:rPr>
        <w:t xml:space="preserve"> </w:t>
      </w:r>
    </w:p>
    <w:p w14:paraId="58A843D8" w14:textId="1CCF4EE3" w:rsidR="007A7A0E" w:rsidRDefault="007A7A0E" w:rsidP="007A7A0E">
      <w:pPr>
        <w:pStyle w:val="Bullet"/>
        <w:numPr>
          <w:ilvl w:val="0"/>
          <w:numId w:val="0"/>
        </w:numPr>
      </w:pPr>
      <w:r w:rsidRPr="007A7A0E">
        <w:t>This principle requires a regulated entity to take reasonable steps to prevent scams</w:t>
      </w:r>
      <w:r w:rsidR="00514951">
        <w:t xml:space="preserve"> relating to, connected with, or using, a regulated service</w:t>
      </w:r>
      <w:r w:rsidRPr="007A7A0E">
        <w:t xml:space="preserve">. </w:t>
      </w:r>
    </w:p>
    <w:p w14:paraId="5F379756" w14:textId="370A4DCC" w:rsidR="00627163" w:rsidRPr="00D60695" w:rsidRDefault="007A7A0E" w:rsidP="007A7A0E">
      <w:pPr>
        <w:pStyle w:val="Bullet"/>
        <w:numPr>
          <w:ilvl w:val="0"/>
          <w:numId w:val="0"/>
        </w:numPr>
        <w:rPr>
          <w:i/>
          <w:iCs/>
        </w:rPr>
      </w:pPr>
      <w:r w:rsidRPr="00D60695">
        <w:rPr>
          <w:i/>
          <w:iCs/>
        </w:rPr>
        <w:t>SPF principle 3: detect</w:t>
      </w:r>
      <w:r w:rsidR="00037C70">
        <w:rPr>
          <w:i/>
          <w:iCs/>
        </w:rPr>
        <w:t xml:space="preserve"> (sections 58</w:t>
      </w:r>
      <w:r w:rsidR="000752C9">
        <w:rPr>
          <w:i/>
          <w:iCs/>
        </w:rPr>
        <w:t>BL</w:t>
      </w:r>
      <w:r w:rsidR="00037C70">
        <w:rPr>
          <w:i/>
          <w:iCs/>
        </w:rPr>
        <w:t>–58</w:t>
      </w:r>
      <w:r w:rsidR="000752C9">
        <w:rPr>
          <w:i/>
          <w:iCs/>
        </w:rPr>
        <w:t>BP</w:t>
      </w:r>
      <w:r w:rsidR="00037C70">
        <w:rPr>
          <w:i/>
          <w:iCs/>
        </w:rPr>
        <w:t>)</w:t>
      </w:r>
      <w:r w:rsidRPr="00D60695">
        <w:rPr>
          <w:i/>
          <w:iCs/>
        </w:rPr>
        <w:t xml:space="preserve"> </w:t>
      </w:r>
    </w:p>
    <w:p w14:paraId="17A0A62A" w14:textId="010685F9" w:rsidR="007A7A0E" w:rsidRDefault="007A7A0E" w:rsidP="007A7A0E">
      <w:pPr>
        <w:pStyle w:val="Bullet"/>
        <w:numPr>
          <w:ilvl w:val="0"/>
          <w:numId w:val="0"/>
        </w:numPr>
      </w:pPr>
      <w:r w:rsidRPr="007A7A0E">
        <w:lastRenderedPageBreak/>
        <w:t xml:space="preserve">This principle requires a regulated entity to take reasonable steps to detect scams, including investigating activities that are the subject of actionable scam intelligence and identifying consumers that have been impacted by such activities. </w:t>
      </w:r>
    </w:p>
    <w:p w14:paraId="07C7105F" w14:textId="21576ACC" w:rsidR="00627163" w:rsidRPr="00D60695" w:rsidRDefault="007A7A0E" w:rsidP="007A7A0E">
      <w:pPr>
        <w:pStyle w:val="Bullet"/>
        <w:numPr>
          <w:ilvl w:val="0"/>
          <w:numId w:val="0"/>
        </w:numPr>
        <w:rPr>
          <w:i/>
          <w:iCs/>
        </w:rPr>
      </w:pPr>
      <w:r w:rsidRPr="00D60695">
        <w:rPr>
          <w:i/>
          <w:iCs/>
        </w:rPr>
        <w:t>SPF principle 4: report</w:t>
      </w:r>
      <w:r w:rsidR="000752C9">
        <w:rPr>
          <w:i/>
          <w:iCs/>
        </w:rPr>
        <w:t xml:space="preserve"> (sections 58BQ–58BV)</w:t>
      </w:r>
      <w:r w:rsidRPr="00D60695">
        <w:rPr>
          <w:i/>
          <w:iCs/>
        </w:rPr>
        <w:t xml:space="preserve"> </w:t>
      </w:r>
    </w:p>
    <w:p w14:paraId="6361D2F3" w14:textId="7473899A" w:rsidR="007A7A0E" w:rsidRDefault="007A7A0E" w:rsidP="007A7A0E">
      <w:pPr>
        <w:pStyle w:val="Bullet"/>
        <w:numPr>
          <w:ilvl w:val="0"/>
          <w:numId w:val="0"/>
        </w:numPr>
      </w:pPr>
      <w:r w:rsidRPr="007A7A0E">
        <w:t xml:space="preserve">This principle requires a regulated entity to provide the SPF general regulator with reports of any actionable scam intelligence the entity has. This obligation will not apply until the SPF rules prescribe the </w:t>
      </w:r>
      <w:proofErr w:type="gramStart"/>
      <w:r w:rsidRPr="007A7A0E">
        <w:t>time period</w:t>
      </w:r>
      <w:proofErr w:type="gramEnd"/>
      <w:r w:rsidRPr="007A7A0E">
        <w:t xml:space="preserve">, manner, form and information for the report. </w:t>
      </w:r>
    </w:p>
    <w:p w14:paraId="0622A07E" w14:textId="31A8C5DD" w:rsidR="00627163" w:rsidRPr="00D60695" w:rsidRDefault="007A7A0E" w:rsidP="007A7A0E">
      <w:pPr>
        <w:pStyle w:val="Bullet"/>
        <w:numPr>
          <w:ilvl w:val="0"/>
          <w:numId w:val="0"/>
        </w:numPr>
        <w:rPr>
          <w:i/>
          <w:iCs/>
        </w:rPr>
      </w:pPr>
      <w:r w:rsidRPr="00D60695">
        <w:rPr>
          <w:i/>
          <w:iCs/>
        </w:rPr>
        <w:t>SPF principle 5: disrupt</w:t>
      </w:r>
      <w:r w:rsidR="000752C9">
        <w:rPr>
          <w:i/>
          <w:iCs/>
        </w:rPr>
        <w:t xml:space="preserve"> (sections 58BW–58BZA)</w:t>
      </w:r>
      <w:r w:rsidRPr="00D60695">
        <w:rPr>
          <w:i/>
          <w:iCs/>
        </w:rPr>
        <w:t xml:space="preserve"> </w:t>
      </w:r>
    </w:p>
    <w:p w14:paraId="0B7C9FEF" w14:textId="0F72D840" w:rsidR="007A7A0E" w:rsidRDefault="007A7A0E" w:rsidP="007A7A0E">
      <w:pPr>
        <w:pStyle w:val="Bullet"/>
        <w:numPr>
          <w:ilvl w:val="0"/>
          <w:numId w:val="0"/>
        </w:numPr>
      </w:pPr>
      <w:r w:rsidRPr="007A7A0E">
        <w:t xml:space="preserve">This principle requires, among other things, a regulated entity that has actionable scam intelligence about an activity to take reasonable steps to disrupt the activity and prevent any loss or harm arising from the activity. An entity is also required to report outcomes of its investigations into the activity, but this obligation will not apply until the SPF rules prescribe the </w:t>
      </w:r>
      <w:proofErr w:type="gramStart"/>
      <w:r w:rsidRPr="007A7A0E">
        <w:t>time period</w:t>
      </w:r>
      <w:proofErr w:type="gramEnd"/>
      <w:r w:rsidRPr="007A7A0E">
        <w:t xml:space="preserve">, manner, form and information for the report. </w:t>
      </w:r>
    </w:p>
    <w:p w14:paraId="5E26E2DB" w14:textId="32BB7A24" w:rsidR="00627163" w:rsidRPr="00D60695" w:rsidRDefault="007A7A0E" w:rsidP="007A7A0E">
      <w:pPr>
        <w:pStyle w:val="Bullet"/>
        <w:numPr>
          <w:ilvl w:val="0"/>
          <w:numId w:val="0"/>
        </w:numPr>
        <w:rPr>
          <w:i/>
          <w:iCs/>
        </w:rPr>
      </w:pPr>
      <w:r w:rsidRPr="00D60695">
        <w:rPr>
          <w:i/>
          <w:iCs/>
        </w:rPr>
        <w:t>SPF principle 6: respond</w:t>
      </w:r>
      <w:r w:rsidR="000752C9">
        <w:rPr>
          <w:i/>
          <w:iCs/>
        </w:rPr>
        <w:t xml:space="preserve"> (sections 58BZB–58BZH)</w:t>
      </w:r>
      <w:r w:rsidRPr="00D60695">
        <w:rPr>
          <w:i/>
          <w:iCs/>
        </w:rPr>
        <w:t xml:space="preserve"> </w:t>
      </w:r>
    </w:p>
    <w:p w14:paraId="66B13453" w14:textId="27FB14E7" w:rsidR="007A7A0E" w:rsidRDefault="007A7A0E" w:rsidP="007A7A0E">
      <w:pPr>
        <w:pStyle w:val="Bullet"/>
        <w:numPr>
          <w:ilvl w:val="0"/>
          <w:numId w:val="0"/>
        </w:numPr>
      </w:pPr>
      <w:r w:rsidRPr="007A7A0E">
        <w:t xml:space="preserve">This principle requires, among other things, a regulated entity to have an accessible mechanism for consumers to report activities that are or may be scams, have an accessible and transparent internal dispute resolution </w:t>
      </w:r>
      <w:r w:rsidR="00CC7BFE">
        <w:t xml:space="preserve">(IDR) </w:t>
      </w:r>
      <w:r w:rsidRPr="007A7A0E">
        <w:t>and be a member of an authorised SPF external dispute resolution scheme (if any). A regulated entity must, when undertaking IDR, have regard to any processes prescribed by the SPF rules and any guidelines prescribed by the SPF rules for apportioning liability. The obligation for a regulated entity to give a statement of compliance when undertaking IDR is switched on when SPF rules are made about specified matters.</w:t>
      </w:r>
    </w:p>
    <w:p w14:paraId="60EC7ED1" w14:textId="576202E4" w:rsidR="00314AD1" w:rsidRDefault="00314AD1" w:rsidP="007A7A0E">
      <w:pPr>
        <w:pStyle w:val="Bullet"/>
        <w:numPr>
          <w:ilvl w:val="0"/>
          <w:numId w:val="0"/>
        </w:numPr>
      </w:pPr>
      <w:r>
        <w:t xml:space="preserve">The purpose of the </w:t>
      </w:r>
      <w:r>
        <w:rPr>
          <w:i/>
        </w:rPr>
        <w:t>Competition and Consumer (Scams Prevention Framework</w:t>
      </w:r>
      <w:r w:rsidR="00FC6C0D">
        <w:rPr>
          <w:i/>
        </w:rPr>
        <w:t>)</w:t>
      </w:r>
      <w:r w:rsidRPr="00540778">
        <w:rPr>
          <w:i/>
        </w:rPr>
        <w:t xml:space="preserve"> </w:t>
      </w:r>
      <w:r>
        <w:rPr>
          <w:i/>
        </w:rPr>
        <w:t>Rules</w:t>
      </w:r>
      <w:r w:rsidRPr="00540778">
        <w:rPr>
          <w:i/>
        </w:rPr>
        <w:t xml:space="preserve"> 2026</w:t>
      </w:r>
      <w:r>
        <w:rPr>
          <w:iCs/>
        </w:rPr>
        <w:t xml:space="preserve"> (the Instrument)</w:t>
      </w:r>
      <w:r>
        <w:t xml:space="preserve"> is to set out SPF rules to support the effective operation of the SPF by providing further detail on activities and obligations enabled by the primary legislation.</w:t>
      </w:r>
    </w:p>
    <w:p w14:paraId="5E5015A9" w14:textId="68ECCADF" w:rsidR="00AF7CE1" w:rsidRDefault="00AF7CE1" w:rsidP="004A27A8">
      <w:pPr>
        <w:pStyle w:val="Bullet"/>
        <w:numPr>
          <w:ilvl w:val="0"/>
          <w:numId w:val="0"/>
        </w:numPr>
      </w:pPr>
      <w:r>
        <w:t xml:space="preserve">Public consultation was undertaken </w:t>
      </w:r>
      <w:r w:rsidR="00314AD1">
        <w:t xml:space="preserve">by Treasury </w:t>
      </w:r>
      <w:r w:rsidR="00427F10">
        <w:t xml:space="preserve">from 28 November 2025 to 5 January 2026 </w:t>
      </w:r>
      <w:r>
        <w:t xml:space="preserve">on the </w:t>
      </w:r>
      <w:r w:rsidR="000C3F00">
        <w:t>‘</w:t>
      </w:r>
      <w:r w:rsidRPr="00314AD1">
        <w:t>Scams Prevention Framework – Draft law package and position paper</w:t>
      </w:r>
      <w:r w:rsidR="000C3F00">
        <w:t>’</w:t>
      </w:r>
      <w:r w:rsidRPr="00314AD1">
        <w:t xml:space="preserve"> </w:t>
      </w:r>
      <w:r w:rsidR="0052195A">
        <w:t>which</w:t>
      </w:r>
      <w:r>
        <w:t xml:space="preserve"> focused on obtaining stakeholder views to shape the policy outcomes of SPF codes and rules for designated </w:t>
      </w:r>
      <w:r w:rsidR="00E55DD7">
        <w:t>SPF</w:t>
      </w:r>
      <w:r>
        <w:t xml:space="preserve"> sectors. Feedback provided during that process informed the policy positions </w:t>
      </w:r>
      <w:r w:rsidR="00C54EED">
        <w:t xml:space="preserve">reflected in </w:t>
      </w:r>
      <w:r>
        <w:t>this Instrument.</w:t>
      </w:r>
    </w:p>
    <w:p w14:paraId="4D7F3305" w14:textId="458EA6BE" w:rsidR="002C226C" w:rsidRPr="003C5719" w:rsidRDefault="002C226C" w:rsidP="004A27A8">
      <w:pPr>
        <w:spacing w:before="240"/>
      </w:pPr>
      <w:r w:rsidRPr="003C5719">
        <w:t xml:space="preserve">The </w:t>
      </w:r>
      <w:r w:rsidR="001D58DC">
        <w:t>Instrument 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00F22625">
        <w:t xml:space="preserve"> and is subject to the disallowance and sunsetting regimes under that Act</w:t>
      </w:r>
      <w:r w:rsidRPr="003C5719">
        <w:t>.</w:t>
      </w:r>
    </w:p>
    <w:p w14:paraId="75B3855E" w14:textId="44A1415E" w:rsidR="001D58DC" w:rsidRDefault="001D58DC" w:rsidP="00DD7E05">
      <w:pPr>
        <w:spacing w:before="240"/>
      </w:pPr>
      <w:r>
        <w:t xml:space="preserve">The Instrument commences on </w:t>
      </w:r>
      <w:r w:rsidR="000434B1">
        <w:t>1 September 2026</w:t>
      </w:r>
      <w:r>
        <w:t>.</w:t>
      </w:r>
    </w:p>
    <w:p w14:paraId="3B2238BA" w14:textId="750A6396" w:rsidR="0011527C" w:rsidRPr="003C5719" w:rsidRDefault="0011527C" w:rsidP="004A27A8">
      <w:pPr>
        <w:spacing w:before="240"/>
      </w:pPr>
      <w:r w:rsidRPr="003C5719">
        <w:t xml:space="preserve">Details of the </w:t>
      </w:r>
      <w:r w:rsidR="001D58DC">
        <w:t>Instrument</w:t>
      </w:r>
      <w:r w:rsidRPr="003C5719">
        <w:t xml:space="preserve"> are set out in </w:t>
      </w:r>
      <w:r w:rsidRPr="003C5719">
        <w:rPr>
          <w:u w:val="single"/>
        </w:rPr>
        <w:t xml:space="preserve">Attachment </w:t>
      </w:r>
      <w:r w:rsidR="001D58DC" w:rsidRPr="001D58DC">
        <w:rPr>
          <w:u w:val="single"/>
        </w:rPr>
        <w:t>A</w:t>
      </w:r>
      <w:r w:rsidRPr="003C5719">
        <w:t xml:space="preserve">. </w:t>
      </w:r>
    </w:p>
    <w:p w14:paraId="3E5B8214" w14:textId="1BB5AD06" w:rsidR="00EA4DD8" w:rsidRPr="003C5719" w:rsidRDefault="00EA4DD8" w:rsidP="004A27A8">
      <w:pPr>
        <w:pageBreakBefore/>
        <w:spacing w:before="240"/>
        <w:jc w:val="right"/>
        <w:rPr>
          <w:b/>
          <w:u w:val="single"/>
        </w:rPr>
      </w:pPr>
      <w:r w:rsidRPr="003C5719">
        <w:rPr>
          <w:b/>
          <w:u w:val="single"/>
        </w:rPr>
        <w:lastRenderedPageBreak/>
        <w:t>ATTACHMENT</w:t>
      </w:r>
      <w:r w:rsidR="001D20E6" w:rsidRPr="00606316">
        <w:rPr>
          <w:b/>
          <w:u w:val="single"/>
        </w:rPr>
        <w:t xml:space="preserve"> </w:t>
      </w:r>
      <w:r w:rsidR="00606316" w:rsidRPr="00606316">
        <w:rPr>
          <w:b/>
          <w:u w:val="single"/>
        </w:rPr>
        <w:t>A</w:t>
      </w:r>
    </w:p>
    <w:p w14:paraId="579A0684" w14:textId="49AB1E22" w:rsidR="00EA4DD8" w:rsidRDefault="00EA4DD8" w:rsidP="004A27A8">
      <w:pPr>
        <w:spacing w:before="240"/>
        <w:rPr>
          <w:b/>
          <w:i/>
          <w:u w:val="single"/>
        </w:rPr>
      </w:pPr>
      <w:r w:rsidRPr="003C5719">
        <w:rPr>
          <w:b/>
          <w:bCs/>
          <w:u w:val="single"/>
        </w:rPr>
        <w:t>Details of the</w:t>
      </w:r>
      <w:r w:rsidR="001F12F5" w:rsidRPr="00606316">
        <w:rPr>
          <w:b/>
          <w:bCs/>
          <w:u w:val="single"/>
        </w:rPr>
        <w:t xml:space="preserve"> </w:t>
      </w:r>
      <w:r w:rsidR="00606316" w:rsidRPr="00606316">
        <w:rPr>
          <w:b/>
          <w:bCs/>
          <w:i/>
          <w:u w:val="single"/>
        </w:rPr>
        <w:t>Competition and Consumer (Scams Prevention Framework</w:t>
      </w:r>
      <w:r w:rsidR="009A0539">
        <w:rPr>
          <w:b/>
          <w:bCs/>
          <w:i/>
          <w:u w:val="single"/>
        </w:rPr>
        <w:t>)</w:t>
      </w:r>
      <w:r w:rsidR="00606316" w:rsidRPr="00606316">
        <w:rPr>
          <w:b/>
          <w:bCs/>
          <w:i/>
          <w:u w:val="single"/>
        </w:rPr>
        <w:t xml:space="preserve"> Rules 2026</w:t>
      </w:r>
    </w:p>
    <w:p w14:paraId="7BA847E6" w14:textId="64EF2BBD" w:rsidR="00411C80" w:rsidRPr="00171022" w:rsidRDefault="00411C80" w:rsidP="004A27A8">
      <w:pPr>
        <w:spacing w:before="240"/>
        <w:rPr>
          <w:b/>
          <w:bCs/>
          <w:iCs/>
          <w:szCs w:val="24"/>
        </w:rPr>
      </w:pPr>
      <w:r>
        <w:rPr>
          <w:b/>
          <w:bCs/>
          <w:iCs/>
        </w:rPr>
        <w:t>Part 1 - Preliminary</w:t>
      </w:r>
    </w:p>
    <w:p w14:paraId="4AF8DA35" w14:textId="20F8795C" w:rsidR="00EA4DD8" w:rsidRPr="003C5719" w:rsidRDefault="00EA4DD8" w:rsidP="004A27A8">
      <w:pPr>
        <w:spacing w:before="240"/>
        <w:rPr>
          <w:rFonts w:ascii="Calibri" w:hAnsi="Calibri"/>
          <w:sz w:val="22"/>
          <w:szCs w:val="22"/>
          <w:u w:val="single"/>
          <w:lang w:eastAsia="en-US"/>
        </w:rPr>
      </w:pPr>
      <w:r w:rsidRPr="003C5719">
        <w:rPr>
          <w:u w:val="single"/>
        </w:rPr>
        <w:t>Section 1</w:t>
      </w:r>
      <w:r w:rsidR="007654F4">
        <w:rPr>
          <w:u w:val="single"/>
        </w:rPr>
        <w:t>-1</w:t>
      </w:r>
      <w:r w:rsidRPr="003C5719">
        <w:rPr>
          <w:u w:val="single"/>
        </w:rPr>
        <w:t xml:space="preserve"> – Name </w:t>
      </w:r>
    </w:p>
    <w:p w14:paraId="47D7FE71" w14:textId="493EE6C2" w:rsidR="00EA4DD8" w:rsidRPr="003C5719" w:rsidRDefault="00EA4DD8" w:rsidP="004A27A8">
      <w:pPr>
        <w:spacing w:before="240"/>
      </w:pPr>
      <w:r w:rsidRPr="003C5719">
        <w:t xml:space="preserve">This section provides that the name of the </w:t>
      </w:r>
      <w:r w:rsidR="00833192">
        <w:t>I</w:t>
      </w:r>
      <w:r w:rsidR="00606316">
        <w:t>nstrument</w:t>
      </w:r>
      <w:r w:rsidRPr="003C5719">
        <w:t xml:space="preserve"> is the </w:t>
      </w:r>
      <w:r w:rsidR="00606316">
        <w:rPr>
          <w:i/>
        </w:rPr>
        <w:t>Competition and Consumer (Scams Prevention Framework</w:t>
      </w:r>
      <w:r w:rsidR="00BC014C" w:rsidRPr="00BC014C">
        <w:rPr>
          <w:i/>
        </w:rPr>
        <w:t>) Rules 2026</w:t>
      </w:r>
      <w:r w:rsidR="00BC014C" w:rsidRPr="00BC014C" w:rsidDel="00BC014C">
        <w:rPr>
          <w:i/>
        </w:rPr>
        <w:t xml:space="preserve"> </w:t>
      </w:r>
      <w:r w:rsidR="00606316">
        <w:rPr>
          <w:color w:val="000000" w:themeColor="text1"/>
        </w:rPr>
        <w:t>(the Instrument)</w:t>
      </w:r>
      <w:r w:rsidRPr="003C5719">
        <w:t>.</w:t>
      </w:r>
    </w:p>
    <w:p w14:paraId="44491110" w14:textId="3EB0FD92" w:rsidR="00EA4DD8" w:rsidRPr="003C5719" w:rsidRDefault="00EA4DD8" w:rsidP="004A27A8">
      <w:pPr>
        <w:spacing w:before="240"/>
        <w:rPr>
          <w:u w:val="single"/>
        </w:rPr>
      </w:pPr>
      <w:r w:rsidRPr="003C5719">
        <w:rPr>
          <w:u w:val="single"/>
        </w:rPr>
        <w:t xml:space="preserve">Section </w:t>
      </w:r>
      <w:r w:rsidR="007654F4">
        <w:rPr>
          <w:u w:val="single"/>
        </w:rPr>
        <w:t>1-</w:t>
      </w:r>
      <w:r w:rsidRPr="003C5719">
        <w:rPr>
          <w:u w:val="single"/>
        </w:rPr>
        <w:t>2 – Commencement</w:t>
      </w:r>
    </w:p>
    <w:p w14:paraId="42206EC0" w14:textId="058295BB" w:rsidR="00EA4DD8" w:rsidRPr="003C5719" w:rsidRDefault="00606316" w:rsidP="004A27A8">
      <w:pPr>
        <w:spacing w:before="240"/>
      </w:pPr>
      <w:r>
        <w:t xml:space="preserve">This section provides that the Instrument </w:t>
      </w:r>
      <w:r w:rsidR="00EA4DD8" w:rsidRPr="003C5719">
        <w:t>commence</w:t>
      </w:r>
      <w:r>
        <w:t>s</w:t>
      </w:r>
      <w:r w:rsidR="00EA4DD8" w:rsidRPr="003C5719">
        <w:t xml:space="preserve"> on </w:t>
      </w:r>
      <w:r w:rsidR="000434B1">
        <w:t>1 September 2026</w:t>
      </w:r>
      <w:r w:rsidR="00C04069">
        <w:t>.</w:t>
      </w:r>
    </w:p>
    <w:p w14:paraId="1271FC67" w14:textId="443C2B0B" w:rsidR="007036E6" w:rsidRDefault="007036E6" w:rsidP="007036E6">
      <w:pPr>
        <w:spacing w:before="240"/>
      </w:pPr>
      <w:r>
        <w:rPr>
          <w:iCs/>
        </w:rPr>
        <w:t xml:space="preserve">The exception provisions in Part 3 (and related provisions in Part 1) </w:t>
      </w:r>
      <w:r w:rsidR="00C54EED">
        <w:rPr>
          <w:iCs/>
        </w:rPr>
        <w:t xml:space="preserve">of this Instrument </w:t>
      </w:r>
      <w:r>
        <w:rPr>
          <w:iCs/>
        </w:rPr>
        <w:t>will be operative from 1 September 2026</w:t>
      </w:r>
      <w:r w:rsidR="00F1078F">
        <w:rPr>
          <w:iCs/>
        </w:rPr>
        <w:t xml:space="preserve"> so that</w:t>
      </w:r>
      <w:r>
        <w:rPr>
          <w:iCs/>
        </w:rPr>
        <w:t xml:space="preserve"> entities that meet the exception requirements </w:t>
      </w:r>
      <w:r w:rsidR="00F1078F">
        <w:rPr>
          <w:iCs/>
        </w:rPr>
        <w:t>are not required to comply</w:t>
      </w:r>
      <w:r>
        <w:rPr>
          <w:iCs/>
        </w:rPr>
        <w:t xml:space="preserve"> with the external dispute resolution membership requirement in </w:t>
      </w:r>
      <w:r w:rsidR="00121184">
        <w:rPr>
          <w:iCs/>
        </w:rPr>
        <w:t xml:space="preserve">section </w:t>
      </w:r>
      <w:r>
        <w:rPr>
          <w:iCs/>
        </w:rPr>
        <w:t xml:space="preserve">58BZG of the </w:t>
      </w:r>
      <w:r w:rsidR="001A38C7" w:rsidRPr="00FF66F7">
        <w:rPr>
          <w:i/>
          <w:iCs/>
        </w:rPr>
        <w:t>Competition and Consumer Act 2010</w:t>
      </w:r>
      <w:r w:rsidR="001A38C7" w:rsidRPr="003C5719">
        <w:t xml:space="preserve"> </w:t>
      </w:r>
      <w:r w:rsidR="00F1078F">
        <w:rPr>
          <w:iCs/>
        </w:rPr>
        <w:t>enlivened by</w:t>
      </w:r>
      <w:r>
        <w:rPr>
          <w:iCs/>
        </w:rPr>
        <w:t xml:space="preserve"> the </w:t>
      </w:r>
      <w:r w:rsidRPr="008263A3">
        <w:rPr>
          <w:i/>
          <w:iCs/>
        </w:rPr>
        <w:t>Competition and Consumer (Scams Prevention Framework—Regulated Sectors) Designation 202</w:t>
      </w:r>
      <w:r>
        <w:rPr>
          <w:i/>
          <w:iCs/>
        </w:rPr>
        <w:t>6</w:t>
      </w:r>
      <w:r w:rsidR="005F1A45">
        <w:rPr>
          <w:i/>
          <w:iCs/>
        </w:rPr>
        <w:t xml:space="preserve"> </w:t>
      </w:r>
      <w:r w:rsidR="005F1A45">
        <w:t>(the designation instrument)</w:t>
      </w:r>
      <w:r>
        <w:t>.</w:t>
      </w:r>
    </w:p>
    <w:p w14:paraId="39ECC260" w14:textId="137176D2" w:rsidR="007036E6" w:rsidRPr="00BA527D" w:rsidRDefault="007036E6" w:rsidP="007036E6">
      <w:pPr>
        <w:spacing w:before="240"/>
      </w:pPr>
      <w:r>
        <w:t xml:space="preserve">While Parts 2 and 7 </w:t>
      </w:r>
      <w:r w:rsidR="00C54EED">
        <w:t xml:space="preserve">of this Instrument </w:t>
      </w:r>
      <w:r>
        <w:t xml:space="preserve">will also commence on 1 September 2026, they will </w:t>
      </w:r>
      <w:r w:rsidRPr="006100D2">
        <w:t>have no operative effect until 31 March 2027</w:t>
      </w:r>
      <w:r>
        <w:t xml:space="preserve">, when the </w:t>
      </w:r>
      <w:r w:rsidRPr="00C032BE">
        <w:rPr>
          <w:color w:val="000000" w:themeColor="text1"/>
        </w:rPr>
        <w:t>mandatory and enforceable obligations for regulated entities</w:t>
      </w:r>
      <w:r>
        <w:rPr>
          <w:color w:val="000000" w:themeColor="text1"/>
        </w:rPr>
        <w:t xml:space="preserve"> in the remainder of the SPF provisions, including in the </w:t>
      </w:r>
      <w:r w:rsidRPr="00FD5FF2">
        <w:rPr>
          <w:i/>
          <w:iCs/>
          <w:color w:val="000000" w:themeColor="text1"/>
        </w:rPr>
        <w:t>Competition and Consumer (Scams Prevention Framework—SPF Codes) Instrument 2026</w:t>
      </w:r>
      <w:r>
        <w:rPr>
          <w:i/>
          <w:iCs/>
          <w:color w:val="000000" w:themeColor="text1"/>
        </w:rPr>
        <w:t>,</w:t>
      </w:r>
      <w:r w:rsidRPr="002726C6">
        <w:rPr>
          <w:color w:val="000000" w:themeColor="text1"/>
        </w:rPr>
        <w:t xml:space="preserve"> </w:t>
      </w:r>
      <w:r>
        <w:rPr>
          <w:color w:val="000000" w:themeColor="text1"/>
        </w:rPr>
        <w:t>commence.</w:t>
      </w:r>
    </w:p>
    <w:p w14:paraId="714590B7" w14:textId="03CCAED0" w:rsidR="00EA4DD8" w:rsidRPr="003C5719" w:rsidRDefault="00EA4DD8" w:rsidP="004A27A8">
      <w:pPr>
        <w:spacing w:before="240"/>
        <w:rPr>
          <w:u w:val="single"/>
        </w:rPr>
      </w:pPr>
      <w:r w:rsidRPr="003C5719">
        <w:rPr>
          <w:u w:val="single"/>
        </w:rPr>
        <w:t xml:space="preserve">Section </w:t>
      </w:r>
      <w:r w:rsidR="007654F4">
        <w:rPr>
          <w:u w:val="single"/>
        </w:rPr>
        <w:t>1-</w:t>
      </w:r>
      <w:r w:rsidRPr="003C5719">
        <w:rPr>
          <w:u w:val="single"/>
        </w:rPr>
        <w:t>3 – Authority</w:t>
      </w:r>
    </w:p>
    <w:p w14:paraId="14CDBBF0" w14:textId="7D50D111" w:rsidR="00EA4DD8" w:rsidRDefault="00606316" w:rsidP="004A27A8">
      <w:pPr>
        <w:spacing w:before="240"/>
      </w:pPr>
      <w:r>
        <w:t xml:space="preserve">This section provides that the Instrument is made under the </w:t>
      </w:r>
      <w:r w:rsidRPr="00FF66F7">
        <w:rPr>
          <w:i/>
          <w:iCs/>
        </w:rPr>
        <w:t>Competition and Consumer Act 2010</w:t>
      </w:r>
      <w:r w:rsidRPr="003C5719">
        <w:t xml:space="preserve"> (the Act)</w:t>
      </w:r>
      <w:r w:rsidR="00EA4DD8" w:rsidRPr="003C5719">
        <w:t>.</w:t>
      </w:r>
    </w:p>
    <w:p w14:paraId="2E8D9C2F" w14:textId="0C66ABB3" w:rsidR="00DA337A" w:rsidRPr="005B781B" w:rsidRDefault="005B781B" w:rsidP="004A27A8">
      <w:pPr>
        <w:spacing w:before="240"/>
      </w:pPr>
      <w:r>
        <w:rPr>
          <w:u w:val="single"/>
        </w:rPr>
        <w:t xml:space="preserve">Section </w:t>
      </w:r>
      <w:r w:rsidR="007654F4">
        <w:rPr>
          <w:u w:val="single"/>
        </w:rPr>
        <w:t>1-4</w:t>
      </w:r>
      <w:r>
        <w:rPr>
          <w:u w:val="single"/>
        </w:rPr>
        <w:t xml:space="preserve"> – Definitions</w:t>
      </w:r>
    </w:p>
    <w:p w14:paraId="54EA6D48" w14:textId="42C84511" w:rsidR="005B781B" w:rsidRDefault="00DC71C6" w:rsidP="004A27A8">
      <w:pPr>
        <w:spacing w:before="240"/>
      </w:pPr>
      <w:r>
        <w:t>This section sets out the definitions of</w:t>
      </w:r>
      <w:r w:rsidR="00DF36B1">
        <w:t xml:space="preserve"> the following terms</w:t>
      </w:r>
      <w:r w:rsidR="005B781B">
        <w:t>:</w:t>
      </w:r>
    </w:p>
    <w:p w14:paraId="12F47627" w14:textId="77777777" w:rsidR="00CE38B9" w:rsidRDefault="00DF36B1" w:rsidP="005B781B">
      <w:pPr>
        <w:pStyle w:val="Bullet"/>
      </w:pPr>
      <w:r>
        <w:rPr>
          <w:b/>
          <w:bCs/>
          <w:i/>
          <w:iCs/>
        </w:rPr>
        <w:t>accounting standards</w:t>
      </w:r>
      <w:r>
        <w:t xml:space="preserve"> means</w:t>
      </w:r>
      <w:r w:rsidR="00CE38B9">
        <w:t xml:space="preserve"> any of the following:</w:t>
      </w:r>
    </w:p>
    <w:p w14:paraId="58C3D622" w14:textId="77777777" w:rsidR="00CE38B9" w:rsidRDefault="00351E67" w:rsidP="00CE38B9">
      <w:pPr>
        <w:pStyle w:val="Dash"/>
      </w:pPr>
      <w:r>
        <w:t xml:space="preserve">accounting standards within the meaning given by the </w:t>
      </w:r>
      <w:r>
        <w:rPr>
          <w:i/>
          <w:iCs/>
        </w:rPr>
        <w:t xml:space="preserve">Corporations Act </w:t>
      </w:r>
      <w:proofErr w:type="gramStart"/>
      <w:r>
        <w:rPr>
          <w:i/>
          <w:iCs/>
        </w:rPr>
        <w:t>2001</w:t>
      </w:r>
      <w:r w:rsidR="00CE38B9">
        <w:t>;</w:t>
      </w:r>
      <w:proofErr w:type="gramEnd"/>
    </w:p>
    <w:p w14:paraId="7A62242E" w14:textId="2239BA80" w:rsidR="00CE38B9" w:rsidRDefault="00351E67" w:rsidP="00CE38B9">
      <w:pPr>
        <w:pStyle w:val="Dash"/>
      </w:pPr>
      <w:r>
        <w:t xml:space="preserve">international accounting standards made or adopted by the International </w:t>
      </w:r>
      <w:r w:rsidR="00D23D7A">
        <w:t>Accounting</w:t>
      </w:r>
      <w:r>
        <w:t xml:space="preserve"> Standards Board</w:t>
      </w:r>
      <w:r w:rsidR="00F963CA">
        <w:t xml:space="preserve"> </w:t>
      </w:r>
      <w:r w:rsidR="00EA47E5">
        <w:t xml:space="preserve">(at the </w:t>
      </w:r>
      <w:r w:rsidR="005A4F7C">
        <w:t xml:space="preserve">time </w:t>
      </w:r>
      <w:r w:rsidR="00EA47E5">
        <w:t xml:space="preserve">of this Explanatory Statement, these standards can be accessed from the IFRS website at </w:t>
      </w:r>
      <w:r w:rsidR="00BD1EC8" w:rsidRPr="008A1718">
        <w:t>https://www.ifrs.org</w:t>
      </w:r>
      <w:proofErr w:type="gramStart"/>
      <w:r w:rsidR="00EA47E5">
        <w:t>)</w:t>
      </w:r>
      <w:r w:rsidR="00CE38B9">
        <w:t>;</w:t>
      </w:r>
      <w:proofErr w:type="gramEnd"/>
    </w:p>
    <w:p w14:paraId="4D7B9E78" w14:textId="055BE230" w:rsidR="00392B7E" w:rsidRDefault="00351E67" w:rsidP="00392B7E">
      <w:pPr>
        <w:pStyle w:val="Dash"/>
      </w:pPr>
      <w:r>
        <w:t xml:space="preserve">accounting standards </w:t>
      </w:r>
      <w:r w:rsidR="00D23D7A">
        <w:t xml:space="preserve">made by a responsible body of a foreign country that correspond to (and are equivalent to) one of the </w:t>
      </w:r>
      <w:r w:rsidR="00CE38B9">
        <w:t>above-listed</w:t>
      </w:r>
      <w:r w:rsidR="006C653D">
        <w:t xml:space="preserve"> standards. </w:t>
      </w:r>
    </w:p>
    <w:p w14:paraId="097D9DDB" w14:textId="207186B8" w:rsidR="00697481" w:rsidRDefault="00930EC6" w:rsidP="005B781B">
      <w:pPr>
        <w:pStyle w:val="Bullet"/>
      </w:pPr>
      <w:r>
        <w:rPr>
          <w:b/>
          <w:bCs/>
          <w:i/>
          <w:iCs/>
        </w:rPr>
        <w:t xml:space="preserve">active </w:t>
      </w:r>
      <w:r w:rsidR="00697481">
        <w:rPr>
          <w:b/>
          <w:bCs/>
          <w:i/>
          <w:iCs/>
        </w:rPr>
        <w:t xml:space="preserve">Australian user test </w:t>
      </w:r>
      <w:r w:rsidR="00697481">
        <w:t xml:space="preserve">has the meaning in section </w:t>
      </w:r>
      <w:r w:rsidR="00AF3CBC">
        <w:t>1-5</w:t>
      </w:r>
      <w:r w:rsidR="00DC71C6">
        <w:t xml:space="preserve">. </w:t>
      </w:r>
    </w:p>
    <w:p w14:paraId="163C80E3" w14:textId="3EC003FB" w:rsidR="004009EA" w:rsidRDefault="00930EC6" w:rsidP="004009EA">
      <w:pPr>
        <w:pStyle w:val="Bullet"/>
      </w:pPr>
      <w:r>
        <w:rPr>
          <w:b/>
          <w:bCs/>
          <w:i/>
          <w:iCs/>
        </w:rPr>
        <w:lastRenderedPageBreak/>
        <w:t>c</w:t>
      </w:r>
      <w:r w:rsidR="003E51B4" w:rsidRPr="001C05D3">
        <w:rPr>
          <w:b/>
          <w:bCs/>
          <w:i/>
          <w:iCs/>
        </w:rPr>
        <w:t>ontrol</w:t>
      </w:r>
      <w:r w:rsidR="003E51B4">
        <w:t xml:space="preserve">, of an entity by another entity, means control within the meaning of the accounting standards. </w:t>
      </w:r>
      <w:r w:rsidR="004009EA">
        <w:t>This reduces compliance costs for regulated entities as they already apply these concepts in their financial reporting.</w:t>
      </w:r>
    </w:p>
    <w:p w14:paraId="2B8D7F12" w14:textId="541729D4" w:rsidR="00956744" w:rsidRPr="00171022" w:rsidRDefault="006C653D" w:rsidP="005B781B">
      <w:pPr>
        <w:pStyle w:val="Bullet"/>
      </w:pPr>
      <w:r>
        <w:rPr>
          <w:b/>
          <w:bCs/>
          <w:i/>
          <w:iCs/>
        </w:rPr>
        <w:t>controlled entity</w:t>
      </w:r>
      <w:r w:rsidR="008E1572">
        <w:t>:</w:t>
      </w:r>
      <w:r w:rsidR="00930EC6">
        <w:t xml:space="preserve"> an entity is a controlled </w:t>
      </w:r>
      <w:r w:rsidR="008E1572">
        <w:t xml:space="preserve">entity </w:t>
      </w:r>
      <w:r>
        <w:t>of another entity if the other entity controls the entity</w:t>
      </w:r>
      <w:r w:rsidR="008E0DC4" w:rsidRPr="00D45D16">
        <w:t>.</w:t>
      </w:r>
    </w:p>
    <w:p w14:paraId="67F10427" w14:textId="3CBA9647" w:rsidR="00C57A1E" w:rsidRDefault="008E1572" w:rsidP="005F76F1">
      <w:pPr>
        <w:pStyle w:val="Bullet"/>
      </w:pPr>
      <w:r>
        <w:rPr>
          <w:b/>
          <w:bCs/>
          <w:i/>
          <w:iCs/>
        </w:rPr>
        <w:t>c</w:t>
      </w:r>
      <w:r w:rsidR="001C05D3">
        <w:rPr>
          <w:b/>
          <w:bCs/>
          <w:i/>
          <w:iCs/>
        </w:rPr>
        <w:t xml:space="preserve">overed banking service </w:t>
      </w:r>
      <w:r w:rsidR="001C05D3">
        <w:t>has the meaning given by the designation instrument.</w:t>
      </w:r>
      <w:r w:rsidR="005A4F7C">
        <w:t xml:space="preserve"> </w:t>
      </w:r>
    </w:p>
    <w:p w14:paraId="5260748B" w14:textId="455E0813" w:rsidR="008E1572" w:rsidRDefault="0066778A" w:rsidP="005F76F1">
      <w:pPr>
        <w:pStyle w:val="Bullet"/>
      </w:pPr>
      <w:r>
        <w:rPr>
          <w:b/>
          <w:bCs/>
          <w:i/>
          <w:iCs/>
        </w:rPr>
        <w:t>c</w:t>
      </w:r>
      <w:r w:rsidR="00DC71C6">
        <w:rPr>
          <w:b/>
          <w:bCs/>
          <w:i/>
          <w:iCs/>
        </w:rPr>
        <w:t xml:space="preserve">overed digital platform service </w:t>
      </w:r>
      <w:r w:rsidR="00DC71C6">
        <w:t xml:space="preserve">has the meaning given by the designation instrument. </w:t>
      </w:r>
    </w:p>
    <w:p w14:paraId="6CDB1B7C" w14:textId="7F3C9B75" w:rsidR="008E1572" w:rsidRDefault="008E1572" w:rsidP="00BD1EC8">
      <w:pPr>
        <w:pStyle w:val="Bullet"/>
        <w:numPr>
          <w:ilvl w:val="0"/>
          <w:numId w:val="0"/>
        </w:numPr>
        <w:ind w:left="567"/>
      </w:pPr>
      <w:r>
        <w:t xml:space="preserve">Notes clarify that a service is a ‘covered banking service’ or a ‘covered digital platform service’ </w:t>
      </w:r>
      <w:r w:rsidR="00AF67B1">
        <w:t>if it meets the requirements of the designation instrument, and that both covered banking services and covered digital platform services are designated as regulated sectors of the Australian economy (see subsections 11(1) and 15(1) of the designation instrument).</w:t>
      </w:r>
    </w:p>
    <w:p w14:paraId="4774E338" w14:textId="531387CA" w:rsidR="00705095" w:rsidRDefault="00705095">
      <w:pPr>
        <w:pStyle w:val="Bullet"/>
      </w:pPr>
      <w:r w:rsidRPr="00705095">
        <w:rPr>
          <w:b/>
          <w:bCs/>
          <w:i/>
          <w:iCs/>
        </w:rPr>
        <w:t>financial reporting period</w:t>
      </w:r>
      <w:r>
        <w:t>, for an entity, has the meaning determined in accordance with accounting standards that are applicable to the entity.</w:t>
      </w:r>
    </w:p>
    <w:p w14:paraId="37CFAD30" w14:textId="2D7A7D89" w:rsidR="00E73958" w:rsidRDefault="00E73958">
      <w:pPr>
        <w:pStyle w:val="Bullet"/>
      </w:pPr>
      <w:r>
        <w:rPr>
          <w:b/>
          <w:bCs/>
          <w:i/>
          <w:iCs/>
        </w:rPr>
        <w:t>provider of purchased payment facilities</w:t>
      </w:r>
      <w:r>
        <w:t xml:space="preserve"> means an ADI that:</w:t>
      </w:r>
    </w:p>
    <w:p w14:paraId="33052EF9" w14:textId="0CDCB5F4" w:rsidR="002B1724" w:rsidRDefault="00E73958" w:rsidP="002B1724">
      <w:pPr>
        <w:pStyle w:val="Dash"/>
      </w:pPr>
      <w:r>
        <w:t xml:space="preserve">engages in the provision of one or more purchased payment facilities (within the meaning of the </w:t>
      </w:r>
      <w:r w:rsidRPr="00EF6DB0">
        <w:rPr>
          <w:i/>
        </w:rPr>
        <w:t>Payments Systems (Regulation) Act 1998</w:t>
      </w:r>
      <w:r>
        <w:t xml:space="preserve">), in relation to which at least one of those facilities the Australian Prudential Regulation Authority has determined </w:t>
      </w:r>
      <w:r w:rsidR="002B1724">
        <w:t xml:space="preserve">as mentioned in section 6 of the </w:t>
      </w:r>
      <w:r w:rsidR="002B1724" w:rsidRPr="00EF6DB0">
        <w:rPr>
          <w:i/>
        </w:rPr>
        <w:t>Banking Regulation 2016</w:t>
      </w:r>
      <w:r w:rsidR="002B1724">
        <w:t>;</w:t>
      </w:r>
      <w:r w:rsidR="00E6325C">
        <w:t xml:space="preserve"> </w:t>
      </w:r>
      <w:r w:rsidR="002B1724">
        <w:t>and</w:t>
      </w:r>
    </w:p>
    <w:p w14:paraId="7F41EAE0" w14:textId="08ADD09D" w:rsidR="002B1724" w:rsidRPr="00705095" w:rsidRDefault="002B1724" w:rsidP="00730601">
      <w:pPr>
        <w:pStyle w:val="Dash"/>
      </w:pPr>
      <w:r>
        <w:t xml:space="preserve">does not otherwise carry on banking business within the meaning of section 5 of the </w:t>
      </w:r>
      <w:r w:rsidRPr="00730601">
        <w:rPr>
          <w:i/>
        </w:rPr>
        <w:t>Banking Act 1959</w:t>
      </w:r>
      <w:r>
        <w:t>.</w:t>
      </w:r>
    </w:p>
    <w:p w14:paraId="6F011F7F" w14:textId="5D497C29" w:rsidR="00F963CA" w:rsidRDefault="0066778A" w:rsidP="005B781B">
      <w:pPr>
        <w:pStyle w:val="Bullet"/>
      </w:pPr>
      <w:r>
        <w:rPr>
          <w:b/>
          <w:bCs/>
          <w:i/>
          <w:iCs/>
        </w:rPr>
        <w:t>r</w:t>
      </w:r>
      <w:r w:rsidR="00F963CA">
        <w:rPr>
          <w:b/>
          <w:bCs/>
          <w:i/>
          <w:iCs/>
        </w:rPr>
        <w:t xml:space="preserve">evenue test </w:t>
      </w:r>
      <w:r w:rsidR="00F963CA">
        <w:t xml:space="preserve">has the meaning in section </w:t>
      </w:r>
      <w:r w:rsidR="00BD080C">
        <w:t>1-</w:t>
      </w:r>
      <w:r w:rsidR="00BC4896">
        <w:t>6</w:t>
      </w:r>
      <w:r w:rsidR="00F963CA">
        <w:t>.</w:t>
      </w:r>
    </w:p>
    <w:p w14:paraId="17FF11DD" w14:textId="2104E5AD" w:rsidR="001C05D3" w:rsidRDefault="0066778A" w:rsidP="005B781B">
      <w:pPr>
        <w:pStyle w:val="Bullet"/>
      </w:pPr>
      <w:r>
        <w:rPr>
          <w:b/>
          <w:bCs/>
          <w:i/>
          <w:iCs/>
        </w:rPr>
        <w:t>t</w:t>
      </w:r>
      <w:r w:rsidR="001C05D3">
        <w:rPr>
          <w:b/>
          <w:bCs/>
          <w:i/>
          <w:iCs/>
        </w:rPr>
        <w:t xml:space="preserve">he Act </w:t>
      </w:r>
      <w:r w:rsidR="001C05D3">
        <w:t xml:space="preserve">means the </w:t>
      </w:r>
      <w:r w:rsidR="001C05D3">
        <w:rPr>
          <w:i/>
          <w:iCs/>
        </w:rPr>
        <w:t>Competition and Consumer Act 2010</w:t>
      </w:r>
      <w:r w:rsidR="001C05D3">
        <w:t xml:space="preserve">. </w:t>
      </w:r>
    </w:p>
    <w:p w14:paraId="6542D87D" w14:textId="12CC081E" w:rsidR="00392B7E" w:rsidRDefault="00392B7E" w:rsidP="00392B7E">
      <w:pPr>
        <w:pStyle w:val="Bullet"/>
        <w:numPr>
          <w:ilvl w:val="0"/>
          <w:numId w:val="0"/>
        </w:numPr>
      </w:pPr>
      <w:r>
        <w:t xml:space="preserve">A note to section </w:t>
      </w:r>
      <w:r w:rsidR="00705095">
        <w:t xml:space="preserve">1-4 </w:t>
      </w:r>
      <w:r w:rsidR="00064D9B">
        <w:t>also provides that expressions have the same meaning in the Instrument as in the Act as in force from time to time, in accordance with paragraph 1</w:t>
      </w:r>
      <w:r w:rsidR="00785102">
        <w:t>3</w:t>
      </w:r>
      <w:r w:rsidR="00064D9B">
        <w:t xml:space="preserve">(1)(b) of the </w:t>
      </w:r>
      <w:r w:rsidR="00064D9B">
        <w:rPr>
          <w:i/>
          <w:iCs/>
        </w:rPr>
        <w:t>Legislation Act 2003</w:t>
      </w:r>
      <w:r w:rsidR="00064D9B">
        <w:t>.</w:t>
      </w:r>
    </w:p>
    <w:p w14:paraId="4C219C40" w14:textId="5F54357E" w:rsidR="005A4F7C" w:rsidRPr="00E22C87" w:rsidRDefault="005A4F7C" w:rsidP="00392B7E">
      <w:pPr>
        <w:pStyle w:val="Bullet"/>
        <w:numPr>
          <w:ilvl w:val="0"/>
          <w:numId w:val="0"/>
        </w:numPr>
        <w:rPr>
          <w:u w:val="single"/>
        </w:rPr>
      </w:pPr>
      <w:r w:rsidRPr="00E22C87">
        <w:rPr>
          <w:u w:val="single"/>
        </w:rPr>
        <w:t xml:space="preserve">Section </w:t>
      </w:r>
      <w:r w:rsidR="007654F4">
        <w:rPr>
          <w:u w:val="single"/>
        </w:rPr>
        <w:t>1-5</w:t>
      </w:r>
      <w:r w:rsidR="00E22C87" w:rsidRPr="00E22C87">
        <w:rPr>
          <w:u w:val="single"/>
        </w:rPr>
        <w:t xml:space="preserve"> – Meaning of active Australian user test</w:t>
      </w:r>
    </w:p>
    <w:p w14:paraId="5AC61E15" w14:textId="272BBD4E" w:rsidR="00802745" w:rsidRDefault="00846DF8" w:rsidP="00392B7E">
      <w:pPr>
        <w:pStyle w:val="Bullet"/>
        <w:numPr>
          <w:ilvl w:val="0"/>
          <w:numId w:val="0"/>
        </w:numPr>
      </w:pPr>
      <w:r>
        <w:t xml:space="preserve">This section </w:t>
      </w:r>
      <w:r w:rsidR="005427F4">
        <w:t xml:space="preserve">provides that </w:t>
      </w:r>
      <w:r w:rsidR="006F2BB8">
        <w:t xml:space="preserve">a </w:t>
      </w:r>
      <w:r w:rsidR="00F7108A">
        <w:t>service</w:t>
      </w:r>
      <w:r w:rsidR="006F2BB8">
        <w:t xml:space="preserve"> satisfies the active Australian user test </w:t>
      </w:r>
      <w:r w:rsidR="00E05371">
        <w:t>on 1 January each year (defined as the ‘test time’) and each day of that calendar year</w:t>
      </w:r>
      <w:r w:rsidR="00394981">
        <w:t xml:space="preserve"> if</w:t>
      </w:r>
      <w:r w:rsidR="002C384A">
        <w:t xml:space="preserve">, for the </w:t>
      </w:r>
      <w:r w:rsidR="00E05371">
        <w:t>most recently ended 12-month financial reporting period</w:t>
      </w:r>
      <w:r w:rsidR="002C384A">
        <w:t xml:space="preserve"> (defined as the </w:t>
      </w:r>
      <w:r w:rsidR="00E05371">
        <w:t>‘</w:t>
      </w:r>
      <w:r w:rsidR="002C384A">
        <w:t>test year</w:t>
      </w:r>
      <w:r w:rsidR="00E05371">
        <w:t>’</w:t>
      </w:r>
      <w:r w:rsidR="002C384A">
        <w:t>)</w:t>
      </w:r>
      <w:r w:rsidR="00F7108A">
        <w:t xml:space="preserve">, the average monthly active Australian </w:t>
      </w:r>
      <w:proofErr w:type="gramStart"/>
      <w:r w:rsidR="00F7108A">
        <w:t>users</w:t>
      </w:r>
      <w:proofErr w:type="gramEnd"/>
      <w:r w:rsidR="00F7108A">
        <w:t xml:space="preserve"> of the service is 200,000 or more. </w:t>
      </w:r>
    </w:p>
    <w:p w14:paraId="6D65C93F" w14:textId="1199A432" w:rsidR="009E2562" w:rsidRDefault="009E2562" w:rsidP="00392B7E">
      <w:pPr>
        <w:pStyle w:val="Bullet"/>
        <w:numPr>
          <w:ilvl w:val="0"/>
          <w:numId w:val="0"/>
        </w:numPr>
      </w:pPr>
      <w:r>
        <w:t xml:space="preserve">A note clarifies that a service </w:t>
      </w:r>
      <w:r w:rsidR="00940A4A">
        <w:t>does not</w:t>
      </w:r>
      <w:r>
        <w:t xml:space="preserve"> </w:t>
      </w:r>
      <w:r w:rsidR="00940A4A">
        <w:t xml:space="preserve">satisfy </w:t>
      </w:r>
      <w:r>
        <w:t xml:space="preserve">the </w:t>
      </w:r>
      <w:r w:rsidR="00940A4A">
        <w:t xml:space="preserve">active Australian user test </w:t>
      </w:r>
      <w:r w:rsidR="00E05371">
        <w:t xml:space="preserve">at </w:t>
      </w:r>
      <w:r w:rsidR="00940A4A">
        <w:t>any time during a calendar year if it does not satisfy th</w:t>
      </w:r>
      <w:r w:rsidR="00E05371">
        <w:t>at</w:t>
      </w:r>
      <w:r w:rsidR="00940A4A">
        <w:t xml:space="preserve"> test on 1 January of that calendar year.</w:t>
      </w:r>
    </w:p>
    <w:p w14:paraId="477FA688" w14:textId="18B17991" w:rsidR="00FA1E4F" w:rsidRDefault="00E05371" w:rsidP="00FA1E4F">
      <w:pPr>
        <w:pStyle w:val="Bullet"/>
        <w:numPr>
          <w:ilvl w:val="0"/>
          <w:numId w:val="0"/>
        </w:numPr>
      </w:pPr>
      <w:r>
        <w:lastRenderedPageBreak/>
        <w:t xml:space="preserve">The </w:t>
      </w:r>
      <w:r w:rsidR="00DB3EEF">
        <w:t>‘</w:t>
      </w:r>
      <w:r>
        <w:t>financial reporting period</w:t>
      </w:r>
      <w:r w:rsidR="00DB3EEF">
        <w:t>’</w:t>
      </w:r>
      <w:r>
        <w:t xml:space="preserve"> for an entity has the meaning determined in accordance with accounting standards that are applicable to the entity (see </w:t>
      </w:r>
      <w:r w:rsidR="00DB3EEF">
        <w:t xml:space="preserve">the definition in </w:t>
      </w:r>
      <w:r>
        <w:t>section</w:t>
      </w:r>
      <w:r w:rsidR="00142B72">
        <w:t> </w:t>
      </w:r>
      <w:r>
        <w:t>1</w:t>
      </w:r>
      <w:r w:rsidR="00142B72">
        <w:noBreakHyphen/>
      </w:r>
      <w:r>
        <w:t>4)</w:t>
      </w:r>
      <w:r w:rsidR="009A52B4">
        <w:t xml:space="preserve">. </w:t>
      </w:r>
    </w:p>
    <w:p w14:paraId="4676CB9E" w14:textId="7BF89D35" w:rsidR="00E66E18" w:rsidRDefault="00E6745A" w:rsidP="00E66E18">
      <w:pPr>
        <w:spacing w:before="240"/>
      </w:pPr>
      <w:r>
        <w:t xml:space="preserve">An active Australian user of a service is </w:t>
      </w:r>
      <w:r w:rsidR="00A20E5D">
        <w:t xml:space="preserve">a person that accesses the service from within Australia at least once </w:t>
      </w:r>
      <w:r w:rsidR="00AE0BE1">
        <w:t xml:space="preserve">during </w:t>
      </w:r>
      <w:r w:rsidR="00FA1E4F">
        <w:t xml:space="preserve">the </w:t>
      </w:r>
      <w:r w:rsidR="00AE0BE1">
        <w:t>relevant</w:t>
      </w:r>
      <w:r w:rsidR="00FA1E4F">
        <w:t xml:space="preserve"> </w:t>
      </w:r>
      <w:r w:rsidR="00A20E5D">
        <w:t xml:space="preserve">test year. </w:t>
      </w:r>
      <w:r w:rsidR="00C273BD">
        <w:t>The person need not have an account with the service or be logged into an account</w:t>
      </w:r>
      <w:r w:rsidR="00F92F42">
        <w:t xml:space="preserve"> </w:t>
      </w:r>
      <w:proofErr w:type="gramStart"/>
      <w:r w:rsidR="00F92F42">
        <w:t>in order to</w:t>
      </w:r>
      <w:proofErr w:type="gramEnd"/>
      <w:r w:rsidR="00F92F42">
        <w:t xml:space="preserve"> be accessing the service</w:t>
      </w:r>
      <w:r w:rsidR="00C273BD">
        <w:t xml:space="preserve">. </w:t>
      </w:r>
    </w:p>
    <w:p w14:paraId="5CE5E620" w14:textId="227E2EAA" w:rsidR="00AF629C" w:rsidRDefault="00E666BF" w:rsidP="00E66E18">
      <w:pPr>
        <w:spacing w:before="240"/>
      </w:pPr>
      <w:r>
        <w:t>The active Australian user test is relevant to determining whether the digital platform exception applies</w:t>
      </w:r>
      <w:r w:rsidR="00C54EED">
        <w:t xml:space="preserve"> as </w:t>
      </w:r>
      <w:r>
        <w:t>explained below.</w:t>
      </w:r>
      <w:r w:rsidDel="00E666BF">
        <w:t xml:space="preserve"> </w:t>
      </w:r>
    </w:p>
    <w:p w14:paraId="04D22E71" w14:textId="57CA5175" w:rsidR="00E63C5E" w:rsidRDefault="00E63C5E" w:rsidP="00DA45B0">
      <w:pPr>
        <w:pStyle w:val="Bullet"/>
        <w:keepNext/>
        <w:keepLines/>
        <w:numPr>
          <w:ilvl w:val="0"/>
          <w:numId w:val="0"/>
        </w:numPr>
        <w:rPr>
          <w:u w:val="single"/>
        </w:rPr>
      </w:pPr>
      <w:r>
        <w:rPr>
          <w:u w:val="single"/>
        </w:rPr>
        <w:t>Section 1-6 – Meaning of revenue test</w:t>
      </w:r>
    </w:p>
    <w:p w14:paraId="284695B0" w14:textId="0A35EF54" w:rsidR="00E63C5E" w:rsidRPr="00171022" w:rsidRDefault="00D506B3" w:rsidP="00392B7E">
      <w:pPr>
        <w:pStyle w:val="Bullet"/>
        <w:numPr>
          <w:ilvl w:val="0"/>
          <w:numId w:val="0"/>
        </w:numPr>
      </w:pPr>
      <w:r w:rsidRPr="00171022">
        <w:t>This section provides that an entity satisfies the revenue test on 1 January each year (defined as the ‘test time’)</w:t>
      </w:r>
      <w:r w:rsidR="00DF482C">
        <w:t>,</w:t>
      </w:r>
      <w:r w:rsidRPr="00171022">
        <w:t xml:space="preserve"> and each day of that calendar year</w:t>
      </w:r>
      <w:r w:rsidR="00DF482C">
        <w:t>,</w:t>
      </w:r>
      <w:r w:rsidRPr="00171022">
        <w:t xml:space="preserve"> if the entity meets the threshold </w:t>
      </w:r>
      <w:r w:rsidR="00B958E5" w:rsidRPr="00171022">
        <w:t>amount</w:t>
      </w:r>
      <w:r w:rsidRPr="00171022">
        <w:t xml:space="preserve"> set out below</w:t>
      </w:r>
      <w:r w:rsidR="00171022" w:rsidRPr="00171022">
        <w:t xml:space="preserve">, either for </w:t>
      </w:r>
      <w:r w:rsidRPr="00171022">
        <w:t xml:space="preserve">the entity’s most recently ended 12-month financial reporting period </w:t>
      </w:r>
      <w:r w:rsidR="00171022" w:rsidRPr="00171022">
        <w:t>that ended</w:t>
      </w:r>
      <w:r w:rsidR="00111F6A" w:rsidRPr="00171022">
        <w:t xml:space="preserve"> </w:t>
      </w:r>
      <w:r w:rsidR="00B958E5" w:rsidRPr="00171022">
        <w:t>immediately before the test time</w:t>
      </w:r>
      <w:r w:rsidR="00171022" w:rsidRPr="00171022">
        <w:t>,</w:t>
      </w:r>
      <w:r w:rsidR="00B958E5" w:rsidRPr="00171022">
        <w:t xml:space="preserve"> or in at least 2 of the last 3 financial reporting periods </w:t>
      </w:r>
      <w:r w:rsidR="00171022" w:rsidRPr="00171022">
        <w:t>that ended</w:t>
      </w:r>
      <w:r w:rsidR="00B958E5" w:rsidRPr="00171022">
        <w:t xml:space="preserve"> immediately before the test time.</w:t>
      </w:r>
    </w:p>
    <w:p w14:paraId="1708DF35" w14:textId="5AD3F0A5" w:rsidR="00B958E5" w:rsidRPr="00171022" w:rsidRDefault="00B958E5" w:rsidP="00392B7E">
      <w:pPr>
        <w:pStyle w:val="Bullet"/>
        <w:numPr>
          <w:ilvl w:val="0"/>
          <w:numId w:val="0"/>
        </w:numPr>
      </w:pPr>
      <w:r w:rsidRPr="00171022">
        <w:t>For an entity to meet the threshold amount</w:t>
      </w:r>
      <w:r w:rsidR="008122F2" w:rsidRPr="00171022">
        <w:t>,</w:t>
      </w:r>
      <w:r w:rsidRPr="00171022">
        <w:t xml:space="preserve"> the sum of the following must be $1 billion or more:</w:t>
      </w:r>
    </w:p>
    <w:p w14:paraId="161692EA" w14:textId="30B15922" w:rsidR="00B958E5" w:rsidRDefault="00B958E5" w:rsidP="000D715E">
      <w:pPr>
        <w:pStyle w:val="Bullet"/>
        <w:numPr>
          <w:ilvl w:val="0"/>
          <w:numId w:val="34"/>
        </w:numPr>
      </w:pPr>
      <w:r w:rsidRPr="00B958E5">
        <w:t xml:space="preserve">the gross revenue, determined in accordance with accounting standards, of the </w:t>
      </w:r>
      <w:proofErr w:type="gramStart"/>
      <w:r w:rsidRPr="00B958E5">
        <w:t>entity</w:t>
      </w:r>
      <w:r>
        <w:t>;</w:t>
      </w:r>
      <w:proofErr w:type="gramEnd"/>
    </w:p>
    <w:p w14:paraId="2FEA4020" w14:textId="03500F6E" w:rsidR="000D715E" w:rsidRDefault="000D715E" w:rsidP="000D715E">
      <w:pPr>
        <w:pStyle w:val="Bullet"/>
        <w:numPr>
          <w:ilvl w:val="0"/>
          <w:numId w:val="34"/>
        </w:numPr>
      </w:pPr>
      <w:r w:rsidRPr="000D715E">
        <w:t>the gross revenue, determined in accordance with accounting standards, of each controlled entity of the entity mentioned in paragraph (a</w:t>
      </w:r>
      <w:proofErr w:type="gramStart"/>
      <w:r w:rsidRPr="000D715E">
        <w:t>);</w:t>
      </w:r>
      <w:proofErr w:type="gramEnd"/>
    </w:p>
    <w:p w14:paraId="280A6378" w14:textId="7921A9FA" w:rsidR="000D715E" w:rsidRDefault="000D715E" w:rsidP="000D715E">
      <w:pPr>
        <w:pStyle w:val="Bullet"/>
        <w:numPr>
          <w:ilvl w:val="0"/>
          <w:numId w:val="34"/>
        </w:numPr>
      </w:pPr>
      <w:r w:rsidRPr="000D715E">
        <w:t>the gross revenue, determined in accordance with accounting standards, of each entity that controls the entity mentioned in paragraph (a</w:t>
      </w:r>
      <w:proofErr w:type="gramStart"/>
      <w:r w:rsidRPr="000D715E">
        <w:t>);</w:t>
      </w:r>
      <w:proofErr w:type="gramEnd"/>
    </w:p>
    <w:p w14:paraId="4191DBDB" w14:textId="0A1F170B" w:rsidR="000D715E" w:rsidRDefault="000D715E" w:rsidP="000D715E">
      <w:pPr>
        <w:pStyle w:val="Bullet"/>
        <w:numPr>
          <w:ilvl w:val="0"/>
          <w:numId w:val="34"/>
        </w:numPr>
      </w:pPr>
      <w:r>
        <w:t>t</w:t>
      </w:r>
      <w:r w:rsidRPr="000D715E">
        <w:t>he gross revenue, determined in accordance with accounting standards, of each controlled entity of an entity mentioned in paragraph (c)</w:t>
      </w:r>
      <w:r>
        <w:t>.</w:t>
      </w:r>
    </w:p>
    <w:p w14:paraId="11DCA191" w14:textId="1E8AF5CB" w:rsidR="000D715E" w:rsidRDefault="000D715E" w:rsidP="000D715E">
      <w:pPr>
        <w:pStyle w:val="Bullet"/>
        <w:numPr>
          <w:ilvl w:val="0"/>
          <w:numId w:val="0"/>
        </w:numPr>
      </w:pPr>
      <w:r>
        <w:t xml:space="preserve">When calculating the above amounts, the gross revenue of an entity should not be included if the entity’s revenue is already included in the revenue of another entity mentioned in one of the paragraphs above. This is because when </w:t>
      </w:r>
      <w:r w:rsidRPr="000D715E">
        <w:t>an entity controls one or more entities, the first entity is generally required to prepare consolidated financial statements. To avoid double counting, the gross revenue of a controlled entity should not be included in the calculation if the parent entity’s consolidated revenue is also being included.</w:t>
      </w:r>
    </w:p>
    <w:p w14:paraId="65F26245" w14:textId="656C1283" w:rsidR="00C72D93" w:rsidRDefault="00F01AA4" w:rsidP="000D715E">
      <w:pPr>
        <w:pStyle w:val="Bullet"/>
        <w:numPr>
          <w:ilvl w:val="0"/>
          <w:numId w:val="0"/>
        </w:numPr>
      </w:pPr>
      <w:r>
        <w:t xml:space="preserve">An entity </w:t>
      </w:r>
      <w:r w:rsidR="00C72D93">
        <w:t>should include Australian-sourced revenue and revenue sourced outside Australia</w:t>
      </w:r>
      <w:r>
        <w:t xml:space="preserve"> when calculating their revenue amount</w:t>
      </w:r>
      <w:r w:rsidR="00C72D93">
        <w:t>.</w:t>
      </w:r>
    </w:p>
    <w:p w14:paraId="61D93E33" w14:textId="51ECB1D9" w:rsidR="00AF629C" w:rsidRPr="0080130F" w:rsidRDefault="00E666BF" w:rsidP="0080130F">
      <w:pPr>
        <w:spacing w:before="240"/>
        <w:rPr>
          <w:szCs w:val="24"/>
        </w:rPr>
      </w:pPr>
      <w:r w:rsidRPr="0080130F">
        <w:rPr>
          <w:szCs w:val="24"/>
        </w:rPr>
        <w:t xml:space="preserve">The revenue </w:t>
      </w:r>
      <w:r w:rsidR="00A623ED">
        <w:rPr>
          <w:szCs w:val="24"/>
        </w:rPr>
        <w:t xml:space="preserve">test </w:t>
      </w:r>
      <w:r w:rsidRPr="0080130F">
        <w:rPr>
          <w:szCs w:val="24"/>
        </w:rPr>
        <w:t>is relevant to determining whether the digital platform exception applies as explained below.</w:t>
      </w:r>
    </w:p>
    <w:p w14:paraId="3DF9ECCB" w14:textId="0E9BB0DF" w:rsidR="0040507C" w:rsidRPr="0080130F" w:rsidRDefault="0040507C" w:rsidP="00171022">
      <w:pPr>
        <w:spacing w:before="240"/>
        <w:rPr>
          <w:i/>
          <w:szCs w:val="24"/>
        </w:rPr>
      </w:pPr>
      <w:r w:rsidRPr="0080130F">
        <w:rPr>
          <w:i/>
          <w:szCs w:val="24"/>
        </w:rPr>
        <w:t>Revenue test—Example 1</w:t>
      </w:r>
    </w:p>
    <w:p w14:paraId="349D1A74" w14:textId="6E509DE9" w:rsidR="0040507C" w:rsidRPr="0080130F" w:rsidRDefault="0040507C" w:rsidP="0040507C">
      <w:pPr>
        <w:spacing w:before="240"/>
        <w:rPr>
          <w:szCs w:val="24"/>
        </w:rPr>
      </w:pPr>
      <w:r w:rsidRPr="0080130F">
        <w:rPr>
          <w:szCs w:val="24"/>
        </w:rPr>
        <w:t>An entity that provides a social media service that is accessible to, or delivered to, one or more end-users in Australia has a combined gross revenue of $1.08 billion in the 12</w:t>
      </w:r>
      <w:r w:rsidR="001B15A4" w:rsidRPr="0080130F">
        <w:rPr>
          <w:szCs w:val="24"/>
        </w:rPr>
        <w:t>-</w:t>
      </w:r>
      <w:r w:rsidRPr="0080130F">
        <w:rPr>
          <w:szCs w:val="24"/>
        </w:rPr>
        <w:t xml:space="preserve">month financial reporting period ending 30 June 2026. The entity also had a combined gross </w:t>
      </w:r>
      <w:r w:rsidRPr="0080130F">
        <w:rPr>
          <w:szCs w:val="24"/>
        </w:rPr>
        <w:lastRenderedPageBreak/>
        <w:t>revenue over $1 billion in the last two 12-month financial reporting periods (financial years ending 30 June 2024 and 30 June 2025).</w:t>
      </w:r>
    </w:p>
    <w:p w14:paraId="0A0CB40D" w14:textId="34D2D2FA" w:rsidR="0040507C" w:rsidRPr="0080130F" w:rsidRDefault="0040507C" w:rsidP="0040507C">
      <w:pPr>
        <w:spacing w:before="240"/>
        <w:rPr>
          <w:szCs w:val="24"/>
        </w:rPr>
      </w:pPr>
      <w:r w:rsidRPr="0080130F">
        <w:rPr>
          <w:szCs w:val="24"/>
        </w:rPr>
        <w:t xml:space="preserve">On 1 January 2027 (the test time), the entity considers whether it meets the revenue threshold for the purposes of the 2027 calendar year. The entity is taken to satisfy the revenue test as it meets the requirements in </w:t>
      </w:r>
      <w:r w:rsidR="00A973DE" w:rsidRPr="0080130F">
        <w:rPr>
          <w:szCs w:val="24"/>
        </w:rPr>
        <w:t>paragraph 1-6(1)(a)</w:t>
      </w:r>
      <w:r w:rsidRPr="0080130F">
        <w:rPr>
          <w:szCs w:val="24"/>
        </w:rPr>
        <w:t>.</w:t>
      </w:r>
    </w:p>
    <w:p w14:paraId="24641D62" w14:textId="7D656205" w:rsidR="0040507C" w:rsidRPr="0080130F" w:rsidRDefault="0040507C" w:rsidP="0040507C">
      <w:pPr>
        <w:spacing w:before="240"/>
        <w:rPr>
          <w:szCs w:val="24"/>
        </w:rPr>
      </w:pPr>
      <w:r w:rsidRPr="0080130F">
        <w:rPr>
          <w:szCs w:val="24"/>
        </w:rPr>
        <w:t xml:space="preserve">In the next 12-month financial reporting period ending 30 June 2027, the entity has a combined gross revenue of $980 million. On 1 January 2028 (the test time), the entity considers whether it meets the revenue threshold for the purposes of the 2028 calendar year. The entity is taken to satisfy the revenue test for the 2028 calendar year as its revenue in two of the three previous financial reporting periods was over $1 billion (meeting the requirement in paragraph </w:t>
      </w:r>
      <w:r w:rsidR="00A973DE" w:rsidRPr="0080130F">
        <w:rPr>
          <w:szCs w:val="24"/>
        </w:rPr>
        <w:t>1-6(1)(b)</w:t>
      </w:r>
      <w:r w:rsidRPr="0080130F">
        <w:rPr>
          <w:szCs w:val="24"/>
        </w:rPr>
        <w:t>).</w:t>
      </w:r>
    </w:p>
    <w:p w14:paraId="783210E4" w14:textId="6FD67C63" w:rsidR="0040507C" w:rsidRPr="0080130F" w:rsidRDefault="0040507C" w:rsidP="0040507C">
      <w:pPr>
        <w:spacing w:before="240"/>
        <w:rPr>
          <w:i/>
          <w:szCs w:val="24"/>
        </w:rPr>
      </w:pPr>
      <w:r w:rsidRPr="0080130F">
        <w:rPr>
          <w:i/>
          <w:szCs w:val="24"/>
        </w:rPr>
        <w:t>Revenue test—Example 2</w:t>
      </w:r>
    </w:p>
    <w:p w14:paraId="48DE3394" w14:textId="126ECE64" w:rsidR="0040507C" w:rsidRPr="0080130F" w:rsidRDefault="0040507C" w:rsidP="0040507C">
      <w:pPr>
        <w:spacing w:before="240"/>
        <w:rPr>
          <w:szCs w:val="24"/>
        </w:rPr>
      </w:pPr>
      <w:r w:rsidRPr="0080130F">
        <w:rPr>
          <w:szCs w:val="24"/>
        </w:rPr>
        <w:t xml:space="preserve">On 1 January 2027 (the test time), the entity </w:t>
      </w:r>
      <w:r w:rsidR="00FF0FAF">
        <w:rPr>
          <w:szCs w:val="24"/>
        </w:rPr>
        <w:t>has</w:t>
      </w:r>
      <w:r w:rsidR="00BB08FB">
        <w:rPr>
          <w:szCs w:val="24"/>
        </w:rPr>
        <w:t xml:space="preserve"> a combined gross revenue of $</w:t>
      </w:r>
      <w:r w:rsidR="007B0162">
        <w:rPr>
          <w:szCs w:val="24"/>
        </w:rPr>
        <w:t>1.</w:t>
      </w:r>
      <w:r w:rsidR="005E0B17">
        <w:rPr>
          <w:szCs w:val="24"/>
        </w:rPr>
        <w:t>05</w:t>
      </w:r>
      <w:r w:rsidR="00BB08FB">
        <w:rPr>
          <w:szCs w:val="24"/>
        </w:rPr>
        <w:t xml:space="preserve"> billion in the </w:t>
      </w:r>
      <w:r w:rsidR="00645B3C">
        <w:rPr>
          <w:szCs w:val="24"/>
        </w:rPr>
        <w:t xml:space="preserve">most recent </w:t>
      </w:r>
      <w:r w:rsidR="00BB08FB">
        <w:rPr>
          <w:szCs w:val="24"/>
        </w:rPr>
        <w:t xml:space="preserve">12-month financial reporting </w:t>
      </w:r>
      <w:r w:rsidR="00494AD2">
        <w:rPr>
          <w:szCs w:val="24"/>
        </w:rPr>
        <w:t>period</w:t>
      </w:r>
      <w:r w:rsidR="00645B3C">
        <w:rPr>
          <w:szCs w:val="24"/>
        </w:rPr>
        <w:t xml:space="preserve"> and </w:t>
      </w:r>
      <w:r w:rsidRPr="0080130F">
        <w:rPr>
          <w:szCs w:val="24"/>
        </w:rPr>
        <w:t xml:space="preserve">is taken to satisfy the revenue test for the calendar year 2027 (as the requirements in paragraph </w:t>
      </w:r>
      <w:r w:rsidR="00A973DE" w:rsidRPr="0080130F">
        <w:rPr>
          <w:szCs w:val="24"/>
        </w:rPr>
        <w:t>1-6(1)(a)</w:t>
      </w:r>
      <w:r w:rsidRPr="0080130F">
        <w:rPr>
          <w:szCs w:val="24"/>
        </w:rPr>
        <w:t xml:space="preserve"> are met) and must comply with the SPF during the 2027 calendar year. </w:t>
      </w:r>
    </w:p>
    <w:p w14:paraId="0F6D8385" w14:textId="70BF2258" w:rsidR="0040507C" w:rsidRPr="0080130F" w:rsidRDefault="0040507C" w:rsidP="0040507C">
      <w:pPr>
        <w:spacing w:before="240"/>
        <w:rPr>
          <w:szCs w:val="24"/>
        </w:rPr>
      </w:pPr>
      <w:r w:rsidRPr="0080130F">
        <w:rPr>
          <w:szCs w:val="24"/>
        </w:rPr>
        <w:t>In the next 12-month financial reporting period ending 30 June 2027, the entity has a combined gross revenue of $980 million. On 1 January 2028 (the test time), the entity is taken to satisfy the revenue test for the calendar year 2028 as its revenue in two of the three previous 12-month financial reporting periods was over $1 billion (meeting the requirement in paragraph 1</w:t>
      </w:r>
      <w:r w:rsidR="00A973DE" w:rsidRPr="0080130F">
        <w:rPr>
          <w:szCs w:val="24"/>
        </w:rPr>
        <w:t>-6</w:t>
      </w:r>
      <w:r w:rsidRPr="0080130F">
        <w:rPr>
          <w:szCs w:val="24"/>
        </w:rPr>
        <w:t xml:space="preserve">(1)(b)). </w:t>
      </w:r>
    </w:p>
    <w:p w14:paraId="660804A4" w14:textId="775B351E" w:rsidR="0040507C" w:rsidRPr="0080130F" w:rsidRDefault="0040507C" w:rsidP="0040507C">
      <w:pPr>
        <w:spacing w:before="240"/>
        <w:rPr>
          <w:szCs w:val="24"/>
        </w:rPr>
      </w:pPr>
      <w:r w:rsidRPr="0080130F">
        <w:rPr>
          <w:szCs w:val="24"/>
        </w:rPr>
        <w:t>In the next 12-month financial reporting period ending 30 June 2028, the entity has a combined gross revenue of $800 million. On 1 January 2029 (the test time), the entity does not satisfy the revenue test for the calendar year 2029 as its revenue in the most recent 12-month financial reporting period was less than $1 billion, and its revenue in the two of the last three 12-month financial reporting periods were less than $1 billion.</w:t>
      </w:r>
    </w:p>
    <w:p w14:paraId="65E95FB5" w14:textId="7B993554" w:rsidR="00411C80" w:rsidRPr="00171022" w:rsidRDefault="00411C80" w:rsidP="00171022">
      <w:pPr>
        <w:spacing w:before="240"/>
        <w:rPr>
          <w:b/>
          <w:bCs/>
          <w:iCs/>
          <w:szCs w:val="24"/>
        </w:rPr>
      </w:pPr>
      <w:r w:rsidRPr="0080130F">
        <w:rPr>
          <w:b/>
          <w:szCs w:val="24"/>
        </w:rPr>
        <w:t xml:space="preserve">Part 2 – </w:t>
      </w:r>
      <w:r w:rsidR="00E71ACE" w:rsidRPr="0080130F">
        <w:rPr>
          <w:b/>
          <w:szCs w:val="24"/>
        </w:rPr>
        <w:t xml:space="preserve">Overarching principles of the Scams Prevention Framework </w:t>
      </w:r>
    </w:p>
    <w:p w14:paraId="3569FC66" w14:textId="6B7AB148" w:rsidR="000010CB" w:rsidRPr="00C54EED" w:rsidRDefault="000010CB" w:rsidP="00851EC5">
      <w:pPr>
        <w:spacing w:before="240"/>
        <w:rPr>
          <w:szCs w:val="24"/>
        </w:rPr>
      </w:pPr>
      <w:r>
        <w:rPr>
          <w:szCs w:val="24"/>
        </w:rPr>
        <w:t xml:space="preserve">Treasury has released a </w:t>
      </w:r>
      <w:r w:rsidR="001B4E95">
        <w:rPr>
          <w:szCs w:val="24"/>
        </w:rPr>
        <w:t xml:space="preserve">position </w:t>
      </w:r>
      <w:r>
        <w:rPr>
          <w:szCs w:val="24"/>
        </w:rPr>
        <w:t>paper alongside the</w:t>
      </w:r>
      <w:r w:rsidR="00CD6B0C">
        <w:rPr>
          <w:szCs w:val="24"/>
        </w:rPr>
        <w:t xml:space="preserve"> exposure draft rules setting out its proposed policy settings for internal dispute resolution under the SPF</w:t>
      </w:r>
      <w:r w:rsidR="00AB4D15">
        <w:rPr>
          <w:szCs w:val="24"/>
        </w:rPr>
        <w:t xml:space="preserve"> including updating </w:t>
      </w:r>
      <w:r w:rsidR="00CD6B0C">
        <w:rPr>
          <w:szCs w:val="24"/>
        </w:rPr>
        <w:t xml:space="preserve">the </w:t>
      </w:r>
      <w:r w:rsidR="0016113E">
        <w:rPr>
          <w:szCs w:val="24"/>
        </w:rPr>
        <w:t xml:space="preserve">kinds of </w:t>
      </w:r>
      <w:r w:rsidR="00EC7099">
        <w:rPr>
          <w:szCs w:val="24"/>
        </w:rPr>
        <w:t>information</w:t>
      </w:r>
      <w:r w:rsidR="00C54EED">
        <w:rPr>
          <w:szCs w:val="24"/>
        </w:rPr>
        <w:t xml:space="preserve"> and </w:t>
      </w:r>
      <w:r w:rsidR="00EB07B6">
        <w:rPr>
          <w:szCs w:val="24"/>
        </w:rPr>
        <w:t xml:space="preserve">the </w:t>
      </w:r>
      <w:r w:rsidR="00AE06AC">
        <w:rPr>
          <w:szCs w:val="24"/>
        </w:rPr>
        <w:t xml:space="preserve">prescribed </w:t>
      </w:r>
      <w:r w:rsidR="00EB07B6">
        <w:rPr>
          <w:szCs w:val="24"/>
        </w:rPr>
        <w:t>timeframes, ma</w:t>
      </w:r>
      <w:r w:rsidR="009B181F">
        <w:rPr>
          <w:szCs w:val="24"/>
        </w:rPr>
        <w:t>nner and form</w:t>
      </w:r>
      <w:r w:rsidR="00314ED5">
        <w:rPr>
          <w:szCs w:val="24"/>
        </w:rPr>
        <w:t xml:space="preserve"> </w:t>
      </w:r>
      <w:r w:rsidR="00C54EED">
        <w:rPr>
          <w:szCs w:val="24"/>
        </w:rPr>
        <w:t>for</w:t>
      </w:r>
      <w:r w:rsidR="00314ED5">
        <w:rPr>
          <w:szCs w:val="24"/>
        </w:rPr>
        <w:t xml:space="preserve"> the statement of compliance</w:t>
      </w:r>
      <w:r w:rsidR="00AE7720">
        <w:rPr>
          <w:szCs w:val="24"/>
        </w:rPr>
        <w:t xml:space="preserve">. </w:t>
      </w:r>
      <w:r w:rsidR="00AB4D15">
        <w:rPr>
          <w:szCs w:val="24"/>
        </w:rPr>
        <w:t>A</w:t>
      </w:r>
      <w:r w:rsidR="00AE7720">
        <w:rPr>
          <w:szCs w:val="24"/>
        </w:rPr>
        <w:t xml:space="preserve">dditional rules </w:t>
      </w:r>
      <w:r w:rsidR="00AB4D15">
        <w:rPr>
          <w:szCs w:val="24"/>
        </w:rPr>
        <w:t xml:space="preserve">will </w:t>
      </w:r>
      <w:r w:rsidR="008E09C1">
        <w:rPr>
          <w:szCs w:val="24"/>
        </w:rPr>
        <w:t xml:space="preserve">also be </w:t>
      </w:r>
      <w:r w:rsidR="00AB4D15">
        <w:rPr>
          <w:szCs w:val="24"/>
        </w:rPr>
        <w:t xml:space="preserve">considered </w:t>
      </w:r>
      <w:r w:rsidR="008E09C1">
        <w:rPr>
          <w:szCs w:val="24"/>
        </w:rPr>
        <w:t>to deal with</w:t>
      </w:r>
      <w:r w:rsidR="00AE7720">
        <w:rPr>
          <w:szCs w:val="24"/>
        </w:rPr>
        <w:t xml:space="preserve"> </w:t>
      </w:r>
      <w:r w:rsidR="00460710">
        <w:rPr>
          <w:szCs w:val="24"/>
        </w:rPr>
        <w:t xml:space="preserve">processes </w:t>
      </w:r>
      <w:r w:rsidR="00311B2F">
        <w:rPr>
          <w:szCs w:val="24"/>
        </w:rPr>
        <w:t xml:space="preserve">for </w:t>
      </w:r>
      <w:r w:rsidR="001F25E3">
        <w:rPr>
          <w:szCs w:val="24"/>
        </w:rPr>
        <w:t>internal dispute resolution</w:t>
      </w:r>
      <w:r w:rsidR="0037479A">
        <w:rPr>
          <w:szCs w:val="24"/>
        </w:rPr>
        <w:t xml:space="preserve"> </w:t>
      </w:r>
      <w:r w:rsidR="00311B2F">
        <w:rPr>
          <w:szCs w:val="24"/>
        </w:rPr>
        <w:t xml:space="preserve">and </w:t>
      </w:r>
      <w:r w:rsidR="001F25E3">
        <w:rPr>
          <w:szCs w:val="24"/>
        </w:rPr>
        <w:t>guid</w:t>
      </w:r>
      <w:r w:rsidR="00F049ED">
        <w:rPr>
          <w:szCs w:val="24"/>
        </w:rPr>
        <w:t xml:space="preserve">elines </w:t>
      </w:r>
      <w:r w:rsidR="008E09C1">
        <w:rPr>
          <w:szCs w:val="24"/>
        </w:rPr>
        <w:t xml:space="preserve">entities will need to have regard to </w:t>
      </w:r>
      <w:r w:rsidR="002205B2">
        <w:rPr>
          <w:szCs w:val="24"/>
        </w:rPr>
        <w:t xml:space="preserve">when </w:t>
      </w:r>
      <w:r w:rsidR="00F049ED">
        <w:rPr>
          <w:szCs w:val="24"/>
        </w:rPr>
        <w:t xml:space="preserve">apportioning </w:t>
      </w:r>
      <w:r w:rsidR="00B434FF">
        <w:rPr>
          <w:szCs w:val="24"/>
        </w:rPr>
        <w:t>any liability between entities</w:t>
      </w:r>
      <w:r w:rsidR="00AB4D15">
        <w:rPr>
          <w:szCs w:val="24"/>
        </w:rPr>
        <w:t>.</w:t>
      </w:r>
    </w:p>
    <w:p w14:paraId="18F5D401" w14:textId="354CD5D1" w:rsidR="00851EC5" w:rsidRDefault="00851EC5" w:rsidP="00851EC5">
      <w:pPr>
        <w:spacing w:before="240"/>
        <w:rPr>
          <w:szCs w:val="24"/>
          <w:u w:val="single"/>
        </w:rPr>
      </w:pPr>
      <w:r w:rsidRPr="0080130F">
        <w:rPr>
          <w:szCs w:val="24"/>
          <w:u w:val="single"/>
        </w:rPr>
        <w:t xml:space="preserve">Section </w:t>
      </w:r>
      <w:r w:rsidR="000217DF" w:rsidRPr="0080130F">
        <w:rPr>
          <w:szCs w:val="24"/>
          <w:u w:val="single"/>
        </w:rPr>
        <w:t>2-1</w:t>
      </w:r>
      <w:r w:rsidRPr="0080130F">
        <w:rPr>
          <w:szCs w:val="24"/>
          <w:u w:val="single"/>
        </w:rPr>
        <w:t xml:space="preserve"> – </w:t>
      </w:r>
      <w:r w:rsidR="00084685" w:rsidRPr="0080130F">
        <w:rPr>
          <w:szCs w:val="24"/>
          <w:u w:val="single"/>
        </w:rPr>
        <w:t>Statement of compliance</w:t>
      </w:r>
      <w:r w:rsidR="00B1528A" w:rsidRPr="0080130F">
        <w:rPr>
          <w:szCs w:val="24"/>
          <w:u w:val="single"/>
        </w:rPr>
        <w:t>—</w:t>
      </w:r>
      <w:r w:rsidR="00D10845" w:rsidRPr="0080130F">
        <w:rPr>
          <w:szCs w:val="24"/>
          <w:u w:val="single"/>
        </w:rPr>
        <w:t>information</w:t>
      </w:r>
    </w:p>
    <w:p w14:paraId="7F1EE6CC" w14:textId="701962F2" w:rsidR="007A1F97" w:rsidRPr="0080130F" w:rsidRDefault="007A1F97" w:rsidP="0080130F">
      <w:pPr>
        <w:spacing w:before="240"/>
        <w:rPr>
          <w:i/>
          <w:szCs w:val="24"/>
          <w:u w:val="single"/>
        </w:rPr>
      </w:pPr>
      <w:r w:rsidRPr="0080130F">
        <w:rPr>
          <w:i/>
          <w:szCs w:val="24"/>
        </w:rPr>
        <w:t xml:space="preserve">Information to be contained in statement </w:t>
      </w:r>
    </w:p>
    <w:p w14:paraId="5AD74A14" w14:textId="6009178A" w:rsidR="00217E61" w:rsidRPr="0080130F" w:rsidRDefault="00AC1E8B" w:rsidP="00851EC5">
      <w:pPr>
        <w:pStyle w:val="base-text-paragraph"/>
        <w:ind w:left="0"/>
        <w:rPr>
          <w:szCs w:val="24"/>
        </w:rPr>
      </w:pPr>
      <w:r w:rsidRPr="0080130F">
        <w:rPr>
          <w:szCs w:val="24"/>
        </w:rPr>
        <w:t xml:space="preserve">For the purposes of paragraph 58BZDA(2)(b) of the Act, </w:t>
      </w:r>
      <w:r w:rsidR="00B1528A" w:rsidRPr="0080130F">
        <w:rPr>
          <w:szCs w:val="24"/>
        </w:rPr>
        <w:t>a</w:t>
      </w:r>
      <w:r w:rsidRPr="0080130F">
        <w:rPr>
          <w:szCs w:val="24"/>
        </w:rPr>
        <w:t xml:space="preserve"> </w:t>
      </w:r>
      <w:r w:rsidR="00217E61" w:rsidRPr="0080130F">
        <w:rPr>
          <w:szCs w:val="24"/>
        </w:rPr>
        <w:t>statement of compliance</w:t>
      </w:r>
      <w:r w:rsidR="00B1528A" w:rsidRPr="0080130F">
        <w:rPr>
          <w:szCs w:val="24"/>
        </w:rPr>
        <w:t xml:space="preserve"> given by a regulated entity in relation to a complaint</w:t>
      </w:r>
      <w:r w:rsidR="00217E61" w:rsidRPr="0080130F">
        <w:rPr>
          <w:szCs w:val="24"/>
        </w:rPr>
        <w:t xml:space="preserve"> must </w:t>
      </w:r>
      <w:r w:rsidR="00C2078D" w:rsidRPr="0080130F">
        <w:rPr>
          <w:szCs w:val="24"/>
        </w:rPr>
        <w:t xml:space="preserve">include the following kinds of information relevant to </w:t>
      </w:r>
      <w:r w:rsidR="00B1528A" w:rsidRPr="0080130F">
        <w:rPr>
          <w:szCs w:val="24"/>
        </w:rPr>
        <w:t>the</w:t>
      </w:r>
      <w:r w:rsidR="00C2078D" w:rsidRPr="0080130F">
        <w:rPr>
          <w:szCs w:val="24"/>
        </w:rPr>
        <w:t xml:space="preserve"> complaint:</w:t>
      </w:r>
    </w:p>
    <w:p w14:paraId="104F157E" w14:textId="77777777" w:rsidR="00BA56B3" w:rsidRPr="0080130F" w:rsidRDefault="00BA56B3" w:rsidP="00BA56B3">
      <w:pPr>
        <w:pStyle w:val="Bullet"/>
        <w:rPr>
          <w:szCs w:val="24"/>
        </w:rPr>
      </w:pPr>
      <w:r w:rsidRPr="0080130F">
        <w:rPr>
          <w:szCs w:val="24"/>
        </w:rPr>
        <w:t xml:space="preserve">a description of each matter raised in the </w:t>
      </w:r>
      <w:proofErr w:type="gramStart"/>
      <w:r w:rsidRPr="0080130F">
        <w:rPr>
          <w:szCs w:val="24"/>
        </w:rPr>
        <w:t>complaint;</w:t>
      </w:r>
      <w:proofErr w:type="gramEnd"/>
      <w:r w:rsidRPr="0080130F">
        <w:rPr>
          <w:szCs w:val="24"/>
        </w:rPr>
        <w:t xml:space="preserve"> </w:t>
      </w:r>
    </w:p>
    <w:p w14:paraId="02A4B726" w14:textId="6B923556" w:rsidR="00BA56B3" w:rsidRPr="0080130F" w:rsidRDefault="00BA56B3" w:rsidP="00BA56B3">
      <w:pPr>
        <w:pStyle w:val="Bullet"/>
        <w:rPr>
          <w:szCs w:val="24"/>
        </w:rPr>
      </w:pPr>
      <w:r w:rsidRPr="0080130F">
        <w:rPr>
          <w:szCs w:val="24"/>
        </w:rPr>
        <w:lastRenderedPageBreak/>
        <w:t xml:space="preserve">any findings on material questions of fact relating to each matter raised in the complaint and the information relied on to support the </w:t>
      </w:r>
      <w:proofErr w:type="gramStart"/>
      <w:r w:rsidRPr="0080130F">
        <w:rPr>
          <w:szCs w:val="24"/>
        </w:rPr>
        <w:t>findings;</w:t>
      </w:r>
      <w:proofErr w:type="gramEnd"/>
      <w:r w:rsidRPr="0080130F">
        <w:rPr>
          <w:szCs w:val="24"/>
        </w:rPr>
        <w:t xml:space="preserve"> </w:t>
      </w:r>
    </w:p>
    <w:p w14:paraId="22AB2D21" w14:textId="57D900CB" w:rsidR="00BA56B3" w:rsidRDefault="00BA56B3" w:rsidP="00BA56B3">
      <w:pPr>
        <w:pStyle w:val="Bullet"/>
      </w:pPr>
      <w:r w:rsidRPr="0080130F">
        <w:rPr>
          <w:szCs w:val="24"/>
        </w:rPr>
        <w:t>the process followed to deal</w:t>
      </w:r>
      <w:r>
        <w:t xml:space="preserve"> with each matter raised in the </w:t>
      </w:r>
      <w:proofErr w:type="gramStart"/>
      <w:r>
        <w:t>complaint;</w:t>
      </w:r>
      <w:proofErr w:type="gramEnd"/>
      <w:r>
        <w:t xml:space="preserve"> </w:t>
      </w:r>
    </w:p>
    <w:p w14:paraId="273E4920" w14:textId="3B0048A8" w:rsidR="00BA56B3" w:rsidRDefault="00BA56B3" w:rsidP="00BA56B3">
      <w:pPr>
        <w:pStyle w:val="Bullet"/>
      </w:pPr>
      <w:r>
        <w:t xml:space="preserve">the outcome of the complaint and confirmation of any action taken, or to be taken, or compensation or other remedy given, or to be given, to resolve the complaint including details of apportionment of </w:t>
      </w:r>
      <w:proofErr w:type="gramStart"/>
      <w:r>
        <w:t>compensation;</w:t>
      </w:r>
      <w:proofErr w:type="gramEnd"/>
    </w:p>
    <w:p w14:paraId="32A3393D" w14:textId="14F037DD" w:rsidR="00FE0BDC" w:rsidRDefault="00FE0BDC" w:rsidP="00BA56B3">
      <w:pPr>
        <w:pStyle w:val="Bullet"/>
      </w:pPr>
      <w:r>
        <w:t>i</w:t>
      </w:r>
      <w:r w:rsidR="00FC4C89">
        <w:t>f</w:t>
      </w:r>
      <w:r>
        <w:t xml:space="preserve"> another entity’s conduct affected, or may have affected, the outcome of the complaint (for example, findings of fact and any action taken, or compensation or other remedy given to resolve it)—information about the </w:t>
      </w:r>
      <w:proofErr w:type="gramStart"/>
      <w:r>
        <w:t>conduct;</w:t>
      </w:r>
      <w:proofErr w:type="gramEnd"/>
    </w:p>
    <w:p w14:paraId="36B07963" w14:textId="063BE6CD" w:rsidR="00B60939" w:rsidRDefault="00B60939" w:rsidP="00BA56B3">
      <w:pPr>
        <w:pStyle w:val="Bullet"/>
      </w:pPr>
      <w:r w:rsidRPr="00B60939">
        <w:t xml:space="preserve">a summary of the complainant’s rights under the SPF </w:t>
      </w:r>
      <w:r w:rsidR="00896DAB">
        <w:t>external dispute resolution (</w:t>
      </w:r>
      <w:r w:rsidRPr="00B60939">
        <w:t>EDR</w:t>
      </w:r>
      <w:r w:rsidR="00896DAB">
        <w:t>)</w:t>
      </w:r>
      <w:r w:rsidRPr="00B60939">
        <w:t xml:space="preserve"> scheme authorised for the entity’s regulated sector and how the complainant may access the scheme. </w:t>
      </w:r>
    </w:p>
    <w:p w14:paraId="3842263A" w14:textId="2F0E84FB" w:rsidR="00B60939" w:rsidRDefault="00C46EF1">
      <w:pPr>
        <w:pStyle w:val="Bullet"/>
        <w:numPr>
          <w:ilvl w:val="0"/>
          <w:numId w:val="0"/>
        </w:numPr>
      </w:pPr>
      <w:r>
        <w:t xml:space="preserve">These requirements </w:t>
      </w:r>
      <w:r w:rsidR="00AA37B6">
        <w:t>supplement</w:t>
      </w:r>
      <w:r>
        <w:t xml:space="preserve"> </w:t>
      </w:r>
      <w:r w:rsidR="001A2100">
        <w:t xml:space="preserve">the </w:t>
      </w:r>
      <w:r w:rsidR="00415807">
        <w:t>ex</w:t>
      </w:r>
      <w:r w:rsidR="004B676B">
        <w:t>isting requirement in t</w:t>
      </w:r>
      <w:r w:rsidR="00B60939" w:rsidRPr="00B60939">
        <w:t xml:space="preserve">he </w:t>
      </w:r>
      <w:r w:rsidR="00C37FB8">
        <w:t xml:space="preserve">Act </w:t>
      </w:r>
      <w:r w:rsidR="004B676B">
        <w:t>that</w:t>
      </w:r>
      <w:r w:rsidR="00C37FB8">
        <w:t xml:space="preserve"> a </w:t>
      </w:r>
      <w:r w:rsidR="00B60939" w:rsidRPr="00B60939">
        <w:t xml:space="preserve">statement of compliance </w:t>
      </w:r>
      <w:r w:rsidR="00A76304">
        <w:t>m</w:t>
      </w:r>
      <w:r w:rsidR="00C03993">
        <w:t xml:space="preserve">ust </w:t>
      </w:r>
      <w:r w:rsidR="00B60939" w:rsidRPr="00B60939">
        <w:t>include a statement by the regulated entity about whether, based on information reasonably available to the entity at the time of making the statement, it has complied with its obligations under the SPF provisions that are relevant to the complaint (see paragraph</w:t>
      </w:r>
      <w:r w:rsidR="00C52ACE">
        <w:t xml:space="preserve"> </w:t>
      </w:r>
      <w:r w:rsidR="00B60939" w:rsidRPr="00B60939">
        <w:t>58BZDA(2)(a)).</w:t>
      </w:r>
    </w:p>
    <w:p w14:paraId="4ADF1A57" w14:textId="25FB3B4C" w:rsidR="002968C4" w:rsidRDefault="002968C4" w:rsidP="00171022">
      <w:pPr>
        <w:pStyle w:val="Bullet"/>
        <w:numPr>
          <w:ilvl w:val="0"/>
          <w:numId w:val="0"/>
        </w:numPr>
        <w:rPr>
          <w:szCs w:val="24"/>
        </w:rPr>
      </w:pPr>
      <w:r>
        <w:t xml:space="preserve">Information about the outcome of the complaint and action taken includes—where the </w:t>
      </w:r>
      <w:r w:rsidRPr="0080130F">
        <w:rPr>
          <w:szCs w:val="24"/>
        </w:rPr>
        <w:t>outcome was not in the complainant’s favour—a statement of that fact and why that outcome was reached.</w:t>
      </w:r>
    </w:p>
    <w:p w14:paraId="5029E17D" w14:textId="5609A3D6" w:rsidR="00A31204" w:rsidRPr="0080130F" w:rsidRDefault="00A31204" w:rsidP="0080130F">
      <w:pPr>
        <w:pStyle w:val="Bullet"/>
        <w:numPr>
          <w:ilvl w:val="0"/>
          <w:numId w:val="0"/>
        </w:numPr>
        <w:rPr>
          <w:szCs w:val="24"/>
        </w:rPr>
      </w:pPr>
      <w:r w:rsidRPr="0080130F">
        <w:rPr>
          <w:i/>
          <w:szCs w:val="24"/>
        </w:rPr>
        <w:t xml:space="preserve">Short </w:t>
      </w:r>
      <w:r w:rsidR="00C37FB8" w:rsidRPr="0080130F">
        <w:rPr>
          <w:i/>
          <w:szCs w:val="24"/>
        </w:rPr>
        <w:t>s</w:t>
      </w:r>
      <w:r w:rsidRPr="0080130F">
        <w:rPr>
          <w:i/>
          <w:szCs w:val="24"/>
        </w:rPr>
        <w:t>tatement of compliance</w:t>
      </w:r>
    </w:p>
    <w:p w14:paraId="33A302F6" w14:textId="6E643468" w:rsidR="00A31204" w:rsidRPr="0080130F" w:rsidRDefault="00A31204" w:rsidP="00171022">
      <w:pPr>
        <w:pStyle w:val="base-text-paragraph"/>
        <w:ind w:left="0"/>
        <w:rPr>
          <w:szCs w:val="24"/>
        </w:rPr>
      </w:pPr>
      <w:r w:rsidRPr="0080130F">
        <w:rPr>
          <w:szCs w:val="24"/>
        </w:rPr>
        <w:t xml:space="preserve">A regulated entity may give a </w:t>
      </w:r>
      <w:r w:rsidR="00C40DC7" w:rsidRPr="0080130F">
        <w:rPr>
          <w:szCs w:val="24"/>
        </w:rPr>
        <w:t xml:space="preserve">complainant </w:t>
      </w:r>
      <w:r w:rsidRPr="0080130F">
        <w:rPr>
          <w:szCs w:val="24"/>
        </w:rPr>
        <w:t xml:space="preserve">a </w:t>
      </w:r>
      <w:r w:rsidR="00337185" w:rsidRPr="0080130F">
        <w:rPr>
          <w:szCs w:val="24"/>
        </w:rPr>
        <w:t>short</w:t>
      </w:r>
      <w:r w:rsidRPr="0080130F">
        <w:rPr>
          <w:szCs w:val="24"/>
        </w:rPr>
        <w:t xml:space="preserve"> statement of compliance if</w:t>
      </w:r>
      <w:r w:rsidR="00337185" w:rsidRPr="0080130F">
        <w:rPr>
          <w:szCs w:val="24"/>
        </w:rPr>
        <w:t xml:space="preserve"> </w:t>
      </w:r>
      <w:r w:rsidRPr="0080130F">
        <w:rPr>
          <w:szCs w:val="24"/>
        </w:rPr>
        <w:t xml:space="preserve">the </w:t>
      </w:r>
      <w:r w:rsidR="009C74FE" w:rsidRPr="0080130F">
        <w:rPr>
          <w:szCs w:val="24"/>
        </w:rPr>
        <w:t xml:space="preserve">regulated entity is satisfied on reasonable grounds that the </w:t>
      </w:r>
      <w:r w:rsidRPr="0080130F">
        <w:rPr>
          <w:szCs w:val="24"/>
        </w:rPr>
        <w:t xml:space="preserve">complaint was resolved to the </w:t>
      </w:r>
      <w:r w:rsidR="00C40DC7" w:rsidRPr="0080130F">
        <w:rPr>
          <w:szCs w:val="24"/>
        </w:rPr>
        <w:t xml:space="preserve">complainant’s </w:t>
      </w:r>
      <w:r w:rsidRPr="0080130F">
        <w:rPr>
          <w:szCs w:val="24"/>
        </w:rPr>
        <w:t xml:space="preserve">satisfaction within 5 business days of </w:t>
      </w:r>
      <w:r w:rsidR="00C40DC7" w:rsidRPr="0080130F">
        <w:rPr>
          <w:szCs w:val="24"/>
        </w:rPr>
        <w:t xml:space="preserve">the entity </w:t>
      </w:r>
      <w:r w:rsidRPr="0080130F">
        <w:rPr>
          <w:szCs w:val="24"/>
        </w:rPr>
        <w:t>receiving the complaint</w:t>
      </w:r>
      <w:r w:rsidR="000F7D75" w:rsidRPr="0080130F">
        <w:rPr>
          <w:szCs w:val="24"/>
        </w:rPr>
        <w:t>.</w:t>
      </w:r>
    </w:p>
    <w:p w14:paraId="0FB57854" w14:textId="7D8DCC24" w:rsidR="00A31204" w:rsidRPr="0080130F" w:rsidRDefault="00A31204" w:rsidP="00A31204">
      <w:pPr>
        <w:pStyle w:val="base-text-paragraph"/>
        <w:ind w:left="0"/>
        <w:rPr>
          <w:szCs w:val="24"/>
        </w:rPr>
      </w:pPr>
      <w:r w:rsidRPr="0080130F">
        <w:rPr>
          <w:szCs w:val="24"/>
        </w:rPr>
        <w:t>A s</w:t>
      </w:r>
      <w:r w:rsidR="00E66B49" w:rsidRPr="0080130F">
        <w:rPr>
          <w:szCs w:val="24"/>
        </w:rPr>
        <w:t>hort</w:t>
      </w:r>
      <w:r w:rsidRPr="0080130F">
        <w:rPr>
          <w:szCs w:val="24"/>
        </w:rPr>
        <w:t xml:space="preserve"> statement of compliance must contain the following information:</w:t>
      </w:r>
    </w:p>
    <w:p w14:paraId="72E4B246" w14:textId="1C2B9392" w:rsidR="00337185" w:rsidRDefault="00337185" w:rsidP="00337185">
      <w:pPr>
        <w:pStyle w:val="Bullet"/>
      </w:pPr>
      <w:r w:rsidRPr="0080130F">
        <w:rPr>
          <w:szCs w:val="24"/>
        </w:rPr>
        <w:t>a brief explanation of how the complaint</w:t>
      </w:r>
      <w:r w:rsidRPr="00226221">
        <w:t xml:space="preserve"> was resolved</w:t>
      </w:r>
      <w:r w:rsidR="00733781">
        <w:t>; and</w:t>
      </w:r>
    </w:p>
    <w:p w14:paraId="2E28267F" w14:textId="52195CCC" w:rsidR="00F30910" w:rsidRDefault="00F30910" w:rsidP="00A31204">
      <w:pPr>
        <w:pStyle w:val="Bullet"/>
      </w:pPr>
      <w:r>
        <w:t xml:space="preserve">a statement that the complainant </w:t>
      </w:r>
      <w:r w:rsidR="005C2D78">
        <w:t xml:space="preserve">remains entitled to and </w:t>
      </w:r>
      <w:r>
        <w:t xml:space="preserve">may request a further </w:t>
      </w:r>
      <w:r w:rsidR="005C2D78">
        <w:t xml:space="preserve">full </w:t>
      </w:r>
      <w:r>
        <w:t xml:space="preserve">statement of compliance </w:t>
      </w:r>
      <w:r w:rsidR="00E2364F">
        <w:t xml:space="preserve">that adheres to the requirements outlined above. </w:t>
      </w:r>
    </w:p>
    <w:p w14:paraId="22D1FA06" w14:textId="1A1AB9DA" w:rsidR="00A31204" w:rsidRDefault="00A31204" w:rsidP="00A31204">
      <w:pPr>
        <w:pStyle w:val="Bullet"/>
        <w:numPr>
          <w:ilvl w:val="0"/>
          <w:numId w:val="0"/>
        </w:numPr>
      </w:pPr>
      <w:r>
        <w:t xml:space="preserve">The option to provide a </w:t>
      </w:r>
      <w:r w:rsidR="00A53D80">
        <w:t xml:space="preserve">short </w:t>
      </w:r>
      <w:r>
        <w:t>statement of compliance that is simpler and quicker to prepare</w:t>
      </w:r>
      <w:r w:rsidR="00A53D80">
        <w:t>,</w:t>
      </w:r>
      <w:r>
        <w:t xml:space="preserve"> </w:t>
      </w:r>
      <w:r w:rsidR="00C65B62">
        <w:t>in</w:t>
      </w:r>
      <w:r>
        <w:t xml:space="preserve"> circumstances </w:t>
      </w:r>
      <w:r w:rsidR="00C65B62">
        <w:t>where</w:t>
      </w:r>
      <w:r>
        <w:t xml:space="preserve"> a full statement of compliance </w:t>
      </w:r>
      <w:r w:rsidR="00C65B62">
        <w:t xml:space="preserve">may not be </w:t>
      </w:r>
      <w:r>
        <w:t xml:space="preserve">necessary, appropriately </w:t>
      </w:r>
      <w:r w:rsidR="00A53D80">
        <w:t xml:space="preserve">lowers </w:t>
      </w:r>
      <w:r>
        <w:t xml:space="preserve">the administrative burden on regulated entities and </w:t>
      </w:r>
      <w:r w:rsidR="00831E16">
        <w:t>preserves</w:t>
      </w:r>
      <w:r w:rsidR="00F445EE">
        <w:t xml:space="preserve"> the</w:t>
      </w:r>
      <w:r>
        <w:t xml:space="preserve"> </w:t>
      </w:r>
      <w:r w:rsidR="00831E16">
        <w:t xml:space="preserve">availability of the </w:t>
      </w:r>
      <w:r>
        <w:t>dispute resolution process for scams complaints that involve higher-value claims and/or scam activity of greater significance.</w:t>
      </w:r>
    </w:p>
    <w:p w14:paraId="6C71832E" w14:textId="2D2AEF1C" w:rsidR="00A31204" w:rsidRDefault="00A31204" w:rsidP="00A31204">
      <w:pPr>
        <w:pStyle w:val="Bullet"/>
        <w:numPr>
          <w:ilvl w:val="0"/>
          <w:numId w:val="0"/>
        </w:numPr>
      </w:pPr>
      <w:r>
        <w:t>By retaining the ability to request a full statement of compliance, consumers are not deprived of their rights to access information about their complaint and the entity’s response to it.</w:t>
      </w:r>
    </w:p>
    <w:p w14:paraId="59C27518" w14:textId="4CC27268" w:rsidR="00A31204" w:rsidRPr="00226221" w:rsidRDefault="00A31204" w:rsidP="00A31204">
      <w:pPr>
        <w:pStyle w:val="Bullet"/>
        <w:numPr>
          <w:ilvl w:val="0"/>
          <w:numId w:val="0"/>
        </w:numPr>
      </w:pPr>
      <w:r>
        <w:t xml:space="preserve">It is expected that when determining whether a consumer is satisfied with a complaint outcome, regulated entities should follow a similar process as that </w:t>
      </w:r>
      <w:r w:rsidR="00BD09D8">
        <w:t xml:space="preserve">outlined in </w:t>
      </w:r>
      <w:r w:rsidR="006D696B">
        <w:t>Regulatory Guide</w:t>
      </w:r>
      <w:r>
        <w:t xml:space="preserve"> 271.73</w:t>
      </w:r>
      <w:r w:rsidR="00ED56F0">
        <w:t xml:space="preserve"> (</w:t>
      </w:r>
      <w:r w:rsidR="005D1C4C">
        <w:t>published by the Australian Securities and Investments Commission)</w:t>
      </w:r>
      <w:r w:rsidR="007F0E25">
        <w:t xml:space="preserve">. This </w:t>
      </w:r>
      <w:r>
        <w:lastRenderedPageBreak/>
        <w:t xml:space="preserve">requires </w:t>
      </w:r>
      <w:r w:rsidR="007F0E25">
        <w:t xml:space="preserve">an </w:t>
      </w:r>
      <w:r>
        <w:t>entity to consider whether the consumer has confirmed they are satisfied with the action taken in response to the complaint</w:t>
      </w:r>
      <w:r w:rsidR="004B5C90">
        <w:t xml:space="preserve"> and does not wish to take the matter further</w:t>
      </w:r>
      <w:r>
        <w:t>, or other circumstances exist that make it reasonable for the entity to form the view that the consumer is so satisfied.</w:t>
      </w:r>
    </w:p>
    <w:p w14:paraId="5B42CC7D" w14:textId="5AABE83B" w:rsidR="00B8041A" w:rsidRPr="0080130F" w:rsidRDefault="00727789" w:rsidP="001B15A4">
      <w:pPr>
        <w:pStyle w:val="base-text-paragraph"/>
        <w:ind w:left="0"/>
        <w:rPr>
          <w:i/>
          <w:szCs w:val="24"/>
        </w:rPr>
      </w:pPr>
      <w:r>
        <w:rPr>
          <w:i/>
          <w:iCs/>
          <w:szCs w:val="24"/>
        </w:rPr>
        <w:t>Information not to be contained in statement</w:t>
      </w:r>
    </w:p>
    <w:p w14:paraId="2CABACC1" w14:textId="77777777" w:rsidR="00B8041A" w:rsidRDefault="00B8041A" w:rsidP="00FC611B">
      <w:pPr>
        <w:pStyle w:val="Bullet"/>
        <w:numPr>
          <w:ilvl w:val="0"/>
          <w:numId w:val="0"/>
        </w:numPr>
        <w:spacing w:before="120"/>
      </w:pPr>
      <w:r>
        <w:t>Recognising that there are circumstances in which certain information should not be disclosed, statements of compliance must not include:</w:t>
      </w:r>
    </w:p>
    <w:p w14:paraId="510F3DAE" w14:textId="5DC9B940" w:rsidR="00B8041A" w:rsidRDefault="00B8041A" w:rsidP="00B8041A">
      <w:pPr>
        <w:pStyle w:val="Bullet"/>
      </w:pPr>
      <w:r>
        <w:t>information that is commercially sensitive; and</w:t>
      </w:r>
    </w:p>
    <w:p w14:paraId="50BE26AF" w14:textId="053252DB" w:rsidR="00B8041A" w:rsidRPr="00171022" w:rsidRDefault="00B8041A" w:rsidP="00B8041A">
      <w:pPr>
        <w:pStyle w:val="Bullet"/>
        <w:rPr>
          <w:i/>
        </w:rPr>
      </w:pPr>
      <w:r>
        <w:t xml:space="preserve">information </w:t>
      </w:r>
      <w:r w:rsidR="00DD3B52">
        <w:t xml:space="preserve">that </w:t>
      </w:r>
      <w:r w:rsidR="00DA4105">
        <w:t xml:space="preserve">is considered personal information within the meaning of the </w:t>
      </w:r>
      <w:r w:rsidR="00DA4105" w:rsidRPr="00171022">
        <w:rPr>
          <w:i/>
          <w:iCs/>
        </w:rPr>
        <w:t>Privacy Act 1988.</w:t>
      </w:r>
    </w:p>
    <w:p w14:paraId="425EA6FF" w14:textId="674AE2CA" w:rsidR="007F1B9E" w:rsidRDefault="007F1B9E" w:rsidP="00171022">
      <w:pPr>
        <w:pStyle w:val="Bullet"/>
        <w:numPr>
          <w:ilvl w:val="0"/>
          <w:numId w:val="0"/>
        </w:numPr>
      </w:pPr>
      <w:r>
        <w:t xml:space="preserve">The exclusion of personal information is designed to protect </w:t>
      </w:r>
      <w:r w:rsidR="00AC4C96">
        <w:t xml:space="preserve">personal </w:t>
      </w:r>
      <w:r w:rsidR="00F955C3">
        <w:t xml:space="preserve">information that </w:t>
      </w:r>
      <w:r w:rsidR="008E09C1">
        <w:t xml:space="preserve">a consumer may have shared with an </w:t>
      </w:r>
      <w:r w:rsidR="00EB6745">
        <w:t>entity</w:t>
      </w:r>
      <w:r w:rsidR="002E316D">
        <w:t xml:space="preserve"> in circumstances where</w:t>
      </w:r>
      <w:r w:rsidR="00EB6745">
        <w:t xml:space="preserve"> the statement of compliance </w:t>
      </w:r>
      <w:r w:rsidR="002E316D">
        <w:t xml:space="preserve">the </w:t>
      </w:r>
      <w:r w:rsidR="004B5CEC">
        <w:t>entity</w:t>
      </w:r>
      <w:r w:rsidR="00EB6745">
        <w:t xml:space="preserve"> </w:t>
      </w:r>
      <w:r w:rsidR="002E316D">
        <w:t>gave the consumer may</w:t>
      </w:r>
      <w:r w:rsidR="00463168">
        <w:t xml:space="preserve"> be</w:t>
      </w:r>
      <w:r w:rsidR="00EB6745">
        <w:t xml:space="preserve"> </w:t>
      </w:r>
      <w:r w:rsidR="00F955C3">
        <w:t xml:space="preserve">shared </w:t>
      </w:r>
      <w:r w:rsidR="00135C97">
        <w:t xml:space="preserve">with other </w:t>
      </w:r>
      <w:r w:rsidR="00F955C3">
        <w:t xml:space="preserve">entities </w:t>
      </w:r>
      <w:r w:rsidR="007469D4">
        <w:t xml:space="preserve">when </w:t>
      </w:r>
      <w:r w:rsidR="00310B22">
        <w:t xml:space="preserve">working cooperatively </w:t>
      </w:r>
      <w:r w:rsidR="00F955C3">
        <w:t>to resolve complaints involving several entities</w:t>
      </w:r>
      <w:r w:rsidR="004B5CEC">
        <w:t xml:space="preserve"> or with AFCA</w:t>
      </w:r>
      <w:r w:rsidR="00F955C3">
        <w:t>. However, the government recognises that it may be difficult to exclude all personal information from statements of compliance and welcome</w:t>
      </w:r>
      <w:r w:rsidR="00757C83">
        <w:t>s</w:t>
      </w:r>
      <w:r w:rsidR="00F955C3">
        <w:t xml:space="preserve"> views from stakeholders on how to best </w:t>
      </w:r>
      <w:r w:rsidR="00D2519A">
        <w:t xml:space="preserve">safeguard personal </w:t>
      </w:r>
      <w:r w:rsidR="00A10CB8">
        <w:t xml:space="preserve">information </w:t>
      </w:r>
      <w:r w:rsidR="00C43817">
        <w:t xml:space="preserve">while </w:t>
      </w:r>
      <w:r w:rsidR="00A10CB8">
        <w:t xml:space="preserve">enabling </w:t>
      </w:r>
      <w:r w:rsidR="004B5CEC">
        <w:t>effective</w:t>
      </w:r>
      <w:r w:rsidR="00A10CB8">
        <w:t xml:space="preserve"> complaint</w:t>
      </w:r>
      <w:r w:rsidR="004B5CEC">
        <w:t xml:space="preserve"> resolution</w:t>
      </w:r>
      <w:r w:rsidR="00A10CB8">
        <w:t xml:space="preserve">. </w:t>
      </w:r>
    </w:p>
    <w:p w14:paraId="0DBDB44A" w14:textId="3E98B5A8" w:rsidR="00637AF2" w:rsidRDefault="00DD2A4C" w:rsidP="00171022">
      <w:pPr>
        <w:pStyle w:val="Bullet"/>
        <w:numPr>
          <w:ilvl w:val="0"/>
          <w:numId w:val="0"/>
        </w:numPr>
      </w:pPr>
      <w:r>
        <w:t>Information protection obligations in o</w:t>
      </w:r>
      <w:r w:rsidR="00614934">
        <w:t>ther legislative frameworks</w:t>
      </w:r>
      <w:r w:rsidR="002E316D">
        <w:t>,</w:t>
      </w:r>
      <w:r w:rsidR="00614934">
        <w:t xml:space="preserve"> </w:t>
      </w:r>
      <w:r w:rsidR="00637AF2">
        <w:t xml:space="preserve">including the </w:t>
      </w:r>
      <w:r w:rsidR="00637AF2" w:rsidRPr="00637AF2">
        <w:t>Anti-Money Laundering and Counter-Terrorism Financing</w:t>
      </w:r>
      <w:r w:rsidR="00637AF2">
        <w:t xml:space="preserve"> regime, continue to</w:t>
      </w:r>
      <w:r w:rsidR="00614934">
        <w:t xml:space="preserve"> operate to ensure information that is prohibited from disclosure</w:t>
      </w:r>
      <w:r w:rsidR="00637AF2">
        <w:t xml:space="preserve"> under those frameworks is not included in statements of compliance.</w:t>
      </w:r>
    </w:p>
    <w:p w14:paraId="45EFE791" w14:textId="6C7EB521" w:rsidR="00B70CFB" w:rsidDel="00300268" w:rsidRDefault="00B70CFB" w:rsidP="00171022">
      <w:pPr>
        <w:pStyle w:val="Bullet"/>
        <w:numPr>
          <w:ilvl w:val="0"/>
          <w:numId w:val="0"/>
        </w:numPr>
      </w:pPr>
      <w:r w:rsidDel="00300268">
        <w:t>The statement of compliance provides information about how a regulated entity has complied with its obligations under the SPF when dealing with complaints about relevant scam activity and is a critical obligation that an entity’s internal dispute resolution process must meet. It aims to address information asymmetry for a consumer in the complaint process, shifting the responsibility to the regulated entity to demonstrate its position in response to the complaint.</w:t>
      </w:r>
    </w:p>
    <w:p w14:paraId="0ADF8F1E" w14:textId="45BFC004" w:rsidR="000D213A" w:rsidRPr="001B15A4" w:rsidRDefault="000D213A" w:rsidP="001B15A4">
      <w:pPr>
        <w:pStyle w:val="base-text-paragraph"/>
        <w:spacing w:before="240"/>
        <w:ind w:left="0"/>
        <w:rPr>
          <w:i/>
          <w:iCs/>
          <w:u w:val="single"/>
        </w:rPr>
      </w:pPr>
      <w:r w:rsidRPr="0040507C">
        <w:rPr>
          <w:u w:val="single"/>
        </w:rPr>
        <w:t xml:space="preserve">Section 2-2 </w:t>
      </w:r>
      <w:r w:rsidR="004E06DE" w:rsidRPr="0040507C">
        <w:rPr>
          <w:u w:val="single"/>
        </w:rPr>
        <w:t xml:space="preserve">– </w:t>
      </w:r>
      <w:r w:rsidR="00D83DC8">
        <w:rPr>
          <w:u w:val="single"/>
        </w:rPr>
        <w:t>Statement of compliance – authorised representative</w:t>
      </w:r>
    </w:p>
    <w:p w14:paraId="74535D40" w14:textId="77777777" w:rsidR="00BB2FE7" w:rsidRDefault="00E10546" w:rsidP="000D213A">
      <w:pPr>
        <w:pStyle w:val="base-text-paragraph"/>
        <w:ind w:left="0"/>
      </w:pPr>
      <w:r>
        <w:t>P</w:t>
      </w:r>
      <w:r w:rsidRPr="00416A1C">
        <w:t>aragraph 58BZDA(2)(d)</w:t>
      </w:r>
      <w:r w:rsidR="001C6CC3">
        <w:t xml:space="preserve"> </w:t>
      </w:r>
      <w:r>
        <w:t xml:space="preserve">of the </w:t>
      </w:r>
      <w:r w:rsidR="001C6CC3">
        <w:t>Act requires that s</w:t>
      </w:r>
      <w:r w:rsidR="000D213A">
        <w:t>tatements of compliance must be signed by an authorised representative of the regulated entity</w:t>
      </w:r>
      <w:r w:rsidR="00BB2FE7">
        <w:t xml:space="preserve"> of a kind prescribed by the SPF rules</w:t>
      </w:r>
      <w:r w:rsidR="001902AF">
        <w:t xml:space="preserve">. </w:t>
      </w:r>
    </w:p>
    <w:p w14:paraId="3D823064" w14:textId="688BE344" w:rsidR="000D213A" w:rsidRDefault="001C6CC3" w:rsidP="000D213A">
      <w:pPr>
        <w:pStyle w:val="base-text-paragraph"/>
        <w:ind w:left="0"/>
      </w:pPr>
      <w:r>
        <w:t>This sect</w:t>
      </w:r>
      <w:r w:rsidR="00A75B46">
        <w:t xml:space="preserve">ion provides that </w:t>
      </w:r>
      <w:r w:rsidR="000D213A">
        <w:t xml:space="preserve">a </w:t>
      </w:r>
      <w:r w:rsidR="001902AF">
        <w:t xml:space="preserve">senior </w:t>
      </w:r>
      <w:r w:rsidR="00B42960">
        <w:t xml:space="preserve">officer of </w:t>
      </w:r>
      <w:r w:rsidR="008E49F2">
        <w:t xml:space="preserve">a </w:t>
      </w:r>
      <w:r w:rsidR="00B42960">
        <w:t>regulated entity who</w:t>
      </w:r>
      <w:r w:rsidR="008E49F2">
        <w:t>, under the entity’s governance policies and procedures,</w:t>
      </w:r>
      <w:r w:rsidR="00B42960">
        <w:t xml:space="preserve"> has</w:t>
      </w:r>
      <w:r w:rsidR="000D213A">
        <w:t xml:space="preserve"> oversight of </w:t>
      </w:r>
      <w:r w:rsidR="007B6930">
        <w:t xml:space="preserve">matters relevant to </w:t>
      </w:r>
      <w:r w:rsidR="008E49F2">
        <w:t xml:space="preserve">a </w:t>
      </w:r>
      <w:r w:rsidR="007B6930">
        <w:t>complaint</w:t>
      </w:r>
      <w:r w:rsidR="008E49F2">
        <w:t>,</w:t>
      </w:r>
      <w:r w:rsidR="000D213A">
        <w:t xml:space="preserve"> </w:t>
      </w:r>
      <w:r w:rsidR="008E49F2">
        <w:t>is an authorised representative of the entity in relation to the complaint</w:t>
      </w:r>
      <w:r w:rsidR="000D213A">
        <w:t>.</w:t>
      </w:r>
    </w:p>
    <w:p w14:paraId="46873289" w14:textId="5C2FF639" w:rsidR="000D213A" w:rsidRDefault="004E06DE" w:rsidP="000D213A">
      <w:pPr>
        <w:pStyle w:val="base-text-paragraph"/>
        <w:ind w:left="0"/>
      </w:pPr>
      <w:r>
        <w:t xml:space="preserve">It is expected that </w:t>
      </w:r>
      <w:r w:rsidR="002E316D">
        <w:t xml:space="preserve">an authorised representative will be reasonably satisfied that the statement is accurate and complies with the requirements under the SPF provisions that are relevant to the complaint </w:t>
      </w:r>
      <w:r>
        <w:t xml:space="preserve">when </w:t>
      </w:r>
      <w:r w:rsidR="000D213A">
        <w:t xml:space="preserve">signing the statement of compliance, </w:t>
      </w:r>
      <w:r w:rsidR="003C1514">
        <w:t xml:space="preserve">as required under </w:t>
      </w:r>
      <w:r w:rsidR="003C1514" w:rsidRPr="00B60939">
        <w:t>paragraph</w:t>
      </w:r>
      <w:r w:rsidR="003C1514">
        <w:t xml:space="preserve"> </w:t>
      </w:r>
      <w:r w:rsidR="003C1514" w:rsidRPr="00B60939">
        <w:t>58BZDA(2)(a)</w:t>
      </w:r>
      <w:r w:rsidR="003C1514">
        <w:t xml:space="preserve"> of the Act</w:t>
      </w:r>
      <w:r w:rsidR="000D213A">
        <w:t>.</w:t>
      </w:r>
    </w:p>
    <w:p w14:paraId="1122FAE4" w14:textId="5E2268A4" w:rsidR="000D213A" w:rsidRDefault="000D213A" w:rsidP="00851EC5">
      <w:pPr>
        <w:pStyle w:val="base-text-paragraph"/>
        <w:ind w:left="0"/>
      </w:pPr>
      <w:r>
        <w:t xml:space="preserve">Prescribing </w:t>
      </w:r>
      <w:r w:rsidR="008E49F2">
        <w:t xml:space="preserve">senior officers </w:t>
      </w:r>
      <w:r>
        <w:t>with appropriate knowledge and responsibility for the matters contained in a statement of compliance ensures that regulated entities place sufficient importance on statements of compliance, through the oversight of a senior person accountable for the contents of the statement.</w:t>
      </w:r>
    </w:p>
    <w:p w14:paraId="0B4865E1" w14:textId="42441A07" w:rsidR="000D213A" w:rsidRDefault="000D213A" w:rsidP="001B15A4">
      <w:pPr>
        <w:pStyle w:val="base-text-paragraph"/>
        <w:spacing w:before="240"/>
        <w:ind w:left="0"/>
        <w:rPr>
          <w:u w:val="single"/>
        </w:rPr>
      </w:pPr>
      <w:r>
        <w:rPr>
          <w:u w:val="single"/>
        </w:rPr>
        <w:lastRenderedPageBreak/>
        <w:t xml:space="preserve">Section 2-3 – </w:t>
      </w:r>
      <w:r w:rsidR="00D83DC8">
        <w:rPr>
          <w:u w:val="single"/>
        </w:rPr>
        <w:t>Statement of compliance – t</w:t>
      </w:r>
      <w:r>
        <w:rPr>
          <w:u w:val="single"/>
        </w:rPr>
        <w:t xml:space="preserve">imeframes, manner and form </w:t>
      </w:r>
    </w:p>
    <w:p w14:paraId="196F6FEE" w14:textId="49A74F64" w:rsidR="005F6D05" w:rsidRPr="00876787" w:rsidRDefault="0025171F" w:rsidP="00876787">
      <w:pPr>
        <w:pStyle w:val="base-text-paragraph"/>
        <w:spacing w:before="240"/>
        <w:ind w:left="0"/>
        <w:rPr>
          <w:u w:val="single"/>
        </w:rPr>
      </w:pPr>
      <w:r>
        <w:rPr>
          <w:i/>
          <w:iCs/>
          <w:szCs w:val="24"/>
        </w:rPr>
        <w:t>When statement of compliance must be given</w:t>
      </w:r>
    </w:p>
    <w:p w14:paraId="7FB0C165" w14:textId="4E652049" w:rsidR="00AA3951" w:rsidRDefault="00EA06E7" w:rsidP="00A90582">
      <w:pPr>
        <w:pStyle w:val="base-text-paragraph"/>
        <w:ind w:left="0"/>
      </w:pPr>
      <w:r>
        <w:t>A</w:t>
      </w:r>
      <w:r w:rsidRPr="00EA06E7">
        <w:t xml:space="preserve"> regulated entity undertaking internal dispute resolution in dealing with a complaint must give a statement of compliance to the complainant within </w:t>
      </w:r>
      <w:r w:rsidR="00E0283A">
        <w:t>21</w:t>
      </w:r>
      <w:r w:rsidR="00E0283A" w:rsidRPr="00EA06E7">
        <w:t xml:space="preserve"> </w:t>
      </w:r>
      <w:r w:rsidRPr="00EA06E7">
        <w:t>calendar days after the complaint is received by the regulated entity.</w:t>
      </w:r>
    </w:p>
    <w:p w14:paraId="060DBA98" w14:textId="3E4E51E0" w:rsidR="00DB17DD" w:rsidRPr="008E49F2" w:rsidRDefault="00DB17DD" w:rsidP="00A90582">
      <w:pPr>
        <w:pStyle w:val="base-text-paragraph"/>
        <w:ind w:left="0"/>
        <w:rPr>
          <w:i/>
          <w:iCs/>
        </w:rPr>
      </w:pPr>
      <w:r>
        <w:rPr>
          <w:i/>
          <w:iCs/>
        </w:rPr>
        <w:t xml:space="preserve">Delay notification </w:t>
      </w:r>
    </w:p>
    <w:p w14:paraId="29E1A8E9" w14:textId="58B4C4A9" w:rsidR="00EA06E7" w:rsidRDefault="00EA06E7" w:rsidP="00A90582">
      <w:pPr>
        <w:pStyle w:val="base-text-paragraph"/>
        <w:ind w:left="0"/>
      </w:pPr>
      <w:r w:rsidRPr="00EA06E7">
        <w:t xml:space="preserve">In circumstances where the regulated entity cannot reasonably </w:t>
      </w:r>
      <w:r>
        <w:t xml:space="preserve">achieve this within </w:t>
      </w:r>
      <w:r w:rsidR="00BC5BAE">
        <w:t xml:space="preserve">the </w:t>
      </w:r>
      <w:r w:rsidR="00E0283A">
        <w:t>21</w:t>
      </w:r>
      <w:r w:rsidR="00A623ED">
        <w:t>-</w:t>
      </w:r>
      <w:r w:rsidR="00BC5BAE">
        <w:t>day</w:t>
      </w:r>
      <w:r>
        <w:t xml:space="preserve"> timeframe,</w:t>
      </w:r>
      <w:r w:rsidRPr="00EA06E7">
        <w:t xml:space="preserve"> the regulated entity </w:t>
      </w:r>
      <w:r w:rsidR="00E0283A">
        <w:t>must</w:t>
      </w:r>
      <w:r w:rsidR="00E0283A" w:rsidRPr="00EA06E7">
        <w:t xml:space="preserve"> </w:t>
      </w:r>
      <w:r w:rsidR="003C1514">
        <w:t>give the complainant</w:t>
      </w:r>
      <w:r w:rsidRPr="00EA06E7">
        <w:t>:</w:t>
      </w:r>
    </w:p>
    <w:p w14:paraId="476ECE31" w14:textId="14CB171D" w:rsidR="0041456D" w:rsidRDefault="00EA06E7" w:rsidP="0041456D">
      <w:pPr>
        <w:pStyle w:val="Bullet"/>
      </w:pPr>
      <w:r w:rsidRPr="00EA06E7">
        <w:t xml:space="preserve">written notice that sets out: </w:t>
      </w:r>
    </w:p>
    <w:p w14:paraId="15FF018F" w14:textId="77777777" w:rsidR="0041456D" w:rsidRDefault="00EA06E7" w:rsidP="0041456D">
      <w:pPr>
        <w:pStyle w:val="Dash"/>
      </w:pPr>
      <w:r w:rsidRPr="00EA06E7">
        <w:t xml:space="preserve">the reasons for the delay; and </w:t>
      </w:r>
    </w:p>
    <w:p w14:paraId="6415EB14" w14:textId="4E4273C0" w:rsidR="0041456D" w:rsidRDefault="00EA06E7" w:rsidP="0041456D">
      <w:pPr>
        <w:pStyle w:val="Dash"/>
      </w:pPr>
      <w:r w:rsidRPr="00EA06E7">
        <w:t xml:space="preserve">a summary of the complainant’s rights under the SPF EDR scheme authorised for the entity’s regulated sector and how the complainant may access the scheme; and </w:t>
      </w:r>
    </w:p>
    <w:p w14:paraId="51080D5C" w14:textId="1372F5A2" w:rsidR="00755F8B" w:rsidRDefault="000E5150" w:rsidP="0041456D">
      <w:pPr>
        <w:pStyle w:val="Dash"/>
      </w:pPr>
      <w:r>
        <w:t xml:space="preserve">the reasonable time by which the </w:t>
      </w:r>
      <w:r w:rsidR="00421B0A">
        <w:t>entity will provide the statement of compliance; and</w:t>
      </w:r>
    </w:p>
    <w:p w14:paraId="71A8659D" w14:textId="687EED2E" w:rsidR="00AA3951" w:rsidRDefault="00EA06E7" w:rsidP="0041456D">
      <w:pPr>
        <w:pStyle w:val="Bullet"/>
      </w:pPr>
      <w:r w:rsidRPr="00EA06E7">
        <w:t xml:space="preserve">a statement of compliance within </w:t>
      </w:r>
      <w:r w:rsidR="00401051">
        <w:t>th</w:t>
      </w:r>
      <w:r w:rsidR="00F61DDF">
        <w:t>at</w:t>
      </w:r>
      <w:r w:rsidR="00401051">
        <w:t xml:space="preserve"> reasonable time</w:t>
      </w:r>
      <w:r w:rsidRPr="00EA06E7">
        <w:t>.</w:t>
      </w:r>
    </w:p>
    <w:p w14:paraId="4FBB864F" w14:textId="262A3748" w:rsidR="00450738" w:rsidRDefault="00F61DDF" w:rsidP="00401051">
      <w:pPr>
        <w:pStyle w:val="Bullet"/>
        <w:numPr>
          <w:ilvl w:val="0"/>
          <w:numId w:val="0"/>
        </w:numPr>
      </w:pPr>
      <w:r>
        <w:t>Delayed notification</w:t>
      </w:r>
      <w:r w:rsidR="00450738">
        <w:t xml:space="preserve"> may apply in circumstances </w:t>
      </w:r>
      <w:r w:rsidR="00B3296D">
        <w:t>where</w:t>
      </w:r>
      <w:r w:rsidR="00401051">
        <w:t xml:space="preserve"> </w:t>
      </w:r>
      <w:r w:rsidR="00401051" w:rsidRPr="00450738">
        <w:t>resolution of the complaint is particularly complex</w:t>
      </w:r>
      <w:r w:rsidR="00401051">
        <w:t>, involving</w:t>
      </w:r>
      <w:r w:rsidR="00450738" w:rsidRPr="00450738">
        <w:t xml:space="preserve"> a transaction or event that requires reconstruction of account information</w:t>
      </w:r>
      <w:r w:rsidR="00401051">
        <w:t>.</w:t>
      </w:r>
    </w:p>
    <w:p w14:paraId="0615A03E" w14:textId="1F653231" w:rsidR="00F41106" w:rsidRDefault="009A34E0" w:rsidP="00F71A51">
      <w:pPr>
        <w:pStyle w:val="Bullet"/>
        <w:numPr>
          <w:ilvl w:val="0"/>
          <w:numId w:val="0"/>
        </w:numPr>
      </w:pPr>
      <w:r>
        <w:t>A</w:t>
      </w:r>
      <w:r w:rsidR="00C11BF1">
        <w:t xml:space="preserve"> notice </w:t>
      </w:r>
      <w:r w:rsidR="00E0283A">
        <w:t>alerting a complainant to a</w:t>
      </w:r>
      <w:r w:rsidR="00C11BF1">
        <w:t xml:space="preserve"> delay </w:t>
      </w:r>
      <w:r w:rsidR="00E84455">
        <w:t xml:space="preserve">in providing </w:t>
      </w:r>
      <w:r w:rsidR="00E0283A">
        <w:t>a</w:t>
      </w:r>
      <w:r w:rsidR="00E84455">
        <w:t xml:space="preserve"> statement of compliance </w:t>
      </w:r>
      <w:r w:rsidR="00791B92">
        <w:t>cannot be used as a substitute</w:t>
      </w:r>
      <w:r w:rsidR="00E0283A">
        <w:t xml:space="preserve"> </w:t>
      </w:r>
      <w:r w:rsidR="00791B92">
        <w:t>for</w:t>
      </w:r>
      <w:r w:rsidR="00E0283A">
        <w:t xml:space="preserve"> provid</w:t>
      </w:r>
      <w:r w:rsidR="00791B92">
        <w:t>ing</w:t>
      </w:r>
      <w:r w:rsidR="00E0283A">
        <w:t xml:space="preserve"> the statement</w:t>
      </w:r>
      <w:r w:rsidR="00791B92">
        <w:t xml:space="preserve"> itself</w:t>
      </w:r>
      <w:r w:rsidR="00E84455">
        <w:t xml:space="preserve">. </w:t>
      </w:r>
    </w:p>
    <w:p w14:paraId="7A1450D6" w14:textId="55838DFC" w:rsidR="00FF47C3" w:rsidRPr="008E49F2" w:rsidRDefault="00FF47C3" w:rsidP="00F71A51">
      <w:pPr>
        <w:pStyle w:val="Bullet"/>
        <w:numPr>
          <w:ilvl w:val="0"/>
          <w:numId w:val="0"/>
        </w:numPr>
        <w:rPr>
          <w:i/>
          <w:iCs/>
        </w:rPr>
      </w:pPr>
      <w:r>
        <w:rPr>
          <w:i/>
          <w:iCs/>
        </w:rPr>
        <w:t xml:space="preserve">Short statement of compliance </w:t>
      </w:r>
    </w:p>
    <w:p w14:paraId="61D77BC0" w14:textId="29A6FBC6" w:rsidR="00F71A51" w:rsidRDefault="00401051" w:rsidP="00F71A51">
      <w:pPr>
        <w:pStyle w:val="Bullet"/>
        <w:numPr>
          <w:ilvl w:val="0"/>
          <w:numId w:val="0"/>
        </w:numPr>
      </w:pPr>
      <w:r>
        <w:t>S</w:t>
      </w:r>
      <w:r w:rsidR="00F71A51">
        <w:t xml:space="preserve">hort statements of compliance must be given to the complainant within </w:t>
      </w:r>
      <w:r w:rsidR="00F71A51" w:rsidRPr="008A3AB3">
        <w:t>5 business days of the regulated entity being satisfied that the complaint has been resolved to the satisfaction of the complainant</w:t>
      </w:r>
      <w:r w:rsidR="00F71A51">
        <w:t xml:space="preserve">. If the complainant requests a further full statement of compliance, this must be provided within </w:t>
      </w:r>
      <w:r w:rsidR="00070D6A">
        <w:t>21</w:t>
      </w:r>
      <w:r w:rsidR="00070D6A" w:rsidRPr="00980FF9">
        <w:t xml:space="preserve"> </w:t>
      </w:r>
      <w:r w:rsidR="00F71A51" w:rsidRPr="00980FF9">
        <w:t>calendar days after th</w:t>
      </w:r>
      <w:r>
        <w:t>at</w:t>
      </w:r>
      <w:r w:rsidR="00F71A51" w:rsidRPr="00980FF9">
        <w:t xml:space="preserve"> request.</w:t>
      </w:r>
    </w:p>
    <w:p w14:paraId="2F2FD17E" w14:textId="2DA882DC" w:rsidR="004E4CC6" w:rsidRPr="0080130F" w:rsidRDefault="004E4CC6" w:rsidP="00F71A51">
      <w:pPr>
        <w:pStyle w:val="Bullet"/>
        <w:numPr>
          <w:ilvl w:val="0"/>
          <w:numId w:val="0"/>
        </w:numPr>
        <w:rPr>
          <w:i/>
          <w:szCs w:val="24"/>
        </w:rPr>
      </w:pPr>
      <w:r w:rsidRPr="0080130F">
        <w:rPr>
          <w:i/>
          <w:szCs w:val="24"/>
        </w:rPr>
        <w:t xml:space="preserve">Manner and form of statement of compliance </w:t>
      </w:r>
    </w:p>
    <w:p w14:paraId="4A8BC293" w14:textId="199C78D0" w:rsidR="00F71A51" w:rsidRDefault="004E4CC6" w:rsidP="00171022">
      <w:pPr>
        <w:pStyle w:val="Bullet"/>
        <w:numPr>
          <w:ilvl w:val="0"/>
          <w:numId w:val="0"/>
        </w:numPr>
      </w:pPr>
      <w:r w:rsidRPr="004E4CC6">
        <w:t xml:space="preserve">A statement of compliance must be given in writing and be easy to understand including by a person with a disability, from a cultural or linguistically diverse background, or with other </w:t>
      </w:r>
      <w:r w:rsidR="00AF63C1">
        <w:t>special</w:t>
      </w:r>
      <w:r w:rsidR="00401051">
        <w:t xml:space="preserve"> </w:t>
      </w:r>
      <w:r w:rsidRPr="004E4CC6">
        <w:t>needs.</w:t>
      </w:r>
    </w:p>
    <w:p w14:paraId="2AFA5E3C" w14:textId="05463693" w:rsidR="00A90582" w:rsidRDefault="00A90582" w:rsidP="00A90582">
      <w:pPr>
        <w:pStyle w:val="base-text-paragraph"/>
        <w:ind w:left="0"/>
      </w:pPr>
      <w:r>
        <w:t>Specifying the manner, form, timing and required information for statements of compliance ensures that the statement:</w:t>
      </w:r>
    </w:p>
    <w:p w14:paraId="5F447C39" w14:textId="207C0C61" w:rsidR="00A90582" w:rsidRDefault="00A90582" w:rsidP="00A90582">
      <w:pPr>
        <w:pStyle w:val="Bullet"/>
      </w:pPr>
      <w:r>
        <w:t xml:space="preserve">is provided in a timely manner and in a form that makes it easy </w:t>
      </w:r>
      <w:r w:rsidRPr="005614CB">
        <w:t xml:space="preserve">for a consumer to understand </w:t>
      </w:r>
      <w:r>
        <w:t>the</w:t>
      </w:r>
      <w:r w:rsidRPr="005614CB">
        <w:t xml:space="preserve"> regulated entity’s position in response to the complaint</w:t>
      </w:r>
      <w:r>
        <w:t xml:space="preserve"> and how that response reflects the entity’s compliance with its SPF obligations in relation to the complaint; and</w:t>
      </w:r>
    </w:p>
    <w:p w14:paraId="06B6876E" w14:textId="3C4085A5" w:rsidR="00A90582" w:rsidRDefault="00A90582" w:rsidP="00A90582">
      <w:pPr>
        <w:pStyle w:val="Bullet"/>
      </w:pPr>
      <w:r>
        <w:lastRenderedPageBreak/>
        <w:t>contains enough information to allow consumers to understand how their complaint was handled by the entity and to make an informed decision about</w:t>
      </w:r>
      <w:r w:rsidR="00F2769B">
        <w:t xml:space="preserve"> any further action the consumer may wish to take, such as escalating the complaint to external dispute resolution.</w:t>
      </w:r>
    </w:p>
    <w:p w14:paraId="6D5897FC" w14:textId="77777777" w:rsidR="009564E7" w:rsidRDefault="00D357AA" w:rsidP="00D357AA">
      <w:pPr>
        <w:spacing w:before="240"/>
        <w:rPr>
          <w:b/>
          <w:bCs/>
          <w:iCs/>
        </w:rPr>
      </w:pPr>
      <w:r>
        <w:rPr>
          <w:b/>
          <w:bCs/>
          <w:iCs/>
        </w:rPr>
        <w:t xml:space="preserve">Part 3 – Sector-specific provisions for the Scams Prevention Framework </w:t>
      </w:r>
    </w:p>
    <w:p w14:paraId="3E4920D3" w14:textId="79AA3B11" w:rsidR="001362CA" w:rsidRDefault="001362CA" w:rsidP="00D357AA">
      <w:pPr>
        <w:spacing w:before="240"/>
        <w:rPr>
          <w:b/>
          <w:bCs/>
          <w:iCs/>
        </w:rPr>
      </w:pPr>
      <w:r>
        <w:t xml:space="preserve">Part 3 contains provisions </w:t>
      </w:r>
      <w:r w:rsidR="005443F0">
        <w:t xml:space="preserve">that </w:t>
      </w:r>
      <w:r>
        <w:t xml:space="preserve">apply </w:t>
      </w:r>
      <w:r w:rsidR="000F3112">
        <w:t xml:space="preserve">specifically </w:t>
      </w:r>
      <w:r>
        <w:t xml:space="preserve">for </w:t>
      </w:r>
      <w:r w:rsidR="00E23555">
        <w:t xml:space="preserve">the </w:t>
      </w:r>
      <w:r w:rsidR="005443F0">
        <w:t>d</w:t>
      </w:r>
      <w:r>
        <w:t xml:space="preserve">igital </w:t>
      </w:r>
      <w:r w:rsidR="005443F0">
        <w:t>p</w:t>
      </w:r>
      <w:r>
        <w:t>latforms</w:t>
      </w:r>
      <w:r w:rsidR="003648F1">
        <w:t xml:space="preserve"> and</w:t>
      </w:r>
      <w:r w:rsidR="000F3112">
        <w:t xml:space="preserve"> banking </w:t>
      </w:r>
      <w:r>
        <w:t>sector</w:t>
      </w:r>
      <w:r w:rsidR="005443F0">
        <w:t>s</w:t>
      </w:r>
      <w:r w:rsidR="00557B5A">
        <w:t>.</w:t>
      </w:r>
    </w:p>
    <w:p w14:paraId="1DB09E44" w14:textId="16144D00" w:rsidR="00D357AA" w:rsidRPr="00251C64" w:rsidRDefault="00D357AA" w:rsidP="00D357AA">
      <w:pPr>
        <w:spacing w:before="240"/>
        <w:rPr>
          <w:u w:val="single"/>
        </w:rPr>
      </w:pPr>
      <w:r w:rsidRPr="003C5719">
        <w:rPr>
          <w:u w:val="single"/>
        </w:rPr>
        <w:t xml:space="preserve">Section </w:t>
      </w:r>
      <w:r w:rsidR="009564E7">
        <w:rPr>
          <w:u w:val="single"/>
        </w:rPr>
        <w:t>3-1</w:t>
      </w:r>
      <w:r w:rsidR="005443F0">
        <w:rPr>
          <w:u w:val="single"/>
        </w:rPr>
        <w:t xml:space="preserve"> –</w:t>
      </w:r>
      <w:r w:rsidRPr="003C5719">
        <w:rPr>
          <w:u w:val="single"/>
        </w:rPr>
        <w:t xml:space="preserve"> </w:t>
      </w:r>
      <w:r w:rsidR="009F43E2" w:rsidRPr="00251C64">
        <w:rPr>
          <w:u w:val="single"/>
        </w:rPr>
        <w:t>Digital platforms designation—</w:t>
      </w:r>
      <w:r w:rsidR="005443F0" w:rsidRPr="00251C64">
        <w:rPr>
          <w:u w:val="single"/>
        </w:rPr>
        <w:t>complete exceptions</w:t>
      </w:r>
    </w:p>
    <w:p w14:paraId="0768665E" w14:textId="0C0028D5" w:rsidR="009440DF" w:rsidRPr="001B15A4" w:rsidRDefault="00A01091" w:rsidP="00D357AA">
      <w:pPr>
        <w:spacing w:before="240"/>
      </w:pPr>
      <w:r w:rsidRPr="001B15A4">
        <w:t xml:space="preserve">This section </w:t>
      </w:r>
      <w:r w:rsidR="009702C7" w:rsidRPr="001B15A4">
        <w:t xml:space="preserve">sets out </w:t>
      </w:r>
      <w:r w:rsidR="005443F0">
        <w:t>circumstances in which a person is not a regulated entity, and a business or service is not a regulated service for the digital platform</w:t>
      </w:r>
      <w:r w:rsidR="00B50768">
        <w:t>s</w:t>
      </w:r>
      <w:r w:rsidR="005443F0">
        <w:t xml:space="preserve"> sector</w:t>
      </w:r>
      <w:r w:rsidR="005644A6" w:rsidRPr="001B15A4">
        <w:t xml:space="preserve">. </w:t>
      </w:r>
    </w:p>
    <w:p w14:paraId="0B74FD80" w14:textId="6D53A9A3" w:rsidR="00DF06C0" w:rsidRDefault="009440DF" w:rsidP="00B50768">
      <w:pPr>
        <w:spacing w:before="240"/>
      </w:pPr>
      <w:r w:rsidRPr="001B15A4">
        <w:t xml:space="preserve">For the purposes of </w:t>
      </w:r>
      <w:r w:rsidR="00B50768">
        <w:t>paragraph</w:t>
      </w:r>
      <w:r w:rsidR="00B50768" w:rsidRPr="001B15A4">
        <w:t xml:space="preserve"> </w:t>
      </w:r>
      <w:r w:rsidRPr="001B15A4">
        <w:t>58AD(4)</w:t>
      </w:r>
      <w:r w:rsidR="00B50768">
        <w:t>(a)</w:t>
      </w:r>
      <w:r w:rsidRPr="001B15A4">
        <w:t xml:space="preserve"> of the Act, </w:t>
      </w:r>
      <w:r w:rsidR="00B50768">
        <w:t xml:space="preserve">a person is not a regulated entity for the </w:t>
      </w:r>
      <w:r w:rsidR="00890278">
        <w:t xml:space="preserve">covered digital platform services </w:t>
      </w:r>
      <w:r w:rsidR="00B50768">
        <w:t>regulated sector, at a particular time, if the person does not meet the revenue test at that time.</w:t>
      </w:r>
    </w:p>
    <w:p w14:paraId="76545486" w14:textId="08EC3623" w:rsidR="00B50768" w:rsidRDefault="00B50768" w:rsidP="001B15A4">
      <w:pPr>
        <w:spacing w:before="240"/>
      </w:pPr>
      <w:r w:rsidRPr="003F716B">
        <w:t xml:space="preserve">For the purposes of </w:t>
      </w:r>
      <w:r>
        <w:t>paragraph</w:t>
      </w:r>
      <w:r w:rsidRPr="003F716B">
        <w:t xml:space="preserve"> 58AD(4)</w:t>
      </w:r>
      <w:r>
        <w:t>(b)</w:t>
      </w:r>
      <w:r w:rsidRPr="003F716B">
        <w:t xml:space="preserve"> of the Act, </w:t>
      </w:r>
      <w:r>
        <w:t xml:space="preserve">a service is not a regulated service of </w:t>
      </w:r>
      <w:r w:rsidR="00262F8D">
        <w:t>a person</w:t>
      </w:r>
      <w:r>
        <w:t xml:space="preserve"> for the </w:t>
      </w:r>
      <w:r w:rsidR="00890278">
        <w:t xml:space="preserve">covered digital platform services </w:t>
      </w:r>
      <w:r>
        <w:t xml:space="preserve">regulated sector, at a particular time, if the </w:t>
      </w:r>
      <w:r w:rsidR="00262F8D">
        <w:t>service</w:t>
      </w:r>
      <w:r>
        <w:t xml:space="preserve"> does not meet the </w:t>
      </w:r>
      <w:r w:rsidR="00262F8D">
        <w:t>active Australian user test</w:t>
      </w:r>
      <w:r>
        <w:t xml:space="preserve"> at that time.</w:t>
      </w:r>
    </w:p>
    <w:p w14:paraId="74CFE79C" w14:textId="22D393E3" w:rsidR="007B2D2D" w:rsidRPr="003C5719" w:rsidRDefault="00892B97" w:rsidP="001B15A4">
      <w:pPr>
        <w:spacing w:before="240"/>
      </w:pPr>
      <w:r>
        <w:t>Generally, an entity that provides a covered digital platform service is a regulated entity for the digital platform</w:t>
      </w:r>
      <w:r w:rsidR="00D047FA">
        <w:t>s</w:t>
      </w:r>
      <w:r>
        <w:t xml:space="preserve"> sector and the service is a regulated service for the entity. </w:t>
      </w:r>
      <w:r w:rsidR="001738D1">
        <w:t>However,</w:t>
      </w:r>
      <w:r w:rsidR="00551ACA">
        <w:t xml:space="preserve"> t</w:t>
      </w:r>
      <w:r w:rsidR="007B2D2D">
        <w:t>he</w:t>
      </w:r>
      <w:r w:rsidR="0002495E">
        <w:t>se</w:t>
      </w:r>
      <w:r w:rsidR="007B2D2D">
        <w:t xml:space="preserve"> provisions </w:t>
      </w:r>
      <w:r w:rsidR="0002495E">
        <w:t>have the</w:t>
      </w:r>
      <w:r w:rsidR="00D047FA">
        <w:t xml:space="preserve"> combined</w:t>
      </w:r>
      <w:r w:rsidR="0002495E">
        <w:t xml:space="preserve"> effect th</w:t>
      </w:r>
      <w:r w:rsidR="007B2D2D">
        <w:t>at a</w:t>
      </w:r>
      <w:r w:rsidR="00D047FA">
        <w:t xml:space="preserve">n entity will not be a regulated entity if its revenue is below the threshold </w:t>
      </w:r>
      <w:r w:rsidR="004F008C">
        <w:t xml:space="preserve">set out </w:t>
      </w:r>
      <w:r w:rsidR="00D047FA">
        <w:t>in the revenue test and a business or service will not be a regulated service if the number of users for that service is below</w:t>
      </w:r>
      <w:r w:rsidR="00FA6480">
        <w:t xml:space="preserve"> the </w:t>
      </w:r>
      <w:r w:rsidR="007B2D2D">
        <w:t>active Australian user test</w:t>
      </w:r>
      <w:r w:rsidR="00FA6480">
        <w:t>.</w:t>
      </w:r>
    </w:p>
    <w:p w14:paraId="193F7CB6" w14:textId="29DD3A84" w:rsidR="00262F8D" w:rsidRDefault="00FA6480" w:rsidP="003901D9">
      <w:pPr>
        <w:pStyle w:val="Bullet"/>
        <w:numPr>
          <w:ilvl w:val="0"/>
          <w:numId w:val="0"/>
        </w:numPr>
      </w:pPr>
      <w:r>
        <w:t xml:space="preserve">An entity will not be covered by the </w:t>
      </w:r>
      <w:r w:rsidR="00262F8D">
        <w:t>exceptions</w:t>
      </w:r>
      <w:r w:rsidR="00262F8D" w:rsidDel="00FA6480">
        <w:t xml:space="preserve"> </w:t>
      </w:r>
      <w:r w:rsidR="00915A65">
        <w:t xml:space="preserve">unless </w:t>
      </w:r>
      <w:r>
        <w:t>it</w:t>
      </w:r>
      <w:r w:rsidR="00262F8D" w:rsidDel="00915A65">
        <w:t xml:space="preserve"> </w:t>
      </w:r>
      <w:r w:rsidR="00262F8D">
        <w:t>give</w:t>
      </w:r>
      <w:r w:rsidR="00915A65">
        <w:t>s</w:t>
      </w:r>
      <w:r w:rsidR="00262F8D">
        <w:t xml:space="preserve"> the ACCC</w:t>
      </w:r>
      <w:r w:rsidR="002117A7">
        <w:t>, in response to a</w:t>
      </w:r>
      <w:r w:rsidR="00B22F9E">
        <w:t xml:space="preserve"> </w:t>
      </w:r>
      <w:r w:rsidR="00262F8D">
        <w:t xml:space="preserve">written </w:t>
      </w:r>
      <w:r w:rsidR="00A00BB4">
        <w:t xml:space="preserve">notice </w:t>
      </w:r>
      <w:r w:rsidR="00262F8D">
        <w:t xml:space="preserve">from the ACCC, </w:t>
      </w:r>
      <w:r w:rsidR="00B22F9E" w:rsidRPr="003901D9">
        <w:t xml:space="preserve">information or copies of </w:t>
      </w:r>
      <w:r w:rsidR="00EA74D2">
        <w:t xml:space="preserve">specified </w:t>
      </w:r>
      <w:r w:rsidR="00B22F9E" w:rsidRPr="003901D9">
        <w:t>documents that would reasonably assist the ACCC to determine whether, at a particular time</w:t>
      </w:r>
      <w:r w:rsidR="00B22F9E">
        <w:t>, the entity meets the revenue test or the service provided by the entity meets the active Australian user test.</w:t>
      </w:r>
    </w:p>
    <w:p w14:paraId="2E31B817" w14:textId="271AA5A2" w:rsidR="00B22F9E" w:rsidRDefault="00AE675C" w:rsidP="00AE675C">
      <w:pPr>
        <w:pStyle w:val="base-text-paragraph"/>
        <w:tabs>
          <w:tab w:val="clear" w:pos="1987"/>
          <w:tab w:val="num" w:pos="1984"/>
        </w:tabs>
        <w:ind w:left="0"/>
      </w:pPr>
      <w:r>
        <w:t xml:space="preserve">This requirement ensures the ACCC can obtain the information necessary to determine whether an entity meets the </w:t>
      </w:r>
      <w:r w:rsidR="00BE1E17">
        <w:t xml:space="preserve">relevant </w:t>
      </w:r>
      <w:r>
        <w:t>threshold</w:t>
      </w:r>
      <w:r w:rsidR="00E228A7">
        <w:t>s</w:t>
      </w:r>
      <w:r>
        <w:t xml:space="preserve">. </w:t>
      </w:r>
    </w:p>
    <w:p w14:paraId="75D22F7C" w14:textId="1BB489DB" w:rsidR="00AE675C" w:rsidRDefault="00557E8A" w:rsidP="00AE675C">
      <w:pPr>
        <w:pStyle w:val="base-text-paragraph"/>
        <w:tabs>
          <w:tab w:val="clear" w:pos="1987"/>
          <w:tab w:val="num" w:pos="1984"/>
        </w:tabs>
        <w:ind w:left="0"/>
      </w:pPr>
      <w:r>
        <w:t xml:space="preserve">Both </w:t>
      </w:r>
      <w:r w:rsidR="00F00B11">
        <w:t xml:space="preserve">the active Australian user and revenue </w:t>
      </w:r>
      <w:r>
        <w:t>tests need to be met for an entity to be within the scope of the SPF. A</w:t>
      </w:r>
      <w:r w:rsidR="00AE675C">
        <w:t>n</w:t>
      </w:r>
      <w:r w:rsidR="00AE675C" w:rsidRPr="00154801">
        <w:t xml:space="preserve"> entity that provides a regulated service and satisfies </w:t>
      </w:r>
      <w:r w:rsidR="00B22F9E">
        <w:t xml:space="preserve">the revenue and active Australian user tests </w:t>
      </w:r>
      <w:r w:rsidR="00AE675C" w:rsidRPr="00154801">
        <w:t xml:space="preserve">will still be subject to the SPF, regardless of whether the request for </w:t>
      </w:r>
      <w:r w:rsidR="00AE675C">
        <w:t>information</w:t>
      </w:r>
      <w:r w:rsidR="00AE675C" w:rsidRPr="00154801">
        <w:t xml:space="preserve"> has been </w:t>
      </w:r>
      <w:r w:rsidR="00AE675C">
        <w:t>complied with.</w:t>
      </w:r>
    </w:p>
    <w:p w14:paraId="48378A3A" w14:textId="2FAC7160" w:rsidR="00FC611B" w:rsidRDefault="00FC611B" w:rsidP="008F532C">
      <w:pPr>
        <w:spacing w:before="240"/>
        <w:rPr>
          <w:u w:val="single"/>
        </w:rPr>
      </w:pPr>
      <w:r>
        <w:rPr>
          <w:u w:val="single"/>
        </w:rPr>
        <w:t>Section 3-2 – Banking designation—complete exception</w:t>
      </w:r>
    </w:p>
    <w:p w14:paraId="28563578" w14:textId="4793EF8C" w:rsidR="00FC611B" w:rsidRDefault="00FC611B" w:rsidP="00424D64">
      <w:pPr>
        <w:spacing w:before="240"/>
      </w:pPr>
      <w:r>
        <w:t>This section provides a complete exception from being a regulated entity for the covered banking services regulated sector, if the person is a provider of purchased payment facilities.</w:t>
      </w:r>
    </w:p>
    <w:p w14:paraId="50283303" w14:textId="11ACED11" w:rsidR="00F41106" w:rsidRPr="00FC611B" w:rsidRDefault="00F41106" w:rsidP="008F532C">
      <w:pPr>
        <w:spacing w:before="240"/>
      </w:pPr>
      <w:r>
        <w:t xml:space="preserve">This </w:t>
      </w:r>
      <w:r w:rsidR="00692EB3">
        <w:t xml:space="preserve">recognises </w:t>
      </w:r>
      <w:r>
        <w:t>that</w:t>
      </w:r>
      <w:r w:rsidR="00C938BA">
        <w:t xml:space="preserve">, as </w:t>
      </w:r>
      <w:r>
        <w:t xml:space="preserve">the provision of purchased payment facilities is generally not considered to </w:t>
      </w:r>
      <w:r w:rsidR="005075C6">
        <w:t>be</w:t>
      </w:r>
      <w:r>
        <w:t xml:space="preserve"> “banking business” </w:t>
      </w:r>
      <w:r w:rsidR="00692EB3">
        <w:t xml:space="preserve">within the meaning of the </w:t>
      </w:r>
      <w:r w:rsidR="00692EB3" w:rsidRPr="00692EB3">
        <w:rPr>
          <w:i/>
          <w:iCs/>
        </w:rPr>
        <w:t>Banking Act 195</w:t>
      </w:r>
      <w:r w:rsidR="009E35B0">
        <w:rPr>
          <w:i/>
          <w:iCs/>
        </w:rPr>
        <w:t>9</w:t>
      </w:r>
      <w:r w:rsidR="00C938BA">
        <w:t xml:space="preserve">, it </w:t>
      </w:r>
      <w:r w:rsidR="00692EB3">
        <w:t xml:space="preserve">should </w:t>
      </w:r>
      <w:r w:rsidR="00C938BA">
        <w:t xml:space="preserve">similarly </w:t>
      </w:r>
      <w:r w:rsidR="00692EB3">
        <w:t xml:space="preserve">not be included as part of the banking services </w:t>
      </w:r>
      <w:r w:rsidR="00B927AF">
        <w:t xml:space="preserve">regulated </w:t>
      </w:r>
      <w:r w:rsidR="00692EB3">
        <w:t>sector for the purposes of the SPF.</w:t>
      </w:r>
    </w:p>
    <w:p w14:paraId="297F5E8C" w14:textId="61FFB825" w:rsidR="00D42929" w:rsidRPr="00454286" w:rsidRDefault="008F532C" w:rsidP="008F532C">
      <w:pPr>
        <w:spacing w:before="240"/>
        <w:rPr>
          <w:i/>
          <w:u w:val="single"/>
        </w:rPr>
      </w:pPr>
      <w:r w:rsidRPr="003C5719">
        <w:rPr>
          <w:u w:val="single"/>
        </w:rPr>
        <w:lastRenderedPageBreak/>
        <w:t xml:space="preserve">Section </w:t>
      </w:r>
      <w:r>
        <w:rPr>
          <w:u w:val="single"/>
        </w:rPr>
        <w:t>3-</w:t>
      </w:r>
      <w:r w:rsidR="00FC611B">
        <w:rPr>
          <w:u w:val="single"/>
        </w:rPr>
        <w:t>3</w:t>
      </w:r>
      <w:r w:rsidR="005B304A">
        <w:rPr>
          <w:u w:val="single"/>
        </w:rPr>
        <w:t>–</w:t>
      </w:r>
      <w:r>
        <w:rPr>
          <w:u w:val="single"/>
        </w:rPr>
        <w:t xml:space="preserve"> </w:t>
      </w:r>
      <w:r w:rsidRPr="00251C64">
        <w:rPr>
          <w:u w:val="single"/>
        </w:rPr>
        <w:t>SPF consumers of covered banking services</w:t>
      </w:r>
    </w:p>
    <w:p w14:paraId="5699DD1D" w14:textId="23C28556" w:rsidR="005B304A" w:rsidRDefault="005B304A" w:rsidP="008F532C">
      <w:pPr>
        <w:spacing w:before="240"/>
      </w:pPr>
      <w:r>
        <w:t>This section sets out circumstances in which a person is not an SPF consumer of covered banking services.</w:t>
      </w:r>
    </w:p>
    <w:p w14:paraId="6D49512D" w14:textId="2C4B5BEF" w:rsidR="00876071" w:rsidRPr="001B15A4" w:rsidRDefault="00321C12" w:rsidP="008F532C">
      <w:pPr>
        <w:spacing w:before="240"/>
      </w:pPr>
      <w:r w:rsidRPr="001B15A4">
        <w:t xml:space="preserve">For the purposes of subsection 58AH(4) of the Act, a person is not an SPF consumer of </w:t>
      </w:r>
      <w:r w:rsidR="009A2557" w:rsidRPr="001B15A4">
        <w:t xml:space="preserve">a covered banking </w:t>
      </w:r>
      <w:r w:rsidRPr="001B15A4">
        <w:t xml:space="preserve">service if: </w:t>
      </w:r>
    </w:p>
    <w:p w14:paraId="535E7193" w14:textId="2F962423" w:rsidR="00876071" w:rsidRDefault="00E14B5E" w:rsidP="00876071">
      <w:pPr>
        <w:pStyle w:val="Bullet"/>
      </w:pPr>
      <w:r w:rsidRPr="001B15A4">
        <w:t>the person is not</w:t>
      </w:r>
      <w:r>
        <w:t xml:space="preserve"> </w:t>
      </w:r>
      <w:r w:rsidR="00321C12">
        <w:t>p</w:t>
      </w:r>
      <w:r w:rsidR="00321C12" w:rsidRPr="00321C12">
        <w:t xml:space="preserve">rovided the service directly by a regulated entity; or  </w:t>
      </w:r>
    </w:p>
    <w:p w14:paraId="2D2E6D2B" w14:textId="549EE5DC" w:rsidR="00973E76" w:rsidRDefault="00321C12" w:rsidP="00171022">
      <w:pPr>
        <w:pStyle w:val="Bullet"/>
      </w:pPr>
      <w:r w:rsidRPr="00321C12">
        <w:t>if the person (the payer) transfers funds to an</w:t>
      </w:r>
      <w:r w:rsidR="005B304A">
        <w:t>other bank</w:t>
      </w:r>
      <w:r w:rsidRPr="00321C12">
        <w:t xml:space="preserve"> account or facility held by</w:t>
      </w:r>
      <w:r w:rsidR="005B304A">
        <w:t xml:space="preserve"> th</w:t>
      </w:r>
      <w:r w:rsidR="00973E76">
        <w:t>at</w:t>
      </w:r>
      <w:r w:rsidR="005B304A">
        <w:t xml:space="preserve"> person or </w:t>
      </w:r>
      <w:r w:rsidR="005B304A" w:rsidRPr="00321C12">
        <w:t>to a</w:t>
      </w:r>
      <w:r w:rsidR="005B304A">
        <w:t xml:space="preserve"> bank</w:t>
      </w:r>
      <w:r w:rsidR="005B304A" w:rsidRPr="00321C12">
        <w:t xml:space="preserve"> account or facility held by</w:t>
      </w:r>
      <w:r w:rsidRPr="00321C12">
        <w:t xml:space="preserve"> another person (the payee)—</w:t>
      </w:r>
      <w:r w:rsidR="00E14B5E" w:rsidRPr="001B15A4">
        <w:t>the person is not</w:t>
      </w:r>
      <w:r w:rsidR="00E14B5E" w:rsidRPr="00321C12">
        <w:t xml:space="preserve"> </w:t>
      </w:r>
      <w:r w:rsidRPr="00321C12">
        <w:t>provided the service indirectly by a regulated entity with which the payee holds the account or facility</w:t>
      </w:r>
      <w:r w:rsidR="00973E76">
        <w:t>; or</w:t>
      </w:r>
    </w:p>
    <w:p w14:paraId="38D9F5B3" w14:textId="1CE42CB3" w:rsidR="00321C12" w:rsidRDefault="00973E76" w:rsidP="00171022">
      <w:pPr>
        <w:pStyle w:val="Bullet"/>
      </w:pPr>
      <w:r w:rsidRPr="00321C12">
        <w:t>if the person (the paye</w:t>
      </w:r>
      <w:r>
        <w:t>e</w:t>
      </w:r>
      <w:r w:rsidRPr="00321C12">
        <w:t xml:space="preserve">) </w:t>
      </w:r>
      <w:r>
        <w:t>receives</w:t>
      </w:r>
      <w:r w:rsidRPr="00321C12">
        <w:t xml:space="preserve"> funds </w:t>
      </w:r>
      <w:r>
        <w:t>from</w:t>
      </w:r>
      <w:r w:rsidRPr="00321C12">
        <w:t xml:space="preserve"> an</w:t>
      </w:r>
      <w:r>
        <w:t>other bank</w:t>
      </w:r>
      <w:r w:rsidRPr="00321C12">
        <w:t xml:space="preserve"> account or facility held by</w:t>
      </w:r>
      <w:r>
        <w:t xml:space="preserve"> that person or from</w:t>
      </w:r>
      <w:r w:rsidRPr="00321C12">
        <w:t xml:space="preserve"> a</w:t>
      </w:r>
      <w:r>
        <w:t xml:space="preserve"> bank</w:t>
      </w:r>
      <w:r w:rsidRPr="00321C12">
        <w:t xml:space="preserve"> account or facility held by another person (the paye</w:t>
      </w:r>
      <w:r>
        <w:t>r</w:t>
      </w:r>
      <w:r w:rsidRPr="00321C12">
        <w:t>)—</w:t>
      </w:r>
      <w:r w:rsidR="00E14B5E" w:rsidRPr="001B15A4">
        <w:t>the person is not</w:t>
      </w:r>
      <w:r w:rsidR="00E14B5E" w:rsidRPr="00321C12">
        <w:t xml:space="preserve"> </w:t>
      </w:r>
      <w:r w:rsidRPr="00321C12">
        <w:t>provided the service indirectly by a regulated entity with which the paye</w:t>
      </w:r>
      <w:r>
        <w:t>r</w:t>
      </w:r>
      <w:r w:rsidRPr="00321C12">
        <w:t xml:space="preserve"> holds the account or facility</w:t>
      </w:r>
      <w:r w:rsidR="00321C12" w:rsidRPr="00321C12">
        <w:t>.</w:t>
      </w:r>
    </w:p>
    <w:p w14:paraId="720DBDEA" w14:textId="4450FCDC" w:rsidR="005F77F5" w:rsidRDefault="005F77F5" w:rsidP="001B15A4">
      <w:pPr>
        <w:spacing w:before="240"/>
      </w:pPr>
      <w:r>
        <w:t xml:space="preserve">In practice, this means that a person is only an SPF consumer </w:t>
      </w:r>
      <w:r w:rsidR="00693146">
        <w:t>of</w:t>
      </w:r>
      <w:r>
        <w:t xml:space="preserve"> a covered banking service </w:t>
      </w:r>
      <w:r w:rsidR="00693146">
        <w:t>if</w:t>
      </w:r>
      <w:r>
        <w:t xml:space="preserve"> they are </w:t>
      </w:r>
      <w:r w:rsidR="00693146">
        <w:t xml:space="preserve">themselves </w:t>
      </w:r>
      <w:r>
        <w:t>a customer of the covered banking service, or if they are making a payment to</w:t>
      </w:r>
      <w:r w:rsidR="00693146">
        <w:t>, or receiving a payment</w:t>
      </w:r>
      <w:r>
        <w:t xml:space="preserve"> </w:t>
      </w:r>
      <w:r w:rsidR="00693146">
        <w:t xml:space="preserve">from, </w:t>
      </w:r>
      <w:r>
        <w:t>the covered banking service</w:t>
      </w:r>
      <w:r w:rsidR="00DE1A02">
        <w:t xml:space="preserve"> (</w:t>
      </w:r>
      <w:r w:rsidR="00270CFA">
        <w:t xml:space="preserve">that is, </w:t>
      </w:r>
      <w:r w:rsidR="00406776">
        <w:t>where the</w:t>
      </w:r>
      <w:r w:rsidR="00D24C98">
        <w:t xml:space="preserve">y are </w:t>
      </w:r>
      <w:r w:rsidR="00406776">
        <w:t xml:space="preserve">a customer of </w:t>
      </w:r>
      <w:r w:rsidR="000045BE">
        <w:t>the</w:t>
      </w:r>
      <w:r w:rsidR="00DE1A02">
        <w:t xml:space="preserve"> receiving bank)</w:t>
      </w:r>
      <w:r>
        <w:t xml:space="preserve">. </w:t>
      </w:r>
    </w:p>
    <w:p w14:paraId="669FF68E" w14:textId="69671CD9" w:rsidR="005F77F5" w:rsidRDefault="005F77F5" w:rsidP="005F77F5">
      <w:pPr>
        <w:spacing w:before="240"/>
      </w:pPr>
      <w:r>
        <w:t xml:space="preserve">A person is not an SPF </w:t>
      </w:r>
      <w:r w:rsidR="00F01AA4">
        <w:t>consumer</w:t>
      </w:r>
      <w:r>
        <w:t xml:space="preserve"> for a covered banking service where that covered banking service indirectly serves the person in other circumstances. This could include where </w:t>
      </w:r>
      <w:r w:rsidR="004F245E">
        <w:t xml:space="preserve">an ADI provides a </w:t>
      </w:r>
      <w:r>
        <w:t xml:space="preserve">covered banking service </w:t>
      </w:r>
      <w:r w:rsidR="004F245E">
        <w:t xml:space="preserve">in the form of </w:t>
      </w:r>
      <w:r>
        <w:t>payment infrastructure to support payments between payer and payee accounts</w:t>
      </w:r>
      <w:r w:rsidR="004F245E">
        <w:t xml:space="preserve"> that are held with two other ADIs</w:t>
      </w:r>
      <w:r>
        <w:t>. This has the effect of excluding business to business banking services from the SPF where they are not directly servicing a retail customer.</w:t>
      </w:r>
    </w:p>
    <w:p w14:paraId="3B0DCCD8" w14:textId="318B6CD7" w:rsidR="004E1259" w:rsidRDefault="004E1259" w:rsidP="005F77F5">
      <w:pPr>
        <w:spacing w:before="240"/>
      </w:pPr>
      <w:r w:rsidRPr="004E1259">
        <w:t>Where covered banking services are provided under a white labelling arrangement</w:t>
      </w:r>
      <w:r w:rsidR="00F1046C">
        <w:t xml:space="preserve"> with a non-ADI,</w:t>
      </w:r>
      <w:r w:rsidRPr="004E1259">
        <w:t xml:space="preserve"> the ADI is directly providing that</w:t>
      </w:r>
      <w:r w:rsidR="00B63E7F">
        <w:t xml:space="preserve"> covered banking</w:t>
      </w:r>
      <w:r w:rsidRPr="004E1259">
        <w:t xml:space="preserve"> service to </w:t>
      </w:r>
      <w:r w:rsidR="00B63E7F">
        <w:t xml:space="preserve">the </w:t>
      </w:r>
      <w:r w:rsidRPr="004E1259">
        <w:t xml:space="preserve">SPF consumer; therefore, that service is captured as a regulated service. </w:t>
      </w:r>
      <w:r w:rsidR="0048719F">
        <w:t>This includes, f</w:t>
      </w:r>
      <w:r w:rsidR="00993B0C">
        <w:t>or example,</w:t>
      </w:r>
      <w:r w:rsidRPr="004E1259">
        <w:t xml:space="preserve"> branded credit and debit cards </w:t>
      </w:r>
      <w:r w:rsidR="00993B0C">
        <w:t xml:space="preserve">where the </w:t>
      </w:r>
      <w:r w:rsidR="000D27D2">
        <w:t xml:space="preserve">contractual relationship for the covered banking service is </w:t>
      </w:r>
      <w:r w:rsidR="00082761">
        <w:t>between</w:t>
      </w:r>
      <w:r w:rsidR="000D27D2">
        <w:t xml:space="preserve"> </w:t>
      </w:r>
      <w:r w:rsidR="00404FD2">
        <w:t xml:space="preserve">an ADI and </w:t>
      </w:r>
      <w:r w:rsidR="000D27D2" w:rsidDel="00404FD2">
        <w:t xml:space="preserve">the </w:t>
      </w:r>
      <w:r w:rsidR="00082761">
        <w:t>customer</w:t>
      </w:r>
      <w:r w:rsidR="00404FD2">
        <w:t xml:space="preserve">, even </w:t>
      </w:r>
      <w:r w:rsidR="00F8652A">
        <w:t>if the customer facing service is white</w:t>
      </w:r>
      <w:r w:rsidR="00A2543D">
        <w:t xml:space="preserve"> </w:t>
      </w:r>
      <w:r w:rsidR="00634C7B">
        <w:t>la</w:t>
      </w:r>
      <w:r w:rsidR="00F8652A">
        <w:t>belled through another entity</w:t>
      </w:r>
      <w:r w:rsidRPr="004E1259">
        <w:t>. </w:t>
      </w:r>
    </w:p>
    <w:p w14:paraId="23BBEC29" w14:textId="318A835B" w:rsidR="005F77F5" w:rsidRPr="00251C64" w:rsidRDefault="005F77F5" w:rsidP="005F77F5">
      <w:pPr>
        <w:spacing w:before="240"/>
        <w:rPr>
          <w:i/>
          <w:szCs w:val="24"/>
        </w:rPr>
      </w:pPr>
      <w:r w:rsidRPr="00251C64">
        <w:rPr>
          <w:i/>
          <w:szCs w:val="24"/>
        </w:rPr>
        <w:t>Example 1</w:t>
      </w:r>
    </w:p>
    <w:p w14:paraId="4A7E0331" w14:textId="77777777" w:rsidR="005F77F5" w:rsidRPr="0080130F" w:rsidRDefault="005F77F5" w:rsidP="001B15A4">
      <w:pPr>
        <w:pStyle w:val="Bullet"/>
        <w:spacing w:before="0"/>
        <w:rPr>
          <w:szCs w:val="24"/>
        </w:rPr>
      </w:pPr>
      <w:r w:rsidRPr="0080130F">
        <w:rPr>
          <w:szCs w:val="24"/>
        </w:rPr>
        <w:t xml:space="preserve">Alfred is a customer of Credit Union A’s banking service, which is a covered banking service. </w:t>
      </w:r>
    </w:p>
    <w:p w14:paraId="5F4D5D52" w14:textId="77777777" w:rsidR="005F77F5" w:rsidRPr="0080130F" w:rsidRDefault="005F77F5" w:rsidP="001B15A4">
      <w:pPr>
        <w:pStyle w:val="Bullet"/>
        <w:spacing w:before="0"/>
        <w:rPr>
          <w:szCs w:val="24"/>
        </w:rPr>
      </w:pPr>
      <w:r w:rsidRPr="0080130F">
        <w:rPr>
          <w:szCs w:val="24"/>
        </w:rPr>
        <w:t xml:space="preserve">Alfred makes a payment to Piccolo, who is a customer of Credit Union B, a covered banking service. </w:t>
      </w:r>
    </w:p>
    <w:p w14:paraId="3601F7F1" w14:textId="77777777" w:rsidR="005F77F5" w:rsidRPr="0080130F" w:rsidRDefault="005F77F5" w:rsidP="001B15A4">
      <w:pPr>
        <w:pStyle w:val="Bullet"/>
        <w:spacing w:before="0"/>
        <w:rPr>
          <w:szCs w:val="24"/>
        </w:rPr>
      </w:pPr>
      <w:r w:rsidRPr="0080130F">
        <w:rPr>
          <w:szCs w:val="24"/>
        </w:rPr>
        <w:t xml:space="preserve">B2B Bank provides the necessary infrastructure to both Credit Union A and Credit Union B to connect to the payment system. </w:t>
      </w:r>
    </w:p>
    <w:p w14:paraId="0491BAA3" w14:textId="77777777" w:rsidR="005F77F5" w:rsidRPr="0080130F" w:rsidRDefault="005F77F5" w:rsidP="001B15A4">
      <w:pPr>
        <w:pStyle w:val="Bullet"/>
        <w:spacing w:before="0"/>
        <w:rPr>
          <w:szCs w:val="24"/>
        </w:rPr>
      </w:pPr>
      <w:r w:rsidRPr="0080130F">
        <w:rPr>
          <w:szCs w:val="24"/>
        </w:rPr>
        <w:t>While B2B Bank is a covered banking service, neither Alfred nor Piccolo are customers of B2B Bank.</w:t>
      </w:r>
    </w:p>
    <w:p w14:paraId="65B1A9C6" w14:textId="5637B15C" w:rsidR="005F77F5" w:rsidRPr="0080130F" w:rsidRDefault="005F77F5" w:rsidP="001B15A4">
      <w:pPr>
        <w:pStyle w:val="Bullet"/>
        <w:spacing w:before="0"/>
        <w:rPr>
          <w:szCs w:val="24"/>
        </w:rPr>
      </w:pPr>
      <w:r w:rsidRPr="0080130F">
        <w:rPr>
          <w:szCs w:val="24"/>
        </w:rPr>
        <w:lastRenderedPageBreak/>
        <w:t>Alfred and Piccolo are both SPF consumers to Credit Union A and Credit Union B but are not SPF consumers to B2B Bank.</w:t>
      </w:r>
    </w:p>
    <w:p w14:paraId="6BCAF15C" w14:textId="77777777" w:rsidR="005F77F5" w:rsidRPr="0080130F" w:rsidRDefault="005F77F5" w:rsidP="001B15A4">
      <w:pPr>
        <w:pStyle w:val="Bullet"/>
        <w:spacing w:before="0"/>
        <w:rPr>
          <w:szCs w:val="24"/>
        </w:rPr>
      </w:pPr>
      <w:r w:rsidRPr="0080130F">
        <w:rPr>
          <w:szCs w:val="24"/>
        </w:rPr>
        <w:t>As B2B Bank is not providing a service to an SPF consumer, it is not a regulated entity in this scenario.</w:t>
      </w:r>
    </w:p>
    <w:p w14:paraId="6AA2928F" w14:textId="108DDBE6" w:rsidR="005F77F5" w:rsidRPr="00251C64" w:rsidRDefault="005F77F5" w:rsidP="005F77F5">
      <w:pPr>
        <w:spacing w:before="240"/>
        <w:rPr>
          <w:i/>
          <w:szCs w:val="24"/>
        </w:rPr>
      </w:pPr>
      <w:r w:rsidRPr="00251C64">
        <w:rPr>
          <w:i/>
          <w:szCs w:val="24"/>
        </w:rPr>
        <w:t>Example 2</w:t>
      </w:r>
    </w:p>
    <w:p w14:paraId="172A80B1" w14:textId="77777777" w:rsidR="005F77F5" w:rsidRPr="0080130F" w:rsidRDefault="005F77F5" w:rsidP="001B15A4">
      <w:pPr>
        <w:pStyle w:val="Bullet"/>
        <w:spacing w:before="0"/>
        <w:rPr>
          <w:szCs w:val="24"/>
        </w:rPr>
      </w:pPr>
      <w:r w:rsidRPr="0080130F">
        <w:rPr>
          <w:szCs w:val="24"/>
        </w:rPr>
        <w:t xml:space="preserve">Payment Provider 1, who is not an ADI and does not provide covered banking services, uses Credit Union A's business banking facilities to hold the backing money for its travel money debit cards. </w:t>
      </w:r>
    </w:p>
    <w:p w14:paraId="5497BA00" w14:textId="77777777" w:rsidR="005F77F5" w:rsidRPr="0080130F" w:rsidRDefault="005F77F5" w:rsidP="001B15A4">
      <w:pPr>
        <w:pStyle w:val="Bullet"/>
        <w:spacing w:before="0"/>
        <w:rPr>
          <w:szCs w:val="24"/>
        </w:rPr>
      </w:pPr>
      <w:r w:rsidRPr="0080130F">
        <w:rPr>
          <w:szCs w:val="24"/>
        </w:rPr>
        <w:t>Lucy uses Payment Provider 1's travel money card to pay for purchases while travelling. She does not have a direct relationship with Credit Union A so is not a SPF consumer of a regulated entity.</w:t>
      </w:r>
    </w:p>
    <w:p w14:paraId="5588F2A1" w14:textId="77777777" w:rsidR="002B3898" w:rsidRPr="0080130F" w:rsidRDefault="008F532C" w:rsidP="005A6C6F">
      <w:pPr>
        <w:keepNext/>
        <w:keepLines/>
        <w:spacing w:before="240"/>
        <w:rPr>
          <w:b/>
          <w:szCs w:val="24"/>
        </w:rPr>
      </w:pPr>
      <w:r w:rsidRPr="0080130F">
        <w:rPr>
          <w:b/>
          <w:szCs w:val="24"/>
        </w:rPr>
        <w:t xml:space="preserve">Part 7 – Miscellaneous  </w:t>
      </w:r>
    </w:p>
    <w:p w14:paraId="215F56D7" w14:textId="513E0C03" w:rsidR="002B3898" w:rsidRPr="00366287" w:rsidRDefault="002B3898" w:rsidP="005A6C6F">
      <w:pPr>
        <w:keepNext/>
        <w:keepLines/>
        <w:spacing w:before="240"/>
        <w:rPr>
          <w:u w:val="single"/>
        </w:rPr>
      </w:pPr>
      <w:r w:rsidRPr="00366287">
        <w:rPr>
          <w:u w:val="single"/>
        </w:rPr>
        <w:t xml:space="preserve">Section </w:t>
      </w:r>
      <w:r w:rsidR="00951127" w:rsidRPr="00366287">
        <w:rPr>
          <w:u w:val="single"/>
        </w:rPr>
        <w:t>7-1</w:t>
      </w:r>
      <w:r w:rsidR="00CB5AC3" w:rsidRPr="00366287">
        <w:rPr>
          <w:u w:val="single"/>
        </w:rPr>
        <w:t xml:space="preserve"> – </w:t>
      </w:r>
      <w:r w:rsidRPr="00366287">
        <w:rPr>
          <w:u w:val="single"/>
        </w:rPr>
        <w:t>Record</w:t>
      </w:r>
      <w:r w:rsidR="00CB5AC3" w:rsidRPr="00366287">
        <w:rPr>
          <w:u w:val="single"/>
        </w:rPr>
        <w:t xml:space="preserve"> keeping</w:t>
      </w:r>
    </w:p>
    <w:p w14:paraId="7330D0B3" w14:textId="22311DB0" w:rsidR="00E1122C" w:rsidRDefault="002B3898" w:rsidP="002B3898">
      <w:pPr>
        <w:pStyle w:val="base-text-paragraph"/>
        <w:tabs>
          <w:tab w:val="clear" w:pos="1987"/>
          <w:tab w:val="num" w:pos="1984"/>
          <w:tab w:val="left" w:pos="2977"/>
        </w:tabs>
        <w:ind w:left="0"/>
      </w:pPr>
      <w:r>
        <w:t xml:space="preserve">This section requires records of </w:t>
      </w:r>
      <w:r w:rsidR="00E1122C">
        <w:t xml:space="preserve">any </w:t>
      </w:r>
      <w:r>
        <w:t xml:space="preserve">information </w:t>
      </w:r>
      <w:r w:rsidR="00E1122C">
        <w:t xml:space="preserve">that must be kept by a regulated entity </w:t>
      </w:r>
      <w:r>
        <w:t xml:space="preserve">under </w:t>
      </w:r>
      <w:r w:rsidR="00F86AD5" w:rsidRPr="00F86AD5">
        <w:t xml:space="preserve">Part IVF of the Act or any other provision of the Act to the extent that it relates to a provision of </w:t>
      </w:r>
      <w:r w:rsidR="00E1122C">
        <w:t xml:space="preserve">that </w:t>
      </w:r>
      <w:r w:rsidR="00F86AD5" w:rsidRPr="00F86AD5">
        <w:t>Part</w:t>
      </w:r>
      <w:r w:rsidR="00E1122C">
        <w:t>, the SPF codes or SPF rules to be:</w:t>
      </w:r>
    </w:p>
    <w:p w14:paraId="619334AB" w14:textId="06FBF370" w:rsidR="002B3898" w:rsidRDefault="00E1122C" w:rsidP="00E1122C">
      <w:pPr>
        <w:pStyle w:val="Bullet"/>
      </w:pPr>
      <w:r>
        <w:t xml:space="preserve">in English, or </w:t>
      </w:r>
      <w:r w:rsidR="008218D9">
        <w:t xml:space="preserve">readily accessible and easily convertible into </w:t>
      </w:r>
      <w:proofErr w:type="gramStart"/>
      <w:r w:rsidR="008218D9">
        <w:t>English;</w:t>
      </w:r>
      <w:proofErr w:type="gramEnd"/>
    </w:p>
    <w:p w14:paraId="03EC4420" w14:textId="5B35A756" w:rsidR="008218D9" w:rsidRDefault="008218D9" w:rsidP="00E1122C">
      <w:pPr>
        <w:pStyle w:val="Bullet"/>
      </w:pPr>
      <w:r>
        <w:t xml:space="preserve">kept in Australia, or easily and electronically accessible from </w:t>
      </w:r>
      <w:proofErr w:type="gramStart"/>
      <w:r>
        <w:t>Australia;</w:t>
      </w:r>
      <w:proofErr w:type="gramEnd"/>
    </w:p>
    <w:p w14:paraId="78EBAA02" w14:textId="4E6F3653" w:rsidR="008218D9" w:rsidRPr="0054793F" w:rsidRDefault="008218D9" w:rsidP="001B15A4">
      <w:pPr>
        <w:pStyle w:val="Bullet"/>
      </w:pPr>
      <w:r>
        <w:t>retained for 6 years after the relevant activity or transaction happens.</w:t>
      </w:r>
    </w:p>
    <w:p w14:paraId="675877A9" w14:textId="77777777" w:rsidR="002B3898" w:rsidRDefault="002B3898" w:rsidP="002B3898">
      <w:pPr>
        <w:pStyle w:val="base-text-paragraph"/>
        <w:ind w:left="0"/>
      </w:pPr>
      <w:r>
        <w:t>This</w:t>
      </w:r>
      <w:r w:rsidRPr="004B55CB">
        <w:t xml:space="preserve"> requirement to keep records of information in Australia is important to provide effective oversight of the </w:t>
      </w:r>
      <w:r>
        <w:t xml:space="preserve">SPF </w:t>
      </w:r>
      <w:r w:rsidRPr="004B55CB">
        <w:t xml:space="preserve">regime. </w:t>
      </w:r>
      <w:r>
        <w:t xml:space="preserve">By helping to overcome extraterritoriality challenges in enforcing obligations, it </w:t>
      </w:r>
      <w:r w:rsidRPr="004B55CB">
        <w:t>promote</w:t>
      </w:r>
      <w:r>
        <w:t>s</w:t>
      </w:r>
      <w:r w:rsidRPr="004B55CB">
        <w:t xml:space="preserve"> more effective enforcement outcomes</w:t>
      </w:r>
      <w:r>
        <w:t xml:space="preserve"> and </w:t>
      </w:r>
      <w:r w:rsidRPr="004B55CB">
        <w:t>enable</w:t>
      </w:r>
      <w:r>
        <w:t>s</w:t>
      </w:r>
      <w:r w:rsidRPr="004B55CB">
        <w:t xml:space="preserve"> regulators to </w:t>
      </w:r>
      <w:r>
        <w:t xml:space="preserve">effectively </w:t>
      </w:r>
      <w:r w:rsidRPr="004B55CB">
        <w:t>monitor compliance and support consumer protection</w:t>
      </w:r>
      <w:r>
        <w:t>.</w:t>
      </w:r>
    </w:p>
    <w:p w14:paraId="474D33DA" w14:textId="1A75454F" w:rsidR="00353771" w:rsidRPr="00366287" w:rsidRDefault="00353771" w:rsidP="00353771">
      <w:pPr>
        <w:spacing w:before="240"/>
        <w:rPr>
          <w:u w:val="single"/>
        </w:rPr>
      </w:pPr>
      <w:r w:rsidRPr="00366287">
        <w:rPr>
          <w:u w:val="single"/>
        </w:rPr>
        <w:t>Section 7-</w:t>
      </w:r>
      <w:r w:rsidR="00B37FBA" w:rsidRPr="00366287">
        <w:rPr>
          <w:u w:val="single"/>
        </w:rPr>
        <w:t>2</w:t>
      </w:r>
      <w:r w:rsidR="00CB5AC3" w:rsidRPr="00366287">
        <w:rPr>
          <w:u w:val="single"/>
        </w:rPr>
        <w:t xml:space="preserve"> – </w:t>
      </w:r>
      <w:r w:rsidR="00764853" w:rsidRPr="00366287">
        <w:rPr>
          <w:u w:val="single"/>
        </w:rPr>
        <w:t xml:space="preserve">Translation of </w:t>
      </w:r>
      <w:r w:rsidR="00617430" w:rsidRPr="00366287">
        <w:rPr>
          <w:u w:val="single"/>
        </w:rPr>
        <w:t>a</w:t>
      </w:r>
      <w:r w:rsidR="00764853" w:rsidRPr="00366287">
        <w:rPr>
          <w:u w:val="single"/>
        </w:rPr>
        <w:t>mounts into Australian currency</w:t>
      </w:r>
    </w:p>
    <w:p w14:paraId="243888A6" w14:textId="6BEF13C4" w:rsidR="008F532C" w:rsidRDefault="004C1404" w:rsidP="008F532C">
      <w:pPr>
        <w:spacing w:before="240"/>
      </w:pPr>
      <w:r>
        <w:rPr>
          <w:iCs/>
        </w:rPr>
        <w:t xml:space="preserve">This section requires </w:t>
      </w:r>
      <w:r w:rsidR="00741017">
        <w:rPr>
          <w:iCs/>
        </w:rPr>
        <w:t xml:space="preserve">an amount </w:t>
      </w:r>
      <w:r w:rsidR="00C109FB">
        <w:rPr>
          <w:iCs/>
        </w:rPr>
        <w:t>that is expressed in foreign currency to be translated into Australian currency</w:t>
      </w:r>
      <w:r w:rsidR="00C74B3B">
        <w:rPr>
          <w:iCs/>
        </w:rPr>
        <w:t xml:space="preserve"> for the purposes of this </w:t>
      </w:r>
      <w:r w:rsidR="00C83C14">
        <w:rPr>
          <w:iCs/>
        </w:rPr>
        <w:t>I</w:t>
      </w:r>
      <w:r w:rsidR="00C74B3B">
        <w:rPr>
          <w:iCs/>
        </w:rPr>
        <w:t>nstrument</w:t>
      </w:r>
      <w:r w:rsidR="00C109FB">
        <w:rPr>
          <w:iCs/>
        </w:rPr>
        <w:t xml:space="preserve">. </w:t>
      </w:r>
      <w:r w:rsidR="00C74B3B">
        <w:rPr>
          <w:iCs/>
        </w:rPr>
        <w:t>For example, w</w:t>
      </w:r>
      <w:r w:rsidR="00C74B3B" w:rsidRPr="00C74B3B">
        <w:rPr>
          <w:iCs/>
        </w:rPr>
        <w:t>here the accounting records and financial reports of an entity are expressed in a foreign currency, the gross revenue of the entity will need to be translated into Australian currency before the tests are applied.</w:t>
      </w:r>
    </w:p>
    <w:p w14:paraId="4577A870" w14:textId="7FDC48BC" w:rsidR="00490622" w:rsidRPr="00171022" w:rsidRDefault="00490622" w:rsidP="008F532C">
      <w:pPr>
        <w:spacing w:before="240"/>
        <w:rPr>
          <w:i/>
        </w:rPr>
      </w:pPr>
      <w:r>
        <w:rPr>
          <w:i/>
        </w:rPr>
        <w:t>Translation in accordance with accounting standards</w:t>
      </w:r>
    </w:p>
    <w:p w14:paraId="1002943A" w14:textId="63AA8567" w:rsidR="00DE3069" w:rsidRDefault="00B22FE7" w:rsidP="008F532C">
      <w:pPr>
        <w:spacing w:before="240"/>
        <w:rPr>
          <w:iCs/>
        </w:rPr>
      </w:pPr>
      <w:r>
        <w:rPr>
          <w:iCs/>
        </w:rPr>
        <w:t xml:space="preserve">Where an entity wishes to translate an amount </w:t>
      </w:r>
      <w:r w:rsidR="008B4EDA">
        <w:rPr>
          <w:iCs/>
        </w:rPr>
        <w:t xml:space="preserve">using </w:t>
      </w:r>
      <w:r w:rsidR="00086F83">
        <w:rPr>
          <w:iCs/>
        </w:rPr>
        <w:t>an</w:t>
      </w:r>
      <w:r w:rsidR="008B4EDA">
        <w:rPr>
          <w:iCs/>
        </w:rPr>
        <w:t xml:space="preserve"> exchange</w:t>
      </w:r>
      <w:r w:rsidR="00365BBD">
        <w:rPr>
          <w:iCs/>
        </w:rPr>
        <w:t xml:space="preserve"> rate</w:t>
      </w:r>
      <w:r>
        <w:rPr>
          <w:iCs/>
        </w:rPr>
        <w:t xml:space="preserve"> </w:t>
      </w:r>
      <w:r w:rsidR="00E00933">
        <w:rPr>
          <w:iCs/>
        </w:rPr>
        <w:t>that</w:t>
      </w:r>
      <w:r w:rsidR="00365BBD">
        <w:rPr>
          <w:iCs/>
        </w:rPr>
        <w:t xml:space="preserve"> </w:t>
      </w:r>
      <w:r w:rsidR="004B02BE">
        <w:rPr>
          <w:iCs/>
        </w:rPr>
        <w:t>was used in</w:t>
      </w:r>
      <w:r w:rsidR="00DE3069">
        <w:rPr>
          <w:iCs/>
        </w:rPr>
        <w:t xml:space="preserve"> a financial report</w:t>
      </w:r>
      <w:r>
        <w:rPr>
          <w:iCs/>
        </w:rPr>
        <w:t xml:space="preserve"> </w:t>
      </w:r>
      <w:r w:rsidR="004B02BE">
        <w:rPr>
          <w:iCs/>
        </w:rPr>
        <w:t xml:space="preserve">prepared by the entity </w:t>
      </w:r>
      <w:r w:rsidR="00E00933">
        <w:rPr>
          <w:iCs/>
        </w:rPr>
        <w:t>that:</w:t>
      </w:r>
    </w:p>
    <w:p w14:paraId="2ECAE6A7" w14:textId="303641DB" w:rsidR="00E00933" w:rsidRDefault="00E00933" w:rsidP="00E00933">
      <w:pPr>
        <w:pStyle w:val="Bullet"/>
      </w:pPr>
      <w:r>
        <w:t>is prepared in accordance with accounting standard</w:t>
      </w:r>
      <w:r w:rsidR="00D45D16">
        <w:t>s</w:t>
      </w:r>
      <w:r>
        <w:t>;</w:t>
      </w:r>
      <w:r w:rsidR="00AE529F">
        <w:t xml:space="preserve"> and</w:t>
      </w:r>
    </w:p>
    <w:p w14:paraId="660034A5" w14:textId="0B2CF9F4" w:rsidR="00AE529F" w:rsidRDefault="00AE529F" w:rsidP="00E00933">
      <w:pPr>
        <w:pStyle w:val="Bullet"/>
      </w:pPr>
      <w:r>
        <w:t xml:space="preserve">has been audited in accordance with the </w:t>
      </w:r>
      <w:r>
        <w:rPr>
          <w:i/>
          <w:iCs/>
        </w:rPr>
        <w:t xml:space="preserve">Corporations Act 2001 </w:t>
      </w:r>
      <w:r>
        <w:t>(</w:t>
      </w:r>
      <w:r w:rsidR="00996DD9" w:rsidRPr="00996DD9">
        <w:t xml:space="preserve">or a corresponding and equivalent law of a foreign </w:t>
      </w:r>
      <w:proofErr w:type="gramStart"/>
      <w:r w:rsidR="00996DD9" w:rsidRPr="00996DD9">
        <w:t>country</w:t>
      </w:r>
      <w:r w:rsidR="006211F4">
        <w:t>;</w:t>
      </w:r>
      <w:proofErr w:type="gramEnd"/>
    </w:p>
    <w:p w14:paraId="791C1443" w14:textId="4DD637DE" w:rsidR="00DE3069" w:rsidRDefault="00B957C4" w:rsidP="004836F2">
      <w:pPr>
        <w:pStyle w:val="Bullet"/>
        <w:numPr>
          <w:ilvl w:val="0"/>
          <w:numId w:val="0"/>
        </w:numPr>
        <w:rPr>
          <w:iCs/>
        </w:rPr>
      </w:pPr>
      <w:r>
        <w:t>t</w:t>
      </w:r>
      <w:r w:rsidR="003A04D7">
        <w:t xml:space="preserve">he entity must </w:t>
      </w:r>
      <w:r w:rsidR="003A04D7" w:rsidRPr="003A04D7">
        <w:t>translate all amounts into Australian currency using the exchange rates that were used in that financial report and as used in that report.</w:t>
      </w:r>
    </w:p>
    <w:p w14:paraId="55133BA9" w14:textId="1AA5718D" w:rsidR="001A3E3D" w:rsidRDefault="00310CC7" w:rsidP="004836F2">
      <w:pPr>
        <w:pStyle w:val="Bullet"/>
        <w:numPr>
          <w:ilvl w:val="0"/>
          <w:numId w:val="0"/>
        </w:numPr>
        <w:rPr>
          <w:i/>
        </w:rPr>
      </w:pPr>
      <w:r>
        <w:rPr>
          <w:i/>
        </w:rPr>
        <w:lastRenderedPageBreak/>
        <w:t>Translation using published average exchange rates</w:t>
      </w:r>
    </w:p>
    <w:p w14:paraId="558C9CC4" w14:textId="77777777" w:rsidR="00B53F3D" w:rsidRDefault="003711EB" w:rsidP="004836F2">
      <w:pPr>
        <w:pStyle w:val="Bullet"/>
        <w:numPr>
          <w:ilvl w:val="0"/>
          <w:numId w:val="0"/>
        </w:numPr>
        <w:rPr>
          <w:iCs/>
        </w:rPr>
      </w:pPr>
      <w:r>
        <w:rPr>
          <w:iCs/>
        </w:rPr>
        <w:t xml:space="preserve">In all other circumstances, an </w:t>
      </w:r>
      <w:r w:rsidR="00310CC7">
        <w:rPr>
          <w:iCs/>
        </w:rPr>
        <w:t>entity must translate all</w:t>
      </w:r>
      <w:r w:rsidR="00B53F3D">
        <w:rPr>
          <w:iCs/>
        </w:rPr>
        <w:t xml:space="preserve"> </w:t>
      </w:r>
      <w:r w:rsidR="00B53F3D" w:rsidRPr="00B53F3D">
        <w:rPr>
          <w:iCs/>
        </w:rPr>
        <w:t xml:space="preserve">amounts in foreign currency into Australian currency using: </w:t>
      </w:r>
    </w:p>
    <w:p w14:paraId="5F6574D5" w14:textId="77777777" w:rsidR="00B53F3D" w:rsidRDefault="00B53F3D" w:rsidP="00B53F3D">
      <w:pPr>
        <w:pStyle w:val="Bullet"/>
      </w:pPr>
      <w:r w:rsidRPr="00B53F3D">
        <w:t xml:space="preserve">an average exchange rate for the period most closely corresponding to the period to which the amount relates; and </w:t>
      </w:r>
    </w:p>
    <w:p w14:paraId="0020E3F3" w14:textId="1475C345" w:rsidR="00310CC7" w:rsidRPr="00171022" w:rsidRDefault="00F66885" w:rsidP="00171022">
      <w:pPr>
        <w:pStyle w:val="Bullet"/>
      </w:pPr>
      <w:r>
        <w:t xml:space="preserve">the exchange rates published by the Reserve Bank of Australia, </w:t>
      </w:r>
      <w:r w:rsidR="001E3097">
        <w:t>or</w:t>
      </w:r>
      <w:r w:rsidR="00766317">
        <w:t xml:space="preserve"> </w:t>
      </w:r>
      <w:r w:rsidR="001423C6">
        <w:t xml:space="preserve">a publicly and commercially </w:t>
      </w:r>
      <w:r w:rsidR="00FA71B3" w:rsidRPr="00B53F3D">
        <w:t>available market exchange rate</w:t>
      </w:r>
      <w:r w:rsidR="00FA71B3">
        <w:t xml:space="preserve"> </w:t>
      </w:r>
      <w:r w:rsidR="00B53F3D" w:rsidRPr="00B53F3D">
        <w:t>if the amount is in a currency for which the Reserve Bank of Australia does not publish an exchange rate</w:t>
      </w:r>
      <w:r w:rsidR="00C37F4E">
        <w:t>.</w:t>
      </w:r>
    </w:p>
    <w:p w14:paraId="49521AB4" w14:textId="5FED287D" w:rsidR="00A9078D" w:rsidRPr="00226221" w:rsidRDefault="00A9078D" w:rsidP="005663A3">
      <w:pPr>
        <w:pStyle w:val="Bullet"/>
        <w:numPr>
          <w:ilvl w:val="0"/>
          <w:numId w:val="0"/>
        </w:numPr>
      </w:pPr>
    </w:p>
    <w:sectPr w:rsidR="00A9078D" w:rsidRPr="00226221" w:rsidSect="004A27A8">
      <w:headerReference w:type="even" r:id="rId7"/>
      <w:headerReference w:type="default" r:id="rId8"/>
      <w:footerReference w:type="default" r:id="rId9"/>
      <w:headerReference w:type="firs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6326" w14:textId="77777777" w:rsidR="00486839" w:rsidRDefault="00486839" w:rsidP="00954679">
      <w:pPr>
        <w:spacing w:before="0" w:after="0"/>
      </w:pPr>
      <w:r>
        <w:separator/>
      </w:r>
    </w:p>
  </w:endnote>
  <w:endnote w:type="continuationSeparator" w:id="0">
    <w:p w14:paraId="27DC1CB1" w14:textId="77777777" w:rsidR="00486839" w:rsidRDefault="00486839" w:rsidP="00954679">
      <w:pPr>
        <w:spacing w:before="0" w:after="0"/>
      </w:pPr>
      <w:r>
        <w:continuationSeparator/>
      </w:r>
    </w:p>
  </w:endnote>
  <w:endnote w:type="continuationNotice" w:id="1">
    <w:p w14:paraId="7EAE4ECF" w14:textId="77777777" w:rsidR="00486839" w:rsidRDefault="004868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B634F24" w14:textId="77777777" w:rsidR="007D04B4" w:rsidRDefault="007D04B4" w:rsidP="007D04B4">
            <w:pPr>
              <w:pStyle w:val="Footer"/>
              <w:jc w:val="right"/>
            </w:pPr>
            <w:r w:rsidRPr="008D2551">
              <w:fldChar w:fldCharType="begin"/>
            </w:r>
            <w:r w:rsidRPr="009406A1">
              <w:instrText xml:space="preserve"> PAGE </w:instrText>
            </w:r>
            <w:r w:rsidRPr="008D2551">
              <w:fldChar w:fldCharType="separate"/>
            </w:r>
            <w:r>
              <w:t>8</w:t>
            </w:r>
            <w:r w:rsidRPr="008D2551">
              <w:fldChar w:fldCharType="end"/>
            </w:r>
            <w:r w:rsidRPr="008D2551">
              <w:t xml:space="preserve"> of </w:t>
            </w:r>
            <w:r w:rsidRPr="008D2551">
              <w:fldChar w:fldCharType="begin"/>
            </w:r>
            <w:r w:rsidRPr="008D2551">
              <w:instrText xml:space="preserve"> NUMPAGES  </w:instrText>
            </w:r>
            <w:r w:rsidRPr="008D2551">
              <w:fldChar w:fldCharType="separate"/>
            </w:r>
            <w:r>
              <w:t>19</w:t>
            </w:r>
            <w:r w:rsidRPr="008D2551">
              <w:fldChar w:fldCharType="end"/>
            </w:r>
          </w:p>
        </w:sdtContent>
      </w:sdt>
    </w:sdtContent>
  </w:sdt>
  <w:p w14:paraId="03994B41" w14:textId="77777777" w:rsidR="007D04B4" w:rsidRDefault="007D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9748" w14:textId="77777777" w:rsidR="00486839" w:rsidRDefault="00486839" w:rsidP="00954679">
      <w:pPr>
        <w:spacing w:before="0" w:after="0"/>
      </w:pPr>
      <w:r>
        <w:separator/>
      </w:r>
    </w:p>
  </w:footnote>
  <w:footnote w:type="continuationSeparator" w:id="0">
    <w:p w14:paraId="465B751B" w14:textId="77777777" w:rsidR="00486839" w:rsidRDefault="00486839" w:rsidP="00954679">
      <w:pPr>
        <w:spacing w:before="0" w:after="0"/>
      </w:pPr>
      <w:r>
        <w:continuationSeparator/>
      </w:r>
    </w:p>
  </w:footnote>
  <w:footnote w:type="continuationNotice" w:id="1">
    <w:p w14:paraId="01B2F1C1" w14:textId="77777777" w:rsidR="00486839" w:rsidRDefault="004868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4DBE" w14:textId="692F9D54" w:rsidR="003974DA" w:rsidRDefault="00686624">
    <w:pPr>
      <w:pStyle w:val="Header"/>
    </w:pPr>
    <w:r>
      <w:rPr>
        <w:noProof/>
      </w:rPr>
      <w:pict w14:anchorId="7E74F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9469" o:spid="_x0000_s2050" type="#_x0000_t136" style="position:absolute;margin-left:0;margin-top:0;width:442.5pt;height:17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8E93" w14:textId="1D070250" w:rsidR="003974DA" w:rsidRDefault="00686624">
    <w:pPr>
      <w:pStyle w:val="Header"/>
    </w:pPr>
    <w:r>
      <w:rPr>
        <w:noProof/>
      </w:rPr>
      <w:pict w14:anchorId="6A38B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9470" o:spid="_x0000_s2051" type="#_x0000_t136" style="position:absolute;margin-left:0;margin-top:0;width:442.5pt;height:17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E5DB" w14:textId="102BB8B4" w:rsidR="003974DA" w:rsidRDefault="00686624">
    <w:pPr>
      <w:pStyle w:val="Header"/>
    </w:pPr>
    <w:r>
      <w:rPr>
        <w:noProof/>
      </w:rPr>
      <w:pict w14:anchorId="1E4D2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9468" o:spid="_x0000_s2049" type="#_x0000_t136" style="position:absolute;margin-left:0;margin-top:0;width:442.5pt;height:17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306"/>
    <w:multiLevelType w:val="multilevel"/>
    <w:tmpl w:val="974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C2C4D"/>
    <w:multiLevelType w:val="hybridMultilevel"/>
    <w:tmpl w:val="66BEE2CC"/>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B309A"/>
    <w:multiLevelType w:val="multilevel"/>
    <w:tmpl w:val="A662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E4236F"/>
    <w:multiLevelType w:val="hybridMultilevel"/>
    <w:tmpl w:val="87C86CC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7" w15:restartNumberingAfterBreak="0">
    <w:nsid w:val="39117D51"/>
    <w:multiLevelType w:val="hybridMultilevel"/>
    <w:tmpl w:val="D51AF48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8" w15:restartNumberingAfterBreak="0">
    <w:nsid w:val="4FD857DD"/>
    <w:multiLevelType w:val="multilevel"/>
    <w:tmpl w:val="0D4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332C8"/>
    <w:multiLevelType w:val="multilevel"/>
    <w:tmpl w:val="A894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EB7452"/>
    <w:multiLevelType w:val="hybridMultilevel"/>
    <w:tmpl w:val="D6726DEC"/>
    <w:lvl w:ilvl="0" w:tplc="CD782168">
      <w:start w:val="17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EE6715"/>
    <w:multiLevelType w:val="hybridMultilevel"/>
    <w:tmpl w:val="5750075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F11AD4"/>
    <w:multiLevelType w:val="multilevel"/>
    <w:tmpl w:val="15688542"/>
    <w:lvl w:ilvl="0">
      <w:start w:val="1"/>
      <w:numFmt w:val="lowerLetter"/>
      <w:lvlText w:val="%1)"/>
      <w:lvlJc w:val="left"/>
      <w:pPr>
        <w:tabs>
          <w:tab w:val="num" w:pos="567"/>
        </w:tabs>
        <w:ind w:left="567" w:hanging="567"/>
      </w:p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21E66B5"/>
    <w:multiLevelType w:val="multilevel"/>
    <w:tmpl w:val="D54C85AC"/>
    <w:name w:val="ExampleDotPointList"/>
    <w:lvl w:ilvl="0">
      <w:start w:val="1"/>
      <w:numFmt w:val="bullet"/>
      <w:lvlRestart w:val="0"/>
      <w:pStyle w:val="exampledotpoint1"/>
      <w:lvlText w:val="•"/>
      <w:lvlJc w:val="left"/>
      <w:pPr>
        <w:tabs>
          <w:tab w:val="num" w:pos="2517"/>
        </w:tabs>
        <w:ind w:left="2517" w:hanging="357"/>
      </w:pPr>
      <w:rPr>
        <w:b w:val="0"/>
        <w:i w:val="0"/>
        <w:color w:val="000000"/>
      </w:rPr>
    </w:lvl>
    <w:lvl w:ilvl="1">
      <w:start w:val="1"/>
      <w:numFmt w:val="bullet"/>
      <w:pStyle w:val="exampledotpoint2"/>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67A43C0B"/>
    <w:multiLevelType w:val="multilevel"/>
    <w:tmpl w:val="61743B5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ADE61A4"/>
    <w:multiLevelType w:val="multilevel"/>
    <w:tmpl w:val="1848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765BF"/>
    <w:multiLevelType w:val="multilevel"/>
    <w:tmpl w:val="5E8A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919768">
    <w:abstractNumId w:val="6"/>
  </w:num>
  <w:num w:numId="2" w16cid:durableId="92435628">
    <w:abstractNumId w:val="14"/>
  </w:num>
  <w:num w:numId="3" w16cid:durableId="102648425">
    <w:abstractNumId w:val="4"/>
  </w:num>
  <w:num w:numId="4" w16cid:durableId="1451314351">
    <w:abstractNumId w:val="2"/>
  </w:num>
  <w:num w:numId="5" w16cid:durableId="1455824937">
    <w:abstractNumId w:val="14"/>
  </w:num>
  <w:num w:numId="6" w16cid:durableId="2012178582">
    <w:abstractNumId w:val="14"/>
  </w:num>
  <w:num w:numId="7" w16cid:durableId="1173374635">
    <w:abstractNumId w:val="14"/>
  </w:num>
  <w:num w:numId="8" w16cid:durableId="1074162301">
    <w:abstractNumId w:val="14"/>
  </w:num>
  <w:num w:numId="9" w16cid:durableId="1206795025">
    <w:abstractNumId w:val="14"/>
  </w:num>
  <w:num w:numId="10" w16cid:durableId="474571849">
    <w:abstractNumId w:val="14"/>
  </w:num>
  <w:num w:numId="11" w16cid:durableId="890385033">
    <w:abstractNumId w:val="14"/>
  </w:num>
  <w:num w:numId="12" w16cid:durableId="392780191">
    <w:abstractNumId w:val="14"/>
  </w:num>
  <w:num w:numId="13" w16cid:durableId="1793669345">
    <w:abstractNumId w:val="14"/>
  </w:num>
  <w:num w:numId="14" w16cid:durableId="2085832638">
    <w:abstractNumId w:val="14"/>
  </w:num>
  <w:num w:numId="15" w16cid:durableId="724838217">
    <w:abstractNumId w:val="14"/>
  </w:num>
  <w:num w:numId="16" w16cid:durableId="951398036">
    <w:abstractNumId w:val="14"/>
  </w:num>
  <w:num w:numId="17" w16cid:durableId="1266578030">
    <w:abstractNumId w:val="5"/>
  </w:num>
  <w:num w:numId="18" w16cid:durableId="815604492">
    <w:abstractNumId w:val="11"/>
  </w:num>
  <w:num w:numId="19" w16cid:durableId="972559259">
    <w:abstractNumId w:val="16"/>
  </w:num>
  <w:num w:numId="20" w16cid:durableId="939142698">
    <w:abstractNumId w:val="0"/>
  </w:num>
  <w:num w:numId="21" w16cid:durableId="2059668568">
    <w:abstractNumId w:val="15"/>
  </w:num>
  <w:num w:numId="22" w16cid:durableId="504832393">
    <w:abstractNumId w:val="9"/>
  </w:num>
  <w:num w:numId="23" w16cid:durableId="203521808">
    <w:abstractNumId w:val="3"/>
  </w:num>
  <w:num w:numId="24" w16cid:durableId="710305323">
    <w:abstractNumId w:val="8"/>
  </w:num>
  <w:num w:numId="25" w16cid:durableId="65957350">
    <w:abstractNumId w:val="10"/>
  </w:num>
  <w:num w:numId="26" w16cid:durableId="1483766492">
    <w:abstractNumId w:val="13"/>
  </w:num>
  <w:num w:numId="27" w16cid:durableId="827399960">
    <w:abstractNumId w:val="1"/>
  </w:num>
  <w:num w:numId="28" w16cid:durableId="66343259">
    <w:abstractNumId w:val="14"/>
  </w:num>
  <w:num w:numId="29" w16cid:durableId="1880243391">
    <w:abstractNumId w:val="7"/>
  </w:num>
  <w:num w:numId="30" w16cid:durableId="1319846959">
    <w:abstractNumId w:val="14"/>
  </w:num>
  <w:num w:numId="31" w16cid:durableId="969239878">
    <w:abstractNumId w:val="14"/>
  </w:num>
  <w:num w:numId="32" w16cid:durableId="231894733">
    <w:abstractNumId w:val="14"/>
  </w:num>
  <w:num w:numId="33" w16cid:durableId="176239789">
    <w:abstractNumId w:val="14"/>
  </w:num>
  <w:num w:numId="34" w16cid:durableId="1630819396">
    <w:abstractNumId w:val="12"/>
  </w:num>
  <w:num w:numId="35" w16cid:durableId="600914779">
    <w:abstractNumId w:val="14"/>
  </w:num>
  <w:num w:numId="36" w16cid:durableId="5337366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45"/>
    <w:rsid w:val="00001099"/>
    <w:rsid w:val="000010CB"/>
    <w:rsid w:val="000026BE"/>
    <w:rsid w:val="00003189"/>
    <w:rsid w:val="00003E58"/>
    <w:rsid w:val="000045BE"/>
    <w:rsid w:val="00004823"/>
    <w:rsid w:val="00005B51"/>
    <w:rsid w:val="00005C80"/>
    <w:rsid w:val="0000628C"/>
    <w:rsid w:val="0000689C"/>
    <w:rsid w:val="00007258"/>
    <w:rsid w:val="00010DE6"/>
    <w:rsid w:val="00011C1C"/>
    <w:rsid w:val="00012A59"/>
    <w:rsid w:val="00013390"/>
    <w:rsid w:val="000133CB"/>
    <w:rsid w:val="00013D91"/>
    <w:rsid w:val="00013E19"/>
    <w:rsid w:val="00013EFE"/>
    <w:rsid w:val="00013FFD"/>
    <w:rsid w:val="000148CC"/>
    <w:rsid w:val="00015033"/>
    <w:rsid w:val="0001539C"/>
    <w:rsid w:val="000155B9"/>
    <w:rsid w:val="00016551"/>
    <w:rsid w:val="000165ED"/>
    <w:rsid w:val="00016EA2"/>
    <w:rsid w:val="000217DF"/>
    <w:rsid w:val="00023822"/>
    <w:rsid w:val="00023A24"/>
    <w:rsid w:val="000243AB"/>
    <w:rsid w:val="0002495E"/>
    <w:rsid w:val="0002546A"/>
    <w:rsid w:val="00025895"/>
    <w:rsid w:val="00025C58"/>
    <w:rsid w:val="00026264"/>
    <w:rsid w:val="0002670E"/>
    <w:rsid w:val="00027126"/>
    <w:rsid w:val="00027C84"/>
    <w:rsid w:val="00030091"/>
    <w:rsid w:val="00031511"/>
    <w:rsid w:val="0003164E"/>
    <w:rsid w:val="000318BC"/>
    <w:rsid w:val="00031AE1"/>
    <w:rsid w:val="0003241A"/>
    <w:rsid w:val="00032AEA"/>
    <w:rsid w:val="0003348E"/>
    <w:rsid w:val="00033E06"/>
    <w:rsid w:val="0003405E"/>
    <w:rsid w:val="0003521B"/>
    <w:rsid w:val="000354A1"/>
    <w:rsid w:val="0003603B"/>
    <w:rsid w:val="000375AE"/>
    <w:rsid w:val="00037C70"/>
    <w:rsid w:val="0004055C"/>
    <w:rsid w:val="00040B79"/>
    <w:rsid w:val="00041063"/>
    <w:rsid w:val="00041C87"/>
    <w:rsid w:val="000434B1"/>
    <w:rsid w:val="000447A4"/>
    <w:rsid w:val="00044ECF"/>
    <w:rsid w:val="000455BA"/>
    <w:rsid w:val="000456B4"/>
    <w:rsid w:val="0004691D"/>
    <w:rsid w:val="00047D42"/>
    <w:rsid w:val="00051648"/>
    <w:rsid w:val="000518D8"/>
    <w:rsid w:val="000524A9"/>
    <w:rsid w:val="0005316A"/>
    <w:rsid w:val="00053637"/>
    <w:rsid w:val="0005390B"/>
    <w:rsid w:val="00053DD3"/>
    <w:rsid w:val="000540BB"/>
    <w:rsid w:val="000547DB"/>
    <w:rsid w:val="00054B70"/>
    <w:rsid w:val="000551D8"/>
    <w:rsid w:val="0005672E"/>
    <w:rsid w:val="00056F20"/>
    <w:rsid w:val="000601D1"/>
    <w:rsid w:val="000610A0"/>
    <w:rsid w:val="0006181A"/>
    <w:rsid w:val="00061827"/>
    <w:rsid w:val="00061CA8"/>
    <w:rsid w:val="00061E7C"/>
    <w:rsid w:val="000636C1"/>
    <w:rsid w:val="00063807"/>
    <w:rsid w:val="000646A3"/>
    <w:rsid w:val="00064B9E"/>
    <w:rsid w:val="00064D9B"/>
    <w:rsid w:val="00065235"/>
    <w:rsid w:val="0006529E"/>
    <w:rsid w:val="00067059"/>
    <w:rsid w:val="00067BCB"/>
    <w:rsid w:val="00070D6A"/>
    <w:rsid w:val="00070FE6"/>
    <w:rsid w:val="00071711"/>
    <w:rsid w:val="00071AC2"/>
    <w:rsid w:val="00071F62"/>
    <w:rsid w:val="0007291D"/>
    <w:rsid w:val="000735CE"/>
    <w:rsid w:val="000737C1"/>
    <w:rsid w:val="00073825"/>
    <w:rsid w:val="000738E6"/>
    <w:rsid w:val="00074691"/>
    <w:rsid w:val="00075074"/>
    <w:rsid w:val="000752C9"/>
    <w:rsid w:val="00075A77"/>
    <w:rsid w:val="00076059"/>
    <w:rsid w:val="00076178"/>
    <w:rsid w:val="00076E15"/>
    <w:rsid w:val="00076FF9"/>
    <w:rsid w:val="00080071"/>
    <w:rsid w:val="00080581"/>
    <w:rsid w:val="00080673"/>
    <w:rsid w:val="000809B1"/>
    <w:rsid w:val="00080AA6"/>
    <w:rsid w:val="00080D3A"/>
    <w:rsid w:val="0008141F"/>
    <w:rsid w:val="000818C0"/>
    <w:rsid w:val="0008272C"/>
    <w:rsid w:val="00082761"/>
    <w:rsid w:val="000829F2"/>
    <w:rsid w:val="00082C40"/>
    <w:rsid w:val="0008421E"/>
    <w:rsid w:val="000843A7"/>
    <w:rsid w:val="00084685"/>
    <w:rsid w:val="00084CBF"/>
    <w:rsid w:val="00085328"/>
    <w:rsid w:val="000854E0"/>
    <w:rsid w:val="0008615C"/>
    <w:rsid w:val="00086BDE"/>
    <w:rsid w:val="00086F83"/>
    <w:rsid w:val="0008741E"/>
    <w:rsid w:val="000879F0"/>
    <w:rsid w:val="00090350"/>
    <w:rsid w:val="0009213E"/>
    <w:rsid w:val="000939DF"/>
    <w:rsid w:val="00094396"/>
    <w:rsid w:val="00094B8B"/>
    <w:rsid w:val="00094E1C"/>
    <w:rsid w:val="00094ED6"/>
    <w:rsid w:val="000951E0"/>
    <w:rsid w:val="00095211"/>
    <w:rsid w:val="00095AE5"/>
    <w:rsid w:val="00095C91"/>
    <w:rsid w:val="00095E37"/>
    <w:rsid w:val="00097132"/>
    <w:rsid w:val="000A0A69"/>
    <w:rsid w:val="000A1B47"/>
    <w:rsid w:val="000A2089"/>
    <w:rsid w:val="000A24F7"/>
    <w:rsid w:val="000A28E4"/>
    <w:rsid w:val="000A311F"/>
    <w:rsid w:val="000A44F0"/>
    <w:rsid w:val="000A4FF5"/>
    <w:rsid w:val="000A69C5"/>
    <w:rsid w:val="000A73B8"/>
    <w:rsid w:val="000A74D4"/>
    <w:rsid w:val="000B06CF"/>
    <w:rsid w:val="000B0FEE"/>
    <w:rsid w:val="000B25F3"/>
    <w:rsid w:val="000B2A97"/>
    <w:rsid w:val="000B2BE5"/>
    <w:rsid w:val="000B3661"/>
    <w:rsid w:val="000B39A1"/>
    <w:rsid w:val="000B4FAB"/>
    <w:rsid w:val="000B6BA4"/>
    <w:rsid w:val="000B7909"/>
    <w:rsid w:val="000B7FA9"/>
    <w:rsid w:val="000C0FD1"/>
    <w:rsid w:val="000C10DF"/>
    <w:rsid w:val="000C1575"/>
    <w:rsid w:val="000C25BE"/>
    <w:rsid w:val="000C267C"/>
    <w:rsid w:val="000C2E12"/>
    <w:rsid w:val="000C32C0"/>
    <w:rsid w:val="000C3553"/>
    <w:rsid w:val="000C3ECC"/>
    <w:rsid w:val="000C3F00"/>
    <w:rsid w:val="000C44A2"/>
    <w:rsid w:val="000C44E5"/>
    <w:rsid w:val="000C4A14"/>
    <w:rsid w:val="000C4ABD"/>
    <w:rsid w:val="000C4B61"/>
    <w:rsid w:val="000C53A0"/>
    <w:rsid w:val="000C58F0"/>
    <w:rsid w:val="000C5C40"/>
    <w:rsid w:val="000C6935"/>
    <w:rsid w:val="000D0426"/>
    <w:rsid w:val="000D0C9B"/>
    <w:rsid w:val="000D0ECB"/>
    <w:rsid w:val="000D11E5"/>
    <w:rsid w:val="000D1923"/>
    <w:rsid w:val="000D1A93"/>
    <w:rsid w:val="000D213A"/>
    <w:rsid w:val="000D2234"/>
    <w:rsid w:val="000D27D2"/>
    <w:rsid w:val="000D3CEC"/>
    <w:rsid w:val="000D4C17"/>
    <w:rsid w:val="000D54D7"/>
    <w:rsid w:val="000D5827"/>
    <w:rsid w:val="000D59B4"/>
    <w:rsid w:val="000D5A4C"/>
    <w:rsid w:val="000D715E"/>
    <w:rsid w:val="000E0D10"/>
    <w:rsid w:val="000E13C7"/>
    <w:rsid w:val="000E2752"/>
    <w:rsid w:val="000E32E3"/>
    <w:rsid w:val="000E3B87"/>
    <w:rsid w:val="000E5150"/>
    <w:rsid w:val="000E5927"/>
    <w:rsid w:val="000E5CA0"/>
    <w:rsid w:val="000E7187"/>
    <w:rsid w:val="000E797C"/>
    <w:rsid w:val="000F0301"/>
    <w:rsid w:val="000F1A69"/>
    <w:rsid w:val="000F1F12"/>
    <w:rsid w:val="000F2496"/>
    <w:rsid w:val="000F2996"/>
    <w:rsid w:val="000F2B1F"/>
    <w:rsid w:val="000F2E12"/>
    <w:rsid w:val="000F3112"/>
    <w:rsid w:val="000F39D9"/>
    <w:rsid w:val="000F3A05"/>
    <w:rsid w:val="000F3E42"/>
    <w:rsid w:val="000F40E1"/>
    <w:rsid w:val="000F47DB"/>
    <w:rsid w:val="000F48CA"/>
    <w:rsid w:val="000F53D9"/>
    <w:rsid w:val="000F5814"/>
    <w:rsid w:val="000F5845"/>
    <w:rsid w:val="000F5C34"/>
    <w:rsid w:val="000F5EF4"/>
    <w:rsid w:val="000F772C"/>
    <w:rsid w:val="000F78F3"/>
    <w:rsid w:val="000F7D75"/>
    <w:rsid w:val="001005A4"/>
    <w:rsid w:val="001009D2"/>
    <w:rsid w:val="0010110D"/>
    <w:rsid w:val="001012C2"/>
    <w:rsid w:val="00101B0E"/>
    <w:rsid w:val="0010364F"/>
    <w:rsid w:val="00103B5D"/>
    <w:rsid w:val="00105495"/>
    <w:rsid w:val="0010585C"/>
    <w:rsid w:val="00105B7B"/>
    <w:rsid w:val="00106252"/>
    <w:rsid w:val="00107208"/>
    <w:rsid w:val="00107307"/>
    <w:rsid w:val="00110D76"/>
    <w:rsid w:val="00111BDA"/>
    <w:rsid w:val="00111F6A"/>
    <w:rsid w:val="00112744"/>
    <w:rsid w:val="001129B1"/>
    <w:rsid w:val="0011316F"/>
    <w:rsid w:val="00113697"/>
    <w:rsid w:val="00113B45"/>
    <w:rsid w:val="00114003"/>
    <w:rsid w:val="00114C6A"/>
    <w:rsid w:val="0011527C"/>
    <w:rsid w:val="00117C02"/>
    <w:rsid w:val="00120AA5"/>
    <w:rsid w:val="00120F4C"/>
    <w:rsid w:val="00121184"/>
    <w:rsid w:val="00122575"/>
    <w:rsid w:val="001229B3"/>
    <w:rsid w:val="00123276"/>
    <w:rsid w:val="001234C9"/>
    <w:rsid w:val="001241D8"/>
    <w:rsid w:val="001243B8"/>
    <w:rsid w:val="00124562"/>
    <w:rsid w:val="00124F4C"/>
    <w:rsid w:val="00124FF3"/>
    <w:rsid w:val="00125ECE"/>
    <w:rsid w:val="001264BA"/>
    <w:rsid w:val="001268B7"/>
    <w:rsid w:val="00126C8D"/>
    <w:rsid w:val="001276B4"/>
    <w:rsid w:val="001279DB"/>
    <w:rsid w:val="0013062A"/>
    <w:rsid w:val="0013078D"/>
    <w:rsid w:val="001319C8"/>
    <w:rsid w:val="001319FF"/>
    <w:rsid w:val="00131F31"/>
    <w:rsid w:val="001331B7"/>
    <w:rsid w:val="00133B21"/>
    <w:rsid w:val="00133D7A"/>
    <w:rsid w:val="0013542A"/>
    <w:rsid w:val="00135686"/>
    <w:rsid w:val="00135C97"/>
    <w:rsid w:val="001362CA"/>
    <w:rsid w:val="001367A0"/>
    <w:rsid w:val="001423C6"/>
    <w:rsid w:val="001426E7"/>
    <w:rsid w:val="001429CB"/>
    <w:rsid w:val="00142B72"/>
    <w:rsid w:val="00142BCF"/>
    <w:rsid w:val="00142BFB"/>
    <w:rsid w:val="00142DC6"/>
    <w:rsid w:val="00143180"/>
    <w:rsid w:val="001440DC"/>
    <w:rsid w:val="00144B7A"/>
    <w:rsid w:val="00145086"/>
    <w:rsid w:val="0014545A"/>
    <w:rsid w:val="0014608E"/>
    <w:rsid w:val="00146596"/>
    <w:rsid w:val="00146BBA"/>
    <w:rsid w:val="00146DD8"/>
    <w:rsid w:val="00147EB7"/>
    <w:rsid w:val="00150241"/>
    <w:rsid w:val="00151564"/>
    <w:rsid w:val="00151C24"/>
    <w:rsid w:val="00151CC0"/>
    <w:rsid w:val="0015228A"/>
    <w:rsid w:val="0015305B"/>
    <w:rsid w:val="001533FB"/>
    <w:rsid w:val="00154262"/>
    <w:rsid w:val="00156F71"/>
    <w:rsid w:val="00157926"/>
    <w:rsid w:val="00160731"/>
    <w:rsid w:val="0016113E"/>
    <w:rsid w:val="00164E76"/>
    <w:rsid w:val="001653C3"/>
    <w:rsid w:val="001657FE"/>
    <w:rsid w:val="00166664"/>
    <w:rsid w:val="00166A19"/>
    <w:rsid w:val="00166DD1"/>
    <w:rsid w:val="00171022"/>
    <w:rsid w:val="001715B3"/>
    <w:rsid w:val="00172195"/>
    <w:rsid w:val="001724FD"/>
    <w:rsid w:val="00172B5A"/>
    <w:rsid w:val="001738D1"/>
    <w:rsid w:val="00174AF3"/>
    <w:rsid w:val="00174F31"/>
    <w:rsid w:val="001750DD"/>
    <w:rsid w:val="001759FA"/>
    <w:rsid w:val="001760D3"/>
    <w:rsid w:val="00177E94"/>
    <w:rsid w:val="001803E3"/>
    <w:rsid w:val="00181116"/>
    <w:rsid w:val="00181BC2"/>
    <w:rsid w:val="0018273A"/>
    <w:rsid w:val="001835BC"/>
    <w:rsid w:val="00184803"/>
    <w:rsid w:val="00184A59"/>
    <w:rsid w:val="00184B36"/>
    <w:rsid w:val="00184C81"/>
    <w:rsid w:val="00185129"/>
    <w:rsid w:val="001853E0"/>
    <w:rsid w:val="00185B7E"/>
    <w:rsid w:val="00186421"/>
    <w:rsid w:val="00186B47"/>
    <w:rsid w:val="0018707A"/>
    <w:rsid w:val="00187857"/>
    <w:rsid w:val="001902AF"/>
    <w:rsid w:val="00190C8C"/>
    <w:rsid w:val="00193592"/>
    <w:rsid w:val="00193F61"/>
    <w:rsid w:val="00193FA6"/>
    <w:rsid w:val="00193FE0"/>
    <w:rsid w:val="00194A04"/>
    <w:rsid w:val="0019534C"/>
    <w:rsid w:val="00195A29"/>
    <w:rsid w:val="00195ECB"/>
    <w:rsid w:val="00196C48"/>
    <w:rsid w:val="001974C7"/>
    <w:rsid w:val="001A07CF"/>
    <w:rsid w:val="001A0E21"/>
    <w:rsid w:val="001A1572"/>
    <w:rsid w:val="001A1D78"/>
    <w:rsid w:val="001A2100"/>
    <w:rsid w:val="001A21E6"/>
    <w:rsid w:val="001A2240"/>
    <w:rsid w:val="001A2B73"/>
    <w:rsid w:val="001A3487"/>
    <w:rsid w:val="001A38C7"/>
    <w:rsid w:val="001A3E3D"/>
    <w:rsid w:val="001A4560"/>
    <w:rsid w:val="001A48C3"/>
    <w:rsid w:val="001A5784"/>
    <w:rsid w:val="001A5AD1"/>
    <w:rsid w:val="001A6139"/>
    <w:rsid w:val="001A68B4"/>
    <w:rsid w:val="001A6EA8"/>
    <w:rsid w:val="001B0B7B"/>
    <w:rsid w:val="001B1045"/>
    <w:rsid w:val="001B15A4"/>
    <w:rsid w:val="001B33AE"/>
    <w:rsid w:val="001B3EF2"/>
    <w:rsid w:val="001B4919"/>
    <w:rsid w:val="001B4927"/>
    <w:rsid w:val="001B49B6"/>
    <w:rsid w:val="001B4E95"/>
    <w:rsid w:val="001B6331"/>
    <w:rsid w:val="001B67C0"/>
    <w:rsid w:val="001B67C8"/>
    <w:rsid w:val="001B6D90"/>
    <w:rsid w:val="001B7535"/>
    <w:rsid w:val="001B764B"/>
    <w:rsid w:val="001B7EC2"/>
    <w:rsid w:val="001C0477"/>
    <w:rsid w:val="001C05D3"/>
    <w:rsid w:val="001C1143"/>
    <w:rsid w:val="001C1756"/>
    <w:rsid w:val="001C1A37"/>
    <w:rsid w:val="001C2A23"/>
    <w:rsid w:val="001C3BB5"/>
    <w:rsid w:val="001C3EE9"/>
    <w:rsid w:val="001C5B61"/>
    <w:rsid w:val="001C6321"/>
    <w:rsid w:val="001C6B2E"/>
    <w:rsid w:val="001C6CC3"/>
    <w:rsid w:val="001D01CD"/>
    <w:rsid w:val="001D0E0B"/>
    <w:rsid w:val="001D1876"/>
    <w:rsid w:val="001D1EE6"/>
    <w:rsid w:val="001D20E6"/>
    <w:rsid w:val="001D2C6A"/>
    <w:rsid w:val="001D3437"/>
    <w:rsid w:val="001D3803"/>
    <w:rsid w:val="001D46B4"/>
    <w:rsid w:val="001D4FAA"/>
    <w:rsid w:val="001D500B"/>
    <w:rsid w:val="001D58DC"/>
    <w:rsid w:val="001D63CC"/>
    <w:rsid w:val="001D64E6"/>
    <w:rsid w:val="001D7126"/>
    <w:rsid w:val="001D74EE"/>
    <w:rsid w:val="001D75CE"/>
    <w:rsid w:val="001E009F"/>
    <w:rsid w:val="001E0E2A"/>
    <w:rsid w:val="001E1413"/>
    <w:rsid w:val="001E1D70"/>
    <w:rsid w:val="001E26BD"/>
    <w:rsid w:val="001E3097"/>
    <w:rsid w:val="001E387B"/>
    <w:rsid w:val="001E5D77"/>
    <w:rsid w:val="001E6A74"/>
    <w:rsid w:val="001E6EFA"/>
    <w:rsid w:val="001E795C"/>
    <w:rsid w:val="001F0577"/>
    <w:rsid w:val="001F09FD"/>
    <w:rsid w:val="001F12F5"/>
    <w:rsid w:val="001F151B"/>
    <w:rsid w:val="001F25E3"/>
    <w:rsid w:val="001F274C"/>
    <w:rsid w:val="001F2907"/>
    <w:rsid w:val="001F3A7E"/>
    <w:rsid w:val="001F41D0"/>
    <w:rsid w:val="001F44B0"/>
    <w:rsid w:val="001F4539"/>
    <w:rsid w:val="001F462C"/>
    <w:rsid w:val="001F4EFC"/>
    <w:rsid w:val="001F51E6"/>
    <w:rsid w:val="001F5273"/>
    <w:rsid w:val="001F59E8"/>
    <w:rsid w:val="001F627B"/>
    <w:rsid w:val="00201EE5"/>
    <w:rsid w:val="00205B47"/>
    <w:rsid w:val="00207080"/>
    <w:rsid w:val="00207B62"/>
    <w:rsid w:val="00210656"/>
    <w:rsid w:val="002113F9"/>
    <w:rsid w:val="002117A7"/>
    <w:rsid w:val="002118CF"/>
    <w:rsid w:val="00211CD9"/>
    <w:rsid w:val="0021226C"/>
    <w:rsid w:val="0021287B"/>
    <w:rsid w:val="0021290E"/>
    <w:rsid w:val="00213707"/>
    <w:rsid w:val="002141C3"/>
    <w:rsid w:val="00215251"/>
    <w:rsid w:val="00215EB3"/>
    <w:rsid w:val="00215FDE"/>
    <w:rsid w:val="002176FB"/>
    <w:rsid w:val="00217E61"/>
    <w:rsid w:val="002205B2"/>
    <w:rsid w:val="00220F16"/>
    <w:rsid w:val="00221082"/>
    <w:rsid w:val="00221B08"/>
    <w:rsid w:val="0022550C"/>
    <w:rsid w:val="00225E1B"/>
    <w:rsid w:val="00225FAC"/>
    <w:rsid w:val="00226221"/>
    <w:rsid w:val="00226EC0"/>
    <w:rsid w:val="00227379"/>
    <w:rsid w:val="00230202"/>
    <w:rsid w:val="002310B7"/>
    <w:rsid w:val="00231109"/>
    <w:rsid w:val="0023118D"/>
    <w:rsid w:val="002314C9"/>
    <w:rsid w:val="00231510"/>
    <w:rsid w:val="00231837"/>
    <w:rsid w:val="00233084"/>
    <w:rsid w:val="002330BA"/>
    <w:rsid w:val="002336A8"/>
    <w:rsid w:val="00233952"/>
    <w:rsid w:val="00233A19"/>
    <w:rsid w:val="002340D8"/>
    <w:rsid w:val="0023455F"/>
    <w:rsid w:val="002349A0"/>
    <w:rsid w:val="002357C3"/>
    <w:rsid w:val="002361B5"/>
    <w:rsid w:val="00236458"/>
    <w:rsid w:val="00236E40"/>
    <w:rsid w:val="00236F32"/>
    <w:rsid w:val="00240242"/>
    <w:rsid w:val="00240454"/>
    <w:rsid w:val="00240D31"/>
    <w:rsid w:val="00240DF1"/>
    <w:rsid w:val="0024245F"/>
    <w:rsid w:val="00243928"/>
    <w:rsid w:val="002439CC"/>
    <w:rsid w:val="002447D0"/>
    <w:rsid w:val="00244C2C"/>
    <w:rsid w:val="002459C7"/>
    <w:rsid w:val="00245D70"/>
    <w:rsid w:val="00245EDF"/>
    <w:rsid w:val="00246A25"/>
    <w:rsid w:val="00246F72"/>
    <w:rsid w:val="0024727F"/>
    <w:rsid w:val="002513CC"/>
    <w:rsid w:val="0025171F"/>
    <w:rsid w:val="00251C64"/>
    <w:rsid w:val="00251CD0"/>
    <w:rsid w:val="002538CD"/>
    <w:rsid w:val="002545A8"/>
    <w:rsid w:val="00254BBB"/>
    <w:rsid w:val="00254C5B"/>
    <w:rsid w:val="00254D2B"/>
    <w:rsid w:val="00255347"/>
    <w:rsid w:val="002571D3"/>
    <w:rsid w:val="00257513"/>
    <w:rsid w:val="0025783C"/>
    <w:rsid w:val="00257B95"/>
    <w:rsid w:val="00257F1E"/>
    <w:rsid w:val="00260279"/>
    <w:rsid w:val="002610C7"/>
    <w:rsid w:val="0026264D"/>
    <w:rsid w:val="00262D4B"/>
    <w:rsid w:val="00262F8D"/>
    <w:rsid w:val="00263BEF"/>
    <w:rsid w:val="00264528"/>
    <w:rsid w:val="0026468C"/>
    <w:rsid w:val="00264F8F"/>
    <w:rsid w:val="002652BD"/>
    <w:rsid w:val="002652DA"/>
    <w:rsid w:val="00265371"/>
    <w:rsid w:val="00266534"/>
    <w:rsid w:val="002666D9"/>
    <w:rsid w:val="002703E6"/>
    <w:rsid w:val="00270CFA"/>
    <w:rsid w:val="00270DF2"/>
    <w:rsid w:val="0027118E"/>
    <w:rsid w:val="0027194E"/>
    <w:rsid w:val="0027223E"/>
    <w:rsid w:val="00272481"/>
    <w:rsid w:val="002725F4"/>
    <w:rsid w:val="002726C6"/>
    <w:rsid w:val="00273187"/>
    <w:rsid w:val="00273B9E"/>
    <w:rsid w:val="00273C89"/>
    <w:rsid w:val="00274245"/>
    <w:rsid w:val="002742F5"/>
    <w:rsid w:val="0027481F"/>
    <w:rsid w:val="002748E3"/>
    <w:rsid w:val="002767DD"/>
    <w:rsid w:val="002771E5"/>
    <w:rsid w:val="00277840"/>
    <w:rsid w:val="002812B9"/>
    <w:rsid w:val="00284883"/>
    <w:rsid w:val="00284AC0"/>
    <w:rsid w:val="00284C77"/>
    <w:rsid w:val="00286596"/>
    <w:rsid w:val="00287C5A"/>
    <w:rsid w:val="002900E2"/>
    <w:rsid w:val="00290A5F"/>
    <w:rsid w:val="00291151"/>
    <w:rsid w:val="00291180"/>
    <w:rsid w:val="002926F0"/>
    <w:rsid w:val="00293290"/>
    <w:rsid w:val="00293622"/>
    <w:rsid w:val="00293819"/>
    <w:rsid w:val="00293839"/>
    <w:rsid w:val="002939B4"/>
    <w:rsid w:val="00293D41"/>
    <w:rsid w:val="00293F5C"/>
    <w:rsid w:val="00294381"/>
    <w:rsid w:val="00295110"/>
    <w:rsid w:val="0029551E"/>
    <w:rsid w:val="002968C4"/>
    <w:rsid w:val="00296F61"/>
    <w:rsid w:val="002A0271"/>
    <w:rsid w:val="002A1236"/>
    <w:rsid w:val="002A131D"/>
    <w:rsid w:val="002A1C13"/>
    <w:rsid w:val="002A2828"/>
    <w:rsid w:val="002A2D97"/>
    <w:rsid w:val="002A3A4F"/>
    <w:rsid w:val="002A3C80"/>
    <w:rsid w:val="002A5599"/>
    <w:rsid w:val="002A6DA4"/>
    <w:rsid w:val="002A7B74"/>
    <w:rsid w:val="002A7E1F"/>
    <w:rsid w:val="002B0AC0"/>
    <w:rsid w:val="002B0B47"/>
    <w:rsid w:val="002B125C"/>
    <w:rsid w:val="002B1724"/>
    <w:rsid w:val="002B1AD4"/>
    <w:rsid w:val="002B3898"/>
    <w:rsid w:val="002B4636"/>
    <w:rsid w:val="002B6ED6"/>
    <w:rsid w:val="002B70A1"/>
    <w:rsid w:val="002B78AC"/>
    <w:rsid w:val="002C02C4"/>
    <w:rsid w:val="002C05AC"/>
    <w:rsid w:val="002C0792"/>
    <w:rsid w:val="002C0A5A"/>
    <w:rsid w:val="002C1AA5"/>
    <w:rsid w:val="002C226C"/>
    <w:rsid w:val="002C2FE3"/>
    <w:rsid w:val="002C384A"/>
    <w:rsid w:val="002C39D0"/>
    <w:rsid w:val="002C3EE2"/>
    <w:rsid w:val="002C58BD"/>
    <w:rsid w:val="002C67C5"/>
    <w:rsid w:val="002C6AAF"/>
    <w:rsid w:val="002C728B"/>
    <w:rsid w:val="002C7476"/>
    <w:rsid w:val="002C7A8B"/>
    <w:rsid w:val="002D0414"/>
    <w:rsid w:val="002D2627"/>
    <w:rsid w:val="002D2B33"/>
    <w:rsid w:val="002D2FDF"/>
    <w:rsid w:val="002D35B1"/>
    <w:rsid w:val="002D4169"/>
    <w:rsid w:val="002D4B55"/>
    <w:rsid w:val="002D4EF5"/>
    <w:rsid w:val="002D5348"/>
    <w:rsid w:val="002D6079"/>
    <w:rsid w:val="002D60A0"/>
    <w:rsid w:val="002D6168"/>
    <w:rsid w:val="002D729F"/>
    <w:rsid w:val="002E1783"/>
    <w:rsid w:val="002E1996"/>
    <w:rsid w:val="002E1A5D"/>
    <w:rsid w:val="002E1B7C"/>
    <w:rsid w:val="002E2E7A"/>
    <w:rsid w:val="002E316D"/>
    <w:rsid w:val="002E4C48"/>
    <w:rsid w:val="002E73BB"/>
    <w:rsid w:val="002E75EF"/>
    <w:rsid w:val="002F022D"/>
    <w:rsid w:val="002F17A6"/>
    <w:rsid w:val="002F24EF"/>
    <w:rsid w:val="002F3194"/>
    <w:rsid w:val="002F36F2"/>
    <w:rsid w:val="002F4093"/>
    <w:rsid w:val="002F433D"/>
    <w:rsid w:val="002F465D"/>
    <w:rsid w:val="002F5909"/>
    <w:rsid w:val="002F63C0"/>
    <w:rsid w:val="002F6BB1"/>
    <w:rsid w:val="002F72E3"/>
    <w:rsid w:val="002F774E"/>
    <w:rsid w:val="002F7B79"/>
    <w:rsid w:val="00300268"/>
    <w:rsid w:val="003003CD"/>
    <w:rsid w:val="00300532"/>
    <w:rsid w:val="0030277E"/>
    <w:rsid w:val="00302EA5"/>
    <w:rsid w:val="003037F8"/>
    <w:rsid w:val="00303B1D"/>
    <w:rsid w:val="00304004"/>
    <w:rsid w:val="003041DC"/>
    <w:rsid w:val="003041FA"/>
    <w:rsid w:val="0030560F"/>
    <w:rsid w:val="00305C3C"/>
    <w:rsid w:val="00307807"/>
    <w:rsid w:val="003106AA"/>
    <w:rsid w:val="00310B22"/>
    <w:rsid w:val="00310CC7"/>
    <w:rsid w:val="00311B2F"/>
    <w:rsid w:val="00312738"/>
    <w:rsid w:val="00312A68"/>
    <w:rsid w:val="00312A93"/>
    <w:rsid w:val="003131FB"/>
    <w:rsid w:val="00313DA4"/>
    <w:rsid w:val="00313FD4"/>
    <w:rsid w:val="00313FF3"/>
    <w:rsid w:val="003141C6"/>
    <w:rsid w:val="00314572"/>
    <w:rsid w:val="00314AD1"/>
    <w:rsid w:val="00314CE1"/>
    <w:rsid w:val="00314ED5"/>
    <w:rsid w:val="003201CC"/>
    <w:rsid w:val="0032054E"/>
    <w:rsid w:val="00321C12"/>
    <w:rsid w:val="0032221A"/>
    <w:rsid w:val="003238E4"/>
    <w:rsid w:val="0032404A"/>
    <w:rsid w:val="00325322"/>
    <w:rsid w:val="003258B0"/>
    <w:rsid w:val="00325B82"/>
    <w:rsid w:val="00327957"/>
    <w:rsid w:val="00330936"/>
    <w:rsid w:val="003309BD"/>
    <w:rsid w:val="00330AD6"/>
    <w:rsid w:val="0033180B"/>
    <w:rsid w:val="0033271D"/>
    <w:rsid w:val="00332736"/>
    <w:rsid w:val="003337B6"/>
    <w:rsid w:val="003339E7"/>
    <w:rsid w:val="00333D0E"/>
    <w:rsid w:val="003342CD"/>
    <w:rsid w:val="0033477F"/>
    <w:rsid w:val="00334825"/>
    <w:rsid w:val="00334A69"/>
    <w:rsid w:val="00335042"/>
    <w:rsid w:val="00335087"/>
    <w:rsid w:val="00335317"/>
    <w:rsid w:val="00335AA7"/>
    <w:rsid w:val="00336F2E"/>
    <w:rsid w:val="00337185"/>
    <w:rsid w:val="003379ED"/>
    <w:rsid w:val="00337F9B"/>
    <w:rsid w:val="00340CD7"/>
    <w:rsid w:val="00341642"/>
    <w:rsid w:val="003420B7"/>
    <w:rsid w:val="00342ACA"/>
    <w:rsid w:val="00343048"/>
    <w:rsid w:val="00343A60"/>
    <w:rsid w:val="00343A8F"/>
    <w:rsid w:val="00343B58"/>
    <w:rsid w:val="00343F57"/>
    <w:rsid w:val="00344622"/>
    <w:rsid w:val="0034499F"/>
    <w:rsid w:val="00345B95"/>
    <w:rsid w:val="00345D5F"/>
    <w:rsid w:val="00346FB6"/>
    <w:rsid w:val="00347E2E"/>
    <w:rsid w:val="0035125F"/>
    <w:rsid w:val="00351491"/>
    <w:rsid w:val="00351A16"/>
    <w:rsid w:val="00351E67"/>
    <w:rsid w:val="00352C6C"/>
    <w:rsid w:val="0035300C"/>
    <w:rsid w:val="003531ED"/>
    <w:rsid w:val="00353771"/>
    <w:rsid w:val="0035460F"/>
    <w:rsid w:val="00355872"/>
    <w:rsid w:val="00355B9F"/>
    <w:rsid w:val="0035633E"/>
    <w:rsid w:val="00357733"/>
    <w:rsid w:val="003605F9"/>
    <w:rsid w:val="00360C0A"/>
    <w:rsid w:val="00360EA3"/>
    <w:rsid w:val="00361EE4"/>
    <w:rsid w:val="00362B70"/>
    <w:rsid w:val="00363C1B"/>
    <w:rsid w:val="00364619"/>
    <w:rsid w:val="003648F1"/>
    <w:rsid w:val="003648F7"/>
    <w:rsid w:val="00364DEE"/>
    <w:rsid w:val="00365B71"/>
    <w:rsid w:val="00365BBD"/>
    <w:rsid w:val="00365D44"/>
    <w:rsid w:val="00366287"/>
    <w:rsid w:val="0036657F"/>
    <w:rsid w:val="00366DBE"/>
    <w:rsid w:val="00366F6E"/>
    <w:rsid w:val="0036782A"/>
    <w:rsid w:val="00370395"/>
    <w:rsid w:val="00370B72"/>
    <w:rsid w:val="003711EB"/>
    <w:rsid w:val="0037180D"/>
    <w:rsid w:val="00371E31"/>
    <w:rsid w:val="00373853"/>
    <w:rsid w:val="00373F37"/>
    <w:rsid w:val="003743E2"/>
    <w:rsid w:val="0037479A"/>
    <w:rsid w:val="00374F67"/>
    <w:rsid w:val="003759D1"/>
    <w:rsid w:val="0037650B"/>
    <w:rsid w:val="00380726"/>
    <w:rsid w:val="00381006"/>
    <w:rsid w:val="00381085"/>
    <w:rsid w:val="00381CDE"/>
    <w:rsid w:val="00382370"/>
    <w:rsid w:val="0038261A"/>
    <w:rsid w:val="00383877"/>
    <w:rsid w:val="00384664"/>
    <w:rsid w:val="00386DF3"/>
    <w:rsid w:val="003870E6"/>
    <w:rsid w:val="003875AC"/>
    <w:rsid w:val="00387B92"/>
    <w:rsid w:val="00387CDD"/>
    <w:rsid w:val="003901D9"/>
    <w:rsid w:val="003904B5"/>
    <w:rsid w:val="0039117F"/>
    <w:rsid w:val="00391453"/>
    <w:rsid w:val="00391DB3"/>
    <w:rsid w:val="00391FD9"/>
    <w:rsid w:val="00392B7E"/>
    <w:rsid w:val="00392BBA"/>
    <w:rsid w:val="00392C0C"/>
    <w:rsid w:val="003938CA"/>
    <w:rsid w:val="00393DEB"/>
    <w:rsid w:val="00394596"/>
    <w:rsid w:val="00394981"/>
    <w:rsid w:val="00394DCF"/>
    <w:rsid w:val="003954FD"/>
    <w:rsid w:val="0039615A"/>
    <w:rsid w:val="0039639C"/>
    <w:rsid w:val="00396C33"/>
    <w:rsid w:val="003971C6"/>
    <w:rsid w:val="003974DA"/>
    <w:rsid w:val="0039787D"/>
    <w:rsid w:val="00397B5A"/>
    <w:rsid w:val="003A04D7"/>
    <w:rsid w:val="003A1268"/>
    <w:rsid w:val="003A22E5"/>
    <w:rsid w:val="003A2DD8"/>
    <w:rsid w:val="003A5943"/>
    <w:rsid w:val="003A68FF"/>
    <w:rsid w:val="003A739C"/>
    <w:rsid w:val="003A7483"/>
    <w:rsid w:val="003A7B7D"/>
    <w:rsid w:val="003A7BD4"/>
    <w:rsid w:val="003B0298"/>
    <w:rsid w:val="003B0486"/>
    <w:rsid w:val="003B0844"/>
    <w:rsid w:val="003B090C"/>
    <w:rsid w:val="003B0EA7"/>
    <w:rsid w:val="003B179C"/>
    <w:rsid w:val="003B1951"/>
    <w:rsid w:val="003B19DD"/>
    <w:rsid w:val="003B31F4"/>
    <w:rsid w:val="003B33D4"/>
    <w:rsid w:val="003B39CD"/>
    <w:rsid w:val="003B4356"/>
    <w:rsid w:val="003B4641"/>
    <w:rsid w:val="003B52A5"/>
    <w:rsid w:val="003B592D"/>
    <w:rsid w:val="003B65AA"/>
    <w:rsid w:val="003B6FCA"/>
    <w:rsid w:val="003B764B"/>
    <w:rsid w:val="003B7E06"/>
    <w:rsid w:val="003C0B4A"/>
    <w:rsid w:val="003C1514"/>
    <w:rsid w:val="003C1EE1"/>
    <w:rsid w:val="003C24AF"/>
    <w:rsid w:val="003C2E24"/>
    <w:rsid w:val="003C3A18"/>
    <w:rsid w:val="003C3D5C"/>
    <w:rsid w:val="003C445C"/>
    <w:rsid w:val="003C466C"/>
    <w:rsid w:val="003C486D"/>
    <w:rsid w:val="003C5719"/>
    <w:rsid w:val="003C603A"/>
    <w:rsid w:val="003C7907"/>
    <w:rsid w:val="003C7B82"/>
    <w:rsid w:val="003C7E39"/>
    <w:rsid w:val="003C7E61"/>
    <w:rsid w:val="003D0611"/>
    <w:rsid w:val="003D0B99"/>
    <w:rsid w:val="003D392B"/>
    <w:rsid w:val="003D4244"/>
    <w:rsid w:val="003D4AC6"/>
    <w:rsid w:val="003D4B35"/>
    <w:rsid w:val="003D4B8C"/>
    <w:rsid w:val="003D5141"/>
    <w:rsid w:val="003D60D7"/>
    <w:rsid w:val="003D6ED7"/>
    <w:rsid w:val="003D7BED"/>
    <w:rsid w:val="003E0411"/>
    <w:rsid w:val="003E0E0C"/>
    <w:rsid w:val="003E1C8F"/>
    <w:rsid w:val="003E1CE3"/>
    <w:rsid w:val="003E2092"/>
    <w:rsid w:val="003E2673"/>
    <w:rsid w:val="003E2F86"/>
    <w:rsid w:val="003E3631"/>
    <w:rsid w:val="003E3BC3"/>
    <w:rsid w:val="003E3F41"/>
    <w:rsid w:val="003E51B4"/>
    <w:rsid w:val="003E5944"/>
    <w:rsid w:val="003E6408"/>
    <w:rsid w:val="003E6558"/>
    <w:rsid w:val="003E6812"/>
    <w:rsid w:val="003E70D1"/>
    <w:rsid w:val="003E77BC"/>
    <w:rsid w:val="003E7CEA"/>
    <w:rsid w:val="003F0184"/>
    <w:rsid w:val="003F17A4"/>
    <w:rsid w:val="003F19CE"/>
    <w:rsid w:val="003F1ABC"/>
    <w:rsid w:val="003F2E3A"/>
    <w:rsid w:val="003F393E"/>
    <w:rsid w:val="003F3B86"/>
    <w:rsid w:val="003F3DB3"/>
    <w:rsid w:val="003F778A"/>
    <w:rsid w:val="004000AE"/>
    <w:rsid w:val="004009EA"/>
    <w:rsid w:val="00400DAF"/>
    <w:rsid w:val="00401051"/>
    <w:rsid w:val="00401A15"/>
    <w:rsid w:val="00401B95"/>
    <w:rsid w:val="00402478"/>
    <w:rsid w:val="00402655"/>
    <w:rsid w:val="00402C6C"/>
    <w:rsid w:val="00403215"/>
    <w:rsid w:val="004039D3"/>
    <w:rsid w:val="00403BF2"/>
    <w:rsid w:val="004043F7"/>
    <w:rsid w:val="0040440E"/>
    <w:rsid w:val="00404955"/>
    <w:rsid w:val="004049A9"/>
    <w:rsid w:val="00404F0C"/>
    <w:rsid w:val="00404FD2"/>
    <w:rsid w:val="0040507C"/>
    <w:rsid w:val="00405B80"/>
    <w:rsid w:val="00406776"/>
    <w:rsid w:val="00407780"/>
    <w:rsid w:val="004101E4"/>
    <w:rsid w:val="0041116D"/>
    <w:rsid w:val="0041191B"/>
    <w:rsid w:val="00411C80"/>
    <w:rsid w:val="00411E74"/>
    <w:rsid w:val="00412292"/>
    <w:rsid w:val="00412BB6"/>
    <w:rsid w:val="00413367"/>
    <w:rsid w:val="00413E03"/>
    <w:rsid w:val="00413EE3"/>
    <w:rsid w:val="0041456D"/>
    <w:rsid w:val="0041485D"/>
    <w:rsid w:val="00414C64"/>
    <w:rsid w:val="00415539"/>
    <w:rsid w:val="00415807"/>
    <w:rsid w:val="00415E5F"/>
    <w:rsid w:val="00416A1C"/>
    <w:rsid w:val="004178B1"/>
    <w:rsid w:val="004179EB"/>
    <w:rsid w:val="00421B0A"/>
    <w:rsid w:val="004220D0"/>
    <w:rsid w:val="00424D64"/>
    <w:rsid w:val="00424D91"/>
    <w:rsid w:val="00425761"/>
    <w:rsid w:val="00425D35"/>
    <w:rsid w:val="00425DC3"/>
    <w:rsid w:val="00427481"/>
    <w:rsid w:val="004278D7"/>
    <w:rsid w:val="00427A53"/>
    <w:rsid w:val="00427B31"/>
    <w:rsid w:val="00427CC7"/>
    <w:rsid w:val="00427F10"/>
    <w:rsid w:val="00430536"/>
    <w:rsid w:val="00431112"/>
    <w:rsid w:val="0043214C"/>
    <w:rsid w:val="0043289B"/>
    <w:rsid w:val="00432B2B"/>
    <w:rsid w:val="00433145"/>
    <w:rsid w:val="0043415E"/>
    <w:rsid w:val="004358BB"/>
    <w:rsid w:val="00436952"/>
    <w:rsid w:val="00436BEB"/>
    <w:rsid w:val="0043792B"/>
    <w:rsid w:val="00437D9D"/>
    <w:rsid w:val="0044022E"/>
    <w:rsid w:val="004406B6"/>
    <w:rsid w:val="00440F91"/>
    <w:rsid w:val="004411CE"/>
    <w:rsid w:val="0044163A"/>
    <w:rsid w:val="00444418"/>
    <w:rsid w:val="00447F3D"/>
    <w:rsid w:val="004500B2"/>
    <w:rsid w:val="00450414"/>
    <w:rsid w:val="00450738"/>
    <w:rsid w:val="00451D75"/>
    <w:rsid w:val="00452A78"/>
    <w:rsid w:val="00452C4A"/>
    <w:rsid w:val="00452FFE"/>
    <w:rsid w:val="00454286"/>
    <w:rsid w:val="0045429A"/>
    <w:rsid w:val="0045465E"/>
    <w:rsid w:val="004546FF"/>
    <w:rsid w:val="00454947"/>
    <w:rsid w:val="00454CCA"/>
    <w:rsid w:val="00454E2D"/>
    <w:rsid w:val="00455556"/>
    <w:rsid w:val="00456932"/>
    <w:rsid w:val="004577E7"/>
    <w:rsid w:val="00457BDE"/>
    <w:rsid w:val="00460710"/>
    <w:rsid w:val="00460A37"/>
    <w:rsid w:val="00460FDE"/>
    <w:rsid w:val="004611F1"/>
    <w:rsid w:val="004613FB"/>
    <w:rsid w:val="0046160D"/>
    <w:rsid w:val="00462095"/>
    <w:rsid w:val="00462362"/>
    <w:rsid w:val="004626DB"/>
    <w:rsid w:val="00462A7B"/>
    <w:rsid w:val="00463168"/>
    <w:rsid w:val="0046382E"/>
    <w:rsid w:val="00464356"/>
    <w:rsid w:val="0046483F"/>
    <w:rsid w:val="00465CAA"/>
    <w:rsid w:val="0046637F"/>
    <w:rsid w:val="00466731"/>
    <w:rsid w:val="00466DD5"/>
    <w:rsid w:val="00466F68"/>
    <w:rsid w:val="00467091"/>
    <w:rsid w:val="00467204"/>
    <w:rsid w:val="00467A14"/>
    <w:rsid w:val="00467CE9"/>
    <w:rsid w:val="00467E83"/>
    <w:rsid w:val="00471618"/>
    <w:rsid w:val="0047237E"/>
    <w:rsid w:val="00472609"/>
    <w:rsid w:val="0047265F"/>
    <w:rsid w:val="00473B71"/>
    <w:rsid w:val="00474711"/>
    <w:rsid w:val="00474D7C"/>
    <w:rsid w:val="004755FE"/>
    <w:rsid w:val="00475EC2"/>
    <w:rsid w:val="004766ED"/>
    <w:rsid w:val="00476DEF"/>
    <w:rsid w:val="00477B47"/>
    <w:rsid w:val="00480347"/>
    <w:rsid w:val="004811F0"/>
    <w:rsid w:val="00482B81"/>
    <w:rsid w:val="00482BE4"/>
    <w:rsid w:val="00482D4C"/>
    <w:rsid w:val="00482ECF"/>
    <w:rsid w:val="0048322B"/>
    <w:rsid w:val="00483475"/>
    <w:rsid w:val="004836F2"/>
    <w:rsid w:val="004838E4"/>
    <w:rsid w:val="0048463A"/>
    <w:rsid w:val="00484D0F"/>
    <w:rsid w:val="00485043"/>
    <w:rsid w:val="00485471"/>
    <w:rsid w:val="00485F70"/>
    <w:rsid w:val="004862F5"/>
    <w:rsid w:val="00486839"/>
    <w:rsid w:val="00486C59"/>
    <w:rsid w:val="0048719F"/>
    <w:rsid w:val="0048736F"/>
    <w:rsid w:val="0049002B"/>
    <w:rsid w:val="00490622"/>
    <w:rsid w:val="004908B0"/>
    <w:rsid w:val="00492406"/>
    <w:rsid w:val="00492BF6"/>
    <w:rsid w:val="0049311E"/>
    <w:rsid w:val="004948EC"/>
    <w:rsid w:val="00494AD2"/>
    <w:rsid w:val="00494FA9"/>
    <w:rsid w:val="00495EAA"/>
    <w:rsid w:val="00497128"/>
    <w:rsid w:val="00497666"/>
    <w:rsid w:val="004A10CE"/>
    <w:rsid w:val="004A1638"/>
    <w:rsid w:val="004A27A8"/>
    <w:rsid w:val="004A3018"/>
    <w:rsid w:val="004A37D4"/>
    <w:rsid w:val="004A4499"/>
    <w:rsid w:val="004A5F2C"/>
    <w:rsid w:val="004A60BD"/>
    <w:rsid w:val="004A6A52"/>
    <w:rsid w:val="004A6D37"/>
    <w:rsid w:val="004A6E14"/>
    <w:rsid w:val="004A6ECF"/>
    <w:rsid w:val="004A6FA8"/>
    <w:rsid w:val="004B0147"/>
    <w:rsid w:val="004B02BE"/>
    <w:rsid w:val="004B19E9"/>
    <w:rsid w:val="004B31E6"/>
    <w:rsid w:val="004B3C0F"/>
    <w:rsid w:val="004B4A3C"/>
    <w:rsid w:val="004B522C"/>
    <w:rsid w:val="004B5A3E"/>
    <w:rsid w:val="004B5C90"/>
    <w:rsid w:val="004B5CEC"/>
    <w:rsid w:val="004B676B"/>
    <w:rsid w:val="004C009B"/>
    <w:rsid w:val="004C05E4"/>
    <w:rsid w:val="004C0A99"/>
    <w:rsid w:val="004C0EF9"/>
    <w:rsid w:val="004C1404"/>
    <w:rsid w:val="004C28DF"/>
    <w:rsid w:val="004C319D"/>
    <w:rsid w:val="004C405F"/>
    <w:rsid w:val="004C42A9"/>
    <w:rsid w:val="004C4DC6"/>
    <w:rsid w:val="004C4F38"/>
    <w:rsid w:val="004C5FAE"/>
    <w:rsid w:val="004C6D55"/>
    <w:rsid w:val="004C7524"/>
    <w:rsid w:val="004D03DB"/>
    <w:rsid w:val="004D067B"/>
    <w:rsid w:val="004D0FF0"/>
    <w:rsid w:val="004D2B28"/>
    <w:rsid w:val="004D3093"/>
    <w:rsid w:val="004D32A2"/>
    <w:rsid w:val="004D4376"/>
    <w:rsid w:val="004D4AE5"/>
    <w:rsid w:val="004D50F0"/>
    <w:rsid w:val="004D6F6B"/>
    <w:rsid w:val="004D7357"/>
    <w:rsid w:val="004D761D"/>
    <w:rsid w:val="004E00AE"/>
    <w:rsid w:val="004E06DE"/>
    <w:rsid w:val="004E11C1"/>
    <w:rsid w:val="004E1259"/>
    <w:rsid w:val="004E1293"/>
    <w:rsid w:val="004E1ABA"/>
    <w:rsid w:val="004E1E1B"/>
    <w:rsid w:val="004E1F20"/>
    <w:rsid w:val="004E2A52"/>
    <w:rsid w:val="004E2EE7"/>
    <w:rsid w:val="004E3590"/>
    <w:rsid w:val="004E39E1"/>
    <w:rsid w:val="004E4BB9"/>
    <w:rsid w:val="004E4CC6"/>
    <w:rsid w:val="004E5AB7"/>
    <w:rsid w:val="004E620B"/>
    <w:rsid w:val="004E6CEE"/>
    <w:rsid w:val="004E7768"/>
    <w:rsid w:val="004F008C"/>
    <w:rsid w:val="004F0090"/>
    <w:rsid w:val="004F00BA"/>
    <w:rsid w:val="004F011F"/>
    <w:rsid w:val="004F03F4"/>
    <w:rsid w:val="004F0622"/>
    <w:rsid w:val="004F12C3"/>
    <w:rsid w:val="004F193B"/>
    <w:rsid w:val="004F245E"/>
    <w:rsid w:val="004F25A1"/>
    <w:rsid w:val="004F27EC"/>
    <w:rsid w:val="004F390E"/>
    <w:rsid w:val="004F3914"/>
    <w:rsid w:val="004F3DF3"/>
    <w:rsid w:val="004F49F8"/>
    <w:rsid w:val="004F4C00"/>
    <w:rsid w:val="004F4F04"/>
    <w:rsid w:val="004F5199"/>
    <w:rsid w:val="004F5286"/>
    <w:rsid w:val="004F530F"/>
    <w:rsid w:val="004F5636"/>
    <w:rsid w:val="004F56D0"/>
    <w:rsid w:val="004F5CC4"/>
    <w:rsid w:val="004F5DFC"/>
    <w:rsid w:val="004F6274"/>
    <w:rsid w:val="005004E0"/>
    <w:rsid w:val="00501572"/>
    <w:rsid w:val="0050235E"/>
    <w:rsid w:val="00502A0C"/>
    <w:rsid w:val="00503A99"/>
    <w:rsid w:val="00503B31"/>
    <w:rsid w:val="00503E44"/>
    <w:rsid w:val="005042D0"/>
    <w:rsid w:val="00504648"/>
    <w:rsid w:val="0050560F"/>
    <w:rsid w:val="00505E76"/>
    <w:rsid w:val="00506FD3"/>
    <w:rsid w:val="005075C6"/>
    <w:rsid w:val="005076B2"/>
    <w:rsid w:val="0050777E"/>
    <w:rsid w:val="005079A1"/>
    <w:rsid w:val="005116D8"/>
    <w:rsid w:val="00511CB1"/>
    <w:rsid w:val="00513FE8"/>
    <w:rsid w:val="0051429B"/>
    <w:rsid w:val="00514951"/>
    <w:rsid w:val="00514F91"/>
    <w:rsid w:val="00515283"/>
    <w:rsid w:val="005158D4"/>
    <w:rsid w:val="00515CC1"/>
    <w:rsid w:val="00517483"/>
    <w:rsid w:val="005205F8"/>
    <w:rsid w:val="0052195A"/>
    <w:rsid w:val="005227CE"/>
    <w:rsid w:val="00522A6A"/>
    <w:rsid w:val="00522B3B"/>
    <w:rsid w:val="005231C5"/>
    <w:rsid w:val="005234FF"/>
    <w:rsid w:val="00524286"/>
    <w:rsid w:val="0052483B"/>
    <w:rsid w:val="00524B7A"/>
    <w:rsid w:val="00524DA0"/>
    <w:rsid w:val="00524E43"/>
    <w:rsid w:val="00525FBF"/>
    <w:rsid w:val="005263DA"/>
    <w:rsid w:val="00526E62"/>
    <w:rsid w:val="0052702F"/>
    <w:rsid w:val="005302CC"/>
    <w:rsid w:val="0053084B"/>
    <w:rsid w:val="00530CD6"/>
    <w:rsid w:val="00530D81"/>
    <w:rsid w:val="00530F86"/>
    <w:rsid w:val="00531719"/>
    <w:rsid w:val="00533926"/>
    <w:rsid w:val="00533AB1"/>
    <w:rsid w:val="00533CF7"/>
    <w:rsid w:val="00533D93"/>
    <w:rsid w:val="005344F5"/>
    <w:rsid w:val="00534578"/>
    <w:rsid w:val="00534582"/>
    <w:rsid w:val="005349DC"/>
    <w:rsid w:val="00535195"/>
    <w:rsid w:val="005353AD"/>
    <w:rsid w:val="0053569E"/>
    <w:rsid w:val="00535AAD"/>
    <w:rsid w:val="00536862"/>
    <w:rsid w:val="0053744F"/>
    <w:rsid w:val="00537FB7"/>
    <w:rsid w:val="00540237"/>
    <w:rsid w:val="00540E74"/>
    <w:rsid w:val="005411D1"/>
    <w:rsid w:val="00541E91"/>
    <w:rsid w:val="005425EF"/>
    <w:rsid w:val="005427F4"/>
    <w:rsid w:val="00542873"/>
    <w:rsid w:val="00542917"/>
    <w:rsid w:val="00542C97"/>
    <w:rsid w:val="0054347A"/>
    <w:rsid w:val="00543BCB"/>
    <w:rsid w:val="00543C4D"/>
    <w:rsid w:val="00543E2A"/>
    <w:rsid w:val="00543F30"/>
    <w:rsid w:val="00544081"/>
    <w:rsid w:val="0054411B"/>
    <w:rsid w:val="005443F0"/>
    <w:rsid w:val="00545039"/>
    <w:rsid w:val="00545C0B"/>
    <w:rsid w:val="0054616A"/>
    <w:rsid w:val="00546F49"/>
    <w:rsid w:val="0054783A"/>
    <w:rsid w:val="0054793F"/>
    <w:rsid w:val="005501F3"/>
    <w:rsid w:val="00551ACA"/>
    <w:rsid w:val="0055279E"/>
    <w:rsid w:val="005544B6"/>
    <w:rsid w:val="005545C9"/>
    <w:rsid w:val="005545EE"/>
    <w:rsid w:val="005553E1"/>
    <w:rsid w:val="005556A7"/>
    <w:rsid w:val="00555C2C"/>
    <w:rsid w:val="0055675D"/>
    <w:rsid w:val="0055682C"/>
    <w:rsid w:val="005569C8"/>
    <w:rsid w:val="00556D20"/>
    <w:rsid w:val="005573C4"/>
    <w:rsid w:val="0055746A"/>
    <w:rsid w:val="00557B5A"/>
    <w:rsid w:val="00557E8A"/>
    <w:rsid w:val="00560851"/>
    <w:rsid w:val="005608DD"/>
    <w:rsid w:val="00561334"/>
    <w:rsid w:val="005614D4"/>
    <w:rsid w:val="00562737"/>
    <w:rsid w:val="005628EC"/>
    <w:rsid w:val="005630F1"/>
    <w:rsid w:val="005634E9"/>
    <w:rsid w:val="005644A6"/>
    <w:rsid w:val="00565244"/>
    <w:rsid w:val="005663A3"/>
    <w:rsid w:val="00566D35"/>
    <w:rsid w:val="00566E8F"/>
    <w:rsid w:val="005675C1"/>
    <w:rsid w:val="00567EE3"/>
    <w:rsid w:val="00567F17"/>
    <w:rsid w:val="00570138"/>
    <w:rsid w:val="005709DE"/>
    <w:rsid w:val="005726BA"/>
    <w:rsid w:val="00573FFC"/>
    <w:rsid w:val="0057414C"/>
    <w:rsid w:val="0057422E"/>
    <w:rsid w:val="00574D81"/>
    <w:rsid w:val="00575925"/>
    <w:rsid w:val="00576591"/>
    <w:rsid w:val="005779E6"/>
    <w:rsid w:val="00577E2D"/>
    <w:rsid w:val="00577EE7"/>
    <w:rsid w:val="005820A2"/>
    <w:rsid w:val="00582A74"/>
    <w:rsid w:val="00582E91"/>
    <w:rsid w:val="005833BE"/>
    <w:rsid w:val="00583CB0"/>
    <w:rsid w:val="0058434D"/>
    <w:rsid w:val="00584534"/>
    <w:rsid w:val="00584D0B"/>
    <w:rsid w:val="00584FC5"/>
    <w:rsid w:val="005851D6"/>
    <w:rsid w:val="0058568D"/>
    <w:rsid w:val="005858FB"/>
    <w:rsid w:val="00585C1E"/>
    <w:rsid w:val="005861B5"/>
    <w:rsid w:val="005871CB"/>
    <w:rsid w:val="00591731"/>
    <w:rsid w:val="0059302A"/>
    <w:rsid w:val="0059423C"/>
    <w:rsid w:val="00594928"/>
    <w:rsid w:val="00595058"/>
    <w:rsid w:val="0059675E"/>
    <w:rsid w:val="005A0192"/>
    <w:rsid w:val="005A0871"/>
    <w:rsid w:val="005A0E3B"/>
    <w:rsid w:val="005A2572"/>
    <w:rsid w:val="005A34FA"/>
    <w:rsid w:val="005A4F7C"/>
    <w:rsid w:val="005A5BA0"/>
    <w:rsid w:val="005A611F"/>
    <w:rsid w:val="005A68FF"/>
    <w:rsid w:val="005A6C6F"/>
    <w:rsid w:val="005A6FF5"/>
    <w:rsid w:val="005A710E"/>
    <w:rsid w:val="005A78A7"/>
    <w:rsid w:val="005A7E7E"/>
    <w:rsid w:val="005B177A"/>
    <w:rsid w:val="005B22B2"/>
    <w:rsid w:val="005B2B5C"/>
    <w:rsid w:val="005B304A"/>
    <w:rsid w:val="005B3AF1"/>
    <w:rsid w:val="005B5E69"/>
    <w:rsid w:val="005B6562"/>
    <w:rsid w:val="005B6F04"/>
    <w:rsid w:val="005B781B"/>
    <w:rsid w:val="005C0153"/>
    <w:rsid w:val="005C032C"/>
    <w:rsid w:val="005C0F80"/>
    <w:rsid w:val="005C2752"/>
    <w:rsid w:val="005C2D78"/>
    <w:rsid w:val="005C35CE"/>
    <w:rsid w:val="005C5797"/>
    <w:rsid w:val="005C6318"/>
    <w:rsid w:val="005C73D6"/>
    <w:rsid w:val="005C754A"/>
    <w:rsid w:val="005D0DBB"/>
    <w:rsid w:val="005D1C4C"/>
    <w:rsid w:val="005D1E44"/>
    <w:rsid w:val="005D1F93"/>
    <w:rsid w:val="005D2168"/>
    <w:rsid w:val="005D310D"/>
    <w:rsid w:val="005D318C"/>
    <w:rsid w:val="005D35E1"/>
    <w:rsid w:val="005D3F61"/>
    <w:rsid w:val="005D4E55"/>
    <w:rsid w:val="005D5B45"/>
    <w:rsid w:val="005D5BAA"/>
    <w:rsid w:val="005D6C6A"/>
    <w:rsid w:val="005D72DF"/>
    <w:rsid w:val="005D792A"/>
    <w:rsid w:val="005D7D5A"/>
    <w:rsid w:val="005D7E35"/>
    <w:rsid w:val="005E0420"/>
    <w:rsid w:val="005E0547"/>
    <w:rsid w:val="005E0B17"/>
    <w:rsid w:val="005E0BF6"/>
    <w:rsid w:val="005E0E85"/>
    <w:rsid w:val="005E19D2"/>
    <w:rsid w:val="005E1EF9"/>
    <w:rsid w:val="005E2368"/>
    <w:rsid w:val="005E39FC"/>
    <w:rsid w:val="005E3D21"/>
    <w:rsid w:val="005E4792"/>
    <w:rsid w:val="005E4BAC"/>
    <w:rsid w:val="005E580A"/>
    <w:rsid w:val="005E5FA9"/>
    <w:rsid w:val="005E673E"/>
    <w:rsid w:val="005E787E"/>
    <w:rsid w:val="005E7BFF"/>
    <w:rsid w:val="005F0ABE"/>
    <w:rsid w:val="005F0D01"/>
    <w:rsid w:val="005F0D34"/>
    <w:rsid w:val="005F0EC4"/>
    <w:rsid w:val="005F110A"/>
    <w:rsid w:val="005F1A45"/>
    <w:rsid w:val="005F1BC2"/>
    <w:rsid w:val="005F3512"/>
    <w:rsid w:val="005F36E3"/>
    <w:rsid w:val="005F39A5"/>
    <w:rsid w:val="005F3AA0"/>
    <w:rsid w:val="005F3D1F"/>
    <w:rsid w:val="005F4441"/>
    <w:rsid w:val="005F622A"/>
    <w:rsid w:val="005F6D05"/>
    <w:rsid w:val="005F76F1"/>
    <w:rsid w:val="005F77F5"/>
    <w:rsid w:val="005F7DD4"/>
    <w:rsid w:val="006000A4"/>
    <w:rsid w:val="00600EAB"/>
    <w:rsid w:val="0060130D"/>
    <w:rsid w:val="00601437"/>
    <w:rsid w:val="00601AA5"/>
    <w:rsid w:val="00601CAA"/>
    <w:rsid w:val="006023F9"/>
    <w:rsid w:val="006026DC"/>
    <w:rsid w:val="00603C76"/>
    <w:rsid w:val="00605A9A"/>
    <w:rsid w:val="00605BEF"/>
    <w:rsid w:val="0060607A"/>
    <w:rsid w:val="00606316"/>
    <w:rsid w:val="00606403"/>
    <w:rsid w:val="00606671"/>
    <w:rsid w:val="00607C8A"/>
    <w:rsid w:val="00607DA9"/>
    <w:rsid w:val="00610053"/>
    <w:rsid w:val="00610060"/>
    <w:rsid w:val="006100D2"/>
    <w:rsid w:val="006100E5"/>
    <w:rsid w:val="00610102"/>
    <w:rsid w:val="00611494"/>
    <w:rsid w:val="0061162A"/>
    <w:rsid w:val="00611682"/>
    <w:rsid w:val="00612329"/>
    <w:rsid w:val="006125D4"/>
    <w:rsid w:val="006126E6"/>
    <w:rsid w:val="00612734"/>
    <w:rsid w:val="006137A6"/>
    <w:rsid w:val="00613B16"/>
    <w:rsid w:val="006140A2"/>
    <w:rsid w:val="00614511"/>
    <w:rsid w:val="00614934"/>
    <w:rsid w:val="00615574"/>
    <w:rsid w:val="00615862"/>
    <w:rsid w:val="0061608D"/>
    <w:rsid w:val="00617430"/>
    <w:rsid w:val="00617D8E"/>
    <w:rsid w:val="006201AF"/>
    <w:rsid w:val="00620990"/>
    <w:rsid w:val="00620C58"/>
    <w:rsid w:val="006211F4"/>
    <w:rsid w:val="006218C6"/>
    <w:rsid w:val="00621EB4"/>
    <w:rsid w:val="006222EE"/>
    <w:rsid w:val="00622405"/>
    <w:rsid w:val="0062252D"/>
    <w:rsid w:val="00622715"/>
    <w:rsid w:val="00623113"/>
    <w:rsid w:val="00623F9C"/>
    <w:rsid w:val="00624086"/>
    <w:rsid w:val="006243C6"/>
    <w:rsid w:val="006252EC"/>
    <w:rsid w:val="00625AD4"/>
    <w:rsid w:val="00625BF5"/>
    <w:rsid w:val="00627163"/>
    <w:rsid w:val="006274A1"/>
    <w:rsid w:val="00627B91"/>
    <w:rsid w:val="006303F9"/>
    <w:rsid w:val="00630496"/>
    <w:rsid w:val="00630893"/>
    <w:rsid w:val="00630C4F"/>
    <w:rsid w:val="00632936"/>
    <w:rsid w:val="00632983"/>
    <w:rsid w:val="0063322B"/>
    <w:rsid w:val="00633DCE"/>
    <w:rsid w:val="006346B7"/>
    <w:rsid w:val="00634C7B"/>
    <w:rsid w:val="006350C9"/>
    <w:rsid w:val="00635E5B"/>
    <w:rsid w:val="0063609E"/>
    <w:rsid w:val="00637AF2"/>
    <w:rsid w:val="006406B5"/>
    <w:rsid w:val="00640BB2"/>
    <w:rsid w:val="0064115E"/>
    <w:rsid w:val="0064129F"/>
    <w:rsid w:val="00641324"/>
    <w:rsid w:val="00642176"/>
    <w:rsid w:val="00642396"/>
    <w:rsid w:val="0064309D"/>
    <w:rsid w:val="00643AF4"/>
    <w:rsid w:val="00645612"/>
    <w:rsid w:val="00645B3C"/>
    <w:rsid w:val="00647BB7"/>
    <w:rsid w:val="006524A6"/>
    <w:rsid w:val="00653F55"/>
    <w:rsid w:val="00654241"/>
    <w:rsid w:val="00654457"/>
    <w:rsid w:val="00654721"/>
    <w:rsid w:val="00657F4B"/>
    <w:rsid w:val="00660188"/>
    <w:rsid w:val="00660DA3"/>
    <w:rsid w:val="00660F56"/>
    <w:rsid w:val="00661667"/>
    <w:rsid w:val="00661A38"/>
    <w:rsid w:val="00662142"/>
    <w:rsid w:val="00662F95"/>
    <w:rsid w:val="00663E9D"/>
    <w:rsid w:val="006658B8"/>
    <w:rsid w:val="00666884"/>
    <w:rsid w:val="00666B28"/>
    <w:rsid w:val="0066778A"/>
    <w:rsid w:val="0066799A"/>
    <w:rsid w:val="00670CEE"/>
    <w:rsid w:val="00670FB7"/>
    <w:rsid w:val="00671072"/>
    <w:rsid w:val="006711DF"/>
    <w:rsid w:val="0067337E"/>
    <w:rsid w:val="0067381B"/>
    <w:rsid w:val="0067382E"/>
    <w:rsid w:val="00674285"/>
    <w:rsid w:val="006747C5"/>
    <w:rsid w:val="0067614C"/>
    <w:rsid w:val="006763EA"/>
    <w:rsid w:val="006765E0"/>
    <w:rsid w:val="0067739E"/>
    <w:rsid w:val="006773B3"/>
    <w:rsid w:val="00677919"/>
    <w:rsid w:val="00680047"/>
    <w:rsid w:val="00680297"/>
    <w:rsid w:val="00680301"/>
    <w:rsid w:val="0068046D"/>
    <w:rsid w:val="00680871"/>
    <w:rsid w:val="00680E4D"/>
    <w:rsid w:val="006812F0"/>
    <w:rsid w:val="006819A7"/>
    <w:rsid w:val="00683368"/>
    <w:rsid w:val="00683956"/>
    <w:rsid w:val="00683C67"/>
    <w:rsid w:val="00684D33"/>
    <w:rsid w:val="006865B1"/>
    <w:rsid w:val="00686624"/>
    <w:rsid w:val="00686EAC"/>
    <w:rsid w:val="006873CE"/>
    <w:rsid w:val="0069019E"/>
    <w:rsid w:val="006907C7"/>
    <w:rsid w:val="006909A7"/>
    <w:rsid w:val="00690A0A"/>
    <w:rsid w:val="00691583"/>
    <w:rsid w:val="00691918"/>
    <w:rsid w:val="00691D83"/>
    <w:rsid w:val="0069205F"/>
    <w:rsid w:val="00692EB3"/>
    <w:rsid w:val="00693146"/>
    <w:rsid w:val="0069471D"/>
    <w:rsid w:val="00694B1E"/>
    <w:rsid w:val="00695004"/>
    <w:rsid w:val="00695E72"/>
    <w:rsid w:val="00696990"/>
    <w:rsid w:val="00696B8C"/>
    <w:rsid w:val="00696B9B"/>
    <w:rsid w:val="00697481"/>
    <w:rsid w:val="00697AD0"/>
    <w:rsid w:val="00697F3C"/>
    <w:rsid w:val="006A06B4"/>
    <w:rsid w:val="006A0786"/>
    <w:rsid w:val="006A0F2C"/>
    <w:rsid w:val="006A11D6"/>
    <w:rsid w:val="006A1731"/>
    <w:rsid w:val="006A226E"/>
    <w:rsid w:val="006A2C80"/>
    <w:rsid w:val="006A30BC"/>
    <w:rsid w:val="006A409B"/>
    <w:rsid w:val="006A434F"/>
    <w:rsid w:val="006A441A"/>
    <w:rsid w:val="006A4DA0"/>
    <w:rsid w:val="006A5050"/>
    <w:rsid w:val="006A5677"/>
    <w:rsid w:val="006A63F9"/>
    <w:rsid w:val="006A6977"/>
    <w:rsid w:val="006A6DC4"/>
    <w:rsid w:val="006A7965"/>
    <w:rsid w:val="006A7C68"/>
    <w:rsid w:val="006B0609"/>
    <w:rsid w:val="006B0801"/>
    <w:rsid w:val="006B1065"/>
    <w:rsid w:val="006B274C"/>
    <w:rsid w:val="006B278B"/>
    <w:rsid w:val="006B28CD"/>
    <w:rsid w:val="006B2C25"/>
    <w:rsid w:val="006B433B"/>
    <w:rsid w:val="006B501A"/>
    <w:rsid w:val="006B520A"/>
    <w:rsid w:val="006B523A"/>
    <w:rsid w:val="006B56AB"/>
    <w:rsid w:val="006B5A94"/>
    <w:rsid w:val="006B63CD"/>
    <w:rsid w:val="006B6E11"/>
    <w:rsid w:val="006B7691"/>
    <w:rsid w:val="006B76AE"/>
    <w:rsid w:val="006B7ABC"/>
    <w:rsid w:val="006C170A"/>
    <w:rsid w:val="006C1C14"/>
    <w:rsid w:val="006C33E2"/>
    <w:rsid w:val="006C3A8B"/>
    <w:rsid w:val="006C3C47"/>
    <w:rsid w:val="006C4AAC"/>
    <w:rsid w:val="006C59B2"/>
    <w:rsid w:val="006C653D"/>
    <w:rsid w:val="006C693A"/>
    <w:rsid w:val="006C78FA"/>
    <w:rsid w:val="006C7EC9"/>
    <w:rsid w:val="006D07B2"/>
    <w:rsid w:val="006D10EC"/>
    <w:rsid w:val="006D1AD4"/>
    <w:rsid w:val="006D2267"/>
    <w:rsid w:val="006D2450"/>
    <w:rsid w:val="006D269A"/>
    <w:rsid w:val="006D39CC"/>
    <w:rsid w:val="006D443A"/>
    <w:rsid w:val="006D478B"/>
    <w:rsid w:val="006D48C9"/>
    <w:rsid w:val="006D4A66"/>
    <w:rsid w:val="006D4B6B"/>
    <w:rsid w:val="006D4DAA"/>
    <w:rsid w:val="006D60D0"/>
    <w:rsid w:val="006D672B"/>
    <w:rsid w:val="006D67FF"/>
    <w:rsid w:val="006D696B"/>
    <w:rsid w:val="006D6BB2"/>
    <w:rsid w:val="006D6D98"/>
    <w:rsid w:val="006D6FFF"/>
    <w:rsid w:val="006E04DB"/>
    <w:rsid w:val="006E0852"/>
    <w:rsid w:val="006E0CBA"/>
    <w:rsid w:val="006E15CA"/>
    <w:rsid w:val="006E18B8"/>
    <w:rsid w:val="006E1BFC"/>
    <w:rsid w:val="006E22FE"/>
    <w:rsid w:val="006E3AB4"/>
    <w:rsid w:val="006E3E2B"/>
    <w:rsid w:val="006E4203"/>
    <w:rsid w:val="006E4902"/>
    <w:rsid w:val="006E4EAF"/>
    <w:rsid w:val="006E53BF"/>
    <w:rsid w:val="006E5586"/>
    <w:rsid w:val="006E5744"/>
    <w:rsid w:val="006E5BF1"/>
    <w:rsid w:val="006E5DDD"/>
    <w:rsid w:val="006E6321"/>
    <w:rsid w:val="006E7BEC"/>
    <w:rsid w:val="006F06C1"/>
    <w:rsid w:val="006F0C0D"/>
    <w:rsid w:val="006F129D"/>
    <w:rsid w:val="006F14BB"/>
    <w:rsid w:val="006F1954"/>
    <w:rsid w:val="006F1DE3"/>
    <w:rsid w:val="006F217A"/>
    <w:rsid w:val="006F283A"/>
    <w:rsid w:val="006F2BB8"/>
    <w:rsid w:val="006F3348"/>
    <w:rsid w:val="006F4166"/>
    <w:rsid w:val="006F41F2"/>
    <w:rsid w:val="006F488B"/>
    <w:rsid w:val="006F5001"/>
    <w:rsid w:val="006F50F9"/>
    <w:rsid w:val="006F66E0"/>
    <w:rsid w:val="006F683C"/>
    <w:rsid w:val="006F683E"/>
    <w:rsid w:val="006F6C2A"/>
    <w:rsid w:val="006F7388"/>
    <w:rsid w:val="006F74AB"/>
    <w:rsid w:val="00700110"/>
    <w:rsid w:val="0070046D"/>
    <w:rsid w:val="00701066"/>
    <w:rsid w:val="007010A0"/>
    <w:rsid w:val="0070169C"/>
    <w:rsid w:val="007019E1"/>
    <w:rsid w:val="00701F57"/>
    <w:rsid w:val="007036E6"/>
    <w:rsid w:val="00703F80"/>
    <w:rsid w:val="00703FB9"/>
    <w:rsid w:val="0070484E"/>
    <w:rsid w:val="00704976"/>
    <w:rsid w:val="0070497D"/>
    <w:rsid w:val="00704AC7"/>
    <w:rsid w:val="00704CCA"/>
    <w:rsid w:val="00705095"/>
    <w:rsid w:val="00705171"/>
    <w:rsid w:val="007052C1"/>
    <w:rsid w:val="007053B0"/>
    <w:rsid w:val="00706A65"/>
    <w:rsid w:val="007075F6"/>
    <w:rsid w:val="00707E0E"/>
    <w:rsid w:val="00710C42"/>
    <w:rsid w:val="00710E94"/>
    <w:rsid w:val="007112A3"/>
    <w:rsid w:val="00711A1B"/>
    <w:rsid w:val="00712018"/>
    <w:rsid w:val="00712C6D"/>
    <w:rsid w:val="00713CA0"/>
    <w:rsid w:val="007140CF"/>
    <w:rsid w:val="007143E1"/>
    <w:rsid w:val="00715D54"/>
    <w:rsid w:val="007164C2"/>
    <w:rsid w:val="00716925"/>
    <w:rsid w:val="0072026A"/>
    <w:rsid w:val="00720C96"/>
    <w:rsid w:val="00721933"/>
    <w:rsid w:val="00721B4D"/>
    <w:rsid w:val="007227F5"/>
    <w:rsid w:val="00722B2B"/>
    <w:rsid w:val="007231D3"/>
    <w:rsid w:val="00723805"/>
    <w:rsid w:val="00724D2C"/>
    <w:rsid w:val="00725342"/>
    <w:rsid w:val="007259F0"/>
    <w:rsid w:val="00727167"/>
    <w:rsid w:val="00727789"/>
    <w:rsid w:val="00727A06"/>
    <w:rsid w:val="00727D8A"/>
    <w:rsid w:val="00730601"/>
    <w:rsid w:val="00730DA8"/>
    <w:rsid w:val="00731FEA"/>
    <w:rsid w:val="00732332"/>
    <w:rsid w:val="007323F4"/>
    <w:rsid w:val="0073274D"/>
    <w:rsid w:val="00732B18"/>
    <w:rsid w:val="00732B2C"/>
    <w:rsid w:val="00732DC8"/>
    <w:rsid w:val="00733417"/>
    <w:rsid w:val="007335D6"/>
    <w:rsid w:val="00733781"/>
    <w:rsid w:val="00734C98"/>
    <w:rsid w:val="00735921"/>
    <w:rsid w:val="0073599B"/>
    <w:rsid w:val="00736261"/>
    <w:rsid w:val="00736CF2"/>
    <w:rsid w:val="00736F61"/>
    <w:rsid w:val="00737BBB"/>
    <w:rsid w:val="00741017"/>
    <w:rsid w:val="0074185E"/>
    <w:rsid w:val="00742253"/>
    <w:rsid w:val="00742366"/>
    <w:rsid w:val="00742664"/>
    <w:rsid w:val="00742992"/>
    <w:rsid w:val="007429F7"/>
    <w:rsid w:val="007436F0"/>
    <w:rsid w:val="007438BC"/>
    <w:rsid w:val="0074422A"/>
    <w:rsid w:val="00744C2B"/>
    <w:rsid w:val="0074526A"/>
    <w:rsid w:val="007454D9"/>
    <w:rsid w:val="00746155"/>
    <w:rsid w:val="0074688C"/>
    <w:rsid w:val="007468C7"/>
    <w:rsid w:val="007469D4"/>
    <w:rsid w:val="00746C67"/>
    <w:rsid w:val="0074728E"/>
    <w:rsid w:val="007478E8"/>
    <w:rsid w:val="007512AE"/>
    <w:rsid w:val="0075380A"/>
    <w:rsid w:val="007551DE"/>
    <w:rsid w:val="00755C98"/>
    <w:rsid w:val="00755E6A"/>
    <w:rsid w:val="00755F8B"/>
    <w:rsid w:val="00756806"/>
    <w:rsid w:val="007579E0"/>
    <w:rsid w:val="00757B95"/>
    <w:rsid w:val="00757BE3"/>
    <w:rsid w:val="00757C2D"/>
    <w:rsid w:val="00757C83"/>
    <w:rsid w:val="007606BA"/>
    <w:rsid w:val="0076119E"/>
    <w:rsid w:val="00761754"/>
    <w:rsid w:val="007622BA"/>
    <w:rsid w:val="0076254C"/>
    <w:rsid w:val="00762B99"/>
    <w:rsid w:val="00763DDA"/>
    <w:rsid w:val="00764853"/>
    <w:rsid w:val="00764BCB"/>
    <w:rsid w:val="007653C2"/>
    <w:rsid w:val="007654F4"/>
    <w:rsid w:val="00766070"/>
    <w:rsid w:val="007662C7"/>
    <w:rsid w:val="00766317"/>
    <w:rsid w:val="007664B0"/>
    <w:rsid w:val="00767E88"/>
    <w:rsid w:val="00770159"/>
    <w:rsid w:val="00770366"/>
    <w:rsid w:val="007704BC"/>
    <w:rsid w:val="00770950"/>
    <w:rsid w:val="00771F4E"/>
    <w:rsid w:val="00772FAF"/>
    <w:rsid w:val="00772FEA"/>
    <w:rsid w:val="007739A7"/>
    <w:rsid w:val="007745EB"/>
    <w:rsid w:val="00776306"/>
    <w:rsid w:val="00776762"/>
    <w:rsid w:val="00777C05"/>
    <w:rsid w:val="0078102A"/>
    <w:rsid w:val="007816E2"/>
    <w:rsid w:val="007818FF"/>
    <w:rsid w:val="00781D1D"/>
    <w:rsid w:val="00782C91"/>
    <w:rsid w:val="00783D87"/>
    <w:rsid w:val="00784097"/>
    <w:rsid w:val="00784336"/>
    <w:rsid w:val="00784F14"/>
    <w:rsid w:val="00785102"/>
    <w:rsid w:val="0078522A"/>
    <w:rsid w:val="00785809"/>
    <w:rsid w:val="00785C8E"/>
    <w:rsid w:val="00786AF4"/>
    <w:rsid w:val="00786DC5"/>
    <w:rsid w:val="00787F64"/>
    <w:rsid w:val="00790633"/>
    <w:rsid w:val="007907C6"/>
    <w:rsid w:val="007915EF"/>
    <w:rsid w:val="007917EB"/>
    <w:rsid w:val="00791B92"/>
    <w:rsid w:val="0079222E"/>
    <w:rsid w:val="007926AD"/>
    <w:rsid w:val="00792ECF"/>
    <w:rsid w:val="00793CB0"/>
    <w:rsid w:val="007943B4"/>
    <w:rsid w:val="0079507C"/>
    <w:rsid w:val="00795EE0"/>
    <w:rsid w:val="00796169"/>
    <w:rsid w:val="00796939"/>
    <w:rsid w:val="00797BC3"/>
    <w:rsid w:val="007A1858"/>
    <w:rsid w:val="007A1887"/>
    <w:rsid w:val="007A1AA6"/>
    <w:rsid w:val="007A1D5D"/>
    <w:rsid w:val="007A1F97"/>
    <w:rsid w:val="007A2726"/>
    <w:rsid w:val="007A2C29"/>
    <w:rsid w:val="007A33F8"/>
    <w:rsid w:val="007A3414"/>
    <w:rsid w:val="007A486B"/>
    <w:rsid w:val="007A4F91"/>
    <w:rsid w:val="007A55A7"/>
    <w:rsid w:val="007A57BC"/>
    <w:rsid w:val="007A66AA"/>
    <w:rsid w:val="007A7A0E"/>
    <w:rsid w:val="007A7B5C"/>
    <w:rsid w:val="007B0162"/>
    <w:rsid w:val="007B079E"/>
    <w:rsid w:val="007B0CDC"/>
    <w:rsid w:val="007B1F10"/>
    <w:rsid w:val="007B2143"/>
    <w:rsid w:val="007B268D"/>
    <w:rsid w:val="007B2D2D"/>
    <w:rsid w:val="007B2D94"/>
    <w:rsid w:val="007B335E"/>
    <w:rsid w:val="007B3493"/>
    <w:rsid w:val="007B4A9D"/>
    <w:rsid w:val="007B5E94"/>
    <w:rsid w:val="007B6685"/>
    <w:rsid w:val="007B6930"/>
    <w:rsid w:val="007B6BE0"/>
    <w:rsid w:val="007B7C4D"/>
    <w:rsid w:val="007B7DAF"/>
    <w:rsid w:val="007C0A3A"/>
    <w:rsid w:val="007C137D"/>
    <w:rsid w:val="007C17C0"/>
    <w:rsid w:val="007C1A13"/>
    <w:rsid w:val="007C1D67"/>
    <w:rsid w:val="007C234B"/>
    <w:rsid w:val="007C27A6"/>
    <w:rsid w:val="007C422F"/>
    <w:rsid w:val="007C4A67"/>
    <w:rsid w:val="007C4E08"/>
    <w:rsid w:val="007C5C2B"/>
    <w:rsid w:val="007C5CA3"/>
    <w:rsid w:val="007C7D64"/>
    <w:rsid w:val="007D002E"/>
    <w:rsid w:val="007D04B4"/>
    <w:rsid w:val="007D0D16"/>
    <w:rsid w:val="007D1D52"/>
    <w:rsid w:val="007D3E26"/>
    <w:rsid w:val="007D3F18"/>
    <w:rsid w:val="007D4118"/>
    <w:rsid w:val="007D4363"/>
    <w:rsid w:val="007D6771"/>
    <w:rsid w:val="007D68FC"/>
    <w:rsid w:val="007D74B3"/>
    <w:rsid w:val="007E018D"/>
    <w:rsid w:val="007E0828"/>
    <w:rsid w:val="007E30CB"/>
    <w:rsid w:val="007E31DF"/>
    <w:rsid w:val="007E4872"/>
    <w:rsid w:val="007E5F43"/>
    <w:rsid w:val="007E63A2"/>
    <w:rsid w:val="007E6A0E"/>
    <w:rsid w:val="007E6A45"/>
    <w:rsid w:val="007E71C3"/>
    <w:rsid w:val="007F0A1D"/>
    <w:rsid w:val="007F0C3F"/>
    <w:rsid w:val="007F0CDC"/>
    <w:rsid w:val="007F0E25"/>
    <w:rsid w:val="007F1142"/>
    <w:rsid w:val="007F17BA"/>
    <w:rsid w:val="007F195E"/>
    <w:rsid w:val="007F1B71"/>
    <w:rsid w:val="007F1B9E"/>
    <w:rsid w:val="007F2359"/>
    <w:rsid w:val="007F2937"/>
    <w:rsid w:val="007F3214"/>
    <w:rsid w:val="007F3739"/>
    <w:rsid w:val="007F4BA9"/>
    <w:rsid w:val="007F4C4C"/>
    <w:rsid w:val="007F558D"/>
    <w:rsid w:val="007F641F"/>
    <w:rsid w:val="007F6757"/>
    <w:rsid w:val="007F6DF4"/>
    <w:rsid w:val="008001DA"/>
    <w:rsid w:val="00800899"/>
    <w:rsid w:val="008011CC"/>
    <w:rsid w:val="008012D0"/>
    <w:rsid w:val="0080130F"/>
    <w:rsid w:val="008016CB"/>
    <w:rsid w:val="0080201C"/>
    <w:rsid w:val="00802745"/>
    <w:rsid w:val="00802CF1"/>
    <w:rsid w:val="0080320B"/>
    <w:rsid w:val="008037BB"/>
    <w:rsid w:val="00803A1F"/>
    <w:rsid w:val="0080460D"/>
    <w:rsid w:val="00805D55"/>
    <w:rsid w:val="00807015"/>
    <w:rsid w:val="00807E7D"/>
    <w:rsid w:val="008104FF"/>
    <w:rsid w:val="00811A6E"/>
    <w:rsid w:val="008122F2"/>
    <w:rsid w:val="00812B68"/>
    <w:rsid w:val="00812CC5"/>
    <w:rsid w:val="00812E45"/>
    <w:rsid w:val="00813B47"/>
    <w:rsid w:val="00813C04"/>
    <w:rsid w:val="008145BA"/>
    <w:rsid w:val="00815575"/>
    <w:rsid w:val="008155B1"/>
    <w:rsid w:val="00816150"/>
    <w:rsid w:val="00816264"/>
    <w:rsid w:val="008162F0"/>
    <w:rsid w:val="00816BCC"/>
    <w:rsid w:val="008218D9"/>
    <w:rsid w:val="00822258"/>
    <w:rsid w:val="0082331F"/>
    <w:rsid w:val="0082394F"/>
    <w:rsid w:val="00823EF0"/>
    <w:rsid w:val="008249BE"/>
    <w:rsid w:val="00824AFB"/>
    <w:rsid w:val="00824F2A"/>
    <w:rsid w:val="008253E3"/>
    <w:rsid w:val="00827692"/>
    <w:rsid w:val="008301CE"/>
    <w:rsid w:val="00831675"/>
    <w:rsid w:val="00831E16"/>
    <w:rsid w:val="00831FFE"/>
    <w:rsid w:val="008324F8"/>
    <w:rsid w:val="008329A6"/>
    <w:rsid w:val="00832E07"/>
    <w:rsid w:val="00833192"/>
    <w:rsid w:val="00833589"/>
    <w:rsid w:val="00833654"/>
    <w:rsid w:val="00834E1F"/>
    <w:rsid w:val="008351FE"/>
    <w:rsid w:val="0083520D"/>
    <w:rsid w:val="00835CB5"/>
    <w:rsid w:val="00835E15"/>
    <w:rsid w:val="0083684E"/>
    <w:rsid w:val="00837055"/>
    <w:rsid w:val="008375A6"/>
    <w:rsid w:val="00840120"/>
    <w:rsid w:val="008404AD"/>
    <w:rsid w:val="00840C05"/>
    <w:rsid w:val="00841134"/>
    <w:rsid w:val="00841E0F"/>
    <w:rsid w:val="00842DEA"/>
    <w:rsid w:val="008446E5"/>
    <w:rsid w:val="00844849"/>
    <w:rsid w:val="0084489C"/>
    <w:rsid w:val="00845028"/>
    <w:rsid w:val="008451B9"/>
    <w:rsid w:val="00845A80"/>
    <w:rsid w:val="008464FF"/>
    <w:rsid w:val="00846DF8"/>
    <w:rsid w:val="00847484"/>
    <w:rsid w:val="00847A9C"/>
    <w:rsid w:val="00847CD1"/>
    <w:rsid w:val="00851205"/>
    <w:rsid w:val="00851EC5"/>
    <w:rsid w:val="00852C06"/>
    <w:rsid w:val="0085323B"/>
    <w:rsid w:val="00853570"/>
    <w:rsid w:val="00853FBE"/>
    <w:rsid w:val="00854500"/>
    <w:rsid w:val="0085529D"/>
    <w:rsid w:val="008552D6"/>
    <w:rsid w:val="00855336"/>
    <w:rsid w:val="00855DA3"/>
    <w:rsid w:val="00856018"/>
    <w:rsid w:val="008577BB"/>
    <w:rsid w:val="00857AA8"/>
    <w:rsid w:val="00860BB5"/>
    <w:rsid w:val="00862443"/>
    <w:rsid w:val="008630E9"/>
    <w:rsid w:val="00863DBB"/>
    <w:rsid w:val="0086478D"/>
    <w:rsid w:val="00865EA7"/>
    <w:rsid w:val="00865FA7"/>
    <w:rsid w:val="0086663C"/>
    <w:rsid w:val="008710CD"/>
    <w:rsid w:val="0087217B"/>
    <w:rsid w:val="008725B1"/>
    <w:rsid w:val="00872FA3"/>
    <w:rsid w:val="008736EF"/>
    <w:rsid w:val="008748EE"/>
    <w:rsid w:val="00874B70"/>
    <w:rsid w:val="00876071"/>
    <w:rsid w:val="00876787"/>
    <w:rsid w:val="00876A43"/>
    <w:rsid w:val="00877071"/>
    <w:rsid w:val="008776ED"/>
    <w:rsid w:val="008779B4"/>
    <w:rsid w:val="00877A2F"/>
    <w:rsid w:val="00880343"/>
    <w:rsid w:val="008804D5"/>
    <w:rsid w:val="0088138D"/>
    <w:rsid w:val="00882517"/>
    <w:rsid w:val="00883863"/>
    <w:rsid w:val="00883BD0"/>
    <w:rsid w:val="008841D0"/>
    <w:rsid w:val="00884222"/>
    <w:rsid w:val="00884449"/>
    <w:rsid w:val="0088467C"/>
    <w:rsid w:val="008853B9"/>
    <w:rsid w:val="00885A49"/>
    <w:rsid w:val="00885AA3"/>
    <w:rsid w:val="00886AD9"/>
    <w:rsid w:val="00890278"/>
    <w:rsid w:val="00890DDA"/>
    <w:rsid w:val="00891299"/>
    <w:rsid w:val="00891F21"/>
    <w:rsid w:val="00892B97"/>
    <w:rsid w:val="00892D3B"/>
    <w:rsid w:val="00893993"/>
    <w:rsid w:val="00893AEF"/>
    <w:rsid w:val="00893E93"/>
    <w:rsid w:val="0089409D"/>
    <w:rsid w:val="00894248"/>
    <w:rsid w:val="00894579"/>
    <w:rsid w:val="00894751"/>
    <w:rsid w:val="00894A11"/>
    <w:rsid w:val="0089632E"/>
    <w:rsid w:val="00896740"/>
    <w:rsid w:val="00896ACB"/>
    <w:rsid w:val="00896DAB"/>
    <w:rsid w:val="00896E89"/>
    <w:rsid w:val="00897AA3"/>
    <w:rsid w:val="008A08B5"/>
    <w:rsid w:val="008A1718"/>
    <w:rsid w:val="008A2103"/>
    <w:rsid w:val="008A24F2"/>
    <w:rsid w:val="008A2BDB"/>
    <w:rsid w:val="008A336F"/>
    <w:rsid w:val="008A3AB3"/>
    <w:rsid w:val="008A3C65"/>
    <w:rsid w:val="008A4F96"/>
    <w:rsid w:val="008A5AF8"/>
    <w:rsid w:val="008A5B67"/>
    <w:rsid w:val="008A5CCD"/>
    <w:rsid w:val="008A5F33"/>
    <w:rsid w:val="008A6A6D"/>
    <w:rsid w:val="008A740F"/>
    <w:rsid w:val="008A76F3"/>
    <w:rsid w:val="008A77F8"/>
    <w:rsid w:val="008A7F15"/>
    <w:rsid w:val="008B12C7"/>
    <w:rsid w:val="008B14CC"/>
    <w:rsid w:val="008B171F"/>
    <w:rsid w:val="008B1921"/>
    <w:rsid w:val="008B1ABB"/>
    <w:rsid w:val="008B2331"/>
    <w:rsid w:val="008B29E7"/>
    <w:rsid w:val="008B2C4E"/>
    <w:rsid w:val="008B33DF"/>
    <w:rsid w:val="008B34CA"/>
    <w:rsid w:val="008B4166"/>
    <w:rsid w:val="008B4EDA"/>
    <w:rsid w:val="008B5C0B"/>
    <w:rsid w:val="008B7E90"/>
    <w:rsid w:val="008C1C1C"/>
    <w:rsid w:val="008C2216"/>
    <w:rsid w:val="008C26C2"/>
    <w:rsid w:val="008C3067"/>
    <w:rsid w:val="008C3214"/>
    <w:rsid w:val="008C32BC"/>
    <w:rsid w:val="008C484A"/>
    <w:rsid w:val="008C4975"/>
    <w:rsid w:val="008C50E4"/>
    <w:rsid w:val="008C60C7"/>
    <w:rsid w:val="008C6C99"/>
    <w:rsid w:val="008D07E2"/>
    <w:rsid w:val="008D0AA1"/>
    <w:rsid w:val="008D16F7"/>
    <w:rsid w:val="008D174C"/>
    <w:rsid w:val="008D187F"/>
    <w:rsid w:val="008D19B0"/>
    <w:rsid w:val="008D3CD2"/>
    <w:rsid w:val="008D3D95"/>
    <w:rsid w:val="008D40FA"/>
    <w:rsid w:val="008D4835"/>
    <w:rsid w:val="008D4B26"/>
    <w:rsid w:val="008D5CDB"/>
    <w:rsid w:val="008D6340"/>
    <w:rsid w:val="008D66EC"/>
    <w:rsid w:val="008D6FE5"/>
    <w:rsid w:val="008E06F9"/>
    <w:rsid w:val="008E09C1"/>
    <w:rsid w:val="008E0DC4"/>
    <w:rsid w:val="008E1427"/>
    <w:rsid w:val="008E1572"/>
    <w:rsid w:val="008E2995"/>
    <w:rsid w:val="008E3FB7"/>
    <w:rsid w:val="008E49F2"/>
    <w:rsid w:val="008E52C7"/>
    <w:rsid w:val="008E5A1D"/>
    <w:rsid w:val="008E651C"/>
    <w:rsid w:val="008E6C00"/>
    <w:rsid w:val="008E774A"/>
    <w:rsid w:val="008E7DAA"/>
    <w:rsid w:val="008F0092"/>
    <w:rsid w:val="008F0C17"/>
    <w:rsid w:val="008F0C50"/>
    <w:rsid w:val="008F1171"/>
    <w:rsid w:val="008F1183"/>
    <w:rsid w:val="008F2529"/>
    <w:rsid w:val="008F4023"/>
    <w:rsid w:val="008F40DB"/>
    <w:rsid w:val="008F45BF"/>
    <w:rsid w:val="008F515A"/>
    <w:rsid w:val="008F532C"/>
    <w:rsid w:val="008F54A3"/>
    <w:rsid w:val="008F5931"/>
    <w:rsid w:val="008F63E7"/>
    <w:rsid w:val="008F7415"/>
    <w:rsid w:val="008F778A"/>
    <w:rsid w:val="008F7FD5"/>
    <w:rsid w:val="00901303"/>
    <w:rsid w:val="00901960"/>
    <w:rsid w:val="00901CBE"/>
    <w:rsid w:val="00901F76"/>
    <w:rsid w:val="0090289A"/>
    <w:rsid w:val="00902ED6"/>
    <w:rsid w:val="0090320B"/>
    <w:rsid w:val="00906007"/>
    <w:rsid w:val="00906037"/>
    <w:rsid w:val="00906BF4"/>
    <w:rsid w:val="00906FBA"/>
    <w:rsid w:val="00907598"/>
    <w:rsid w:val="00911549"/>
    <w:rsid w:val="00911DF9"/>
    <w:rsid w:val="0091280A"/>
    <w:rsid w:val="00912FDC"/>
    <w:rsid w:val="009143A0"/>
    <w:rsid w:val="00915A65"/>
    <w:rsid w:val="00915B30"/>
    <w:rsid w:val="00915BFC"/>
    <w:rsid w:val="00916161"/>
    <w:rsid w:val="00917DD7"/>
    <w:rsid w:val="00920A54"/>
    <w:rsid w:val="00920A9A"/>
    <w:rsid w:val="00921B5A"/>
    <w:rsid w:val="00921CC8"/>
    <w:rsid w:val="00921D8B"/>
    <w:rsid w:val="00922FD5"/>
    <w:rsid w:val="00923189"/>
    <w:rsid w:val="0092406C"/>
    <w:rsid w:val="00925124"/>
    <w:rsid w:val="009255FA"/>
    <w:rsid w:val="00925635"/>
    <w:rsid w:val="00925A30"/>
    <w:rsid w:val="0092689C"/>
    <w:rsid w:val="00927048"/>
    <w:rsid w:val="00927C59"/>
    <w:rsid w:val="0093084E"/>
    <w:rsid w:val="00930EC6"/>
    <w:rsid w:val="00931881"/>
    <w:rsid w:val="00932464"/>
    <w:rsid w:val="00932A12"/>
    <w:rsid w:val="00932DD6"/>
    <w:rsid w:val="009330D0"/>
    <w:rsid w:val="00934198"/>
    <w:rsid w:val="0093421F"/>
    <w:rsid w:val="009345B0"/>
    <w:rsid w:val="00934F18"/>
    <w:rsid w:val="0093542A"/>
    <w:rsid w:val="00935821"/>
    <w:rsid w:val="00935A80"/>
    <w:rsid w:val="00935D9E"/>
    <w:rsid w:val="00936902"/>
    <w:rsid w:val="00936D60"/>
    <w:rsid w:val="0094089E"/>
    <w:rsid w:val="00940A4A"/>
    <w:rsid w:val="009411BA"/>
    <w:rsid w:val="00942170"/>
    <w:rsid w:val="009421B2"/>
    <w:rsid w:val="00943BC4"/>
    <w:rsid w:val="009440DF"/>
    <w:rsid w:val="0094486D"/>
    <w:rsid w:val="009448AC"/>
    <w:rsid w:val="00944954"/>
    <w:rsid w:val="00946A61"/>
    <w:rsid w:val="00947292"/>
    <w:rsid w:val="00947DB2"/>
    <w:rsid w:val="00950125"/>
    <w:rsid w:val="00950E58"/>
    <w:rsid w:val="00950E75"/>
    <w:rsid w:val="00951127"/>
    <w:rsid w:val="009518BC"/>
    <w:rsid w:val="00952DF0"/>
    <w:rsid w:val="0095405C"/>
    <w:rsid w:val="00954679"/>
    <w:rsid w:val="009548F7"/>
    <w:rsid w:val="009552FE"/>
    <w:rsid w:val="00955673"/>
    <w:rsid w:val="00955977"/>
    <w:rsid w:val="00955A09"/>
    <w:rsid w:val="00955F3D"/>
    <w:rsid w:val="009562E9"/>
    <w:rsid w:val="009564E7"/>
    <w:rsid w:val="00956744"/>
    <w:rsid w:val="00956C02"/>
    <w:rsid w:val="00956F3A"/>
    <w:rsid w:val="00957EBF"/>
    <w:rsid w:val="009607B9"/>
    <w:rsid w:val="00960E1D"/>
    <w:rsid w:val="00961DDC"/>
    <w:rsid w:val="00961EE2"/>
    <w:rsid w:val="0096251C"/>
    <w:rsid w:val="0096251E"/>
    <w:rsid w:val="00963949"/>
    <w:rsid w:val="00963C9A"/>
    <w:rsid w:val="00963E2C"/>
    <w:rsid w:val="00964186"/>
    <w:rsid w:val="009655DA"/>
    <w:rsid w:val="00965BBC"/>
    <w:rsid w:val="00965BF8"/>
    <w:rsid w:val="00965F9D"/>
    <w:rsid w:val="0096736F"/>
    <w:rsid w:val="009673D0"/>
    <w:rsid w:val="009702C7"/>
    <w:rsid w:val="00970B51"/>
    <w:rsid w:val="00972823"/>
    <w:rsid w:val="00972898"/>
    <w:rsid w:val="00972D1A"/>
    <w:rsid w:val="00973626"/>
    <w:rsid w:val="00973C43"/>
    <w:rsid w:val="00973E76"/>
    <w:rsid w:val="009740C1"/>
    <w:rsid w:val="009740EA"/>
    <w:rsid w:val="009744AF"/>
    <w:rsid w:val="00974996"/>
    <w:rsid w:val="00974D05"/>
    <w:rsid w:val="0097535F"/>
    <w:rsid w:val="00975386"/>
    <w:rsid w:val="00975CFE"/>
    <w:rsid w:val="00980112"/>
    <w:rsid w:val="0098062F"/>
    <w:rsid w:val="0098074C"/>
    <w:rsid w:val="00980AA0"/>
    <w:rsid w:val="00980FF9"/>
    <w:rsid w:val="00981601"/>
    <w:rsid w:val="00981F44"/>
    <w:rsid w:val="00981FA2"/>
    <w:rsid w:val="00982BCA"/>
    <w:rsid w:val="00983A9A"/>
    <w:rsid w:val="009846B1"/>
    <w:rsid w:val="00984CAE"/>
    <w:rsid w:val="00984DA5"/>
    <w:rsid w:val="00985085"/>
    <w:rsid w:val="00985D1B"/>
    <w:rsid w:val="00986BF1"/>
    <w:rsid w:val="00987022"/>
    <w:rsid w:val="0098737D"/>
    <w:rsid w:val="00990BE6"/>
    <w:rsid w:val="00990EC0"/>
    <w:rsid w:val="009913C3"/>
    <w:rsid w:val="00991401"/>
    <w:rsid w:val="009916AA"/>
    <w:rsid w:val="00991E57"/>
    <w:rsid w:val="0099241F"/>
    <w:rsid w:val="009924C1"/>
    <w:rsid w:val="0099343B"/>
    <w:rsid w:val="00993B0C"/>
    <w:rsid w:val="00994BEE"/>
    <w:rsid w:val="009963C0"/>
    <w:rsid w:val="0099656F"/>
    <w:rsid w:val="009966EE"/>
    <w:rsid w:val="00996DD9"/>
    <w:rsid w:val="0099703B"/>
    <w:rsid w:val="00997FA0"/>
    <w:rsid w:val="009A0187"/>
    <w:rsid w:val="009A040D"/>
    <w:rsid w:val="009A0539"/>
    <w:rsid w:val="009A0E64"/>
    <w:rsid w:val="009A15D1"/>
    <w:rsid w:val="009A1679"/>
    <w:rsid w:val="009A1919"/>
    <w:rsid w:val="009A210E"/>
    <w:rsid w:val="009A2167"/>
    <w:rsid w:val="009A2557"/>
    <w:rsid w:val="009A3395"/>
    <w:rsid w:val="009A34E0"/>
    <w:rsid w:val="009A3829"/>
    <w:rsid w:val="009A3B16"/>
    <w:rsid w:val="009A3C56"/>
    <w:rsid w:val="009A49F0"/>
    <w:rsid w:val="009A52B4"/>
    <w:rsid w:val="009A5307"/>
    <w:rsid w:val="009A55C1"/>
    <w:rsid w:val="009A6058"/>
    <w:rsid w:val="009A670A"/>
    <w:rsid w:val="009A79DB"/>
    <w:rsid w:val="009A7AE7"/>
    <w:rsid w:val="009B0D13"/>
    <w:rsid w:val="009B115A"/>
    <w:rsid w:val="009B15AE"/>
    <w:rsid w:val="009B181F"/>
    <w:rsid w:val="009B1DDC"/>
    <w:rsid w:val="009B3A2A"/>
    <w:rsid w:val="009B3EC7"/>
    <w:rsid w:val="009B4151"/>
    <w:rsid w:val="009B46A0"/>
    <w:rsid w:val="009B5275"/>
    <w:rsid w:val="009B7264"/>
    <w:rsid w:val="009B7A38"/>
    <w:rsid w:val="009B7B26"/>
    <w:rsid w:val="009B7E9D"/>
    <w:rsid w:val="009C0051"/>
    <w:rsid w:val="009C018A"/>
    <w:rsid w:val="009C079F"/>
    <w:rsid w:val="009C0D11"/>
    <w:rsid w:val="009C2019"/>
    <w:rsid w:val="009C2B10"/>
    <w:rsid w:val="009C58E3"/>
    <w:rsid w:val="009C6A1E"/>
    <w:rsid w:val="009C6C53"/>
    <w:rsid w:val="009C6FD2"/>
    <w:rsid w:val="009C74FE"/>
    <w:rsid w:val="009C7531"/>
    <w:rsid w:val="009D1493"/>
    <w:rsid w:val="009D186B"/>
    <w:rsid w:val="009D23FC"/>
    <w:rsid w:val="009D2F0C"/>
    <w:rsid w:val="009D477C"/>
    <w:rsid w:val="009D570F"/>
    <w:rsid w:val="009D650E"/>
    <w:rsid w:val="009E012A"/>
    <w:rsid w:val="009E10B8"/>
    <w:rsid w:val="009E14F6"/>
    <w:rsid w:val="009E15E1"/>
    <w:rsid w:val="009E187D"/>
    <w:rsid w:val="009E1CDC"/>
    <w:rsid w:val="009E2562"/>
    <w:rsid w:val="009E27A5"/>
    <w:rsid w:val="009E2BA4"/>
    <w:rsid w:val="009E2F86"/>
    <w:rsid w:val="009E3254"/>
    <w:rsid w:val="009E35B0"/>
    <w:rsid w:val="009E56D9"/>
    <w:rsid w:val="009E5EB9"/>
    <w:rsid w:val="009E60FB"/>
    <w:rsid w:val="009E6C79"/>
    <w:rsid w:val="009E709E"/>
    <w:rsid w:val="009E7EFF"/>
    <w:rsid w:val="009F05A7"/>
    <w:rsid w:val="009F23FF"/>
    <w:rsid w:val="009F2A31"/>
    <w:rsid w:val="009F3F81"/>
    <w:rsid w:val="009F43E2"/>
    <w:rsid w:val="009F4F72"/>
    <w:rsid w:val="009F53DE"/>
    <w:rsid w:val="009F613D"/>
    <w:rsid w:val="009F6CA9"/>
    <w:rsid w:val="009F7249"/>
    <w:rsid w:val="00A00154"/>
    <w:rsid w:val="00A00BB4"/>
    <w:rsid w:val="00A00FE3"/>
    <w:rsid w:val="00A01091"/>
    <w:rsid w:val="00A02F6B"/>
    <w:rsid w:val="00A043AA"/>
    <w:rsid w:val="00A04E2E"/>
    <w:rsid w:val="00A0579F"/>
    <w:rsid w:val="00A05C27"/>
    <w:rsid w:val="00A05F33"/>
    <w:rsid w:val="00A06BF6"/>
    <w:rsid w:val="00A07F2B"/>
    <w:rsid w:val="00A10CB8"/>
    <w:rsid w:val="00A11249"/>
    <w:rsid w:val="00A12087"/>
    <w:rsid w:val="00A12209"/>
    <w:rsid w:val="00A144C3"/>
    <w:rsid w:val="00A14EBB"/>
    <w:rsid w:val="00A169D2"/>
    <w:rsid w:val="00A16D76"/>
    <w:rsid w:val="00A20C1C"/>
    <w:rsid w:val="00A20E5D"/>
    <w:rsid w:val="00A21D02"/>
    <w:rsid w:val="00A234AD"/>
    <w:rsid w:val="00A2388C"/>
    <w:rsid w:val="00A2543D"/>
    <w:rsid w:val="00A25AE0"/>
    <w:rsid w:val="00A26ABB"/>
    <w:rsid w:val="00A30A55"/>
    <w:rsid w:val="00A30BAE"/>
    <w:rsid w:val="00A31204"/>
    <w:rsid w:val="00A31484"/>
    <w:rsid w:val="00A31681"/>
    <w:rsid w:val="00A31E7F"/>
    <w:rsid w:val="00A32AB0"/>
    <w:rsid w:val="00A32CD9"/>
    <w:rsid w:val="00A3303E"/>
    <w:rsid w:val="00A33CE8"/>
    <w:rsid w:val="00A340F1"/>
    <w:rsid w:val="00A34CA4"/>
    <w:rsid w:val="00A3564B"/>
    <w:rsid w:val="00A35A82"/>
    <w:rsid w:val="00A35FA5"/>
    <w:rsid w:val="00A36DF3"/>
    <w:rsid w:val="00A375DD"/>
    <w:rsid w:val="00A4039D"/>
    <w:rsid w:val="00A40445"/>
    <w:rsid w:val="00A42514"/>
    <w:rsid w:val="00A42CBC"/>
    <w:rsid w:val="00A4307A"/>
    <w:rsid w:val="00A4441D"/>
    <w:rsid w:val="00A45027"/>
    <w:rsid w:val="00A458ED"/>
    <w:rsid w:val="00A510BD"/>
    <w:rsid w:val="00A515B4"/>
    <w:rsid w:val="00A5163D"/>
    <w:rsid w:val="00A532DD"/>
    <w:rsid w:val="00A53321"/>
    <w:rsid w:val="00A53D80"/>
    <w:rsid w:val="00A54AB7"/>
    <w:rsid w:val="00A54E2F"/>
    <w:rsid w:val="00A5522E"/>
    <w:rsid w:val="00A56054"/>
    <w:rsid w:val="00A56DF0"/>
    <w:rsid w:val="00A575BF"/>
    <w:rsid w:val="00A61B78"/>
    <w:rsid w:val="00A623ED"/>
    <w:rsid w:val="00A63B2E"/>
    <w:rsid w:val="00A640B2"/>
    <w:rsid w:val="00A64774"/>
    <w:rsid w:val="00A649B6"/>
    <w:rsid w:val="00A64E13"/>
    <w:rsid w:val="00A65F45"/>
    <w:rsid w:val="00A66C73"/>
    <w:rsid w:val="00A67A50"/>
    <w:rsid w:val="00A70512"/>
    <w:rsid w:val="00A70FD2"/>
    <w:rsid w:val="00A7151F"/>
    <w:rsid w:val="00A72049"/>
    <w:rsid w:val="00A726A5"/>
    <w:rsid w:val="00A72A35"/>
    <w:rsid w:val="00A73597"/>
    <w:rsid w:val="00A7419B"/>
    <w:rsid w:val="00A74AC9"/>
    <w:rsid w:val="00A74B90"/>
    <w:rsid w:val="00A75B46"/>
    <w:rsid w:val="00A75C41"/>
    <w:rsid w:val="00A760F0"/>
    <w:rsid w:val="00A76304"/>
    <w:rsid w:val="00A76384"/>
    <w:rsid w:val="00A80B6E"/>
    <w:rsid w:val="00A80BCF"/>
    <w:rsid w:val="00A82561"/>
    <w:rsid w:val="00A825D1"/>
    <w:rsid w:val="00A82FBB"/>
    <w:rsid w:val="00A8369C"/>
    <w:rsid w:val="00A83B7E"/>
    <w:rsid w:val="00A83DE9"/>
    <w:rsid w:val="00A84220"/>
    <w:rsid w:val="00A85316"/>
    <w:rsid w:val="00A86271"/>
    <w:rsid w:val="00A86579"/>
    <w:rsid w:val="00A87F94"/>
    <w:rsid w:val="00A90212"/>
    <w:rsid w:val="00A90582"/>
    <w:rsid w:val="00A9078D"/>
    <w:rsid w:val="00A90CC4"/>
    <w:rsid w:val="00A91151"/>
    <w:rsid w:val="00A9191C"/>
    <w:rsid w:val="00A91B43"/>
    <w:rsid w:val="00A92AF6"/>
    <w:rsid w:val="00A92C78"/>
    <w:rsid w:val="00A92CF4"/>
    <w:rsid w:val="00A9401D"/>
    <w:rsid w:val="00A969AC"/>
    <w:rsid w:val="00A970E0"/>
    <w:rsid w:val="00A973DE"/>
    <w:rsid w:val="00A97FB9"/>
    <w:rsid w:val="00AA0952"/>
    <w:rsid w:val="00AA100F"/>
    <w:rsid w:val="00AA1115"/>
    <w:rsid w:val="00AA1689"/>
    <w:rsid w:val="00AA1DBF"/>
    <w:rsid w:val="00AA1FCD"/>
    <w:rsid w:val="00AA265E"/>
    <w:rsid w:val="00AA37B6"/>
    <w:rsid w:val="00AA3951"/>
    <w:rsid w:val="00AA3CF0"/>
    <w:rsid w:val="00AA496F"/>
    <w:rsid w:val="00AA4ACF"/>
    <w:rsid w:val="00AA5770"/>
    <w:rsid w:val="00AA5B8B"/>
    <w:rsid w:val="00AA6DE9"/>
    <w:rsid w:val="00AA70DB"/>
    <w:rsid w:val="00AA7844"/>
    <w:rsid w:val="00AA7E7E"/>
    <w:rsid w:val="00AB1C14"/>
    <w:rsid w:val="00AB2B95"/>
    <w:rsid w:val="00AB2E70"/>
    <w:rsid w:val="00AB31F1"/>
    <w:rsid w:val="00AB322C"/>
    <w:rsid w:val="00AB33C1"/>
    <w:rsid w:val="00AB372B"/>
    <w:rsid w:val="00AB39B8"/>
    <w:rsid w:val="00AB3AC3"/>
    <w:rsid w:val="00AB3E03"/>
    <w:rsid w:val="00AB4D15"/>
    <w:rsid w:val="00AB5DA8"/>
    <w:rsid w:val="00AB76CD"/>
    <w:rsid w:val="00AB76FA"/>
    <w:rsid w:val="00AC092D"/>
    <w:rsid w:val="00AC1B4D"/>
    <w:rsid w:val="00AC1D15"/>
    <w:rsid w:val="00AC1E8B"/>
    <w:rsid w:val="00AC37D0"/>
    <w:rsid w:val="00AC4C96"/>
    <w:rsid w:val="00AC6BBB"/>
    <w:rsid w:val="00AD01A6"/>
    <w:rsid w:val="00AD04B8"/>
    <w:rsid w:val="00AD095D"/>
    <w:rsid w:val="00AD10B1"/>
    <w:rsid w:val="00AD14A9"/>
    <w:rsid w:val="00AD2FFD"/>
    <w:rsid w:val="00AD314F"/>
    <w:rsid w:val="00AD44C6"/>
    <w:rsid w:val="00AD4C84"/>
    <w:rsid w:val="00AD5960"/>
    <w:rsid w:val="00AD6467"/>
    <w:rsid w:val="00AD782F"/>
    <w:rsid w:val="00AE06AC"/>
    <w:rsid w:val="00AE08A0"/>
    <w:rsid w:val="00AE0BE1"/>
    <w:rsid w:val="00AE1EFE"/>
    <w:rsid w:val="00AE2CAB"/>
    <w:rsid w:val="00AE3280"/>
    <w:rsid w:val="00AE460D"/>
    <w:rsid w:val="00AE529F"/>
    <w:rsid w:val="00AE5D94"/>
    <w:rsid w:val="00AE675C"/>
    <w:rsid w:val="00AE7720"/>
    <w:rsid w:val="00AE7F82"/>
    <w:rsid w:val="00AF0A31"/>
    <w:rsid w:val="00AF1E99"/>
    <w:rsid w:val="00AF2CAB"/>
    <w:rsid w:val="00AF3184"/>
    <w:rsid w:val="00AF3CBC"/>
    <w:rsid w:val="00AF4BCF"/>
    <w:rsid w:val="00AF595B"/>
    <w:rsid w:val="00AF629C"/>
    <w:rsid w:val="00AF63C1"/>
    <w:rsid w:val="00AF65B9"/>
    <w:rsid w:val="00AF67B1"/>
    <w:rsid w:val="00AF7AEF"/>
    <w:rsid w:val="00AF7CA6"/>
    <w:rsid w:val="00AF7CE1"/>
    <w:rsid w:val="00B00138"/>
    <w:rsid w:val="00B006AC"/>
    <w:rsid w:val="00B00DFF"/>
    <w:rsid w:val="00B014E9"/>
    <w:rsid w:val="00B025C4"/>
    <w:rsid w:val="00B030BC"/>
    <w:rsid w:val="00B0313B"/>
    <w:rsid w:val="00B03859"/>
    <w:rsid w:val="00B03C03"/>
    <w:rsid w:val="00B041B1"/>
    <w:rsid w:val="00B06367"/>
    <w:rsid w:val="00B06696"/>
    <w:rsid w:val="00B069BA"/>
    <w:rsid w:val="00B06FB8"/>
    <w:rsid w:val="00B070C3"/>
    <w:rsid w:val="00B076CD"/>
    <w:rsid w:val="00B07A0D"/>
    <w:rsid w:val="00B07B0C"/>
    <w:rsid w:val="00B103B8"/>
    <w:rsid w:val="00B10CF2"/>
    <w:rsid w:val="00B1112E"/>
    <w:rsid w:val="00B11364"/>
    <w:rsid w:val="00B11D42"/>
    <w:rsid w:val="00B120F9"/>
    <w:rsid w:val="00B1233A"/>
    <w:rsid w:val="00B12F0E"/>
    <w:rsid w:val="00B14987"/>
    <w:rsid w:val="00B1528A"/>
    <w:rsid w:val="00B1656C"/>
    <w:rsid w:val="00B1657D"/>
    <w:rsid w:val="00B16B04"/>
    <w:rsid w:val="00B20ACC"/>
    <w:rsid w:val="00B215FF"/>
    <w:rsid w:val="00B21915"/>
    <w:rsid w:val="00B22ED0"/>
    <w:rsid w:val="00B22F9E"/>
    <w:rsid w:val="00B22FE7"/>
    <w:rsid w:val="00B23A58"/>
    <w:rsid w:val="00B23CDB"/>
    <w:rsid w:val="00B25563"/>
    <w:rsid w:val="00B25863"/>
    <w:rsid w:val="00B2612F"/>
    <w:rsid w:val="00B26D48"/>
    <w:rsid w:val="00B272A1"/>
    <w:rsid w:val="00B27444"/>
    <w:rsid w:val="00B2754E"/>
    <w:rsid w:val="00B2789F"/>
    <w:rsid w:val="00B309C4"/>
    <w:rsid w:val="00B313AA"/>
    <w:rsid w:val="00B325EB"/>
    <w:rsid w:val="00B3296D"/>
    <w:rsid w:val="00B330A0"/>
    <w:rsid w:val="00B33223"/>
    <w:rsid w:val="00B33D6F"/>
    <w:rsid w:val="00B345A5"/>
    <w:rsid w:val="00B34608"/>
    <w:rsid w:val="00B34F7C"/>
    <w:rsid w:val="00B3641C"/>
    <w:rsid w:val="00B37FBA"/>
    <w:rsid w:val="00B40949"/>
    <w:rsid w:val="00B40B56"/>
    <w:rsid w:val="00B40D80"/>
    <w:rsid w:val="00B41A73"/>
    <w:rsid w:val="00B41F7B"/>
    <w:rsid w:val="00B426AD"/>
    <w:rsid w:val="00B42960"/>
    <w:rsid w:val="00B42996"/>
    <w:rsid w:val="00B42EE1"/>
    <w:rsid w:val="00B43350"/>
    <w:rsid w:val="00B434FF"/>
    <w:rsid w:val="00B439B9"/>
    <w:rsid w:val="00B445A8"/>
    <w:rsid w:val="00B47203"/>
    <w:rsid w:val="00B47A59"/>
    <w:rsid w:val="00B50556"/>
    <w:rsid w:val="00B50768"/>
    <w:rsid w:val="00B512C6"/>
    <w:rsid w:val="00B519E7"/>
    <w:rsid w:val="00B5349B"/>
    <w:rsid w:val="00B537B7"/>
    <w:rsid w:val="00B53F3D"/>
    <w:rsid w:val="00B544EA"/>
    <w:rsid w:val="00B54E14"/>
    <w:rsid w:val="00B55E57"/>
    <w:rsid w:val="00B560BD"/>
    <w:rsid w:val="00B5649C"/>
    <w:rsid w:val="00B5671F"/>
    <w:rsid w:val="00B56E39"/>
    <w:rsid w:val="00B5770E"/>
    <w:rsid w:val="00B602E5"/>
    <w:rsid w:val="00B60592"/>
    <w:rsid w:val="00B6084F"/>
    <w:rsid w:val="00B60939"/>
    <w:rsid w:val="00B60A74"/>
    <w:rsid w:val="00B60D21"/>
    <w:rsid w:val="00B6108D"/>
    <w:rsid w:val="00B618FC"/>
    <w:rsid w:val="00B63364"/>
    <w:rsid w:val="00B63E7F"/>
    <w:rsid w:val="00B63EA9"/>
    <w:rsid w:val="00B64BFC"/>
    <w:rsid w:val="00B64FF3"/>
    <w:rsid w:val="00B6501C"/>
    <w:rsid w:val="00B65815"/>
    <w:rsid w:val="00B65D64"/>
    <w:rsid w:val="00B66C72"/>
    <w:rsid w:val="00B6793A"/>
    <w:rsid w:val="00B67CF3"/>
    <w:rsid w:val="00B67DCE"/>
    <w:rsid w:val="00B707C5"/>
    <w:rsid w:val="00B70901"/>
    <w:rsid w:val="00B70CFB"/>
    <w:rsid w:val="00B7136C"/>
    <w:rsid w:val="00B7138A"/>
    <w:rsid w:val="00B719CC"/>
    <w:rsid w:val="00B71CAE"/>
    <w:rsid w:val="00B71DA6"/>
    <w:rsid w:val="00B71FEB"/>
    <w:rsid w:val="00B746FE"/>
    <w:rsid w:val="00B74753"/>
    <w:rsid w:val="00B75BFC"/>
    <w:rsid w:val="00B76BFE"/>
    <w:rsid w:val="00B8041A"/>
    <w:rsid w:val="00B80D12"/>
    <w:rsid w:val="00B81312"/>
    <w:rsid w:val="00B8293D"/>
    <w:rsid w:val="00B84C20"/>
    <w:rsid w:val="00B858A8"/>
    <w:rsid w:val="00B864CC"/>
    <w:rsid w:val="00B868BB"/>
    <w:rsid w:val="00B87561"/>
    <w:rsid w:val="00B87A49"/>
    <w:rsid w:val="00B91542"/>
    <w:rsid w:val="00B918DC"/>
    <w:rsid w:val="00B91ECE"/>
    <w:rsid w:val="00B92478"/>
    <w:rsid w:val="00B926DA"/>
    <w:rsid w:val="00B927AF"/>
    <w:rsid w:val="00B92D14"/>
    <w:rsid w:val="00B92D39"/>
    <w:rsid w:val="00B93BDF"/>
    <w:rsid w:val="00B93E2E"/>
    <w:rsid w:val="00B943FB"/>
    <w:rsid w:val="00B94430"/>
    <w:rsid w:val="00B94A18"/>
    <w:rsid w:val="00B95225"/>
    <w:rsid w:val="00B952FD"/>
    <w:rsid w:val="00B957C4"/>
    <w:rsid w:val="00B958E5"/>
    <w:rsid w:val="00B97463"/>
    <w:rsid w:val="00BA0326"/>
    <w:rsid w:val="00BA075A"/>
    <w:rsid w:val="00BA0C2C"/>
    <w:rsid w:val="00BA0E94"/>
    <w:rsid w:val="00BA13A1"/>
    <w:rsid w:val="00BA1BE8"/>
    <w:rsid w:val="00BA25B4"/>
    <w:rsid w:val="00BA2CA6"/>
    <w:rsid w:val="00BA307B"/>
    <w:rsid w:val="00BA442F"/>
    <w:rsid w:val="00BA4549"/>
    <w:rsid w:val="00BA527D"/>
    <w:rsid w:val="00BA56B3"/>
    <w:rsid w:val="00BA5AF0"/>
    <w:rsid w:val="00BA6188"/>
    <w:rsid w:val="00BA6951"/>
    <w:rsid w:val="00BB024B"/>
    <w:rsid w:val="00BB08FB"/>
    <w:rsid w:val="00BB0913"/>
    <w:rsid w:val="00BB0F45"/>
    <w:rsid w:val="00BB1193"/>
    <w:rsid w:val="00BB21D3"/>
    <w:rsid w:val="00BB25C5"/>
    <w:rsid w:val="00BB2881"/>
    <w:rsid w:val="00BB2FE7"/>
    <w:rsid w:val="00BB31B9"/>
    <w:rsid w:val="00BB39FB"/>
    <w:rsid w:val="00BB607B"/>
    <w:rsid w:val="00BB608E"/>
    <w:rsid w:val="00BB60BA"/>
    <w:rsid w:val="00BB6975"/>
    <w:rsid w:val="00BB73CD"/>
    <w:rsid w:val="00BB7567"/>
    <w:rsid w:val="00BB7B01"/>
    <w:rsid w:val="00BB7DDD"/>
    <w:rsid w:val="00BC014C"/>
    <w:rsid w:val="00BC0426"/>
    <w:rsid w:val="00BC361A"/>
    <w:rsid w:val="00BC4896"/>
    <w:rsid w:val="00BC4DC6"/>
    <w:rsid w:val="00BC4EB7"/>
    <w:rsid w:val="00BC5BAE"/>
    <w:rsid w:val="00BC5C4A"/>
    <w:rsid w:val="00BC68C2"/>
    <w:rsid w:val="00BC6968"/>
    <w:rsid w:val="00BC7994"/>
    <w:rsid w:val="00BC7BAA"/>
    <w:rsid w:val="00BD0415"/>
    <w:rsid w:val="00BD080C"/>
    <w:rsid w:val="00BD09D8"/>
    <w:rsid w:val="00BD19FF"/>
    <w:rsid w:val="00BD1EC8"/>
    <w:rsid w:val="00BD2045"/>
    <w:rsid w:val="00BD262C"/>
    <w:rsid w:val="00BD2D86"/>
    <w:rsid w:val="00BD3450"/>
    <w:rsid w:val="00BD3523"/>
    <w:rsid w:val="00BD3D7D"/>
    <w:rsid w:val="00BD47E2"/>
    <w:rsid w:val="00BD49F7"/>
    <w:rsid w:val="00BD5493"/>
    <w:rsid w:val="00BD54C2"/>
    <w:rsid w:val="00BD61A2"/>
    <w:rsid w:val="00BD7496"/>
    <w:rsid w:val="00BD7926"/>
    <w:rsid w:val="00BD7EFF"/>
    <w:rsid w:val="00BD7FDD"/>
    <w:rsid w:val="00BE1E17"/>
    <w:rsid w:val="00BE2CC2"/>
    <w:rsid w:val="00BE2F13"/>
    <w:rsid w:val="00BE2FE3"/>
    <w:rsid w:val="00BE3B75"/>
    <w:rsid w:val="00BE3F98"/>
    <w:rsid w:val="00BE484D"/>
    <w:rsid w:val="00BE5CA2"/>
    <w:rsid w:val="00BE6FBA"/>
    <w:rsid w:val="00BE7C2A"/>
    <w:rsid w:val="00BF11E5"/>
    <w:rsid w:val="00BF1A61"/>
    <w:rsid w:val="00BF2596"/>
    <w:rsid w:val="00BF2F1F"/>
    <w:rsid w:val="00BF35CA"/>
    <w:rsid w:val="00BF37B6"/>
    <w:rsid w:val="00BF4629"/>
    <w:rsid w:val="00BF4D2C"/>
    <w:rsid w:val="00BF5CB4"/>
    <w:rsid w:val="00BF60DB"/>
    <w:rsid w:val="00C00B11"/>
    <w:rsid w:val="00C00E1C"/>
    <w:rsid w:val="00C0235E"/>
    <w:rsid w:val="00C02EE0"/>
    <w:rsid w:val="00C03993"/>
    <w:rsid w:val="00C03B63"/>
    <w:rsid w:val="00C04069"/>
    <w:rsid w:val="00C040B8"/>
    <w:rsid w:val="00C04BBC"/>
    <w:rsid w:val="00C053D7"/>
    <w:rsid w:val="00C06597"/>
    <w:rsid w:val="00C109FB"/>
    <w:rsid w:val="00C11BF1"/>
    <w:rsid w:val="00C11E83"/>
    <w:rsid w:val="00C12345"/>
    <w:rsid w:val="00C128C9"/>
    <w:rsid w:val="00C12F4C"/>
    <w:rsid w:val="00C1337E"/>
    <w:rsid w:val="00C14FCA"/>
    <w:rsid w:val="00C15103"/>
    <w:rsid w:val="00C160B8"/>
    <w:rsid w:val="00C16116"/>
    <w:rsid w:val="00C16FA1"/>
    <w:rsid w:val="00C1751D"/>
    <w:rsid w:val="00C1778D"/>
    <w:rsid w:val="00C17C49"/>
    <w:rsid w:val="00C17F66"/>
    <w:rsid w:val="00C2078D"/>
    <w:rsid w:val="00C208AD"/>
    <w:rsid w:val="00C218AF"/>
    <w:rsid w:val="00C2257B"/>
    <w:rsid w:val="00C22D58"/>
    <w:rsid w:val="00C2447F"/>
    <w:rsid w:val="00C24C05"/>
    <w:rsid w:val="00C24EDE"/>
    <w:rsid w:val="00C25808"/>
    <w:rsid w:val="00C2626B"/>
    <w:rsid w:val="00C263D1"/>
    <w:rsid w:val="00C265B6"/>
    <w:rsid w:val="00C26B69"/>
    <w:rsid w:val="00C272CD"/>
    <w:rsid w:val="00C273BD"/>
    <w:rsid w:val="00C3063F"/>
    <w:rsid w:val="00C32EE3"/>
    <w:rsid w:val="00C3596C"/>
    <w:rsid w:val="00C3645A"/>
    <w:rsid w:val="00C369BF"/>
    <w:rsid w:val="00C3796D"/>
    <w:rsid w:val="00C37E05"/>
    <w:rsid w:val="00C37F4E"/>
    <w:rsid w:val="00C37FB8"/>
    <w:rsid w:val="00C40DC7"/>
    <w:rsid w:val="00C4270A"/>
    <w:rsid w:val="00C434B1"/>
    <w:rsid w:val="00C43817"/>
    <w:rsid w:val="00C44200"/>
    <w:rsid w:val="00C45878"/>
    <w:rsid w:val="00C46A24"/>
    <w:rsid w:val="00C46EF1"/>
    <w:rsid w:val="00C471DD"/>
    <w:rsid w:val="00C47789"/>
    <w:rsid w:val="00C47B16"/>
    <w:rsid w:val="00C50699"/>
    <w:rsid w:val="00C50739"/>
    <w:rsid w:val="00C52172"/>
    <w:rsid w:val="00C52ACE"/>
    <w:rsid w:val="00C54018"/>
    <w:rsid w:val="00C5460B"/>
    <w:rsid w:val="00C54B6A"/>
    <w:rsid w:val="00C54EED"/>
    <w:rsid w:val="00C55018"/>
    <w:rsid w:val="00C55B9C"/>
    <w:rsid w:val="00C55D29"/>
    <w:rsid w:val="00C56E5A"/>
    <w:rsid w:val="00C56F2E"/>
    <w:rsid w:val="00C57A1E"/>
    <w:rsid w:val="00C57F2B"/>
    <w:rsid w:val="00C6126A"/>
    <w:rsid w:val="00C61BEE"/>
    <w:rsid w:val="00C6236A"/>
    <w:rsid w:val="00C62B3A"/>
    <w:rsid w:val="00C62F30"/>
    <w:rsid w:val="00C636AE"/>
    <w:rsid w:val="00C65B62"/>
    <w:rsid w:val="00C662B7"/>
    <w:rsid w:val="00C66631"/>
    <w:rsid w:val="00C66D79"/>
    <w:rsid w:val="00C67F4F"/>
    <w:rsid w:val="00C7016C"/>
    <w:rsid w:val="00C70906"/>
    <w:rsid w:val="00C70AB5"/>
    <w:rsid w:val="00C71523"/>
    <w:rsid w:val="00C71799"/>
    <w:rsid w:val="00C71CDA"/>
    <w:rsid w:val="00C725D6"/>
    <w:rsid w:val="00C72AB3"/>
    <w:rsid w:val="00C72B68"/>
    <w:rsid w:val="00C72D93"/>
    <w:rsid w:val="00C731B6"/>
    <w:rsid w:val="00C736C1"/>
    <w:rsid w:val="00C742B4"/>
    <w:rsid w:val="00C74B3B"/>
    <w:rsid w:val="00C760B0"/>
    <w:rsid w:val="00C76BB3"/>
    <w:rsid w:val="00C7717B"/>
    <w:rsid w:val="00C80E6A"/>
    <w:rsid w:val="00C80FA6"/>
    <w:rsid w:val="00C818D0"/>
    <w:rsid w:val="00C81B84"/>
    <w:rsid w:val="00C8208D"/>
    <w:rsid w:val="00C822A2"/>
    <w:rsid w:val="00C82EF9"/>
    <w:rsid w:val="00C83577"/>
    <w:rsid w:val="00C83616"/>
    <w:rsid w:val="00C83AA7"/>
    <w:rsid w:val="00C83C14"/>
    <w:rsid w:val="00C83DB6"/>
    <w:rsid w:val="00C83E9E"/>
    <w:rsid w:val="00C8417D"/>
    <w:rsid w:val="00C84C2E"/>
    <w:rsid w:val="00C84FA0"/>
    <w:rsid w:val="00C853E9"/>
    <w:rsid w:val="00C85615"/>
    <w:rsid w:val="00C86F6D"/>
    <w:rsid w:val="00C87964"/>
    <w:rsid w:val="00C902B3"/>
    <w:rsid w:val="00C906F5"/>
    <w:rsid w:val="00C90D43"/>
    <w:rsid w:val="00C9199A"/>
    <w:rsid w:val="00C922E8"/>
    <w:rsid w:val="00C934A4"/>
    <w:rsid w:val="00C938BA"/>
    <w:rsid w:val="00C94410"/>
    <w:rsid w:val="00C94435"/>
    <w:rsid w:val="00C948D8"/>
    <w:rsid w:val="00C94FE2"/>
    <w:rsid w:val="00C95642"/>
    <w:rsid w:val="00C9574D"/>
    <w:rsid w:val="00C95A97"/>
    <w:rsid w:val="00C975DA"/>
    <w:rsid w:val="00CA0082"/>
    <w:rsid w:val="00CA0BE9"/>
    <w:rsid w:val="00CA138D"/>
    <w:rsid w:val="00CA1AA1"/>
    <w:rsid w:val="00CA2022"/>
    <w:rsid w:val="00CA2865"/>
    <w:rsid w:val="00CA2DCE"/>
    <w:rsid w:val="00CA53E1"/>
    <w:rsid w:val="00CA57D9"/>
    <w:rsid w:val="00CA5D67"/>
    <w:rsid w:val="00CA6238"/>
    <w:rsid w:val="00CA7155"/>
    <w:rsid w:val="00CA7778"/>
    <w:rsid w:val="00CA7C89"/>
    <w:rsid w:val="00CB1089"/>
    <w:rsid w:val="00CB10EA"/>
    <w:rsid w:val="00CB152E"/>
    <w:rsid w:val="00CB161B"/>
    <w:rsid w:val="00CB2A32"/>
    <w:rsid w:val="00CB2AD5"/>
    <w:rsid w:val="00CB3428"/>
    <w:rsid w:val="00CB42A8"/>
    <w:rsid w:val="00CB43A9"/>
    <w:rsid w:val="00CB4926"/>
    <w:rsid w:val="00CB541F"/>
    <w:rsid w:val="00CB57DE"/>
    <w:rsid w:val="00CB58A7"/>
    <w:rsid w:val="00CB5AC3"/>
    <w:rsid w:val="00CB684F"/>
    <w:rsid w:val="00CB6AC2"/>
    <w:rsid w:val="00CB72CF"/>
    <w:rsid w:val="00CB742A"/>
    <w:rsid w:val="00CB75E1"/>
    <w:rsid w:val="00CB777D"/>
    <w:rsid w:val="00CB79B5"/>
    <w:rsid w:val="00CC000E"/>
    <w:rsid w:val="00CC102A"/>
    <w:rsid w:val="00CC122D"/>
    <w:rsid w:val="00CC1711"/>
    <w:rsid w:val="00CC220F"/>
    <w:rsid w:val="00CC25EA"/>
    <w:rsid w:val="00CC2AFE"/>
    <w:rsid w:val="00CC3C0E"/>
    <w:rsid w:val="00CC3FF7"/>
    <w:rsid w:val="00CC46B8"/>
    <w:rsid w:val="00CC60CC"/>
    <w:rsid w:val="00CC613C"/>
    <w:rsid w:val="00CC6C76"/>
    <w:rsid w:val="00CC7484"/>
    <w:rsid w:val="00CC7641"/>
    <w:rsid w:val="00CC7672"/>
    <w:rsid w:val="00CC7BFE"/>
    <w:rsid w:val="00CD02C9"/>
    <w:rsid w:val="00CD0A90"/>
    <w:rsid w:val="00CD0EAF"/>
    <w:rsid w:val="00CD12CB"/>
    <w:rsid w:val="00CD18F8"/>
    <w:rsid w:val="00CD2B3F"/>
    <w:rsid w:val="00CD3CF7"/>
    <w:rsid w:val="00CD3FA2"/>
    <w:rsid w:val="00CD41E3"/>
    <w:rsid w:val="00CD6B0C"/>
    <w:rsid w:val="00CD7696"/>
    <w:rsid w:val="00CD774F"/>
    <w:rsid w:val="00CE012F"/>
    <w:rsid w:val="00CE021D"/>
    <w:rsid w:val="00CE041A"/>
    <w:rsid w:val="00CE0B46"/>
    <w:rsid w:val="00CE1775"/>
    <w:rsid w:val="00CE357A"/>
    <w:rsid w:val="00CE38B9"/>
    <w:rsid w:val="00CE39A4"/>
    <w:rsid w:val="00CE39B3"/>
    <w:rsid w:val="00CE4EFB"/>
    <w:rsid w:val="00CE54BE"/>
    <w:rsid w:val="00CE66EC"/>
    <w:rsid w:val="00CE724D"/>
    <w:rsid w:val="00CE7D19"/>
    <w:rsid w:val="00CF0681"/>
    <w:rsid w:val="00CF1EC3"/>
    <w:rsid w:val="00CF2515"/>
    <w:rsid w:val="00CF3499"/>
    <w:rsid w:val="00CF3835"/>
    <w:rsid w:val="00CF3E79"/>
    <w:rsid w:val="00CF427F"/>
    <w:rsid w:val="00CF4AD7"/>
    <w:rsid w:val="00CF4D5E"/>
    <w:rsid w:val="00CF54B9"/>
    <w:rsid w:val="00CF7435"/>
    <w:rsid w:val="00D0307A"/>
    <w:rsid w:val="00D04064"/>
    <w:rsid w:val="00D04069"/>
    <w:rsid w:val="00D047FA"/>
    <w:rsid w:val="00D04C30"/>
    <w:rsid w:val="00D04DAD"/>
    <w:rsid w:val="00D04FCB"/>
    <w:rsid w:val="00D05454"/>
    <w:rsid w:val="00D061CC"/>
    <w:rsid w:val="00D07083"/>
    <w:rsid w:val="00D074A2"/>
    <w:rsid w:val="00D0762F"/>
    <w:rsid w:val="00D07B51"/>
    <w:rsid w:val="00D102D1"/>
    <w:rsid w:val="00D106BE"/>
    <w:rsid w:val="00D10845"/>
    <w:rsid w:val="00D10B3E"/>
    <w:rsid w:val="00D1273B"/>
    <w:rsid w:val="00D12851"/>
    <w:rsid w:val="00D129DC"/>
    <w:rsid w:val="00D13794"/>
    <w:rsid w:val="00D139AA"/>
    <w:rsid w:val="00D13F4F"/>
    <w:rsid w:val="00D140C2"/>
    <w:rsid w:val="00D14DF0"/>
    <w:rsid w:val="00D15A6B"/>
    <w:rsid w:val="00D161CD"/>
    <w:rsid w:val="00D16D50"/>
    <w:rsid w:val="00D176DA"/>
    <w:rsid w:val="00D203BF"/>
    <w:rsid w:val="00D20806"/>
    <w:rsid w:val="00D218E7"/>
    <w:rsid w:val="00D21A18"/>
    <w:rsid w:val="00D21AA6"/>
    <w:rsid w:val="00D224C7"/>
    <w:rsid w:val="00D225EE"/>
    <w:rsid w:val="00D23D7A"/>
    <w:rsid w:val="00D24052"/>
    <w:rsid w:val="00D24386"/>
    <w:rsid w:val="00D24C98"/>
    <w:rsid w:val="00D2519A"/>
    <w:rsid w:val="00D26E9C"/>
    <w:rsid w:val="00D27868"/>
    <w:rsid w:val="00D30235"/>
    <w:rsid w:val="00D31575"/>
    <w:rsid w:val="00D31A89"/>
    <w:rsid w:val="00D32128"/>
    <w:rsid w:val="00D3230A"/>
    <w:rsid w:val="00D331BC"/>
    <w:rsid w:val="00D335F6"/>
    <w:rsid w:val="00D33FE2"/>
    <w:rsid w:val="00D34626"/>
    <w:rsid w:val="00D34FB4"/>
    <w:rsid w:val="00D357AA"/>
    <w:rsid w:val="00D359BA"/>
    <w:rsid w:val="00D35DE0"/>
    <w:rsid w:val="00D36E7D"/>
    <w:rsid w:val="00D3770C"/>
    <w:rsid w:val="00D3799E"/>
    <w:rsid w:val="00D40D69"/>
    <w:rsid w:val="00D40DFC"/>
    <w:rsid w:val="00D4189F"/>
    <w:rsid w:val="00D420D8"/>
    <w:rsid w:val="00D42577"/>
    <w:rsid w:val="00D4257A"/>
    <w:rsid w:val="00D42929"/>
    <w:rsid w:val="00D439A5"/>
    <w:rsid w:val="00D43AEF"/>
    <w:rsid w:val="00D43C49"/>
    <w:rsid w:val="00D43DEE"/>
    <w:rsid w:val="00D44398"/>
    <w:rsid w:val="00D4498B"/>
    <w:rsid w:val="00D456A9"/>
    <w:rsid w:val="00D45D16"/>
    <w:rsid w:val="00D46810"/>
    <w:rsid w:val="00D47B12"/>
    <w:rsid w:val="00D47B8A"/>
    <w:rsid w:val="00D503CD"/>
    <w:rsid w:val="00D50507"/>
    <w:rsid w:val="00D506B3"/>
    <w:rsid w:val="00D50707"/>
    <w:rsid w:val="00D50890"/>
    <w:rsid w:val="00D51D03"/>
    <w:rsid w:val="00D5270E"/>
    <w:rsid w:val="00D52798"/>
    <w:rsid w:val="00D53256"/>
    <w:rsid w:val="00D536A9"/>
    <w:rsid w:val="00D53BE4"/>
    <w:rsid w:val="00D53C22"/>
    <w:rsid w:val="00D5468A"/>
    <w:rsid w:val="00D56434"/>
    <w:rsid w:val="00D571C7"/>
    <w:rsid w:val="00D57325"/>
    <w:rsid w:val="00D60695"/>
    <w:rsid w:val="00D60D29"/>
    <w:rsid w:val="00D611C8"/>
    <w:rsid w:val="00D614EE"/>
    <w:rsid w:val="00D6159D"/>
    <w:rsid w:val="00D61745"/>
    <w:rsid w:val="00D624D9"/>
    <w:rsid w:val="00D62665"/>
    <w:rsid w:val="00D63416"/>
    <w:rsid w:val="00D64044"/>
    <w:rsid w:val="00D645AC"/>
    <w:rsid w:val="00D652BA"/>
    <w:rsid w:val="00D6605E"/>
    <w:rsid w:val="00D6639D"/>
    <w:rsid w:val="00D66B0F"/>
    <w:rsid w:val="00D66C71"/>
    <w:rsid w:val="00D66D7C"/>
    <w:rsid w:val="00D67275"/>
    <w:rsid w:val="00D67722"/>
    <w:rsid w:val="00D7010E"/>
    <w:rsid w:val="00D70205"/>
    <w:rsid w:val="00D70470"/>
    <w:rsid w:val="00D70EFC"/>
    <w:rsid w:val="00D71212"/>
    <w:rsid w:val="00D71224"/>
    <w:rsid w:val="00D71C62"/>
    <w:rsid w:val="00D720C6"/>
    <w:rsid w:val="00D723DD"/>
    <w:rsid w:val="00D72664"/>
    <w:rsid w:val="00D735EF"/>
    <w:rsid w:val="00D739E3"/>
    <w:rsid w:val="00D749AE"/>
    <w:rsid w:val="00D75450"/>
    <w:rsid w:val="00D758FF"/>
    <w:rsid w:val="00D7609F"/>
    <w:rsid w:val="00D7653D"/>
    <w:rsid w:val="00D76AE6"/>
    <w:rsid w:val="00D80FF3"/>
    <w:rsid w:val="00D81039"/>
    <w:rsid w:val="00D81AA7"/>
    <w:rsid w:val="00D824F8"/>
    <w:rsid w:val="00D82E47"/>
    <w:rsid w:val="00D83DC8"/>
    <w:rsid w:val="00D84A01"/>
    <w:rsid w:val="00D84BDB"/>
    <w:rsid w:val="00D853BF"/>
    <w:rsid w:val="00D8573B"/>
    <w:rsid w:val="00D879CB"/>
    <w:rsid w:val="00D9010F"/>
    <w:rsid w:val="00D901D6"/>
    <w:rsid w:val="00D90874"/>
    <w:rsid w:val="00D90B9C"/>
    <w:rsid w:val="00D91D50"/>
    <w:rsid w:val="00D92A4C"/>
    <w:rsid w:val="00D92BED"/>
    <w:rsid w:val="00D92C22"/>
    <w:rsid w:val="00D92CD4"/>
    <w:rsid w:val="00D938C4"/>
    <w:rsid w:val="00D94671"/>
    <w:rsid w:val="00D95572"/>
    <w:rsid w:val="00D96B86"/>
    <w:rsid w:val="00D97060"/>
    <w:rsid w:val="00D977EA"/>
    <w:rsid w:val="00DA0F6E"/>
    <w:rsid w:val="00DA1913"/>
    <w:rsid w:val="00DA2164"/>
    <w:rsid w:val="00DA251A"/>
    <w:rsid w:val="00DA2679"/>
    <w:rsid w:val="00DA2E75"/>
    <w:rsid w:val="00DA337A"/>
    <w:rsid w:val="00DA372B"/>
    <w:rsid w:val="00DA37E0"/>
    <w:rsid w:val="00DA38EC"/>
    <w:rsid w:val="00DA39A6"/>
    <w:rsid w:val="00DA39CD"/>
    <w:rsid w:val="00DA4105"/>
    <w:rsid w:val="00DA45B0"/>
    <w:rsid w:val="00DA50E7"/>
    <w:rsid w:val="00DA5298"/>
    <w:rsid w:val="00DA6010"/>
    <w:rsid w:val="00DA6100"/>
    <w:rsid w:val="00DA794F"/>
    <w:rsid w:val="00DA7C78"/>
    <w:rsid w:val="00DB085D"/>
    <w:rsid w:val="00DB0FF7"/>
    <w:rsid w:val="00DB148C"/>
    <w:rsid w:val="00DB17DD"/>
    <w:rsid w:val="00DB1A31"/>
    <w:rsid w:val="00DB202E"/>
    <w:rsid w:val="00DB3EDD"/>
    <w:rsid w:val="00DB3EEF"/>
    <w:rsid w:val="00DB3F7A"/>
    <w:rsid w:val="00DB40FA"/>
    <w:rsid w:val="00DB43FE"/>
    <w:rsid w:val="00DB46A7"/>
    <w:rsid w:val="00DB4F78"/>
    <w:rsid w:val="00DB524D"/>
    <w:rsid w:val="00DB5457"/>
    <w:rsid w:val="00DB5683"/>
    <w:rsid w:val="00DB6A50"/>
    <w:rsid w:val="00DB6C6F"/>
    <w:rsid w:val="00DB7066"/>
    <w:rsid w:val="00DB7378"/>
    <w:rsid w:val="00DB775D"/>
    <w:rsid w:val="00DB79FF"/>
    <w:rsid w:val="00DC01CD"/>
    <w:rsid w:val="00DC027B"/>
    <w:rsid w:val="00DC0CDE"/>
    <w:rsid w:val="00DC1697"/>
    <w:rsid w:val="00DC1A46"/>
    <w:rsid w:val="00DC1A85"/>
    <w:rsid w:val="00DC1F1E"/>
    <w:rsid w:val="00DC2019"/>
    <w:rsid w:val="00DC23F7"/>
    <w:rsid w:val="00DC310F"/>
    <w:rsid w:val="00DC3463"/>
    <w:rsid w:val="00DC3A46"/>
    <w:rsid w:val="00DC3EC2"/>
    <w:rsid w:val="00DC498E"/>
    <w:rsid w:val="00DC4D72"/>
    <w:rsid w:val="00DC4FD8"/>
    <w:rsid w:val="00DC51A2"/>
    <w:rsid w:val="00DC6525"/>
    <w:rsid w:val="00DC67C6"/>
    <w:rsid w:val="00DC7018"/>
    <w:rsid w:val="00DC71C6"/>
    <w:rsid w:val="00DC7405"/>
    <w:rsid w:val="00DC740C"/>
    <w:rsid w:val="00DD0DBA"/>
    <w:rsid w:val="00DD12B0"/>
    <w:rsid w:val="00DD1C71"/>
    <w:rsid w:val="00DD2049"/>
    <w:rsid w:val="00DD2918"/>
    <w:rsid w:val="00DD2A4C"/>
    <w:rsid w:val="00DD3B52"/>
    <w:rsid w:val="00DD3E13"/>
    <w:rsid w:val="00DD47F8"/>
    <w:rsid w:val="00DD4B21"/>
    <w:rsid w:val="00DD5610"/>
    <w:rsid w:val="00DD5807"/>
    <w:rsid w:val="00DD5DEE"/>
    <w:rsid w:val="00DD5FC9"/>
    <w:rsid w:val="00DD68A6"/>
    <w:rsid w:val="00DD7E05"/>
    <w:rsid w:val="00DE0363"/>
    <w:rsid w:val="00DE130B"/>
    <w:rsid w:val="00DE175C"/>
    <w:rsid w:val="00DE1A02"/>
    <w:rsid w:val="00DE1C80"/>
    <w:rsid w:val="00DE2FA3"/>
    <w:rsid w:val="00DE3069"/>
    <w:rsid w:val="00DE459D"/>
    <w:rsid w:val="00DE7503"/>
    <w:rsid w:val="00DF04DE"/>
    <w:rsid w:val="00DF06C0"/>
    <w:rsid w:val="00DF0CB3"/>
    <w:rsid w:val="00DF117C"/>
    <w:rsid w:val="00DF14F6"/>
    <w:rsid w:val="00DF20CB"/>
    <w:rsid w:val="00DF2CCE"/>
    <w:rsid w:val="00DF2FDE"/>
    <w:rsid w:val="00DF33AD"/>
    <w:rsid w:val="00DF346A"/>
    <w:rsid w:val="00DF36B1"/>
    <w:rsid w:val="00DF429D"/>
    <w:rsid w:val="00DF47ED"/>
    <w:rsid w:val="00DF482C"/>
    <w:rsid w:val="00DF494C"/>
    <w:rsid w:val="00DF541B"/>
    <w:rsid w:val="00DF58A0"/>
    <w:rsid w:val="00DF606F"/>
    <w:rsid w:val="00DF622C"/>
    <w:rsid w:val="00DF65D1"/>
    <w:rsid w:val="00DF66C8"/>
    <w:rsid w:val="00DF6B9E"/>
    <w:rsid w:val="00DF6D0B"/>
    <w:rsid w:val="00DF7051"/>
    <w:rsid w:val="00DF7E0D"/>
    <w:rsid w:val="00E00073"/>
    <w:rsid w:val="00E003F4"/>
    <w:rsid w:val="00E00933"/>
    <w:rsid w:val="00E01D39"/>
    <w:rsid w:val="00E01F9F"/>
    <w:rsid w:val="00E01FB5"/>
    <w:rsid w:val="00E0283A"/>
    <w:rsid w:val="00E02CBF"/>
    <w:rsid w:val="00E03209"/>
    <w:rsid w:val="00E035D4"/>
    <w:rsid w:val="00E03B32"/>
    <w:rsid w:val="00E03C6E"/>
    <w:rsid w:val="00E03F5C"/>
    <w:rsid w:val="00E04665"/>
    <w:rsid w:val="00E04AEA"/>
    <w:rsid w:val="00E04B5C"/>
    <w:rsid w:val="00E04D09"/>
    <w:rsid w:val="00E04FDA"/>
    <w:rsid w:val="00E05371"/>
    <w:rsid w:val="00E05804"/>
    <w:rsid w:val="00E0624D"/>
    <w:rsid w:val="00E067AB"/>
    <w:rsid w:val="00E10546"/>
    <w:rsid w:val="00E1122C"/>
    <w:rsid w:val="00E122BB"/>
    <w:rsid w:val="00E12608"/>
    <w:rsid w:val="00E13269"/>
    <w:rsid w:val="00E14718"/>
    <w:rsid w:val="00E14B5E"/>
    <w:rsid w:val="00E15872"/>
    <w:rsid w:val="00E1682A"/>
    <w:rsid w:val="00E1728B"/>
    <w:rsid w:val="00E17295"/>
    <w:rsid w:val="00E172E5"/>
    <w:rsid w:val="00E179D4"/>
    <w:rsid w:val="00E17DA9"/>
    <w:rsid w:val="00E20023"/>
    <w:rsid w:val="00E20C95"/>
    <w:rsid w:val="00E218D8"/>
    <w:rsid w:val="00E21BA8"/>
    <w:rsid w:val="00E21F86"/>
    <w:rsid w:val="00E21FDB"/>
    <w:rsid w:val="00E228A7"/>
    <w:rsid w:val="00E22C87"/>
    <w:rsid w:val="00E23555"/>
    <w:rsid w:val="00E2364F"/>
    <w:rsid w:val="00E246DA"/>
    <w:rsid w:val="00E253F1"/>
    <w:rsid w:val="00E25524"/>
    <w:rsid w:val="00E264F0"/>
    <w:rsid w:val="00E2689A"/>
    <w:rsid w:val="00E269F1"/>
    <w:rsid w:val="00E275C1"/>
    <w:rsid w:val="00E30209"/>
    <w:rsid w:val="00E30755"/>
    <w:rsid w:val="00E30811"/>
    <w:rsid w:val="00E30F49"/>
    <w:rsid w:val="00E32068"/>
    <w:rsid w:val="00E327DA"/>
    <w:rsid w:val="00E353A3"/>
    <w:rsid w:val="00E354D2"/>
    <w:rsid w:val="00E35C9D"/>
    <w:rsid w:val="00E36694"/>
    <w:rsid w:val="00E36853"/>
    <w:rsid w:val="00E37FF7"/>
    <w:rsid w:val="00E41177"/>
    <w:rsid w:val="00E41DDA"/>
    <w:rsid w:val="00E432E3"/>
    <w:rsid w:val="00E43A21"/>
    <w:rsid w:val="00E43DEE"/>
    <w:rsid w:val="00E43F39"/>
    <w:rsid w:val="00E4438C"/>
    <w:rsid w:val="00E457F3"/>
    <w:rsid w:val="00E461A0"/>
    <w:rsid w:val="00E46D5A"/>
    <w:rsid w:val="00E46F3D"/>
    <w:rsid w:val="00E46F61"/>
    <w:rsid w:val="00E50663"/>
    <w:rsid w:val="00E50B37"/>
    <w:rsid w:val="00E50FC3"/>
    <w:rsid w:val="00E51219"/>
    <w:rsid w:val="00E51879"/>
    <w:rsid w:val="00E51ADB"/>
    <w:rsid w:val="00E51F6C"/>
    <w:rsid w:val="00E520C7"/>
    <w:rsid w:val="00E53517"/>
    <w:rsid w:val="00E54A98"/>
    <w:rsid w:val="00E5543E"/>
    <w:rsid w:val="00E55CA1"/>
    <w:rsid w:val="00E55DD7"/>
    <w:rsid w:val="00E55F54"/>
    <w:rsid w:val="00E55F9B"/>
    <w:rsid w:val="00E563F5"/>
    <w:rsid w:val="00E56B28"/>
    <w:rsid w:val="00E56F65"/>
    <w:rsid w:val="00E570FD"/>
    <w:rsid w:val="00E576F5"/>
    <w:rsid w:val="00E57A6A"/>
    <w:rsid w:val="00E57B57"/>
    <w:rsid w:val="00E61BFB"/>
    <w:rsid w:val="00E6325C"/>
    <w:rsid w:val="00E63A9B"/>
    <w:rsid w:val="00E63C5E"/>
    <w:rsid w:val="00E658A0"/>
    <w:rsid w:val="00E665FE"/>
    <w:rsid w:val="00E666BF"/>
    <w:rsid w:val="00E66B49"/>
    <w:rsid w:val="00E66DB4"/>
    <w:rsid w:val="00E66E18"/>
    <w:rsid w:val="00E6745A"/>
    <w:rsid w:val="00E675BF"/>
    <w:rsid w:val="00E67D0F"/>
    <w:rsid w:val="00E712C6"/>
    <w:rsid w:val="00E71ACE"/>
    <w:rsid w:val="00E72677"/>
    <w:rsid w:val="00E73958"/>
    <w:rsid w:val="00E73CC1"/>
    <w:rsid w:val="00E73F7E"/>
    <w:rsid w:val="00E75652"/>
    <w:rsid w:val="00E7593D"/>
    <w:rsid w:val="00E75D01"/>
    <w:rsid w:val="00E766E9"/>
    <w:rsid w:val="00E76AED"/>
    <w:rsid w:val="00E81407"/>
    <w:rsid w:val="00E81CE8"/>
    <w:rsid w:val="00E833FF"/>
    <w:rsid w:val="00E8388D"/>
    <w:rsid w:val="00E84455"/>
    <w:rsid w:val="00E84D88"/>
    <w:rsid w:val="00E86357"/>
    <w:rsid w:val="00E87284"/>
    <w:rsid w:val="00E87722"/>
    <w:rsid w:val="00E87FBB"/>
    <w:rsid w:val="00E87FFC"/>
    <w:rsid w:val="00E90839"/>
    <w:rsid w:val="00E930F4"/>
    <w:rsid w:val="00E94640"/>
    <w:rsid w:val="00E9563B"/>
    <w:rsid w:val="00E96218"/>
    <w:rsid w:val="00E96272"/>
    <w:rsid w:val="00E97664"/>
    <w:rsid w:val="00E97B42"/>
    <w:rsid w:val="00EA03D6"/>
    <w:rsid w:val="00EA061E"/>
    <w:rsid w:val="00EA06E7"/>
    <w:rsid w:val="00EA0EBB"/>
    <w:rsid w:val="00EA19BC"/>
    <w:rsid w:val="00EA1DD4"/>
    <w:rsid w:val="00EA40A2"/>
    <w:rsid w:val="00EA417A"/>
    <w:rsid w:val="00EA47E5"/>
    <w:rsid w:val="00EA4DD8"/>
    <w:rsid w:val="00EA527C"/>
    <w:rsid w:val="00EA5785"/>
    <w:rsid w:val="00EA74D2"/>
    <w:rsid w:val="00EA7959"/>
    <w:rsid w:val="00EA7F37"/>
    <w:rsid w:val="00EB079F"/>
    <w:rsid w:val="00EB07B6"/>
    <w:rsid w:val="00EB0916"/>
    <w:rsid w:val="00EB0ACB"/>
    <w:rsid w:val="00EB1E99"/>
    <w:rsid w:val="00EB2AEF"/>
    <w:rsid w:val="00EB2BED"/>
    <w:rsid w:val="00EB2CAD"/>
    <w:rsid w:val="00EB2FF7"/>
    <w:rsid w:val="00EB3249"/>
    <w:rsid w:val="00EB32B6"/>
    <w:rsid w:val="00EB36E8"/>
    <w:rsid w:val="00EB386D"/>
    <w:rsid w:val="00EB3A98"/>
    <w:rsid w:val="00EB41BE"/>
    <w:rsid w:val="00EB42AE"/>
    <w:rsid w:val="00EB43E5"/>
    <w:rsid w:val="00EB6745"/>
    <w:rsid w:val="00EB74CC"/>
    <w:rsid w:val="00EB7A58"/>
    <w:rsid w:val="00EB7E71"/>
    <w:rsid w:val="00EC090A"/>
    <w:rsid w:val="00EC0CEB"/>
    <w:rsid w:val="00EC3A06"/>
    <w:rsid w:val="00EC4495"/>
    <w:rsid w:val="00EC4B2E"/>
    <w:rsid w:val="00EC5DD3"/>
    <w:rsid w:val="00EC7099"/>
    <w:rsid w:val="00EC7C92"/>
    <w:rsid w:val="00EC7E50"/>
    <w:rsid w:val="00ED0429"/>
    <w:rsid w:val="00ED0628"/>
    <w:rsid w:val="00ED0F90"/>
    <w:rsid w:val="00ED123E"/>
    <w:rsid w:val="00ED1F15"/>
    <w:rsid w:val="00ED216B"/>
    <w:rsid w:val="00ED2EAB"/>
    <w:rsid w:val="00ED56F0"/>
    <w:rsid w:val="00ED5AFF"/>
    <w:rsid w:val="00ED7398"/>
    <w:rsid w:val="00EE0B17"/>
    <w:rsid w:val="00EE1C29"/>
    <w:rsid w:val="00EE2A38"/>
    <w:rsid w:val="00EE2BD0"/>
    <w:rsid w:val="00EE4414"/>
    <w:rsid w:val="00EE4AE6"/>
    <w:rsid w:val="00EE5C2D"/>
    <w:rsid w:val="00EE5C77"/>
    <w:rsid w:val="00EE6375"/>
    <w:rsid w:val="00EE6640"/>
    <w:rsid w:val="00EE760D"/>
    <w:rsid w:val="00EE7772"/>
    <w:rsid w:val="00EE7EC7"/>
    <w:rsid w:val="00EF0495"/>
    <w:rsid w:val="00EF0B86"/>
    <w:rsid w:val="00EF0CFF"/>
    <w:rsid w:val="00EF1628"/>
    <w:rsid w:val="00EF18C9"/>
    <w:rsid w:val="00EF1CD8"/>
    <w:rsid w:val="00EF26A4"/>
    <w:rsid w:val="00EF2788"/>
    <w:rsid w:val="00EF2BE8"/>
    <w:rsid w:val="00EF2CCD"/>
    <w:rsid w:val="00EF3103"/>
    <w:rsid w:val="00EF4A78"/>
    <w:rsid w:val="00EF6DB0"/>
    <w:rsid w:val="00EF6E9B"/>
    <w:rsid w:val="00EF74AB"/>
    <w:rsid w:val="00EF7714"/>
    <w:rsid w:val="00F00B11"/>
    <w:rsid w:val="00F01AA4"/>
    <w:rsid w:val="00F0208E"/>
    <w:rsid w:val="00F023DB"/>
    <w:rsid w:val="00F02E2F"/>
    <w:rsid w:val="00F02F98"/>
    <w:rsid w:val="00F049ED"/>
    <w:rsid w:val="00F04A66"/>
    <w:rsid w:val="00F04FF8"/>
    <w:rsid w:val="00F06629"/>
    <w:rsid w:val="00F067DC"/>
    <w:rsid w:val="00F074AF"/>
    <w:rsid w:val="00F1046C"/>
    <w:rsid w:val="00F1078F"/>
    <w:rsid w:val="00F109D4"/>
    <w:rsid w:val="00F10A6F"/>
    <w:rsid w:val="00F120AB"/>
    <w:rsid w:val="00F136C8"/>
    <w:rsid w:val="00F15EE9"/>
    <w:rsid w:val="00F165F1"/>
    <w:rsid w:val="00F20116"/>
    <w:rsid w:val="00F2034F"/>
    <w:rsid w:val="00F21989"/>
    <w:rsid w:val="00F22625"/>
    <w:rsid w:val="00F234BF"/>
    <w:rsid w:val="00F24013"/>
    <w:rsid w:val="00F24736"/>
    <w:rsid w:val="00F2483C"/>
    <w:rsid w:val="00F25D88"/>
    <w:rsid w:val="00F27344"/>
    <w:rsid w:val="00F2769B"/>
    <w:rsid w:val="00F27864"/>
    <w:rsid w:val="00F30346"/>
    <w:rsid w:val="00F30910"/>
    <w:rsid w:val="00F30AC7"/>
    <w:rsid w:val="00F316D6"/>
    <w:rsid w:val="00F316DA"/>
    <w:rsid w:val="00F3258D"/>
    <w:rsid w:val="00F336C9"/>
    <w:rsid w:val="00F33CF4"/>
    <w:rsid w:val="00F343AA"/>
    <w:rsid w:val="00F343AB"/>
    <w:rsid w:val="00F34791"/>
    <w:rsid w:val="00F34D33"/>
    <w:rsid w:val="00F35793"/>
    <w:rsid w:val="00F35A9B"/>
    <w:rsid w:val="00F35DB5"/>
    <w:rsid w:val="00F3777C"/>
    <w:rsid w:val="00F37E56"/>
    <w:rsid w:val="00F400EA"/>
    <w:rsid w:val="00F41106"/>
    <w:rsid w:val="00F41E43"/>
    <w:rsid w:val="00F42090"/>
    <w:rsid w:val="00F420CE"/>
    <w:rsid w:val="00F4241B"/>
    <w:rsid w:val="00F43BD7"/>
    <w:rsid w:val="00F442F4"/>
    <w:rsid w:val="00F445EE"/>
    <w:rsid w:val="00F44D54"/>
    <w:rsid w:val="00F450C8"/>
    <w:rsid w:val="00F455EC"/>
    <w:rsid w:val="00F45ADA"/>
    <w:rsid w:val="00F46704"/>
    <w:rsid w:val="00F4674D"/>
    <w:rsid w:val="00F46C17"/>
    <w:rsid w:val="00F47585"/>
    <w:rsid w:val="00F47D98"/>
    <w:rsid w:val="00F51E37"/>
    <w:rsid w:val="00F52082"/>
    <w:rsid w:val="00F525E1"/>
    <w:rsid w:val="00F53845"/>
    <w:rsid w:val="00F54313"/>
    <w:rsid w:val="00F54501"/>
    <w:rsid w:val="00F54C62"/>
    <w:rsid w:val="00F55326"/>
    <w:rsid w:val="00F55501"/>
    <w:rsid w:val="00F57256"/>
    <w:rsid w:val="00F60974"/>
    <w:rsid w:val="00F60B4F"/>
    <w:rsid w:val="00F61B51"/>
    <w:rsid w:val="00F61DDF"/>
    <w:rsid w:val="00F623B9"/>
    <w:rsid w:val="00F6249C"/>
    <w:rsid w:val="00F65258"/>
    <w:rsid w:val="00F66885"/>
    <w:rsid w:val="00F67400"/>
    <w:rsid w:val="00F678B8"/>
    <w:rsid w:val="00F7078E"/>
    <w:rsid w:val="00F70BC3"/>
    <w:rsid w:val="00F70CDF"/>
    <w:rsid w:val="00F70F32"/>
    <w:rsid w:val="00F71006"/>
    <w:rsid w:val="00F7108A"/>
    <w:rsid w:val="00F71A51"/>
    <w:rsid w:val="00F73211"/>
    <w:rsid w:val="00F73385"/>
    <w:rsid w:val="00F73BD8"/>
    <w:rsid w:val="00F743F0"/>
    <w:rsid w:val="00F75060"/>
    <w:rsid w:val="00F75BDB"/>
    <w:rsid w:val="00F76BBD"/>
    <w:rsid w:val="00F77812"/>
    <w:rsid w:val="00F77925"/>
    <w:rsid w:val="00F7794D"/>
    <w:rsid w:val="00F77B55"/>
    <w:rsid w:val="00F77DCC"/>
    <w:rsid w:val="00F77E4B"/>
    <w:rsid w:val="00F77F84"/>
    <w:rsid w:val="00F8068D"/>
    <w:rsid w:val="00F81232"/>
    <w:rsid w:val="00F81941"/>
    <w:rsid w:val="00F819EF"/>
    <w:rsid w:val="00F81BF2"/>
    <w:rsid w:val="00F81D1C"/>
    <w:rsid w:val="00F820FC"/>
    <w:rsid w:val="00F8291C"/>
    <w:rsid w:val="00F83207"/>
    <w:rsid w:val="00F83312"/>
    <w:rsid w:val="00F83778"/>
    <w:rsid w:val="00F838BE"/>
    <w:rsid w:val="00F83AC3"/>
    <w:rsid w:val="00F83B59"/>
    <w:rsid w:val="00F842B5"/>
    <w:rsid w:val="00F844DF"/>
    <w:rsid w:val="00F84C56"/>
    <w:rsid w:val="00F84F84"/>
    <w:rsid w:val="00F85543"/>
    <w:rsid w:val="00F85ABD"/>
    <w:rsid w:val="00F85E6F"/>
    <w:rsid w:val="00F8652A"/>
    <w:rsid w:val="00F86AD5"/>
    <w:rsid w:val="00F86F9E"/>
    <w:rsid w:val="00F8701A"/>
    <w:rsid w:val="00F90C44"/>
    <w:rsid w:val="00F90FD1"/>
    <w:rsid w:val="00F915E5"/>
    <w:rsid w:val="00F92F42"/>
    <w:rsid w:val="00F93DD8"/>
    <w:rsid w:val="00F94016"/>
    <w:rsid w:val="00F941D5"/>
    <w:rsid w:val="00F9477E"/>
    <w:rsid w:val="00F95449"/>
    <w:rsid w:val="00F955C3"/>
    <w:rsid w:val="00F956AB"/>
    <w:rsid w:val="00F963CA"/>
    <w:rsid w:val="00F96A95"/>
    <w:rsid w:val="00F9787A"/>
    <w:rsid w:val="00F97F2A"/>
    <w:rsid w:val="00F97F2E"/>
    <w:rsid w:val="00FA0A9C"/>
    <w:rsid w:val="00FA1942"/>
    <w:rsid w:val="00FA1E4F"/>
    <w:rsid w:val="00FA24EB"/>
    <w:rsid w:val="00FA3749"/>
    <w:rsid w:val="00FA380A"/>
    <w:rsid w:val="00FA6480"/>
    <w:rsid w:val="00FA6599"/>
    <w:rsid w:val="00FA66B4"/>
    <w:rsid w:val="00FA71B3"/>
    <w:rsid w:val="00FB00C0"/>
    <w:rsid w:val="00FB06D9"/>
    <w:rsid w:val="00FB0CDD"/>
    <w:rsid w:val="00FB0DE2"/>
    <w:rsid w:val="00FB15B5"/>
    <w:rsid w:val="00FB309E"/>
    <w:rsid w:val="00FB3461"/>
    <w:rsid w:val="00FB4EFF"/>
    <w:rsid w:val="00FB62AD"/>
    <w:rsid w:val="00FB6F90"/>
    <w:rsid w:val="00FB76B6"/>
    <w:rsid w:val="00FC13DC"/>
    <w:rsid w:val="00FC2CB5"/>
    <w:rsid w:val="00FC38D9"/>
    <w:rsid w:val="00FC3A8F"/>
    <w:rsid w:val="00FC3C21"/>
    <w:rsid w:val="00FC44E7"/>
    <w:rsid w:val="00FC45DD"/>
    <w:rsid w:val="00FC4957"/>
    <w:rsid w:val="00FC4C89"/>
    <w:rsid w:val="00FC595E"/>
    <w:rsid w:val="00FC5B98"/>
    <w:rsid w:val="00FC60D0"/>
    <w:rsid w:val="00FC611B"/>
    <w:rsid w:val="00FC6C0D"/>
    <w:rsid w:val="00FC6FC9"/>
    <w:rsid w:val="00FC717E"/>
    <w:rsid w:val="00FD08DF"/>
    <w:rsid w:val="00FD0EA3"/>
    <w:rsid w:val="00FD19F7"/>
    <w:rsid w:val="00FD1E24"/>
    <w:rsid w:val="00FD2852"/>
    <w:rsid w:val="00FD3191"/>
    <w:rsid w:val="00FD3728"/>
    <w:rsid w:val="00FD46D5"/>
    <w:rsid w:val="00FD57E7"/>
    <w:rsid w:val="00FD59F0"/>
    <w:rsid w:val="00FD5FD4"/>
    <w:rsid w:val="00FD6878"/>
    <w:rsid w:val="00FD7172"/>
    <w:rsid w:val="00FD7402"/>
    <w:rsid w:val="00FD7F0B"/>
    <w:rsid w:val="00FE0231"/>
    <w:rsid w:val="00FE04E4"/>
    <w:rsid w:val="00FE0983"/>
    <w:rsid w:val="00FE0BDC"/>
    <w:rsid w:val="00FE0F7D"/>
    <w:rsid w:val="00FE1764"/>
    <w:rsid w:val="00FE2CD2"/>
    <w:rsid w:val="00FE2DD7"/>
    <w:rsid w:val="00FE382D"/>
    <w:rsid w:val="00FE38F3"/>
    <w:rsid w:val="00FE5338"/>
    <w:rsid w:val="00FE73F9"/>
    <w:rsid w:val="00FF0FAF"/>
    <w:rsid w:val="00FF1057"/>
    <w:rsid w:val="00FF23F1"/>
    <w:rsid w:val="00FF25E7"/>
    <w:rsid w:val="00FF2744"/>
    <w:rsid w:val="00FF3482"/>
    <w:rsid w:val="00FF3E25"/>
    <w:rsid w:val="00FF47C3"/>
    <w:rsid w:val="00FF5C9A"/>
    <w:rsid w:val="00FF5FD8"/>
    <w:rsid w:val="6DD9F659"/>
    <w:rsid w:val="7E0805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3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6C4AAC"/>
    <w:rPr>
      <w:color w:val="2B579A"/>
      <w:shd w:val="clear" w:color="auto" w:fill="E1DFDD"/>
    </w:rPr>
  </w:style>
  <w:style w:type="character" w:customStyle="1" w:styleId="base-text-paragraphChar">
    <w:name w:val="base-text-paragraph Char"/>
    <w:basedOn w:val="DefaultParagraphFont"/>
    <w:link w:val="base-text-paragraph"/>
    <w:rsid w:val="00EB74CC"/>
    <w:rPr>
      <w:sz w:val="24"/>
    </w:rPr>
  </w:style>
  <w:style w:type="character" w:customStyle="1" w:styleId="normaltextrun">
    <w:name w:val="normaltextrun"/>
    <w:basedOn w:val="DefaultParagraphFont"/>
    <w:rsid w:val="00556D20"/>
  </w:style>
  <w:style w:type="paragraph" w:customStyle="1" w:styleId="exampledotpoint1">
    <w:name w:val="example dot point 1"/>
    <w:basedOn w:val="Normal"/>
    <w:rsid w:val="00F2769B"/>
    <w:pPr>
      <w:numPr>
        <w:numId w:val="26"/>
      </w:numPr>
    </w:pPr>
    <w:rPr>
      <w:sz w:val="20"/>
    </w:rPr>
  </w:style>
  <w:style w:type="paragraph" w:customStyle="1" w:styleId="exampledotpoint2">
    <w:name w:val="example dot point 2"/>
    <w:basedOn w:val="Normal"/>
    <w:rsid w:val="00F2769B"/>
    <w:pPr>
      <w:numPr>
        <w:ilvl w:val="1"/>
        <w:numId w:val="26"/>
      </w:numP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77862">
      <w:bodyDiv w:val="1"/>
      <w:marLeft w:val="0"/>
      <w:marRight w:val="0"/>
      <w:marTop w:val="0"/>
      <w:marBottom w:val="0"/>
      <w:divBdr>
        <w:top w:val="none" w:sz="0" w:space="0" w:color="auto"/>
        <w:left w:val="none" w:sz="0" w:space="0" w:color="auto"/>
        <w:bottom w:val="none" w:sz="0" w:space="0" w:color="auto"/>
        <w:right w:val="none" w:sz="0" w:space="0" w:color="auto"/>
      </w:divBdr>
      <w:divsChild>
        <w:div w:id="545261354">
          <w:marLeft w:val="0"/>
          <w:marRight w:val="0"/>
          <w:marTop w:val="0"/>
          <w:marBottom w:val="0"/>
          <w:divBdr>
            <w:top w:val="none" w:sz="0" w:space="0" w:color="auto"/>
            <w:left w:val="none" w:sz="0" w:space="0" w:color="auto"/>
            <w:bottom w:val="none" w:sz="0" w:space="0" w:color="auto"/>
            <w:right w:val="none" w:sz="0" w:space="0" w:color="auto"/>
          </w:divBdr>
        </w:div>
        <w:div w:id="1004823277">
          <w:marLeft w:val="0"/>
          <w:marRight w:val="0"/>
          <w:marTop w:val="0"/>
          <w:marBottom w:val="0"/>
          <w:divBdr>
            <w:top w:val="none" w:sz="0" w:space="0" w:color="auto"/>
            <w:left w:val="none" w:sz="0" w:space="0" w:color="auto"/>
            <w:bottom w:val="none" w:sz="0" w:space="0" w:color="auto"/>
            <w:right w:val="none" w:sz="0" w:space="0" w:color="auto"/>
          </w:divBdr>
        </w:div>
        <w:div w:id="1492796251">
          <w:marLeft w:val="0"/>
          <w:marRight w:val="0"/>
          <w:marTop w:val="0"/>
          <w:marBottom w:val="0"/>
          <w:divBdr>
            <w:top w:val="none" w:sz="0" w:space="0" w:color="auto"/>
            <w:left w:val="none" w:sz="0" w:space="0" w:color="auto"/>
            <w:bottom w:val="none" w:sz="0" w:space="0" w:color="auto"/>
            <w:right w:val="none" w:sz="0" w:space="0" w:color="auto"/>
          </w:divBdr>
        </w:div>
        <w:div w:id="1513184765">
          <w:marLeft w:val="0"/>
          <w:marRight w:val="0"/>
          <w:marTop w:val="0"/>
          <w:marBottom w:val="0"/>
          <w:divBdr>
            <w:top w:val="none" w:sz="0" w:space="0" w:color="auto"/>
            <w:left w:val="none" w:sz="0" w:space="0" w:color="auto"/>
            <w:bottom w:val="none" w:sz="0" w:space="0" w:color="auto"/>
            <w:right w:val="none" w:sz="0" w:space="0" w:color="auto"/>
          </w:divBdr>
        </w:div>
        <w:div w:id="1591963790">
          <w:marLeft w:val="0"/>
          <w:marRight w:val="0"/>
          <w:marTop w:val="0"/>
          <w:marBottom w:val="0"/>
          <w:divBdr>
            <w:top w:val="none" w:sz="0" w:space="0" w:color="auto"/>
            <w:left w:val="none" w:sz="0" w:space="0" w:color="auto"/>
            <w:bottom w:val="none" w:sz="0" w:space="0" w:color="auto"/>
            <w:right w:val="none" w:sz="0" w:space="0" w:color="auto"/>
          </w:divBdr>
        </w:div>
        <w:div w:id="1790927018">
          <w:marLeft w:val="0"/>
          <w:marRight w:val="0"/>
          <w:marTop w:val="0"/>
          <w:marBottom w:val="0"/>
          <w:divBdr>
            <w:top w:val="none" w:sz="0" w:space="0" w:color="auto"/>
            <w:left w:val="none" w:sz="0" w:space="0" w:color="auto"/>
            <w:bottom w:val="none" w:sz="0" w:space="0" w:color="auto"/>
            <w:right w:val="none" w:sz="0" w:space="0" w:color="auto"/>
          </w:divBdr>
        </w:div>
        <w:div w:id="1799451352">
          <w:marLeft w:val="0"/>
          <w:marRight w:val="0"/>
          <w:marTop w:val="0"/>
          <w:marBottom w:val="0"/>
          <w:divBdr>
            <w:top w:val="none" w:sz="0" w:space="0" w:color="auto"/>
            <w:left w:val="none" w:sz="0" w:space="0" w:color="auto"/>
            <w:bottom w:val="none" w:sz="0" w:space="0" w:color="auto"/>
            <w:right w:val="none" w:sz="0" w:space="0" w:color="auto"/>
          </w:divBdr>
        </w:div>
        <w:div w:id="1954170716">
          <w:marLeft w:val="0"/>
          <w:marRight w:val="0"/>
          <w:marTop w:val="0"/>
          <w:marBottom w:val="0"/>
          <w:divBdr>
            <w:top w:val="none" w:sz="0" w:space="0" w:color="auto"/>
            <w:left w:val="none" w:sz="0" w:space="0" w:color="auto"/>
            <w:bottom w:val="none" w:sz="0" w:space="0" w:color="auto"/>
            <w:right w:val="none" w:sz="0" w:space="0" w:color="auto"/>
          </w:divBdr>
        </w:div>
      </w:divsChild>
    </w:div>
    <w:div w:id="1106004383">
      <w:bodyDiv w:val="1"/>
      <w:marLeft w:val="0"/>
      <w:marRight w:val="0"/>
      <w:marTop w:val="0"/>
      <w:marBottom w:val="0"/>
      <w:divBdr>
        <w:top w:val="none" w:sz="0" w:space="0" w:color="auto"/>
        <w:left w:val="none" w:sz="0" w:space="0" w:color="auto"/>
        <w:bottom w:val="none" w:sz="0" w:space="0" w:color="auto"/>
        <w:right w:val="none" w:sz="0" w:space="0" w:color="auto"/>
      </w:divBdr>
    </w:div>
    <w:div w:id="1117717474">
      <w:bodyDiv w:val="1"/>
      <w:marLeft w:val="0"/>
      <w:marRight w:val="0"/>
      <w:marTop w:val="0"/>
      <w:marBottom w:val="0"/>
      <w:divBdr>
        <w:top w:val="none" w:sz="0" w:space="0" w:color="auto"/>
        <w:left w:val="none" w:sz="0" w:space="0" w:color="auto"/>
        <w:bottom w:val="none" w:sz="0" w:space="0" w:color="auto"/>
        <w:right w:val="none" w:sz="0" w:space="0" w:color="auto"/>
      </w:divBdr>
      <w:divsChild>
        <w:div w:id="224487857">
          <w:marLeft w:val="0"/>
          <w:marRight w:val="0"/>
          <w:marTop w:val="0"/>
          <w:marBottom w:val="0"/>
          <w:divBdr>
            <w:top w:val="none" w:sz="0" w:space="0" w:color="auto"/>
            <w:left w:val="none" w:sz="0" w:space="0" w:color="auto"/>
            <w:bottom w:val="none" w:sz="0" w:space="0" w:color="auto"/>
            <w:right w:val="none" w:sz="0" w:space="0" w:color="auto"/>
          </w:divBdr>
        </w:div>
        <w:div w:id="295261769">
          <w:marLeft w:val="0"/>
          <w:marRight w:val="0"/>
          <w:marTop w:val="0"/>
          <w:marBottom w:val="0"/>
          <w:divBdr>
            <w:top w:val="none" w:sz="0" w:space="0" w:color="auto"/>
            <w:left w:val="none" w:sz="0" w:space="0" w:color="auto"/>
            <w:bottom w:val="none" w:sz="0" w:space="0" w:color="auto"/>
            <w:right w:val="none" w:sz="0" w:space="0" w:color="auto"/>
          </w:divBdr>
        </w:div>
        <w:div w:id="478228793">
          <w:marLeft w:val="0"/>
          <w:marRight w:val="0"/>
          <w:marTop w:val="0"/>
          <w:marBottom w:val="0"/>
          <w:divBdr>
            <w:top w:val="none" w:sz="0" w:space="0" w:color="auto"/>
            <w:left w:val="none" w:sz="0" w:space="0" w:color="auto"/>
            <w:bottom w:val="none" w:sz="0" w:space="0" w:color="auto"/>
            <w:right w:val="none" w:sz="0" w:space="0" w:color="auto"/>
          </w:divBdr>
        </w:div>
        <w:div w:id="1448961841">
          <w:marLeft w:val="0"/>
          <w:marRight w:val="0"/>
          <w:marTop w:val="0"/>
          <w:marBottom w:val="0"/>
          <w:divBdr>
            <w:top w:val="none" w:sz="0" w:space="0" w:color="auto"/>
            <w:left w:val="none" w:sz="0" w:space="0" w:color="auto"/>
            <w:bottom w:val="none" w:sz="0" w:space="0" w:color="auto"/>
            <w:right w:val="none" w:sz="0" w:space="0" w:color="auto"/>
          </w:divBdr>
        </w:div>
        <w:div w:id="1478374378">
          <w:marLeft w:val="0"/>
          <w:marRight w:val="0"/>
          <w:marTop w:val="0"/>
          <w:marBottom w:val="0"/>
          <w:divBdr>
            <w:top w:val="none" w:sz="0" w:space="0" w:color="auto"/>
            <w:left w:val="none" w:sz="0" w:space="0" w:color="auto"/>
            <w:bottom w:val="none" w:sz="0" w:space="0" w:color="auto"/>
            <w:right w:val="none" w:sz="0" w:space="0" w:color="auto"/>
          </w:divBdr>
        </w:div>
        <w:div w:id="1700928025">
          <w:marLeft w:val="0"/>
          <w:marRight w:val="0"/>
          <w:marTop w:val="0"/>
          <w:marBottom w:val="0"/>
          <w:divBdr>
            <w:top w:val="none" w:sz="0" w:space="0" w:color="auto"/>
            <w:left w:val="none" w:sz="0" w:space="0" w:color="auto"/>
            <w:bottom w:val="none" w:sz="0" w:space="0" w:color="auto"/>
            <w:right w:val="none" w:sz="0" w:space="0" w:color="auto"/>
          </w:divBdr>
        </w:div>
        <w:div w:id="1813667858">
          <w:marLeft w:val="0"/>
          <w:marRight w:val="0"/>
          <w:marTop w:val="0"/>
          <w:marBottom w:val="0"/>
          <w:divBdr>
            <w:top w:val="none" w:sz="0" w:space="0" w:color="auto"/>
            <w:left w:val="none" w:sz="0" w:space="0" w:color="auto"/>
            <w:bottom w:val="none" w:sz="0" w:space="0" w:color="auto"/>
            <w:right w:val="none" w:sz="0" w:space="0" w:color="auto"/>
          </w:divBdr>
        </w:div>
        <w:div w:id="2044133850">
          <w:marLeft w:val="0"/>
          <w:marRight w:val="0"/>
          <w:marTop w:val="0"/>
          <w:marBottom w:val="0"/>
          <w:divBdr>
            <w:top w:val="none" w:sz="0" w:space="0" w:color="auto"/>
            <w:left w:val="none" w:sz="0" w:space="0" w:color="auto"/>
            <w:bottom w:val="none" w:sz="0" w:space="0" w:color="auto"/>
            <w:right w:val="none" w:sz="0" w:space="0" w:color="auto"/>
          </w:divBdr>
        </w:div>
      </w:divsChild>
    </w:div>
    <w:div w:id="1124153647">
      <w:bodyDiv w:val="1"/>
      <w:marLeft w:val="0"/>
      <w:marRight w:val="0"/>
      <w:marTop w:val="0"/>
      <w:marBottom w:val="0"/>
      <w:divBdr>
        <w:top w:val="none" w:sz="0" w:space="0" w:color="auto"/>
        <w:left w:val="none" w:sz="0" w:space="0" w:color="auto"/>
        <w:bottom w:val="none" w:sz="0" w:space="0" w:color="auto"/>
        <w:right w:val="none" w:sz="0" w:space="0" w:color="auto"/>
      </w:divBdr>
      <w:divsChild>
        <w:div w:id="985619993">
          <w:marLeft w:val="0"/>
          <w:marRight w:val="0"/>
          <w:marTop w:val="0"/>
          <w:marBottom w:val="0"/>
          <w:divBdr>
            <w:top w:val="none" w:sz="0" w:space="0" w:color="auto"/>
            <w:left w:val="none" w:sz="0" w:space="0" w:color="auto"/>
            <w:bottom w:val="none" w:sz="0" w:space="0" w:color="auto"/>
            <w:right w:val="none" w:sz="0" w:space="0" w:color="auto"/>
          </w:divBdr>
        </w:div>
        <w:div w:id="1203640337">
          <w:marLeft w:val="0"/>
          <w:marRight w:val="0"/>
          <w:marTop w:val="0"/>
          <w:marBottom w:val="0"/>
          <w:divBdr>
            <w:top w:val="none" w:sz="0" w:space="0" w:color="auto"/>
            <w:left w:val="none" w:sz="0" w:space="0" w:color="auto"/>
            <w:bottom w:val="none" w:sz="0" w:space="0" w:color="auto"/>
            <w:right w:val="none" w:sz="0" w:space="0" w:color="auto"/>
          </w:divBdr>
        </w:div>
        <w:div w:id="1249660200">
          <w:marLeft w:val="0"/>
          <w:marRight w:val="0"/>
          <w:marTop w:val="0"/>
          <w:marBottom w:val="0"/>
          <w:divBdr>
            <w:top w:val="none" w:sz="0" w:space="0" w:color="auto"/>
            <w:left w:val="none" w:sz="0" w:space="0" w:color="auto"/>
            <w:bottom w:val="none" w:sz="0" w:space="0" w:color="auto"/>
            <w:right w:val="none" w:sz="0" w:space="0" w:color="auto"/>
          </w:divBdr>
        </w:div>
        <w:div w:id="1313169857">
          <w:marLeft w:val="0"/>
          <w:marRight w:val="0"/>
          <w:marTop w:val="0"/>
          <w:marBottom w:val="0"/>
          <w:divBdr>
            <w:top w:val="none" w:sz="0" w:space="0" w:color="auto"/>
            <w:left w:val="none" w:sz="0" w:space="0" w:color="auto"/>
            <w:bottom w:val="none" w:sz="0" w:space="0" w:color="auto"/>
            <w:right w:val="none" w:sz="0" w:space="0" w:color="auto"/>
          </w:divBdr>
        </w:div>
        <w:div w:id="1342197757">
          <w:marLeft w:val="0"/>
          <w:marRight w:val="0"/>
          <w:marTop w:val="0"/>
          <w:marBottom w:val="0"/>
          <w:divBdr>
            <w:top w:val="none" w:sz="0" w:space="0" w:color="auto"/>
            <w:left w:val="none" w:sz="0" w:space="0" w:color="auto"/>
            <w:bottom w:val="none" w:sz="0" w:space="0" w:color="auto"/>
            <w:right w:val="none" w:sz="0" w:space="0" w:color="auto"/>
          </w:divBdr>
        </w:div>
        <w:div w:id="1644509241">
          <w:marLeft w:val="0"/>
          <w:marRight w:val="0"/>
          <w:marTop w:val="0"/>
          <w:marBottom w:val="0"/>
          <w:divBdr>
            <w:top w:val="none" w:sz="0" w:space="0" w:color="auto"/>
            <w:left w:val="none" w:sz="0" w:space="0" w:color="auto"/>
            <w:bottom w:val="none" w:sz="0" w:space="0" w:color="auto"/>
            <w:right w:val="none" w:sz="0" w:space="0" w:color="auto"/>
          </w:divBdr>
        </w:div>
      </w:divsChild>
    </w:div>
    <w:div w:id="1533108115">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87484656">
      <w:bodyDiv w:val="1"/>
      <w:marLeft w:val="0"/>
      <w:marRight w:val="0"/>
      <w:marTop w:val="0"/>
      <w:marBottom w:val="0"/>
      <w:divBdr>
        <w:top w:val="none" w:sz="0" w:space="0" w:color="auto"/>
        <w:left w:val="none" w:sz="0" w:space="0" w:color="auto"/>
        <w:bottom w:val="none" w:sz="0" w:space="0" w:color="auto"/>
        <w:right w:val="none" w:sz="0" w:space="0" w:color="auto"/>
      </w:divBdr>
      <w:divsChild>
        <w:div w:id="352071159">
          <w:marLeft w:val="0"/>
          <w:marRight w:val="0"/>
          <w:marTop w:val="0"/>
          <w:marBottom w:val="0"/>
          <w:divBdr>
            <w:top w:val="none" w:sz="0" w:space="0" w:color="auto"/>
            <w:left w:val="none" w:sz="0" w:space="0" w:color="auto"/>
            <w:bottom w:val="none" w:sz="0" w:space="0" w:color="auto"/>
            <w:right w:val="none" w:sz="0" w:space="0" w:color="auto"/>
          </w:divBdr>
        </w:div>
        <w:div w:id="752288008">
          <w:marLeft w:val="0"/>
          <w:marRight w:val="0"/>
          <w:marTop w:val="0"/>
          <w:marBottom w:val="0"/>
          <w:divBdr>
            <w:top w:val="none" w:sz="0" w:space="0" w:color="auto"/>
            <w:left w:val="none" w:sz="0" w:space="0" w:color="auto"/>
            <w:bottom w:val="none" w:sz="0" w:space="0" w:color="auto"/>
            <w:right w:val="none" w:sz="0" w:space="0" w:color="auto"/>
          </w:divBdr>
        </w:div>
        <w:div w:id="1208179691">
          <w:marLeft w:val="0"/>
          <w:marRight w:val="0"/>
          <w:marTop w:val="0"/>
          <w:marBottom w:val="0"/>
          <w:divBdr>
            <w:top w:val="none" w:sz="0" w:space="0" w:color="auto"/>
            <w:left w:val="none" w:sz="0" w:space="0" w:color="auto"/>
            <w:bottom w:val="none" w:sz="0" w:space="0" w:color="auto"/>
            <w:right w:val="none" w:sz="0" w:space="0" w:color="auto"/>
          </w:divBdr>
        </w:div>
        <w:div w:id="1486120428">
          <w:marLeft w:val="0"/>
          <w:marRight w:val="0"/>
          <w:marTop w:val="0"/>
          <w:marBottom w:val="0"/>
          <w:divBdr>
            <w:top w:val="none" w:sz="0" w:space="0" w:color="auto"/>
            <w:left w:val="none" w:sz="0" w:space="0" w:color="auto"/>
            <w:bottom w:val="none" w:sz="0" w:space="0" w:color="auto"/>
            <w:right w:val="none" w:sz="0" w:space="0" w:color="auto"/>
          </w:divBdr>
        </w:div>
        <w:div w:id="1627617755">
          <w:marLeft w:val="0"/>
          <w:marRight w:val="0"/>
          <w:marTop w:val="0"/>
          <w:marBottom w:val="0"/>
          <w:divBdr>
            <w:top w:val="none" w:sz="0" w:space="0" w:color="auto"/>
            <w:left w:val="none" w:sz="0" w:space="0" w:color="auto"/>
            <w:bottom w:val="none" w:sz="0" w:space="0" w:color="auto"/>
            <w:right w:val="none" w:sz="0" w:space="0" w:color="auto"/>
          </w:divBdr>
        </w:div>
        <w:div w:id="1920482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Explanatory statement: Competition and Consumer (Scams Prevention Framework) Rules 2026</vt:lpstr>
    </vt:vector>
  </TitlesOfParts>
  <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Competition and Consumer (Scams Prevention Framework) Rules 2026</dc:title>
  <dc:subject/>
  <dc:creator>Australian Government</dc:creator>
  <cp:keywords/>
  <dc:description/>
  <cp:lastModifiedBy/>
  <cp:revision>1</cp:revision>
  <dcterms:created xsi:type="dcterms:W3CDTF">2026-05-26T00:05:00Z</dcterms:created>
  <dcterms:modified xsi:type="dcterms:W3CDTF">2026-05-26T00:12:00Z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2026-05-26T00:12:48Z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51cc167a-c0f0-4b4d-8ae7-64ead46c6de3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