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7C" w:rsidRPr="00547C40" w:rsidRDefault="0068487C" w:rsidP="0068487C">
      <w:pPr>
        <w:spacing w:after="0" w:line="240" w:lineRule="auto"/>
        <w:ind w:left="1134" w:hanging="1134"/>
        <w:jc w:val="center"/>
        <w:rPr>
          <w:rFonts w:ascii="Verdana" w:eastAsia="Times New Roman" w:hAnsi="Verdana" w:cs="Times New Roman"/>
          <w:b/>
          <w:sz w:val="20"/>
          <w:szCs w:val="20"/>
          <w:lang w:eastAsia="en-GB"/>
        </w:rPr>
      </w:pPr>
      <w:bookmarkStart w:id="0" w:name="_GoBack"/>
      <w:bookmarkEnd w:id="0"/>
      <w:r w:rsidRPr="00547C40">
        <w:rPr>
          <w:rFonts w:ascii="Verdana" w:eastAsia="Times New Roman" w:hAnsi="Verdana" w:cs="Times New Roman"/>
          <w:b/>
          <w:sz w:val="20"/>
          <w:szCs w:val="20"/>
          <w:lang w:eastAsia="en-GB"/>
        </w:rPr>
        <w:t xml:space="preserve">TERMS OF REFERENCE FOR </w:t>
      </w:r>
    </w:p>
    <w:p w:rsidR="0068487C" w:rsidRPr="00547C40" w:rsidRDefault="0068487C" w:rsidP="0068487C">
      <w:pPr>
        <w:spacing w:after="0" w:line="240" w:lineRule="auto"/>
        <w:ind w:left="1134" w:hanging="1134"/>
        <w:jc w:val="center"/>
        <w:rPr>
          <w:rFonts w:ascii="Verdana" w:eastAsia="Times New Roman" w:hAnsi="Verdana" w:cs="Times New Roman"/>
          <w:b/>
          <w:sz w:val="20"/>
          <w:szCs w:val="20"/>
          <w:lang w:eastAsia="en-GB"/>
        </w:rPr>
      </w:pPr>
    </w:p>
    <w:p w:rsidR="0068487C" w:rsidRPr="00547C40" w:rsidRDefault="0068487C" w:rsidP="002104A7">
      <w:pPr>
        <w:spacing w:after="0" w:line="240" w:lineRule="auto"/>
        <w:ind w:left="1134" w:hanging="1134"/>
        <w:jc w:val="center"/>
        <w:rPr>
          <w:rFonts w:ascii="Verdana" w:eastAsia="Times New Roman" w:hAnsi="Verdana" w:cs="Times New Roman"/>
          <w:b/>
          <w:sz w:val="20"/>
          <w:szCs w:val="20"/>
          <w:lang w:eastAsia="en-GB"/>
        </w:rPr>
      </w:pPr>
      <w:r w:rsidRPr="00547C40">
        <w:rPr>
          <w:rFonts w:ascii="Verdana" w:eastAsia="Times New Roman" w:hAnsi="Verdana" w:cs="Times New Roman"/>
          <w:b/>
          <w:sz w:val="20"/>
          <w:szCs w:val="20"/>
          <w:lang w:eastAsia="en-GB"/>
        </w:rPr>
        <w:t xml:space="preserve">THE </w:t>
      </w:r>
      <w:r w:rsidR="002104A7">
        <w:rPr>
          <w:rFonts w:ascii="Verdana" w:eastAsia="Times New Roman" w:hAnsi="Verdana" w:cs="Times New Roman"/>
          <w:b/>
          <w:sz w:val="20"/>
          <w:szCs w:val="20"/>
          <w:lang w:eastAsia="en-GB"/>
        </w:rPr>
        <w:t>SPECIAL REVIEW</w:t>
      </w:r>
      <w:r w:rsidRPr="00547C40">
        <w:rPr>
          <w:rFonts w:ascii="Verdana" w:eastAsia="Times New Roman" w:hAnsi="Verdana" w:cs="Times New Roman"/>
          <w:b/>
          <w:sz w:val="20"/>
          <w:szCs w:val="20"/>
          <w:lang w:eastAsia="en-GB"/>
        </w:rPr>
        <w:t xml:space="preserve"> AUDIT AND </w:t>
      </w:r>
      <w:r w:rsidRPr="00547C40">
        <w:rPr>
          <w:rFonts w:ascii="Verdana" w:eastAsia="Times New Roman" w:hAnsi="Verdana" w:cs="Times New Roman"/>
          <w:b/>
          <w:iCs/>
          <w:sz w:val="20"/>
          <w:szCs w:val="20"/>
          <w:lang w:eastAsia="en-GB"/>
        </w:rPr>
        <w:t>FACTUAL FINDINGS</w:t>
      </w:r>
    </w:p>
    <w:p w:rsidR="0068487C" w:rsidRPr="00547C40" w:rsidRDefault="0068487C" w:rsidP="0068487C">
      <w:pPr>
        <w:spacing w:after="0" w:line="240" w:lineRule="auto"/>
        <w:ind w:left="1134" w:hanging="1134"/>
        <w:jc w:val="center"/>
        <w:rPr>
          <w:rFonts w:ascii="Verdana" w:eastAsia="Times New Roman" w:hAnsi="Verdana" w:cs="Times New Roman"/>
          <w:b/>
          <w:sz w:val="20"/>
          <w:szCs w:val="20"/>
          <w:lang w:eastAsia="en-GB"/>
        </w:rPr>
      </w:pPr>
    </w:p>
    <w:p w:rsidR="0068487C" w:rsidRPr="00547C40" w:rsidRDefault="0068487C" w:rsidP="0068487C">
      <w:pPr>
        <w:spacing w:after="0" w:line="240" w:lineRule="auto"/>
        <w:ind w:left="1134" w:hanging="1134"/>
        <w:jc w:val="center"/>
        <w:rPr>
          <w:rFonts w:ascii="Verdana" w:eastAsia="Times New Roman" w:hAnsi="Verdana" w:cs="Times New Roman"/>
          <w:b/>
          <w:sz w:val="20"/>
          <w:szCs w:val="20"/>
          <w:lang w:eastAsia="en-GB"/>
        </w:rPr>
      </w:pPr>
      <w:r w:rsidRPr="00547C40">
        <w:rPr>
          <w:rFonts w:ascii="Verdana" w:eastAsia="Times New Roman" w:hAnsi="Verdana" w:cs="Times New Roman"/>
          <w:b/>
          <w:sz w:val="20"/>
          <w:szCs w:val="20"/>
          <w:lang w:eastAsia="en-GB"/>
        </w:rPr>
        <w:t>OF</w:t>
      </w:r>
    </w:p>
    <w:p w:rsidR="0068487C" w:rsidRPr="00547C40" w:rsidRDefault="0068487C" w:rsidP="0068487C">
      <w:pPr>
        <w:spacing w:after="0" w:line="240" w:lineRule="auto"/>
        <w:ind w:left="1134" w:hanging="1134"/>
        <w:jc w:val="center"/>
        <w:rPr>
          <w:rFonts w:ascii="Verdana" w:eastAsia="Times New Roman" w:hAnsi="Verdana" w:cs="Times New Roman"/>
          <w:b/>
          <w:sz w:val="20"/>
          <w:szCs w:val="20"/>
          <w:lang w:eastAsia="en-GB"/>
        </w:rPr>
      </w:pPr>
    </w:p>
    <w:p w:rsidR="0068487C" w:rsidRPr="00547C40" w:rsidRDefault="00D75EBE" w:rsidP="0068487C">
      <w:pPr>
        <w:spacing w:after="0" w:line="240" w:lineRule="auto"/>
        <w:ind w:left="1134" w:hanging="1134"/>
        <w:jc w:val="center"/>
        <w:rPr>
          <w:rFonts w:ascii="Verdana" w:eastAsia="Times New Roman" w:hAnsi="Verdana" w:cs="Times New Roman"/>
          <w:b/>
          <w:sz w:val="28"/>
          <w:szCs w:val="28"/>
          <w:lang w:eastAsia="en-GB"/>
        </w:rPr>
      </w:pPr>
      <w:r w:rsidRPr="00B81A08">
        <w:rPr>
          <w:rFonts w:asciiTheme="majorHAnsi" w:hAnsiTheme="majorHAnsi"/>
          <w:b/>
          <w:bCs/>
          <w:sz w:val="24"/>
          <w:szCs w:val="24"/>
        </w:rPr>
        <w:t xml:space="preserve">Mari culture Enterprise Development </w:t>
      </w:r>
      <w:r w:rsidR="00935928" w:rsidRPr="00B81A08">
        <w:rPr>
          <w:rFonts w:asciiTheme="majorHAnsi" w:hAnsiTheme="majorHAnsi"/>
          <w:b/>
          <w:bCs/>
          <w:sz w:val="24"/>
          <w:szCs w:val="24"/>
        </w:rPr>
        <w:t>Project</w:t>
      </w:r>
      <w:r w:rsidR="00935928">
        <w:rPr>
          <w:rFonts w:asciiTheme="majorHAnsi" w:hAnsiTheme="majorHAnsi"/>
          <w:b/>
          <w:bCs/>
          <w:sz w:val="24"/>
          <w:szCs w:val="24"/>
        </w:rPr>
        <w:t xml:space="preserve"> (</w:t>
      </w:r>
      <w:r>
        <w:rPr>
          <w:rFonts w:asciiTheme="majorHAnsi" w:hAnsiTheme="majorHAnsi"/>
          <w:b/>
          <w:bCs/>
          <w:sz w:val="24"/>
          <w:szCs w:val="24"/>
        </w:rPr>
        <w:t>MEDEP)</w:t>
      </w:r>
    </w:p>
    <w:p w:rsidR="0068487C" w:rsidRPr="00547C40" w:rsidRDefault="0068487C" w:rsidP="0068487C">
      <w:pPr>
        <w:spacing w:after="0" w:line="240" w:lineRule="auto"/>
        <w:ind w:left="720"/>
        <w:contextualSpacing/>
        <w:rPr>
          <w:rFonts w:ascii="Verdana" w:eastAsia="Times New Roman" w:hAnsi="Verdana" w:cs="Times New Roman"/>
          <w:b/>
          <w:sz w:val="24"/>
          <w:szCs w:val="24"/>
          <w:lang w:eastAsia="en-GB"/>
        </w:rPr>
      </w:pPr>
    </w:p>
    <w:p w:rsidR="0068487C" w:rsidRPr="00B013E9" w:rsidRDefault="0068487C" w:rsidP="0068487C">
      <w:pPr>
        <w:pStyle w:val="ListParagraph"/>
        <w:numPr>
          <w:ilvl w:val="0"/>
          <w:numId w:val="8"/>
        </w:numPr>
        <w:rPr>
          <w:rFonts w:ascii="Verdana" w:hAnsi="Verdana"/>
          <w:b/>
          <w:bCs/>
          <w:lang w:eastAsia="en-GB"/>
        </w:rPr>
      </w:pPr>
      <w:r w:rsidRPr="00B013E9">
        <w:rPr>
          <w:rFonts w:ascii="Verdana" w:hAnsi="Verdana"/>
          <w:b/>
          <w:bCs/>
          <w:lang w:eastAsia="en-GB"/>
        </w:rPr>
        <w:t>Background</w:t>
      </w:r>
    </w:p>
    <w:p w:rsidR="0068487C" w:rsidRPr="00D75EBE" w:rsidRDefault="0068487C" w:rsidP="00D75EBE">
      <w:pPr>
        <w:numPr>
          <w:ilvl w:val="0"/>
          <w:numId w:val="4"/>
        </w:numPr>
        <w:spacing w:after="0" w:line="240" w:lineRule="auto"/>
        <w:contextualSpacing/>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 xml:space="preserve">The International Fund for Agricultural Development (IFAD) aids the Borrower/Recipient in the </w:t>
      </w:r>
      <w:r w:rsidRPr="00D75EBE">
        <w:rPr>
          <w:rFonts w:ascii="Verdana" w:eastAsia="Times New Roman" w:hAnsi="Verdana" w:cs="Times New Roman"/>
          <w:sz w:val="20"/>
          <w:szCs w:val="20"/>
          <w:lang w:eastAsia="en-GB"/>
        </w:rPr>
        <w:t xml:space="preserve">form of </w:t>
      </w:r>
      <w:r w:rsidR="00D75EBE" w:rsidRPr="00D75EBE">
        <w:rPr>
          <w:rFonts w:ascii="Verdana" w:eastAsia="Times New Roman" w:hAnsi="Verdana" w:cs="Times New Roman"/>
          <w:iCs/>
          <w:sz w:val="20"/>
          <w:szCs w:val="20"/>
          <w:lang w:eastAsia="en-GB"/>
        </w:rPr>
        <w:t>Grant</w:t>
      </w:r>
      <w:r w:rsidRPr="00D75EBE">
        <w:rPr>
          <w:rFonts w:ascii="Verdana" w:eastAsia="Times New Roman" w:hAnsi="Verdana" w:cs="Times New Roman"/>
          <w:sz w:val="20"/>
          <w:szCs w:val="20"/>
          <w:lang w:eastAsia="en-GB"/>
        </w:rPr>
        <w:t>.</w:t>
      </w:r>
    </w:p>
    <w:p w:rsidR="0068487C" w:rsidRPr="00547C40" w:rsidRDefault="0068487C" w:rsidP="00D75EBE">
      <w:pPr>
        <w:numPr>
          <w:ilvl w:val="0"/>
          <w:numId w:val="4"/>
        </w:numPr>
        <w:spacing w:after="0" w:line="240" w:lineRule="auto"/>
        <w:contextualSpacing/>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 xml:space="preserve">A Financing </w:t>
      </w:r>
      <w:r w:rsidRPr="00D75EBE">
        <w:rPr>
          <w:rFonts w:ascii="Verdana" w:eastAsia="Times New Roman" w:hAnsi="Verdana" w:cs="Times New Roman"/>
          <w:iCs/>
          <w:sz w:val="20"/>
          <w:szCs w:val="20"/>
          <w:lang w:eastAsia="en-GB"/>
        </w:rPr>
        <w:t xml:space="preserve">Grant </w:t>
      </w:r>
      <w:r w:rsidRPr="00547C40">
        <w:rPr>
          <w:rFonts w:ascii="Verdana" w:eastAsia="Times New Roman" w:hAnsi="Verdana" w:cs="Times New Roman"/>
          <w:sz w:val="20"/>
          <w:szCs w:val="20"/>
          <w:lang w:eastAsia="en-GB"/>
        </w:rPr>
        <w:t xml:space="preserve">Agreement(s) has </w:t>
      </w:r>
      <w:r>
        <w:rPr>
          <w:rFonts w:ascii="Verdana" w:eastAsia="Times New Roman" w:hAnsi="Verdana" w:cs="Times New Roman"/>
          <w:sz w:val="20"/>
          <w:szCs w:val="20"/>
          <w:lang w:eastAsia="en-GB"/>
        </w:rPr>
        <w:t>been signed</w:t>
      </w:r>
      <w:r w:rsidRPr="00547C40">
        <w:rPr>
          <w:rFonts w:ascii="Verdana" w:eastAsia="Times New Roman" w:hAnsi="Verdana" w:cs="Times New Roman"/>
          <w:sz w:val="20"/>
          <w:szCs w:val="20"/>
          <w:lang w:eastAsia="en-GB"/>
        </w:rPr>
        <w:t xml:space="preserve"> between IFAD and the Borrower</w:t>
      </w:r>
      <w:r w:rsidR="00D75EBE">
        <w:rPr>
          <w:rFonts w:ascii="Verdana" w:eastAsia="Times New Roman" w:hAnsi="Verdana" w:cs="Times New Roman"/>
          <w:sz w:val="20"/>
          <w:szCs w:val="20"/>
          <w:lang w:eastAsia="en-GB"/>
        </w:rPr>
        <w:t xml:space="preserve"> Ministry of Finance and Treasury</w:t>
      </w:r>
      <w:r w:rsidR="00935928">
        <w:rPr>
          <w:rFonts w:ascii="Verdana" w:eastAsia="Times New Roman" w:hAnsi="Verdana" w:cs="Times New Roman"/>
          <w:sz w:val="20"/>
          <w:szCs w:val="20"/>
          <w:lang w:eastAsia="en-GB"/>
        </w:rPr>
        <w:t xml:space="preserve"> -</w:t>
      </w:r>
      <w:r w:rsidR="00935928" w:rsidRPr="00935928">
        <w:rPr>
          <w:rFonts w:ascii="Verdana" w:eastAsia="Times New Roman" w:hAnsi="Verdana" w:cs="Times New Roman"/>
          <w:sz w:val="20"/>
          <w:szCs w:val="20"/>
          <w:lang w:eastAsia="en-GB"/>
        </w:rPr>
        <w:t xml:space="preserve"> </w:t>
      </w:r>
      <w:r w:rsidR="00935928">
        <w:rPr>
          <w:rFonts w:ascii="Verdana" w:eastAsia="Times New Roman" w:hAnsi="Verdana" w:cs="Times New Roman"/>
          <w:sz w:val="20"/>
          <w:szCs w:val="20"/>
          <w:lang w:eastAsia="en-GB"/>
        </w:rPr>
        <w:t>refer annex 1</w:t>
      </w:r>
      <w:r w:rsidR="00D75EBE">
        <w:rPr>
          <w:rFonts w:ascii="Verdana" w:eastAsia="Times New Roman" w:hAnsi="Verdana" w:cs="Times New Roman"/>
          <w:sz w:val="20"/>
          <w:szCs w:val="20"/>
          <w:lang w:eastAsia="en-GB"/>
        </w:rPr>
        <w:t>.</w:t>
      </w:r>
      <w:r w:rsidRPr="00547C40">
        <w:rPr>
          <w:rFonts w:ascii="Verdana" w:eastAsia="Times New Roman" w:hAnsi="Verdana" w:cs="Times New Roman"/>
          <w:sz w:val="20"/>
          <w:szCs w:val="20"/>
          <w:lang w:eastAsia="en-GB"/>
        </w:rPr>
        <w:t xml:space="preserve"> </w:t>
      </w:r>
    </w:p>
    <w:p w:rsidR="0068487C" w:rsidRPr="00547C40" w:rsidRDefault="0068487C" w:rsidP="00D75EBE">
      <w:pPr>
        <w:numPr>
          <w:ilvl w:val="0"/>
          <w:numId w:val="4"/>
        </w:numPr>
        <w:spacing w:after="0" w:line="240" w:lineRule="auto"/>
        <w:contextualSpacing/>
        <w:rPr>
          <w:rFonts w:ascii="Verdana" w:eastAsia="Times New Roman" w:hAnsi="Verdana" w:cs="Times New Roman"/>
          <w:i/>
          <w:iCs/>
          <w:sz w:val="20"/>
          <w:szCs w:val="20"/>
          <w:lang w:eastAsia="en-GB"/>
        </w:rPr>
      </w:pPr>
      <w:r w:rsidRPr="00547C40">
        <w:rPr>
          <w:rFonts w:ascii="Verdana" w:eastAsia="Times New Roman" w:hAnsi="Verdana" w:cs="Times New Roman"/>
          <w:iCs/>
          <w:sz w:val="20"/>
          <w:szCs w:val="20"/>
          <w:lang w:eastAsia="en-GB"/>
        </w:rPr>
        <w:t>IFAD requires the Borrower/Recipient to appoint an independent auditor to audit the accounts related to the project in accordance with the IFAD Handbook on Financial Reporting and Auditing.</w:t>
      </w:r>
    </w:p>
    <w:p w:rsidR="0068487C" w:rsidRPr="00830634" w:rsidRDefault="0068487C" w:rsidP="00D75EBE">
      <w:pPr>
        <w:numPr>
          <w:ilvl w:val="0"/>
          <w:numId w:val="4"/>
        </w:numPr>
        <w:spacing w:after="0" w:line="240" w:lineRule="auto"/>
        <w:contextualSpacing/>
        <w:rPr>
          <w:rFonts w:ascii="Verdana" w:eastAsia="Times New Roman" w:hAnsi="Verdana" w:cs="Times New Roman"/>
          <w:i/>
          <w:iCs/>
          <w:sz w:val="20"/>
          <w:szCs w:val="20"/>
          <w:lang w:eastAsia="en-GB"/>
        </w:rPr>
      </w:pPr>
      <w:r w:rsidRPr="00547C40">
        <w:rPr>
          <w:rFonts w:ascii="Verdana" w:eastAsia="Times New Roman" w:hAnsi="Verdana" w:cs="Times New Roman"/>
          <w:bCs/>
          <w:iCs/>
          <w:sz w:val="20"/>
          <w:szCs w:val="20"/>
          <w:lang w:eastAsia="en-GB"/>
        </w:rPr>
        <w:t>The reporting entity is</w:t>
      </w:r>
      <w:r w:rsidRPr="00547C40">
        <w:rPr>
          <w:rFonts w:ascii="Verdana" w:eastAsia="Times New Roman" w:hAnsi="Verdana" w:cs="Times New Roman"/>
          <w:bCs/>
          <w:i/>
          <w:iCs/>
          <w:sz w:val="20"/>
          <w:szCs w:val="20"/>
          <w:lang w:eastAsia="en-GB"/>
        </w:rPr>
        <w:t xml:space="preserve"> </w:t>
      </w:r>
      <w:r w:rsidR="00D75EBE" w:rsidRPr="00D75EBE">
        <w:rPr>
          <w:rFonts w:ascii="Verdana" w:eastAsia="Times New Roman" w:hAnsi="Verdana" w:cs="Times New Roman"/>
          <w:bCs/>
          <w:sz w:val="20"/>
          <w:szCs w:val="20"/>
          <w:lang w:eastAsia="en-GB"/>
        </w:rPr>
        <w:t>Ministry of Fisheries and Agriculture (MOFA)</w:t>
      </w:r>
      <w:r w:rsidRPr="00D75EBE">
        <w:rPr>
          <w:rFonts w:ascii="Verdana" w:eastAsia="Times New Roman" w:hAnsi="Verdana" w:cs="Times New Roman"/>
          <w:bCs/>
          <w:sz w:val="20"/>
          <w:szCs w:val="20"/>
          <w:lang w:eastAsia="en-GB"/>
        </w:rPr>
        <w:t>.</w:t>
      </w:r>
    </w:p>
    <w:p w:rsidR="004C3E92" w:rsidRPr="00935928" w:rsidRDefault="0068487C" w:rsidP="00935928">
      <w:pPr>
        <w:pStyle w:val="ListParagraph"/>
        <w:numPr>
          <w:ilvl w:val="0"/>
          <w:numId w:val="4"/>
        </w:numPr>
        <w:rPr>
          <w:rFonts w:ascii="Verdana" w:eastAsia="Times New Roman" w:hAnsi="Verdana" w:cs="Times New Roman"/>
          <w:bCs/>
          <w:i/>
          <w:iCs/>
          <w:sz w:val="20"/>
          <w:szCs w:val="20"/>
          <w:lang w:eastAsia="en-GB"/>
        </w:rPr>
      </w:pPr>
      <w:r w:rsidRPr="004C3E92">
        <w:rPr>
          <w:rFonts w:ascii="Verdana" w:eastAsia="Times New Roman" w:hAnsi="Verdana" w:cs="Times New Roman"/>
          <w:bCs/>
          <w:iCs/>
          <w:sz w:val="20"/>
          <w:szCs w:val="20"/>
          <w:lang w:eastAsia="en-GB"/>
        </w:rPr>
        <w:t xml:space="preserve">The auditor conducts its audit in terms of </w:t>
      </w:r>
      <w:r w:rsidR="004C3E92" w:rsidRPr="004C3E92">
        <w:t xml:space="preserve"> </w:t>
      </w:r>
      <w:r w:rsidR="004C3E92" w:rsidRPr="004C3E92">
        <w:rPr>
          <w:rFonts w:ascii="Verdana" w:eastAsia="Times New Roman" w:hAnsi="Verdana" w:cs="Times New Roman"/>
          <w:bCs/>
          <w:sz w:val="20"/>
          <w:szCs w:val="20"/>
          <w:lang w:eastAsia="en-GB"/>
        </w:rPr>
        <w:t>International Standards on Auditing (ISA)</w:t>
      </w:r>
    </w:p>
    <w:p w:rsidR="0068487C" w:rsidRPr="00547C40" w:rsidRDefault="0068487C" w:rsidP="0068487C">
      <w:pPr>
        <w:spacing w:after="0" w:line="240" w:lineRule="auto"/>
        <w:rPr>
          <w:rFonts w:ascii="Verdana" w:eastAsia="Times New Roman" w:hAnsi="Verdana" w:cs="Times New Roman"/>
          <w:b/>
          <w:sz w:val="20"/>
          <w:szCs w:val="20"/>
          <w:lang w:eastAsia="en-GB"/>
        </w:rPr>
      </w:pPr>
    </w:p>
    <w:p w:rsidR="0068487C" w:rsidRPr="00B013E9" w:rsidRDefault="0068487C" w:rsidP="0068487C">
      <w:pPr>
        <w:pStyle w:val="ListParagraph"/>
        <w:numPr>
          <w:ilvl w:val="0"/>
          <w:numId w:val="8"/>
        </w:numPr>
        <w:rPr>
          <w:rFonts w:ascii="Verdana" w:hAnsi="Verdana"/>
          <w:b/>
          <w:bCs/>
          <w:lang w:eastAsia="en-GB"/>
        </w:rPr>
      </w:pPr>
      <w:r w:rsidRPr="00B013E9">
        <w:rPr>
          <w:rFonts w:ascii="Verdana" w:hAnsi="Verdana"/>
          <w:b/>
          <w:bCs/>
          <w:lang w:eastAsia="en-GB"/>
        </w:rPr>
        <w:t>Objectives</w:t>
      </w:r>
    </w:p>
    <w:p w:rsidR="00463986" w:rsidRPr="00463986" w:rsidRDefault="00935928" w:rsidP="00463986">
      <w:pPr>
        <w:spacing w:before="120" w:after="120" w:line="240" w:lineRule="auto"/>
        <w:ind w:left="432"/>
        <w:jc w:val="both"/>
        <w:rPr>
          <w:rFonts w:ascii="Verdana" w:eastAsia="Times New Roman" w:hAnsi="Verdana" w:cs="Times New Roman"/>
          <w:sz w:val="20"/>
          <w:szCs w:val="20"/>
          <w:lang w:eastAsia="en-GB"/>
        </w:rPr>
      </w:pPr>
      <w:r w:rsidRPr="00935928">
        <w:rPr>
          <w:rFonts w:ascii="Verdana" w:eastAsia="Times New Roman" w:hAnsi="Verdana" w:cs="Times New Roman"/>
          <w:sz w:val="20"/>
          <w:szCs w:val="20"/>
          <w:lang w:eastAsia="en-GB"/>
        </w:rPr>
        <w:t xml:space="preserve">The objective of this audit is to enable the Auditor to express an opinion </w:t>
      </w:r>
      <w:r w:rsidR="00463986">
        <w:rPr>
          <w:rFonts w:ascii="Verdana" w:eastAsia="Times New Roman" w:hAnsi="Verdana" w:cs="Times New Roman"/>
          <w:sz w:val="20"/>
          <w:szCs w:val="20"/>
          <w:lang w:eastAsia="en-GB"/>
        </w:rPr>
        <w:t xml:space="preserve">and recommendation </w:t>
      </w:r>
      <w:r w:rsidRPr="00935928">
        <w:rPr>
          <w:rFonts w:ascii="Verdana" w:eastAsia="Times New Roman" w:hAnsi="Verdana" w:cs="Times New Roman"/>
          <w:sz w:val="20"/>
          <w:szCs w:val="20"/>
          <w:lang w:eastAsia="en-GB"/>
        </w:rPr>
        <w:t xml:space="preserve">on </w:t>
      </w:r>
      <w:r w:rsidR="00463986" w:rsidRPr="00463986">
        <w:rPr>
          <w:rFonts w:ascii="Verdana" w:eastAsia="Times New Roman" w:hAnsi="Verdana" w:cs="Times New Roman"/>
          <w:sz w:val="20"/>
          <w:szCs w:val="20"/>
          <w:lang w:eastAsia="en-GB"/>
        </w:rPr>
        <w:t xml:space="preserve">the status of the contract with </w:t>
      </w:r>
      <w:proofErr w:type="spellStart"/>
      <w:r w:rsidR="00463986" w:rsidRPr="00463986">
        <w:rPr>
          <w:rFonts w:ascii="Verdana" w:eastAsia="Times New Roman" w:hAnsi="Verdana" w:cs="Times New Roman"/>
          <w:sz w:val="20"/>
          <w:szCs w:val="20"/>
          <w:lang w:eastAsia="en-GB"/>
        </w:rPr>
        <w:t>Barakathul</w:t>
      </w:r>
      <w:proofErr w:type="spellEnd"/>
      <w:r w:rsidR="00463986" w:rsidRPr="00463986">
        <w:rPr>
          <w:rFonts w:ascii="Verdana" w:eastAsia="Times New Roman" w:hAnsi="Verdana" w:cs="Times New Roman"/>
          <w:sz w:val="20"/>
          <w:szCs w:val="20"/>
          <w:lang w:eastAsia="en-GB"/>
        </w:rPr>
        <w:t xml:space="preserve"> </w:t>
      </w:r>
      <w:proofErr w:type="spellStart"/>
      <w:r w:rsidR="00463986" w:rsidRPr="00463986">
        <w:rPr>
          <w:rFonts w:ascii="Verdana" w:eastAsia="Times New Roman" w:hAnsi="Verdana" w:cs="Times New Roman"/>
          <w:sz w:val="20"/>
          <w:szCs w:val="20"/>
          <w:lang w:eastAsia="en-GB"/>
        </w:rPr>
        <w:t>Bahurul</w:t>
      </w:r>
      <w:proofErr w:type="spellEnd"/>
      <w:r w:rsidR="00463986" w:rsidRPr="00463986">
        <w:rPr>
          <w:rFonts w:ascii="Verdana" w:eastAsia="Times New Roman" w:hAnsi="Verdana" w:cs="Times New Roman"/>
          <w:sz w:val="20"/>
          <w:szCs w:val="20"/>
          <w:lang w:eastAsia="en-GB"/>
        </w:rPr>
        <w:t xml:space="preserve"> Pvt </w:t>
      </w:r>
      <w:r w:rsidR="00463986">
        <w:rPr>
          <w:rFonts w:ascii="Verdana" w:eastAsia="Times New Roman" w:hAnsi="Verdana" w:cs="Times New Roman"/>
          <w:sz w:val="20"/>
          <w:szCs w:val="20"/>
          <w:lang w:eastAsia="en-GB"/>
        </w:rPr>
        <w:t xml:space="preserve">Ltd. </w:t>
      </w:r>
      <w:r w:rsidR="00463986" w:rsidRPr="00463986">
        <w:rPr>
          <w:rFonts w:ascii="Verdana" w:eastAsia="Times New Roman" w:hAnsi="Verdana" w:cs="Times New Roman"/>
          <w:sz w:val="20"/>
          <w:szCs w:val="20"/>
          <w:lang w:eastAsia="en-GB"/>
        </w:rPr>
        <w:t>and the status of the liabilities of the beneficiaries from the credit line with the Bank of Maldives</w:t>
      </w:r>
    </w:p>
    <w:p w:rsidR="008E35F1" w:rsidRPr="00547C40" w:rsidRDefault="008E35F1" w:rsidP="0068487C">
      <w:pPr>
        <w:spacing w:before="120" w:after="120" w:line="240" w:lineRule="auto"/>
        <w:ind w:left="432"/>
        <w:jc w:val="both"/>
        <w:rPr>
          <w:rFonts w:ascii="Verdana" w:eastAsia="Times New Roman" w:hAnsi="Verdana" w:cs="Times New Roman"/>
          <w:sz w:val="20"/>
          <w:szCs w:val="20"/>
          <w:lang w:eastAsia="en-GB"/>
        </w:rPr>
      </w:pPr>
    </w:p>
    <w:p w:rsidR="00935928" w:rsidRPr="004E2357" w:rsidRDefault="00935928" w:rsidP="00935928">
      <w:pPr>
        <w:pStyle w:val="ListParagraph"/>
        <w:numPr>
          <w:ilvl w:val="0"/>
          <w:numId w:val="8"/>
        </w:numPr>
        <w:rPr>
          <w:rFonts w:ascii="Verdana" w:hAnsi="Verdana"/>
          <w:b/>
          <w:bCs/>
          <w:iCs/>
          <w:lang w:eastAsia="en-GB"/>
        </w:rPr>
      </w:pPr>
      <w:r w:rsidRPr="004E2357">
        <w:rPr>
          <w:rFonts w:ascii="Verdana" w:hAnsi="Verdana"/>
          <w:b/>
          <w:bCs/>
          <w:lang w:eastAsia="en-GB"/>
        </w:rPr>
        <w:t xml:space="preserve">The responsibilities of the </w:t>
      </w:r>
      <w:r w:rsidRPr="004E2357">
        <w:rPr>
          <w:rFonts w:ascii="Verdana" w:hAnsi="Verdana"/>
          <w:b/>
          <w:bCs/>
          <w:iCs/>
          <w:lang w:eastAsia="en-GB"/>
        </w:rPr>
        <w:t>Implementing Agency ( MOFA/PIU)</w:t>
      </w:r>
    </w:p>
    <w:p w:rsidR="0068487C" w:rsidRPr="00B013E9" w:rsidRDefault="0068487C" w:rsidP="00935928">
      <w:pPr>
        <w:pStyle w:val="ListParagraph"/>
        <w:rPr>
          <w:rFonts w:ascii="Verdana" w:hAnsi="Verdana"/>
          <w:b/>
          <w:bCs/>
          <w:lang w:eastAsia="en-GB"/>
        </w:rPr>
      </w:pPr>
    </w:p>
    <w:p w:rsidR="0068487C" w:rsidRPr="00B013E9" w:rsidRDefault="0068487C" w:rsidP="0068487C">
      <w:pPr>
        <w:pStyle w:val="ListParagraph"/>
        <w:numPr>
          <w:ilvl w:val="1"/>
          <w:numId w:val="2"/>
        </w:numPr>
        <w:rPr>
          <w:b/>
          <w:bCs/>
          <w:lang w:eastAsia="en-GB"/>
        </w:rPr>
      </w:pPr>
      <w:r w:rsidRPr="00B013E9">
        <w:rPr>
          <w:b/>
          <w:bCs/>
          <w:lang w:eastAsia="en-GB"/>
        </w:rPr>
        <w:t>General</w:t>
      </w:r>
    </w:p>
    <w:p w:rsidR="0068487C" w:rsidRPr="00547C40" w:rsidRDefault="0068487C" w:rsidP="00463986">
      <w:pPr>
        <w:numPr>
          <w:ilvl w:val="0"/>
          <w:numId w:val="7"/>
        </w:numPr>
        <w:spacing w:after="0" w:line="240" w:lineRule="auto"/>
        <w:ind w:left="1080"/>
        <w:contextualSpacing/>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 xml:space="preserve">Provide </w:t>
      </w:r>
      <w:r w:rsidR="00463986">
        <w:rPr>
          <w:rFonts w:ascii="Verdana" w:eastAsia="Times New Roman" w:hAnsi="Verdana" w:cs="Times New Roman"/>
          <w:sz w:val="20"/>
          <w:szCs w:val="20"/>
          <w:lang w:eastAsia="en-GB"/>
        </w:rPr>
        <w:t>the documents</w:t>
      </w:r>
      <w:r w:rsidR="00463986" w:rsidRPr="004C3E92">
        <w:rPr>
          <w:rFonts w:ascii="Verdana" w:eastAsia="Times New Roman" w:hAnsi="Verdana" w:cs="Times New Roman"/>
          <w:iCs/>
          <w:sz w:val="20"/>
          <w:szCs w:val="20"/>
          <w:lang w:eastAsia="en-GB"/>
        </w:rPr>
        <w:t xml:space="preserve"> </w:t>
      </w:r>
      <w:r w:rsidR="00463986" w:rsidRPr="00547C40">
        <w:rPr>
          <w:rFonts w:ascii="Verdana" w:eastAsia="Times New Roman" w:hAnsi="Verdana" w:cs="Times New Roman"/>
          <w:sz w:val="20"/>
          <w:szCs w:val="20"/>
          <w:lang w:eastAsia="en-GB"/>
        </w:rPr>
        <w:t>which are</w:t>
      </w:r>
      <w:r w:rsidRPr="00547C40">
        <w:rPr>
          <w:rFonts w:ascii="Verdana" w:eastAsia="Times New Roman" w:hAnsi="Verdana" w:cs="Times New Roman"/>
          <w:sz w:val="20"/>
          <w:szCs w:val="20"/>
          <w:lang w:eastAsia="en-GB"/>
        </w:rPr>
        <w:t xml:space="preserve"> reconcilable to its records and accounts.</w:t>
      </w:r>
    </w:p>
    <w:p w:rsidR="0068487C" w:rsidRPr="00547C40" w:rsidRDefault="0068487C" w:rsidP="0068487C">
      <w:pPr>
        <w:numPr>
          <w:ilvl w:val="0"/>
          <w:numId w:val="7"/>
        </w:numPr>
        <w:spacing w:after="0" w:line="240" w:lineRule="auto"/>
        <w:ind w:left="1080"/>
        <w:contextualSpacing/>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 xml:space="preserve">Provide the auditor with access to all legal documents, correspondence with consultants, contractors and other persons or firms engaged by the project and any other information associated with the project and deemed necessary by the auditor. </w:t>
      </w:r>
    </w:p>
    <w:p w:rsidR="0068487C" w:rsidRPr="00547C40" w:rsidRDefault="0068487C" w:rsidP="0068487C">
      <w:pPr>
        <w:numPr>
          <w:ilvl w:val="0"/>
          <w:numId w:val="7"/>
        </w:numPr>
        <w:spacing w:after="0" w:line="240" w:lineRule="auto"/>
        <w:ind w:left="1080"/>
        <w:contextualSpacing/>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Ensure that the accounting policies are consistently applied</w:t>
      </w:r>
      <w:r>
        <w:rPr>
          <w:rFonts w:ascii="Verdana" w:eastAsia="Times New Roman" w:hAnsi="Verdana" w:cs="Times New Roman"/>
          <w:sz w:val="20"/>
          <w:szCs w:val="20"/>
          <w:lang w:eastAsia="en-GB"/>
        </w:rPr>
        <w:t xml:space="preserve"> and disclosed</w:t>
      </w:r>
      <w:r w:rsidRPr="00547C40">
        <w:rPr>
          <w:rFonts w:ascii="Verdana" w:eastAsia="Times New Roman" w:hAnsi="Verdana" w:cs="Times New Roman"/>
          <w:sz w:val="20"/>
          <w:szCs w:val="20"/>
          <w:lang w:eastAsia="en-GB"/>
        </w:rPr>
        <w:t>.</w:t>
      </w:r>
    </w:p>
    <w:p w:rsidR="0068487C" w:rsidRPr="00547C40" w:rsidRDefault="0068487C" w:rsidP="0068487C">
      <w:pPr>
        <w:numPr>
          <w:ilvl w:val="0"/>
          <w:numId w:val="7"/>
        </w:numPr>
        <w:spacing w:after="0" w:line="240" w:lineRule="auto"/>
        <w:ind w:left="1080"/>
        <w:contextualSpacing/>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Ensure that appropriate internal controls are implemented to prevent misstatements and susceptibility to fraud.</w:t>
      </w:r>
    </w:p>
    <w:p w:rsidR="0068487C" w:rsidRPr="00547C40" w:rsidRDefault="0068487C" w:rsidP="004C3E92">
      <w:pPr>
        <w:numPr>
          <w:ilvl w:val="0"/>
          <w:numId w:val="7"/>
        </w:numPr>
        <w:spacing w:after="0" w:line="240" w:lineRule="auto"/>
        <w:ind w:left="1080"/>
        <w:contextualSpacing/>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 xml:space="preserve">Ensure compliance with all relevant laws and regulations that pertain to the entity as well as the financing agreement between the </w:t>
      </w:r>
      <w:r w:rsidR="004C3E92">
        <w:rPr>
          <w:rFonts w:ascii="Verdana" w:eastAsia="Times New Roman" w:hAnsi="Verdana" w:cs="Times New Roman"/>
          <w:iCs/>
          <w:sz w:val="20"/>
          <w:szCs w:val="20"/>
          <w:lang w:eastAsia="en-GB"/>
        </w:rPr>
        <w:t>Recipient</w:t>
      </w:r>
      <w:r w:rsidRPr="004C3E92">
        <w:rPr>
          <w:rFonts w:ascii="Verdana" w:eastAsia="Times New Roman" w:hAnsi="Verdana" w:cs="Times New Roman"/>
          <w:sz w:val="20"/>
          <w:szCs w:val="20"/>
          <w:lang w:eastAsia="en-GB"/>
        </w:rPr>
        <w:t xml:space="preserve"> and</w:t>
      </w:r>
      <w:r w:rsidRPr="00547C40">
        <w:rPr>
          <w:rFonts w:ascii="Verdana" w:eastAsia="Times New Roman" w:hAnsi="Verdana" w:cs="Times New Roman"/>
          <w:sz w:val="20"/>
          <w:szCs w:val="20"/>
          <w:lang w:eastAsia="en-GB"/>
        </w:rPr>
        <w:t xml:space="preserve"> IFAD.</w:t>
      </w:r>
    </w:p>
    <w:p w:rsidR="0068487C" w:rsidRDefault="0068487C" w:rsidP="0068487C">
      <w:pPr>
        <w:spacing w:after="0" w:line="240" w:lineRule="auto"/>
        <w:ind w:left="1080"/>
        <w:contextualSpacing/>
        <w:rPr>
          <w:rFonts w:ascii="Verdana" w:eastAsia="Times New Roman" w:hAnsi="Verdana" w:cs="Times New Roman"/>
          <w:sz w:val="20"/>
          <w:szCs w:val="20"/>
          <w:lang w:eastAsia="en-GB"/>
        </w:rPr>
      </w:pPr>
    </w:p>
    <w:p w:rsidR="001C16B8" w:rsidRDefault="001C16B8" w:rsidP="00AF05B9">
      <w:pPr>
        <w:spacing w:after="0" w:line="240" w:lineRule="auto"/>
        <w:contextualSpacing/>
        <w:rPr>
          <w:rFonts w:ascii="Verdana" w:eastAsia="Times New Roman" w:hAnsi="Verdana" w:cs="Times New Roman"/>
          <w:sz w:val="20"/>
          <w:szCs w:val="20"/>
          <w:lang w:eastAsia="en-GB"/>
        </w:rPr>
      </w:pPr>
    </w:p>
    <w:p w:rsidR="001C16B8" w:rsidRPr="00B013E9" w:rsidRDefault="001C16B8" w:rsidP="001C16B8">
      <w:pPr>
        <w:pStyle w:val="ListParagraph"/>
        <w:numPr>
          <w:ilvl w:val="0"/>
          <w:numId w:val="8"/>
        </w:numPr>
        <w:rPr>
          <w:rFonts w:ascii="Verdana" w:hAnsi="Verdana"/>
          <w:b/>
          <w:bCs/>
          <w:lang w:eastAsia="en-GB"/>
        </w:rPr>
      </w:pPr>
      <w:r w:rsidRPr="00B013E9">
        <w:rPr>
          <w:rFonts w:ascii="Verdana" w:hAnsi="Verdana"/>
          <w:b/>
          <w:bCs/>
          <w:lang w:eastAsia="en-GB"/>
        </w:rPr>
        <w:t>The responsibilities of the auditor</w:t>
      </w:r>
    </w:p>
    <w:p w:rsidR="001C16B8" w:rsidRPr="00547C40" w:rsidRDefault="001C16B8" w:rsidP="001C16B8">
      <w:pPr>
        <w:spacing w:after="160" w:line="240" w:lineRule="auto"/>
        <w:contextualSpacing/>
        <w:rPr>
          <w:rFonts w:ascii="Verdana" w:eastAsia="Times New Roman" w:hAnsi="Verdana" w:cs="Times New Roman"/>
          <w:sz w:val="20"/>
          <w:szCs w:val="20"/>
          <w:lang w:eastAsia="en-GB"/>
        </w:rPr>
      </w:pPr>
    </w:p>
    <w:p w:rsidR="001C16B8" w:rsidRPr="00547C40" w:rsidRDefault="001C16B8" w:rsidP="001C16B8">
      <w:pPr>
        <w:pStyle w:val="ListParagraph"/>
        <w:numPr>
          <w:ilvl w:val="0"/>
          <w:numId w:val="9"/>
        </w:numPr>
        <w:rPr>
          <w:rFonts w:ascii="Verdana" w:eastAsia="Times New Roman" w:hAnsi="Verdana" w:cs="Times New Roman"/>
          <w:b/>
          <w:i/>
          <w:sz w:val="20"/>
          <w:szCs w:val="20"/>
          <w:lang w:eastAsia="en-GB"/>
        </w:rPr>
      </w:pPr>
      <w:r w:rsidRPr="00547C40">
        <w:rPr>
          <w:rFonts w:ascii="Verdana" w:eastAsia="Times New Roman" w:hAnsi="Verdana" w:cs="Times New Roman"/>
          <w:b/>
          <w:i/>
          <w:sz w:val="20"/>
          <w:szCs w:val="20"/>
          <w:lang w:eastAsia="en-GB"/>
        </w:rPr>
        <w:t>General Principles</w:t>
      </w:r>
    </w:p>
    <w:p w:rsidR="001C16B8" w:rsidRPr="00547C40" w:rsidRDefault="001C16B8" w:rsidP="001C16B8">
      <w:pPr>
        <w:keepLines/>
        <w:spacing w:before="120" w:after="120" w:line="240" w:lineRule="auto"/>
        <w:ind w:left="576"/>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By agreeing these terms, the Auditor confirms that:</w:t>
      </w:r>
    </w:p>
    <w:p w:rsidR="001C16B8" w:rsidRDefault="001C16B8" w:rsidP="001C16B8">
      <w:pPr>
        <w:numPr>
          <w:ilvl w:val="0"/>
          <w:numId w:val="6"/>
        </w:numPr>
        <w:spacing w:after="0" w:line="240" w:lineRule="auto"/>
        <w:contextualSpacing/>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The firm is independent from the project, its staff and activities, in accordance with international best practices</w:t>
      </w:r>
      <w:proofErr w:type="gramStart"/>
      <w:r w:rsidRPr="00547C40">
        <w:rPr>
          <w:rFonts w:ascii="Verdana" w:eastAsia="Times New Roman" w:hAnsi="Verdana" w:cs="Times New Roman"/>
          <w:sz w:val="20"/>
          <w:szCs w:val="20"/>
          <w:lang w:eastAsia="en-GB"/>
        </w:rPr>
        <w:t>.;</w:t>
      </w:r>
      <w:proofErr w:type="gramEnd"/>
    </w:p>
    <w:p w:rsidR="00DC1AD9" w:rsidRPr="00547C40" w:rsidRDefault="00DC1AD9" w:rsidP="00DC1AD9">
      <w:pPr>
        <w:numPr>
          <w:ilvl w:val="0"/>
          <w:numId w:val="6"/>
        </w:numPr>
        <w:spacing w:after="0" w:line="240" w:lineRule="auto"/>
        <w:contextualSpacing/>
        <w:jc w:val="both"/>
        <w:rPr>
          <w:rFonts w:ascii="Verdana" w:eastAsia="Times New Roman" w:hAnsi="Verdana" w:cs="Times New Roman"/>
          <w:sz w:val="20"/>
          <w:szCs w:val="20"/>
          <w:lang w:eastAsia="en-GB"/>
        </w:rPr>
      </w:pPr>
      <w:r w:rsidRPr="00DC1AD9">
        <w:rPr>
          <w:rFonts w:ascii="Verdana" w:eastAsia="Times New Roman" w:hAnsi="Verdana" w:cs="Times New Roman"/>
          <w:sz w:val="20"/>
          <w:szCs w:val="20"/>
          <w:lang w:eastAsia="en-GB"/>
        </w:rPr>
        <w:lastRenderedPageBreak/>
        <w:t>Maintain professional scepticism throughout the audit</w:t>
      </w:r>
    </w:p>
    <w:p w:rsidR="001C16B8" w:rsidRPr="00547C40" w:rsidRDefault="001C16B8" w:rsidP="001C16B8">
      <w:pPr>
        <w:numPr>
          <w:ilvl w:val="0"/>
          <w:numId w:val="6"/>
        </w:numPr>
        <w:spacing w:after="0" w:line="240" w:lineRule="auto"/>
        <w:contextualSpacing/>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The Auditor is suitably qualified and a member of a professional body affiliated with the International Federation of Accountants (IFAC);</w:t>
      </w:r>
    </w:p>
    <w:p w:rsidR="001C16B8" w:rsidRPr="00547C40" w:rsidRDefault="001C16B8" w:rsidP="00DC1AD9">
      <w:pPr>
        <w:numPr>
          <w:ilvl w:val="0"/>
          <w:numId w:val="6"/>
        </w:numPr>
        <w:spacing w:after="0" w:line="240" w:lineRule="auto"/>
        <w:contextualSpacing/>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 xml:space="preserve">The auditor can conduct the audit in line with auditing standards acceptable to IFAD </w:t>
      </w:r>
    </w:p>
    <w:p w:rsidR="001C16B8" w:rsidRPr="00547C40" w:rsidRDefault="001C16B8" w:rsidP="001C16B8">
      <w:pPr>
        <w:numPr>
          <w:ilvl w:val="0"/>
          <w:numId w:val="6"/>
        </w:numPr>
        <w:spacing w:after="0" w:line="240" w:lineRule="auto"/>
        <w:contextualSpacing/>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The firm can assign an audit team to the audit which has the necessary competence and skills;</w:t>
      </w:r>
    </w:p>
    <w:p w:rsidR="001C16B8" w:rsidRDefault="001C16B8" w:rsidP="001C16B8">
      <w:pPr>
        <w:numPr>
          <w:ilvl w:val="0"/>
          <w:numId w:val="6"/>
        </w:numPr>
        <w:spacing w:after="0" w:line="240" w:lineRule="auto"/>
        <w:contextualSpacing/>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The firm has a proven track record in conducting audits of a similar nature and complexity;</w:t>
      </w:r>
    </w:p>
    <w:p w:rsidR="001C16B8" w:rsidRPr="00547C40" w:rsidRDefault="001C16B8" w:rsidP="001C16B8">
      <w:pPr>
        <w:spacing w:after="0" w:line="240" w:lineRule="auto"/>
        <w:ind w:left="1080"/>
        <w:contextualSpacing/>
        <w:jc w:val="both"/>
        <w:rPr>
          <w:rFonts w:ascii="Verdana" w:eastAsia="Times New Roman" w:hAnsi="Verdana" w:cs="Times New Roman"/>
          <w:sz w:val="20"/>
          <w:szCs w:val="20"/>
          <w:lang w:eastAsia="en-GB"/>
        </w:rPr>
      </w:pPr>
    </w:p>
    <w:p w:rsidR="001C16B8" w:rsidRPr="00547C40" w:rsidRDefault="001C16B8" w:rsidP="001C16B8">
      <w:pPr>
        <w:pStyle w:val="ListParagraph"/>
        <w:numPr>
          <w:ilvl w:val="0"/>
          <w:numId w:val="9"/>
        </w:numPr>
        <w:rPr>
          <w:rFonts w:ascii="Verdana" w:eastAsia="Times New Roman" w:hAnsi="Verdana" w:cs="Times New Roman"/>
          <w:b/>
          <w:i/>
          <w:sz w:val="20"/>
          <w:szCs w:val="20"/>
          <w:lang w:eastAsia="en-GB"/>
        </w:rPr>
      </w:pPr>
      <w:r w:rsidRPr="00547C40">
        <w:rPr>
          <w:rFonts w:ascii="Verdana" w:eastAsia="Times New Roman" w:hAnsi="Verdana" w:cs="Times New Roman"/>
          <w:b/>
          <w:i/>
          <w:sz w:val="20"/>
          <w:szCs w:val="20"/>
          <w:lang w:eastAsia="en-GB"/>
        </w:rPr>
        <w:t>Management letter</w:t>
      </w:r>
    </w:p>
    <w:p w:rsidR="001C16B8" w:rsidRPr="00547C40" w:rsidRDefault="001C16B8" w:rsidP="001C16B8">
      <w:pPr>
        <w:spacing w:after="0" w:line="240" w:lineRule="auto"/>
        <w:ind w:left="630"/>
        <w:contextualSpacing/>
        <w:jc w:val="both"/>
        <w:rPr>
          <w:rFonts w:ascii="Verdana" w:eastAsia="Times New Roman" w:hAnsi="Verdana" w:cs="Times New Roman"/>
          <w:sz w:val="20"/>
          <w:szCs w:val="20"/>
          <w:lang w:eastAsia="en-GB"/>
        </w:rPr>
      </w:pPr>
      <w:r w:rsidRPr="00547C40">
        <w:rPr>
          <w:rFonts w:ascii="Verdana" w:eastAsia="Calibri" w:hAnsi="Verdana" w:cs="Arial"/>
          <w:sz w:val="20"/>
          <w:szCs w:val="20"/>
        </w:rPr>
        <w:t xml:space="preserve">The </w:t>
      </w:r>
      <w:r w:rsidRPr="00547C40">
        <w:rPr>
          <w:rFonts w:ascii="Verdana" w:eastAsia="Calibri" w:hAnsi="Verdana" w:cs="Arial"/>
          <w:i/>
          <w:iCs/>
          <w:sz w:val="20"/>
          <w:szCs w:val="20"/>
        </w:rPr>
        <w:t>management letter</w:t>
      </w:r>
      <w:r w:rsidRPr="00547C40">
        <w:rPr>
          <w:rFonts w:ascii="Verdana" w:eastAsia="Calibri" w:hAnsi="Verdana" w:cs="Arial"/>
          <w:sz w:val="20"/>
          <w:szCs w:val="20"/>
        </w:rPr>
        <w:t xml:space="preserve"> is an integral p</w:t>
      </w:r>
      <w:r w:rsidRPr="00547C40">
        <w:rPr>
          <w:rFonts w:ascii="Verdana" w:eastAsia="Times New Roman" w:hAnsi="Verdana" w:cs="Times New Roman"/>
          <w:sz w:val="20"/>
          <w:szCs w:val="20"/>
          <w:lang w:eastAsia="en-GB"/>
        </w:rPr>
        <w:t xml:space="preserve">art of the audit package which </w:t>
      </w:r>
      <w:r w:rsidRPr="00547C40">
        <w:rPr>
          <w:rFonts w:ascii="Verdana" w:eastAsia="Calibri" w:hAnsi="Verdana" w:cs="Arial"/>
          <w:sz w:val="20"/>
          <w:szCs w:val="20"/>
        </w:rPr>
        <w:t xml:space="preserve">documents </w:t>
      </w:r>
      <w:r w:rsidRPr="00547C40">
        <w:rPr>
          <w:rFonts w:ascii="Verdana" w:eastAsia="Times New Roman" w:hAnsi="Verdana" w:cs="Times New Roman"/>
          <w:sz w:val="20"/>
          <w:szCs w:val="20"/>
          <w:lang w:eastAsia="en-GB"/>
        </w:rPr>
        <w:t xml:space="preserve">accounting and </w:t>
      </w:r>
      <w:r w:rsidRPr="00547C40">
        <w:rPr>
          <w:rFonts w:ascii="Verdana" w:eastAsia="Calibri" w:hAnsi="Verdana" w:cs="Arial"/>
          <w:sz w:val="20"/>
          <w:szCs w:val="20"/>
        </w:rPr>
        <w:t>internal control issues identified by auditors</w:t>
      </w:r>
      <w:r w:rsidRPr="00547C40">
        <w:rPr>
          <w:rFonts w:ascii="Verdana" w:eastAsia="Times New Roman" w:hAnsi="Verdana" w:cs="Times New Roman"/>
          <w:sz w:val="20"/>
          <w:szCs w:val="20"/>
          <w:lang w:eastAsia="en-GB"/>
        </w:rPr>
        <w:t>. The management letter should:</w:t>
      </w:r>
    </w:p>
    <w:p w:rsidR="001C16B8" w:rsidRPr="001C16B8" w:rsidRDefault="001C16B8" w:rsidP="001C16B8">
      <w:pPr>
        <w:numPr>
          <w:ilvl w:val="0"/>
          <w:numId w:val="3"/>
        </w:numPr>
        <w:spacing w:after="0" w:line="240" w:lineRule="auto"/>
        <w:contextualSpacing/>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Outline</w:t>
      </w:r>
      <w:r w:rsidRPr="00547C40">
        <w:rPr>
          <w:rFonts w:ascii="Verdana" w:eastAsia="Calibri" w:hAnsi="Verdana" w:cs="Arial"/>
          <w:sz w:val="20"/>
          <w:szCs w:val="20"/>
        </w:rPr>
        <w:t xml:space="preserve"> the auditor’s recommendations</w:t>
      </w:r>
      <w:r w:rsidR="00B64CE5">
        <w:rPr>
          <w:rFonts w:ascii="Verdana" w:eastAsia="Calibri" w:hAnsi="Verdana" w:cs="Arial"/>
          <w:sz w:val="20"/>
          <w:szCs w:val="20"/>
        </w:rPr>
        <w:t xml:space="preserve"> to</w:t>
      </w:r>
      <w:r w:rsidRPr="00547C40">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resolve </w:t>
      </w:r>
      <w:r w:rsidRPr="00547C40">
        <w:rPr>
          <w:rFonts w:ascii="Verdana" w:eastAsia="Times New Roman" w:hAnsi="Verdana" w:cs="Times New Roman"/>
          <w:sz w:val="20"/>
          <w:szCs w:val="20"/>
          <w:lang w:eastAsia="en-GB"/>
        </w:rPr>
        <w:t>issues</w:t>
      </w:r>
      <w:r>
        <w:rPr>
          <w:rFonts w:ascii="Verdana" w:eastAsia="Times New Roman" w:hAnsi="Verdana" w:cs="Times New Roman"/>
          <w:sz w:val="20"/>
          <w:szCs w:val="20"/>
          <w:lang w:eastAsia="en-GB"/>
        </w:rPr>
        <w:t xml:space="preserve">  highlighted on the special audit for </w:t>
      </w:r>
      <w:r w:rsidR="00B64CE5">
        <w:rPr>
          <w:rFonts w:ascii="Verdana" w:eastAsia="Times New Roman" w:hAnsi="Verdana" w:cs="Times New Roman"/>
          <w:sz w:val="20"/>
          <w:szCs w:val="20"/>
          <w:lang w:eastAsia="en-GB"/>
        </w:rPr>
        <w:t xml:space="preserve">both </w:t>
      </w:r>
      <w:proofErr w:type="spellStart"/>
      <w:r>
        <w:rPr>
          <w:rFonts w:ascii="Verdana" w:eastAsia="Times New Roman" w:hAnsi="Verdana" w:cs="Times New Roman"/>
          <w:sz w:val="20"/>
          <w:szCs w:val="20"/>
          <w:lang w:eastAsia="en-GB"/>
        </w:rPr>
        <w:t>Barakathul</w:t>
      </w:r>
      <w:proofErr w:type="spellEnd"/>
      <w:r>
        <w:rPr>
          <w:rFonts w:ascii="Verdana" w:eastAsia="Times New Roman" w:hAnsi="Verdana" w:cs="Times New Roman"/>
          <w:sz w:val="20"/>
          <w:szCs w:val="20"/>
          <w:lang w:eastAsia="en-GB"/>
        </w:rPr>
        <w:t xml:space="preserve"> </w:t>
      </w:r>
      <w:proofErr w:type="spellStart"/>
      <w:r>
        <w:rPr>
          <w:rFonts w:ascii="Verdana" w:eastAsia="Times New Roman" w:hAnsi="Verdana" w:cs="Times New Roman"/>
          <w:sz w:val="20"/>
          <w:szCs w:val="20"/>
          <w:lang w:eastAsia="en-GB"/>
        </w:rPr>
        <w:t>Bahurul</w:t>
      </w:r>
      <w:proofErr w:type="spellEnd"/>
      <w:r>
        <w:rPr>
          <w:rFonts w:ascii="Verdana" w:eastAsia="Times New Roman" w:hAnsi="Verdana" w:cs="Times New Roman"/>
          <w:sz w:val="20"/>
          <w:szCs w:val="20"/>
          <w:lang w:eastAsia="en-GB"/>
        </w:rPr>
        <w:t xml:space="preserve"> Pvt Ltd</w:t>
      </w:r>
      <w:r w:rsidRPr="001C16B8">
        <w:rPr>
          <w:rFonts w:ascii="Verdana" w:eastAsia="Times New Roman" w:hAnsi="Verdana" w:cs="Times New Roman"/>
          <w:sz w:val="20"/>
          <w:szCs w:val="20"/>
          <w:lang w:eastAsia="en-GB"/>
        </w:rPr>
        <w:t xml:space="preserve"> and the Bank of Maldives</w:t>
      </w:r>
    </w:p>
    <w:p w:rsidR="001C16B8" w:rsidRDefault="001C16B8" w:rsidP="001C16B8">
      <w:pPr>
        <w:numPr>
          <w:ilvl w:val="0"/>
          <w:numId w:val="3"/>
        </w:numPr>
        <w:spacing w:after="0" w:line="240" w:lineRule="auto"/>
        <w:contextualSpacing/>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 xml:space="preserve">Include project management's responses to the identified control issues </w:t>
      </w:r>
      <w:r w:rsidRPr="00547C40">
        <w:rPr>
          <w:rFonts w:ascii="Verdana" w:eastAsia="Calibri" w:hAnsi="Verdana" w:cs="Arial"/>
          <w:sz w:val="20"/>
          <w:szCs w:val="20"/>
        </w:rPr>
        <w:t>and</w:t>
      </w:r>
      <w:r w:rsidRPr="00547C40">
        <w:rPr>
          <w:rFonts w:ascii="Verdana" w:eastAsia="Times New Roman" w:hAnsi="Verdana" w:cs="Times New Roman"/>
          <w:sz w:val="20"/>
          <w:szCs w:val="20"/>
          <w:lang w:eastAsia="en-GB"/>
        </w:rPr>
        <w:t xml:space="preserve"> their proposal to address the issues identified</w:t>
      </w:r>
      <w:r>
        <w:rPr>
          <w:rFonts w:ascii="Verdana" w:eastAsia="Times New Roman" w:hAnsi="Verdana" w:cs="Times New Roman"/>
          <w:sz w:val="20"/>
          <w:szCs w:val="20"/>
          <w:lang w:eastAsia="en-GB"/>
        </w:rPr>
        <w:t xml:space="preserve"> within a specific time period</w:t>
      </w:r>
      <w:r w:rsidRPr="00547C40">
        <w:rPr>
          <w:rFonts w:ascii="Verdana" w:eastAsia="Times New Roman" w:hAnsi="Verdana" w:cs="Times New Roman"/>
          <w:sz w:val="20"/>
          <w:szCs w:val="20"/>
          <w:lang w:eastAsia="en-GB"/>
        </w:rPr>
        <w:t>.</w:t>
      </w:r>
    </w:p>
    <w:p w:rsidR="001C16B8" w:rsidRPr="00547C40" w:rsidRDefault="001C16B8" w:rsidP="001C16B8">
      <w:pPr>
        <w:numPr>
          <w:ilvl w:val="0"/>
          <w:numId w:val="3"/>
        </w:numPr>
        <w:spacing w:after="0" w:line="240" w:lineRule="auto"/>
        <w:contextualSpacing/>
        <w:jc w:val="both"/>
        <w:rPr>
          <w:rFonts w:ascii="Verdana" w:eastAsia="Times New Roman" w:hAnsi="Verdana" w:cs="Times New Roman"/>
          <w:sz w:val="20"/>
          <w:szCs w:val="20"/>
          <w:lang w:eastAsia="en-GB"/>
        </w:rPr>
      </w:pPr>
    </w:p>
    <w:p w:rsidR="001C16B8" w:rsidRPr="00547C40" w:rsidRDefault="001C16B8" w:rsidP="001C16B8">
      <w:pPr>
        <w:pStyle w:val="ListParagraph"/>
        <w:numPr>
          <w:ilvl w:val="0"/>
          <w:numId w:val="9"/>
        </w:numPr>
        <w:rPr>
          <w:rFonts w:ascii="Verdana" w:eastAsia="Times New Roman" w:hAnsi="Verdana" w:cs="Times New Roman"/>
          <w:b/>
          <w:i/>
          <w:sz w:val="20"/>
          <w:szCs w:val="20"/>
          <w:lang w:eastAsia="en-GB"/>
        </w:rPr>
      </w:pPr>
      <w:r w:rsidRPr="00547C40">
        <w:rPr>
          <w:rFonts w:ascii="Verdana" w:eastAsia="Times New Roman" w:hAnsi="Verdana" w:cs="Times New Roman"/>
          <w:b/>
          <w:i/>
          <w:sz w:val="20"/>
          <w:szCs w:val="20"/>
          <w:lang w:eastAsia="en-GB"/>
        </w:rPr>
        <w:t>Reporting</w:t>
      </w:r>
    </w:p>
    <w:p w:rsidR="001C16B8" w:rsidRPr="00547C40" w:rsidRDefault="001C16B8" w:rsidP="001C16B8">
      <w:pPr>
        <w:keepLines/>
        <w:spacing w:before="120" w:after="120" w:line="240" w:lineRule="auto"/>
        <w:ind w:left="576"/>
        <w:contextualSpacing/>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 xml:space="preserve">The Auditor is required to deliver </w:t>
      </w:r>
      <w:r>
        <w:rPr>
          <w:rFonts w:ascii="Verdana" w:eastAsia="Times New Roman" w:hAnsi="Verdana" w:cs="Times New Roman"/>
          <w:sz w:val="20"/>
          <w:szCs w:val="20"/>
          <w:lang w:eastAsia="en-GB"/>
        </w:rPr>
        <w:t>a report</w:t>
      </w:r>
      <w:r w:rsidRPr="00547C40">
        <w:rPr>
          <w:rFonts w:ascii="Verdana" w:eastAsia="Times New Roman" w:hAnsi="Verdana" w:cs="Times New Roman"/>
          <w:sz w:val="20"/>
          <w:szCs w:val="20"/>
          <w:lang w:eastAsia="en-GB"/>
        </w:rPr>
        <w:t xml:space="preserve"> which includes:</w:t>
      </w:r>
    </w:p>
    <w:p w:rsidR="001C16B8" w:rsidRPr="001C16B8" w:rsidRDefault="001C16B8" w:rsidP="001C16B8">
      <w:pPr>
        <w:keepLines/>
        <w:numPr>
          <w:ilvl w:val="0"/>
          <w:numId w:val="5"/>
        </w:numPr>
        <w:spacing w:before="120" w:after="120" w:line="240" w:lineRule="auto"/>
        <w:ind w:left="1080"/>
        <w:contextualSpacing/>
        <w:jc w:val="both"/>
        <w:rPr>
          <w:rFonts w:ascii="Verdana" w:eastAsia="Times New Roman" w:hAnsi="Verdana" w:cs="Times New Roman"/>
          <w:sz w:val="20"/>
          <w:szCs w:val="20"/>
          <w:lang w:eastAsia="en-GB"/>
        </w:rPr>
      </w:pPr>
      <w:r w:rsidRPr="001C16B8">
        <w:rPr>
          <w:rFonts w:ascii="Verdana" w:eastAsia="Times New Roman" w:hAnsi="Verdana" w:cs="Times New Roman"/>
          <w:iCs/>
          <w:sz w:val="20"/>
          <w:szCs w:val="20"/>
          <w:lang w:eastAsia="en-GB"/>
        </w:rPr>
        <w:t xml:space="preserve">Report on factual findings, considering the scope of agreed upon procedures as outlined in </w:t>
      </w:r>
      <w:r>
        <w:rPr>
          <w:rFonts w:ascii="Verdana" w:eastAsia="Times New Roman" w:hAnsi="Verdana" w:cs="Times New Roman"/>
          <w:iCs/>
          <w:sz w:val="20"/>
          <w:szCs w:val="20"/>
          <w:lang w:eastAsia="en-GB"/>
        </w:rPr>
        <w:t>5</w:t>
      </w:r>
    </w:p>
    <w:p w:rsidR="001C16B8" w:rsidRPr="001C16B8" w:rsidRDefault="001C16B8" w:rsidP="001C16B8">
      <w:pPr>
        <w:keepLines/>
        <w:numPr>
          <w:ilvl w:val="0"/>
          <w:numId w:val="5"/>
        </w:numPr>
        <w:spacing w:before="120" w:after="120" w:line="240" w:lineRule="auto"/>
        <w:ind w:left="1080"/>
        <w:contextualSpacing/>
        <w:jc w:val="both"/>
        <w:rPr>
          <w:rFonts w:ascii="Verdana" w:eastAsia="Times New Roman" w:hAnsi="Verdana" w:cs="Times New Roman"/>
          <w:sz w:val="20"/>
          <w:szCs w:val="20"/>
          <w:lang w:eastAsia="en-GB"/>
        </w:rPr>
      </w:pPr>
      <w:r w:rsidRPr="001C16B8">
        <w:rPr>
          <w:rFonts w:ascii="Verdana" w:eastAsia="Times New Roman" w:hAnsi="Verdana" w:cs="Times New Roman"/>
          <w:iCs/>
          <w:sz w:val="20"/>
          <w:szCs w:val="20"/>
          <w:lang w:eastAsia="en-GB"/>
        </w:rPr>
        <w:t xml:space="preserve"> </w:t>
      </w:r>
      <w:r w:rsidRPr="001C16B8">
        <w:rPr>
          <w:rFonts w:ascii="Verdana" w:eastAsia="Times New Roman" w:hAnsi="Verdana" w:cs="Times New Roman"/>
          <w:sz w:val="20"/>
          <w:szCs w:val="20"/>
          <w:lang w:eastAsia="en-GB"/>
        </w:rPr>
        <w:t>A management letter, including information as outlined in 4.2;</w:t>
      </w:r>
    </w:p>
    <w:p w:rsidR="001C16B8" w:rsidRPr="00547C40" w:rsidRDefault="001C16B8" w:rsidP="001C16B8">
      <w:pPr>
        <w:spacing w:after="160" w:line="240" w:lineRule="auto"/>
        <w:ind w:left="1080"/>
        <w:contextualSpacing/>
        <w:jc w:val="both"/>
        <w:rPr>
          <w:rFonts w:ascii="Verdana" w:eastAsia="Times New Roman" w:hAnsi="Verdana" w:cs="Times New Roman"/>
          <w:sz w:val="20"/>
          <w:szCs w:val="20"/>
          <w:lang w:eastAsia="en-GB"/>
        </w:rPr>
      </w:pPr>
    </w:p>
    <w:p w:rsidR="001C16B8" w:rsidRDefault="001C16B8" w:rsidP="001C16B8">
      <w:pPr>
        <w:keepLines/>
        <w:spacing w:before="120" w:after="120" w:line="240" w:lineRule="auto"/>
        <w:ind w:left="720"/>
        <w:contextualSpacing/>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 xml:space="preserve">The audit report should sufficiently detail the nature and extent of the procedures performed by the auditor. </w:t>
      </w:r>
    </w:p>
    <w:p w:rsidR="001C16B8" w:rsidRDefault="001C16B8" w:rsidP="001C16B8">
      <w:pPr>
        <w:keepLines/>
        <w:spacing w:before="120" w:after="120" w:line="240" w:lineRule="auto"/>
        <w:ind w:left="720"/>
        <w:contextualSpacing/>
        <w:jc w:val="both"/>
        <w:rPr>
          <w:rFonts w:ascii="Verdana" w:eastAsia="Times New Roman" w:hAnsi="Verdana" w:cs="Times New Roman"/>
          <w:sz w:val="20"/>
          <w:szCs w:val="20"/>
          <w:lang w:eastAsia="en-GB"/>
        </w:rPr>
      </w:pPr>
    </w:p>
    <w:p w:rsidR="001C16B8" w:rsidRDefault="001C16B8" w:rsidP="001C16B8">
      <w:pPr>
        <w:keepLines/>
        <w:spacing w:before="120" w:after="120" w:line="240" w:lineRule="auto"/>
        <w:ind w:left="720"/>
        <w:contextualSpacing/>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The Auditor is required to</w:t>
      </w:r>
      <w:r>
        <w:rPr>
          <w:rFonts w:ascii="Verdana" w:eastAsia="Times New Roman" w:hAnsi="Verdana" w:cs="Times New Roman"/>
          <w:sz w:val="20"/>
          <w:szCs w:val="20"/>
          <w:lang w:eastAsia="en-GB"/>
        </w:rPr>
        <w:t>:</w:t>
      </w:r>
    </w:p>
    <w:p w:rsidR="005A40AF" w:rsidRDefault="001C16B8" w:rsidP="005A40AF">
      <w:pPr>
        <w:keepLines/>
        <w:numPr>
          <w:ilvl w:val="0"/>
          <w:numId w:val="5"/>
        </w:numPr>
        <w:spacing w:before="120" w:after="120" w:line="240" w:lineRule="auto"/>
        <w:ind w:left="1080"/>
        <w:contextualSpacing/>
        <w:jc w:val="both"/>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w:t>
      </w:r>
      <w:r w:rsidR="005A40AF">
        <w:rPr>
          <w:rFonts w:ascii="Verdana" w:eastAsia="Times New Roman" w:hAnsi="Verdana" w:cs="Times New Roman"/>
          <w:sz w:val="20"/>
          <w:szCs w:val="20"/>
          <w:lang w:eastAsia="en-GB"/>
        </w:rPr>
        <w:t>rovide the audit package within 2 weeks period</w:t>
      </w:r>
    </w:p>
    <w:p w:rsidR="001C16B8" w:rsidRDefault="001C16B8" w:rsidP="001C16B8">
      <w:pPr>
        <w:keepLines/>
        <w:numPr>
          <w:ilvl w:val="0"/>
          <w:numId w:val="5"/>
        </w:numPr>
        <w:spacing w:before="120" w:after="120" w:line="240" w:lineRule="auto"/>
        <w:ind w:left="1080"/>
        <w:contextualSpacing/>
        <w:jc w:val="both"/>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Provide the</w:t>
      </w:r>
      <w:r w:rsidRPr="000F0D4D">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audit package</w:t>
      </w:r>
      <w:r w:rsidRPr="000F0D4D">
        <w:rPr>
          <w:rFonts w:ascii="Verdana" w:eastAsia="Times New Roman" w:hAnsi="Verdana" w:cs="Times New Roman"/>
          <w:sz w:val="20"/>
          <w:szCs w:val="20"/>
          <w:lang w:eastAsia="en-GB"/>
        </w:rPr>
        <w:t xml:space="preserve"> in English. </w:t>
      </w:r>
    </w:p>
    <w:p w:rsidR="001C16B8" w:rsidRPr="002F3532" w:rsidRDefault="001C16B8" w:rsidP="001C16B8">
      <w:pPr>
        <w:keepLines/>
        <w:numPr>
          <w:ilvl w:val="0"/>
          <w:numId w:val="5"/>
        </w:numPr>
        <w:spacing w:before="120" w:after="120" w:line="240" w:lineRule="auto"/>
        <w:ind w:left="1080"/>
        <w:contextualSpacing/>
        <w:jc w:val="both"/>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w:t>
      </w:r>
      <w:r w:rsidRPr="002F3532">
        <w:rPr>
          <w:rFonts w:ascii="Verdana" w:eastAsia="Times New Roman" w:hAnsi="Verdana" w:cs="Times New Roman"/>
          <w:sz w:val="20"/>
          <w:szCs w:val="20"/>
          <w:lang w:eastAsia="en-GB"/>
        </w:rPr>
        <w:t>eliver the audit packages in 2 separate files</w:t>
      </w:r>
      <w:r>
        <w:rPr>
          <w:rStyle w:val="FootnoteReference"/>
          <w:rFonts w:ascii="Verdana" w:eastAsia="Times New Roman" w:hAnsi="Verdana" w:cs="Times New Roman"/>
          <w:sz w:val="20"/>
          <w:szCs w:val="20"/>
          <w:lang w:eastAsia="en-GB"/>
        </w:rPr>
        <w:footnoteReference w:id="1"/>
      </w:r>
      <w:r w:rsidRPr="002F3532">
        <w:rPr>
          <w:rFonts w:ascii="Verdana" w:eastAsia="Times New Roman" w:hAnsi="Verdana" w:cs="Times New Roman"/>
          <w:sz w:val="20"/>
          <w:szCs w:val="20"/>
          <w:lang w:eastAsia="en-GB"/>
        </w:rPr>
        <w:t>:</w:t>
      </w:r>
    </w:p>
    <w:p w:rsidR="001C16B8" w:rsidRDefault="001C16B8" w:rsidP="005A40AF">
      <w:pPr>
        <w:pStyle w:val="ListParagraph"/>
        <w:keepLines/>
        <w:numPr>
          <w:ilvl w:val="0"/>
          <w:numId w:val="11"/>
        </w:numPr>
        <w:spacing w:before="120" w:after="120" w:line="240" w:lineRule="auto"/>
        <w:jc w:val="both"/>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File 1: the auditors’ report</w:t>
      </w:r>
    </w:p>
    <w:p w:rsidR="001C16B8" w:rsidRPr="000F0D4D" w:rsidRDefault="001C16B8" w:rsidP="001C16B8">
      <w:pPr>
        <w:pStyle w:val="ListParagraph"/>
        <w:keepLines/>
        <w:numPr>
          <w:ilvl w:val="0"/>
          <w:numId w:val="11"/>
        </w:numPr>
        <w:spacing w:before="120" w:after="120" w:line="240" w:lineRule="auto"/>
        <w:jc w:val="both"/>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File 2: management letter</w:t>
      </w:r>
    </w:p>
    <w:p w:rsidR="001C16B8" w:rsidRPr="00547C40" w:rsidRDefault="001C16B8" w:rsidP="001C16B8">
      <w:pPr>
        <w:spacing w:after="0" w:line="240" w:lineRule="auto"/>
        <w:ind w:left="432"/>
        <w:jc w:val="both"/>
        <w:rPr>
          <w:rFonts w:ascii="Verdana" w:eastAsia="Times New Roman" w:hAnsi="Verdana" w:cs="Times New Roman"/>
          <w:b/>
          <w:bCs/>
          <w:sz w:val="20"/>
          <w:szCs w:val="20"/>
          <w:lang w:eastAsia="en-GB"/>
        </w:rPr>
      </w:pPr>
    </w:p>
    <w:p w:rsidR="001C16B8" w:rsidRPr="00547C40" w:rsidRDefault="001C16B8" w:rsidP="0068487C">
      <w:pPr>
        <w:spacing w:after="0" w:line="240" w:lineRule="auto"/>
        <w:ind w:left="1080"/>
        <w:contextualSpacing/>
        <w:rPr>
          <w:rFonts w:ascii="Verdana" w:eastAsia="Times New Roman" w:hAnsi="Verdana" w:cs="Times New Roman"/>
          <w:sz w:val="20"/>
          <w:szCs w:val="20"/>
          <w:lang w:eastAsia="en-GB"/>
        </w:rPr>
      </w:pPr>
    </w:p>
    <w:p w:rsidR="0068487C" w:rsidRPr="00547C40" w:rsidRDefault="0068487C" w:rsidP="0068487C">
      <w:pPr>
        <w:spacing w:after="0" w:line="240" w:lineRule="auto"/>
        <w:ind w:left="432"/>
        <w:jc w:val="both"/>
        <w:rPr>
          <w:rFonts w:ascii="Verdana" w:eastAsia="Times New Roman" w:hAnsi="Verdana" w:cs="Times New Roman"/>
          <w:b/>
          <w:bCs/>
          <w:sz w:val="20"/>
          <w:szCs w:val="20"/>
          <w:lang w:eastAsia="en-GB"/>
        </w:rPr>
      </w:pPr>
    </w:p>
    <w:p w:rsidR="0068487C" w:rsidRPr="00547C40" w:rsidRDefault="0068487C" w:rsidP="0068487C">
      <w:pPr>
        <w:pStyle w:val="ListParagraph"/>
        <w:numPr>
          <w:ilvl w:val="0"/>
          <w:numId w:val="8"/>
        </w:numPr>
        <w:rPr>
          <w:rFonts w:ascii="Verdana" w:eastAsia="Times New Roman" w:hAnsi="Verdana" w:cs="Times New Roman"/>
          <w:b/>
          <w:kern w:val="28"/>
          <w:sz w:val="20"/>
          <w:szCs w:val="20"/>
          <w:lang w:eastAsia="en-GB"/>
        </w:rPr>
      </w:pPr>
      <w:r w:rsidRPr="00B013E9">
        <w:rPr>
          <w:rFonts w:ascii="Verdana" w:hAnsi="Verdana"/>
          <w:b/>
          <w:bCs/>
          <w:lang w:eastAsia="en-GB"/>
        </w:rPr>
        <w:t>Scope</w:t>
      </w:r>
      <w:r w:rsidRPr="00547C40">
        <w:rPr>
          <w:rFonts w:ascii="Verdana" w:eastAsia="Times New Roman" w:hAnsi="Verdana" w:cs="Times New Roman"/>
          <w:b/>
          <w:kern w:val="28"/>
          <w:sz w:val="20"/>
          <w:szCs w:val="20"/>
          <w:lang w:eastAsia="en-GB"/>
        </w:rPr>
        <w:t xml:space="preserve"> of the financial audit</w:t>
      </w:r>
    </w:p>
    <w:p w:rsidR="0068487C" w:rsidRDefault="00AF05B9" w:rsidP="00AF05B9">
      <w:pPr>
        <w:spacing w:after="0" w:line="240" w:lineRule="auto"/>
        <w:rPr>
          <w:rFonts w:ascii="Verdana" w:eastAsia="Times New Roman" w:hAnsi="Verdana" w:cs="Times New Roman"/>
          <w:sz w:val="20"/>
          <w:szCs w:val="20"/>
          <w:lang w:eastAsia="en-GB"/>
        </w:rPr>
      </w:pPr>
      <w:bookmarkStart w:id="1" w:name="_Hlk495923774"/>
      <w:r>
        <w:rPr>
          <w:rFonts w:ascii="Verdana" w:eastAsia="Times New Roman" w:hAnsi="Verdana" w:cs="Times New Roman"/>
          <w:sz w:val="24"/>
          <w:szCs w:val="20"/>
          <w:lang w:eastAsia="en-GB"/>
        </w:rPr>
        <w:t>In</w:t>
      </w:r>
      <w:r w:rsidR="0068487C" w:rsidRPr="00547C40">
        <w:rPr>
          <w:rFonts w:ascii="Verdana" w:eastAsia="Times New Roman" w:hAnsi="Verdana" w:cs="Times New Roman"/>
          <w:sz w:val="20"/>
          <w:szCs w:val="20"/>
          <w:lang w:eastAsia="en-GB"/>
        </w:rPr>
        <w:t xml:space="preserve"> performing the audit, the auditor shall, at a minimum:</w:t>
      </w:r>
    </w:p>
    <w:bookmarkEnd w:id="1"/>
    <w:p w:rsidR="005A40AF" w:rsidRPr="005A40AF" w:rsidRDefault="005A40AF" w:rsidP="005A40AF">
      <w:pPr>
        <w:keepLines/>
        <w:spacing w:before="120" w:after="120" w:line="240" w:lineRule="auto"/>
        <w:contextualSpacing/>
        <w:jc w:val="both"/>
        <w:rPr>
          <w:rFonts w:ascii="Verdana" w:eastAsia="Times New Roman" w:hAnsi="Verdana" w:cs="Times New Roman"/>
          <w:sz w:val="20"/>
          <w:szCs w:val="20"/>
          <w:lang w:eastAsia="en-GB"/>
        </w:rPr>
      </w:pPr>
    </w:p>
    <w:p w:rsidR="0068487C" w:rsidRPr="00547C40" w:rsidRDefault="0068487C" w:rsidP="003D6D26">
      <w:pPr>
        <w:keepLines/>
        <w:numPr>
          <w:ilvl w:val="0"/>
          <w:numId w:val="5"/>
        </w:numPr>
        <w:spacing w:before="120" w:after="120" w:line="240" w:lineRule="auto"/>
        <w:ind w:left="1080"/>
        <w:contextualSpacing/>
        <w:jc w:val="both"/>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 xml:space="preserve">Design and conduct audit procedures in response to weaknesses identified in the internal controls relating to the </w:t>
      </w:r>
      <w:r w:rsidR="002D75F8">
        <w:rPr>
          <w:rFonts w:ascii="Verdana" w:eastAsia="Times New Roman" w:hAnsi="Verdana" w:cs="Times New Roman"/>
          <w:sz w:val="20"/>
          <w:szCs w:val="20"/>
          <w:lang w:eastAsia="en-GB"/>
        </w:rPr>
        <w:t xml:space="preserve">contract with </w:t>
      </w:r>
      <w:proofErr w:type="spellStart"/>
      <w:r w:rsidR="002D75F8" w:rsidRPr="00463986">
        <w:rPr>
          <w:rFonts w:ascii="Verdana" w:eastAsia="Times New Roman" w:hAnsi="Verdana" w:cs="Times New Roman"/>
          <w:sz w:val="20"/>
          <w:szCs w:val="20"/>
          <w:lang w:eastAsia="en-GB"/>
        </w:rPr>
        <w:t>Barakathul</w:t>
      </w:r>
      <w:proofErr w:type="spellEnd"/>
      <w:r w:rsidR="002D75F8" w:rsidRPr="00463986">
        <w:rPr>
          <w:rFonts w:ascii="Verdana" w:eastAsia="Times New Roman" w:hAnsi="Verdana" w:cs="Times New Roman"/>
          <w:sz w:val="20"/>
          <w:szCs w:val="20"/>
          <w:lang w:eastAsia="en-GB"/>
        </w:rPr>
        <w:t xml:space="preserve"> </w:t>
      </w:r>
      <w:proofErr w:type="spellStart"/>
      <w:r w:rsidR="002D75F8" w:rsidRPr="00463986">
        <w:rPr>
          <w:rFonts w:ascii="Verdana" w:eastAsia="Times New Roman" w:hAnsi="Verdana" w:cs="Times New Roman"/>
          <w:sz w:val="20"/>
          <w:szCs w:val="20"/>
          <w:lang w:eastAsia="en-GB"/>
        </w:rPr>
        <w:t>Bahurul</w:t>
      </w:r>
      <w:proofErr w:type="spellEnd"/>
      <w:r w:rsidR="002D75F8" w:rsidRPr="00463986">
        <w:rPr>
          <w:rFonts w:ascii="Verdana" w:eastAsia="Times New Roman" w:hAnsi="Verdana" w:cs="Times New Roman"/>
          <w:sz w:val="20"/>
          <w:szCs w:val="20"/>
          <w:lang w:eastAsia="en-GB"/>
        </w:rPr>
        <w:t xml:space="preserve"> Pvt </w:t>
      </w:r>
      <w:r w:rsidR="002D75F8">
        <w:rPr>
          <w:rFonts w:ascii="Verdana" w:eastAsia="Times New Roman" w:hAnsi="Verdana" w:cs="Times New Roman"/>
          <w:sz w:val="20"/>
          <w:szCs w:val="20"/>
          <w:lang w:eastAsia="en-GB"/>
        </w:rPr>
        <w:t>Ltd and Fund Management Agreement with Bank of Maldives</w:t>
      </w:r>
      <w:r w:rsidRPr="00547C40">
        <w:rPr>
          <w:rFonts w:ascii="Verdana" w:eastAsia="Times New Roman" w:hAnsi="Verdana" w:cs="Times New Roman"/>
          <w:sz w:val="20"/>
          <w:szCs w:val="20"/>
          <w:lang w:eastAsia="en-GB"/>
        </w:rPr>
        <w:t xml:space="preserve">, to obtain audit evidence that </w:t>
      </w:r>
      <w:r w:rsidR="002D75F8">
        <w:rPr>
          <w:rFonts w:ascii="Verdana" w:eastAsia="Times New Roman" w:hAnsi="Verdana" w:cs="Times New Roman"/>
          <w:sz w:val="20"/>
          <w:szCs w:val="20"/>
          <w:lang w:eastAsia="en-GB"/>
        </w:rPr>
        <w:t xml:space="preserve">both parties have performed </w:t>
      </w:r>
      <w:r w:rsidR="003D6D26">
        <w:rPr>
          <w:rFonts w:ascii="Verdana" w:eastAsia="Times New Roman" w:hAnsi="Verdana" w:cs="Times New Roman"/>
          <w:sz w:val="20"/>
          <w:szCs w:val="20"/>
          <w:lang w:eastAsia="en-GB"/>
        </w:rPr>
        <w:t>in accordance with the agreed terms</w:t>
      </w:r>
      <w:r w:rsidRPr="00547C40">
        <w:rPr>
          <w:rFonts w:ascii="Verdana" w:eastAsia="Times New Roman" w:hAnsi="Verdana" w:cs="Times New Roman"/>
          <w:sz w:val="20"/>
          <w:szCs w:val="20"/>
          <w:lang w:eastAsia="en-GB"/>
        </w:rPr>
        <w:t xml:space="preserve"> and free from material misstatements in accordance with the applicable accounting framework;</w:t>
      </w:r>
    </w:p>
    <w:p w:rsidR="0068487C" w:rsidRDefault="0068487C" w:rsidP="002104A7">
      <w:pPr>
        <w:keepLines/>
        <w:numPr>
          <w:ilvl w:val="0"/>
          <w:numId w:val="5"/>
        </w:numPr>
        <w:spacing w:before="120" w:after="120" w:line="240" w:lineRule="auto"/>
        <w:ind w:left="1080"/>
        <w:contextualSpacing/>
        <w:jc w:val="both"/>
        <w:rPr>
          <w:rFonts w:ascii="Verdana" w:eastAsia="Times New Roman" w:hAnsi="Verdana" w:cs="Times New Roman"/>
          <w:sz w:val="20"/>
          <w:szCs w:val="20"/>
          <w:lang w:eastAsia="en-GB"/>
        </w:rPr>
      </w:pPr>
      <w:r w:rsidRPr="003D6D26">
        <w:rPr>
          <w:rFonts w:ascii="Verdana" w:eastAsia="Times New Roman" w:hAnsi="Verdana" w:cs="Times New Roman"/>
          <w:sz w:val="20"/>
          <w:szCs w:val="20"/>
          <w:lang w:eastAsia="en-GB"/>
        </w:rPr>
        <w:t xml:space="preserve">Verify that </w:t>
      </w:r>
      <w:r w:rsidR="003D6D26" w:rsidRPr="003D6D26">
        <w:rPr>
          <w:rFonts w:ascii="Verdana" w:eastAsia="Times New Roman" w:hAnsi="Verdana" w:cs="Times New Roman"/>
          <w:sz w:val="20"/>
          <w:szCs w:val="20"/>
          <w:lang w:eastAsia="en-GB"/>
        </w:rPr>
        <w:t xml:space="preserve">agreed terms in contract with </w:t>
      </w:r>
      <w:proofErr w:type="spellStart"/>
      <w:r w:rsidR="003D6D26" w:rsidRPr="003D6D26">
        <w:rPr>
          <w:rFonts w:ascii="Verdana" w:eastAsia="Times New Roman" w:hAnsi="Verdana" w:cs="Times New Roman"/>
          <w:sz w:val="20"/>
          <w:szCs w:val="20"/>
          <w:lang w:eastAsia="en-GB"/>
        </w:rPr>
        <w:t>Barakathul</w:t>
      </w:r>
      <w:proofErr w:type="spellEnd"/>
      <w:r w:rsidR="003D6D26" w:rsidRPr="003D6D26">
        <w:rPr>
          <w:rFonts w:ascii="Verdana" w:eastAsia="Times New Roman" w:hAnsi="Verdana" w:cs="Times New Roman"/>
          <w:sz w:val="20"/>
          <w:szCs w:val="20"/>
          <w:lang w:eastAsia="en-GB"/>
        </w:rPr>
        <w:t xml:space="preserve"> </w:t>
      </w:r>
      <w:proofErr w:type="spellStart"/>
      <w:r w:rsidR="003D6D26" w:rsidRPr="003D6D26">
        <w:rPr>
          <w:rFonts w:ascii="Verdana" w:eastAsia="Times New Roman" w:hAnsi="Verdana" w:cs="Times New Roman"/>
          <w:sz w:val="20"/>
          <w:szCs w:val="20"/>
          <w:lang w:eastAsia="en-GB"/>
        </w:rPr>
        <w:t>Bahurul</w:t>
      </w:r>
      <w:proofErr w:type="spellEnd"/>
      <w:r w:rsidR="003D6D26" w:rsidRPr="003D6D26">
        <w:rPr>
          <w:rFonts w:ascii="Verdana" w:eastAsia="Times New Roman" w:hAnsi="Verdana" w:cs="Times New Roman"/>
          <w:sz w:val="20"/>
          <w:szCs w:val="20"/>
          <w:lang w:eastAsia="en-GB"/>
        </w:rPr>
        <w:t xml:space="preserve"> Pvt Ltd</w:t>
      </w:r>
      <w:r w:rsidRPr="003D6D26">
        <w:rPr>
          <w:rFonts w:ascii="Verdana" w:eastAsia="Times New Roman" w:hAnsi="Verdana" w:cs="Times New Roman"/>
          <w:sz w:val="20"/>
          <w:szCs w:val="20"/>
          <w:lang w:eastAsia="en-GB"/>
        </w:rPr>
        <w:t>, are complete</w:t>
      </w:r>
      <w:r w:rsidR="003D6D26" w:rsidRPr="003D6D26">
        <w:rPr>
          <w:rFonts w:ascii="Verdana" w:eastAsia="Times New Roman" w:hAnsi="Verdana" w:cs="Times New Roman"/>
          <w:sz w:val="20"/>
          <w:szCs w:val="20"/>
          <w:lang w:eastAsia="en-GB"/>
        </w:rPr>
        <w:t>d</w:t>
      </w:r>
      <w:r w:rsidR="003D6D26">
        <w:rPr>
          <w:rFonts w:ascii="Verdana" w:eastAsia="Times New Roman" w:hAnsi="Verdana" w:cs="Times New Roman"/>
          <w:sz w:val="20"/>
          <w:szCs w:val="20"/>
          <w:lang w:eastAsia="en-GB"/>
        </w:rPr>
        <w:t xml:space="preserve"> or not, provide the audit opinion and recovery figures </w:t>
      </w:r>
    </w:p>
    <w:p w:rsidR="003D6D26" w:rsidRDefault="003D6D26" w:rsidP="002104A7">
      <w:pPr>
        <w:keepLines/>
        <w:numPr>
          <w:ilvl w:val="0"/>
          <w:numId w:val="5"/>
        </w:numPr>
        <w:spacing w:before="120" w:after="120" w:line="240" w:lineRule="auto"/>
        <w:ind w:left="1080"/>
        <w:contextualSpacing/>
        <w:jc w:val="both"/>
        <w:rPr>
          <w:rFonts w:ascii="Verdana" w:eastAsia="Times New Roman" w:hAnsi="Verdana" w:cs="Times New Roman"/>
          <w:sz w:val="20"/>
          <w:szCs w:val="20"/>
          <w:lang w:eastAsia="en-GB"/>
        </w:rPr>
      </w:pPr>
      <w:r w:rsidRPr="003D6D26">
        <w:rPr>
          <w:rFonts w:ascii="Verdana" w:eastAsia="Times New Roman" w:hAnsi="Verdana" w:cs="Times New Roman"/>
          <w:sz w:val="20"/>
          <w:szCs w:val="20"/>
          <w:lang w:eastAsia="en-GB"/>
        </w:rPr>
        <w:t xml:space="preserve">Verify that agreed terms in contract with </w:t>
      </w:r>
      <w:r>
        <w:rPr>
          <w:rFonts w:ascii="Verdana" w:eastAsia="Times New Roman" w:hAnsi="Verdana" w:cs="Times New Roman"/>
          <w:sz w:val="20"/>
          <w:szCs w:val="20"/>
          <w:lang w:eastAsia="en-GB"/>
        </w:rPr>
        <w:t>Bank of Maldives</w:t>
      </w:r>
      <w:r w:rsidRPr="003D6D26">
        <w:rPr>
          <w:rFonts w:ascii="Verdana" w:eastAsia="Times New Roman" w:hAnsi="Verdana" w:cs="Times New Roman"/>
          <w:sz w:val="20"/>
          <w:szCs w:val="20"/>
          <w:lang w:eastAsia="en-GB"/>
        </w:rPr>
        <w:t>, are completed</w:t>
      </w:r>
      <w:r>
        <w:rPr>
          <w:rFonts w:ascii="Verdana" w:eastAsia="Times New Roman" w:hAnsi="Verdana" w:cs="Times New Roman"/>
          <w:sz w:val="20"/>
          <w:szCs w:val="20"/>
          <w:lang w:eastAsia="en-GB"/>
        </w:rPr>
        <w:t xml:space="preserve"> or not, provide the audit opinion and recovery figures </w:t>
      </w:r>
    </w:p>
    <w:p w:rsidR="003D6D26" w:rsidRPr="003D6D26" w:rsidRDefault="003D6D26" w:rsidP="002104A7">
      <w:pPr>
        <w:keepLines/>
        <w:spacing w:before="120" w:after="120" w:line="240" w:lineRule="auto"/>
        <w:ind w:left="1080"/>
        <w:contextualSpacing/>
        <w:jc w:val="both"/>
        <w:rPr>
          <w:rFonts w:ascii="Verdana" w:eastAsia="Times New Roman" w:hAnsi="Verdana" w:cs="Times New Roman"/>
          <w:sz w:val="20"/>
          <w:szCs w:val="20"/>
          <w:lang w:eastAsia="en-GB"/>
        </w:rPr>
      </w:pPr>
    </w:p>
    <w:p w:rsidR="0068487C" w:rsidRPr="00547C40" w:rsidRDefault="0068487C" w:rsidP="0068487C">
      <w:pPr>
        <w:pStyle w:val="ListParagraph"/>
        <w:numPr>
          <w:ilvl w:val="0"/>
          <w:numId w:val="8"/>
        </w:numPr>
        <w:rPr>
          <w:rFonts w:ascii="Verdana" w:eastAsia="Times New Roman" w:hAnsi="Verdana" w:cs="Times New Roman"/>
          <w:b/>
          <w:kern w:val="28"/>
          <w:sz w:val="20"/>
          <w:szCs w:val="20"/>
          <w:lang w:eastAsia="en-GB"/>
        </w:rPr>
      </w:pPr>
      <w:r w:rsidRPr="00547C40">
        <w:rPr>
          <w:rFonts w:ascii="Verdana" w:eastAsia="Times New Roman" w:hAnsi="Verdana" w:cs="Times New Roman"/>
          <w:b/>
          <w:kern w:val="28"/>
          <w:sz w:val="20"/>
          <w:szCs w:val="20"/>
          <w:lang w:eastAsia="en-GB"/>
        </w:rPr>
        <w:t xml:space="preserve">Scope </w:t>
      </w:r>
      <w:r w:rsidRPr="00B013E9">
        <w:rPr>
          <w:rFonts w:ascii="Verdana" w:hAnsi="Verdana"/>
          <w:b/>
          <w:bCs/>
          <w:lang w:eastAsia="en-GB"/>
        </w:rPr>
        <w:t>of</w:t>
      </w:r>
      <w:r w:rsidRPr="00547C40">
        <w:rPr>
          <w:rFonts w:ascii="Verdana" w:eastAsia="Times New Roman" w:hAnsi="Verdana" w:cs="Times New Roman"/>
          <w:b/>
          <w:kern w:val="28"/>
          <w:sz w:val="20"/>
          <w:szCs w:val="20"/>
          <w:lang w:eastAsia="en-GB"/>
        </w:rPr>
        <w:t xml:space="preserve"> the agreed upon procedures</w:t>
      </w:r>
    </w:p>
    <w:p w:rsidR="0068487C" w:rsidRPr="00B013E9" w:rsidRDefault="0068487C" w:rsidP="002104A7">
      <w:pPr>
        <w:spacing w:after="0" w:line="240" w:lineRule="auto"/>
        <w:ind w:left="576"/>
        <w:jc w:val="both"/>
        <w:rPr>
          <w:rFonts w:ascii="Verdana" w:eastAsia="Times New Roman" w:hAnsi="Verdana" w:cs="Times New Roman"/>
          <w:sz w:val="20"/>
          <w:szCs w:val="20"/>
          <w:lang w:eastAsia="en-GB"/>
        </w:rPr>
      </w:pPr>
      <w:r w:rsidRPr="00B013E9">
        <w:rPr>
          <w:rFonts w:ascii="Verdana" w:eastAsia="Times New Roman" w:hAnsi="Verdana" w:cs="Times New Roman"/>
          <w:sz w:val="20"/>
          <w:szCs w:val="20"/>
          <w:lang w:eastAsia="en-GB"/>
        </w:rPr>
        <w:t xml:space="preserve">The auditor is required to perform the following specific procedures and report on factual findings </w:t>
      </w:r>
    </w:p>
    <w:p w:rsidR="0068487C" w:rsidRPr="00547C40" w:rsidRDefault="0068487C" w:rsidP="005240B7">
      <w:pPr>
        <w:keepLines/>
        <w:spacing w:before="120" w:after="120" w:line="240" w:lineRule="auto"/>
        <w:contextualSpacing/>
        <w:jc w:val="both"/>
        <w:rPr>
          <w:rFonts w:ascii="Verdana" w:eastAsia="Times New Roman" w:hAnsi="Verdana" w:cs="Times New Roman"/>
          <w:i/>
          <w:sz w:val="20"/>
          <w:szCs w:val="20"/>
          <w:highlight w:val="lightGray"/>
          <w:lang w:eastAsia="en-GB"/>
        </w:rPr>
      </w:pPr>
    </w:p>
    <w:p w:rsidR="0068487C" w:rsidRDefault="0068487C" w:rsidP="0068487C">
      <w:pPr>
        <w:pStyle w:val="ListParagraph"/>
        <w:rPr>
          <w:rFonts w:ascii="Verdana" w:eastAsia="Times New Roman" w:hAnsi="Verdana" w:cs="Times New Roman"/>
          <w:b/>
          <w:kern w:val="28"/>
          <w:sz w:val="20"/>
          <w:szCs w:val="20"/>
          <w:lang w:eastAsia="en-GB"/>
        </w:rPr>
      </w:pPr>
    </w:p>
    <w:p w:rsidR="0068487C" w:rsidRPr="00547C40" w:rsidRDefault="0068487C" w:rsidP="00004442">
      <w:pPr>
        <w:pStyle w:val="ListParagraph"/>
        <w:numPr>
          <w:ilvl w:val="0"/>
          <w:numId w:val="8"/>
        </w:numPr>
        <w:rPr>
          <w:rFonts w:ascii="Verdana" w:eastAsia="Times New Roman" w:hAnsi="Verdana" w:cs="Times New Roman"/>
          <w:b/>
          <w:kern w:val="28"/>
          <w:sz w:val="20"/>
          <w:szCs w:val="20"/>
          <w:lang w:eastAsia="en-GB"/>
        </w:rPr>
      </w:pPr>
      <w:r w:rsidRPr="00547C40">
        <w:rPr>
          <w:rFonts w:ascii="Verdana" w:eastAsia="Times New Roman" w:hAnsi="Verdana" w:cs="Times New Roman"/>
          <w:b/>
          <w:kern w:val="28"/>
          <w:sz w:val="20"/>
          <w:szCs w:val="20"/>
          <w:lang w:eastAsia="en-GB"/>
        </w:rPr>
        <w:t xml:space="preserve">Annexures </w:t>
      </w:r>
    </w:p>
    <w:p w:rsidR="0068487C" w:rsidRPr="00547C40" w:rsidRDefault="00762D09" w:rsidP="00B64CE5">
      <w:pPr>
        <w:spacing w:after="0" w:line="240" w:lineRule="auto"/>
        <w:ind w:left="432"/>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Annex</w:t>
      </w:r>
      <w:r>
        <w:rPr>
          <w:rFonts w:ascii="Verdana" w:eastAsia="Times New Roman" w:hAnsi="Verdana" w:cs="Times New Roman"/>
          <w:sz w:val="20"/>
          <w:szCs w:val="20"/>
          <w:lang w:eastAsia="en-GB"/>
        </w:rPr>
        <w:t>1:</w:t>
      </w:r>
      <w:r w:rsidR="0068487C" w:rsidRPr="00547C40">
        <w:rPr>
          <w:rFonts w:ascii="Verdana" w:eastAsia="Times New Roman" w:hAnsi="Verdana" w:cs="Times New Roman"/>
          <w:sz w:val="20"/>
          <w:szCs w:val="20"/>
          <w:lang w:eastAsia="en-GB"/>
        </w:rPr>
        <w:t xml:space="preserve"> </w:t>
      </w:r>
      <w:r w:rsidR="00AF05B9">
        <w:rPr>
          <w:rFonts w:ascii="Verdana" w:eastAsia="Times New Roman" w:hAnsi="Verdana" w:cs="Times New Roman"/>
          <w:sz w:val="20"/>
          <w:szCs w:val="20"/>
          <w:lang w:eastAsia="en-GB"/>
        </w:rPr>
        <w:t xml:space="preserve">Contract and amendment of </w:t>
      </w:r>
      <w:proofErr w:type="spellStart"/>
      <w:r w:rsidR="00AF05B9" w:rsidRPr="00463986">
        <w:rPr>
          <w:rFonts w:ascii="Verdana" w:eastAsia="Times New Roman" w:hAnsi="Verdana" w:cs="Times New Roman"/>
          <w:sz w:val="20"/>
          <w:szCs w:val="20"/>
          <w:lang w:eastAsia="en-GB"/>
        </w:rPr>
        <w:t>Barakathul</w:t>
      </w:r>
      <w:proofErr w:type="spellEnd"/>
      <w:r w:rsidR="00AF05B9" w:rsidRPr="00463986">
        <w:rPr>
          <w:rFonts w:ascii="Verdana" w:eastAsia="Times New Roman" w:hAnsi="Verdana" w:cs="Times New Roman"/>
          <w:sz w:val="20"/>
          <w:szCs w:val="20"/>
          <w:lang w:eastAsia="en-GB"/>
        </w:rPr>
        <w:t xml:space="preserve"> </w:t>
      </w:r>
      <w:proofErr w:type="spellStart"/>
      <w:r w:rsidR="00AF05B9" w:rsidRPr="00463986">
        <w:rPr>
          <w:rFonts w:ascii="Verdana" w:eastAsia="Times New Roman" w:hAnsi="Verdana" w:cs="Times New Roman"/>
          <w:sz w:val="20"/>
          <w:szCs w:val="20"/>
          <w:lang w:eastAsia="en-GB"/>
        </w:rPr>
        <w:t>Bahurul</w:t>
      </w:r>
      <w:proofErr w:type="spellEnd"/>
      <w:r w:rsidR="00AF05B9" w:rsidRPr="00463986">
        <w:rPr>
          <w:rFonts w:ascii="Verdana" w:eastAsia="Times New Roman" w:hAnsi="Verdana" w:cs="Times New Roman"/>
          <w:sz w:val="20"/>
          <w:szCs w:val="20"/>
          <w:lang w:eastAsia="en-GB"/>
        </w:rPr>
        <w:t xml:space="preserve"> Pvt </w:t>
      </w:r>
      <w:r w:rsidR="00AF05B9">
        <w:rPr>
          <w:rFonts w:ascii="Verdana" w:eastAsia="Times New Roman" w:hAnsi="Verdana" w:cs="Times New Roman"/>
          <w:sz w:val="20"/>
          <w:szCs w:val="20"/>
          <w:lang w:eastAsia="en-GB"/>
        </w:rPr>
        <w:t xml:space="preserve">Ltd </w:t>
      </w:r>
    </w:p>
    <w:p w:rsidR="0068487C" w:rsidRPr="00547C40" w:rsidRDefault="00762D09" w:rsidP="00AF05B9">
      <w:pPr>
        <w:spacing w:after="0" w:line="240" w:lineRule="auto"/>
        <w:ind w:left="432"/>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Annex</w:t>
      </w:r>
      <w:r>
        <w:rPr>
          <w:rFonts w:ascii="Verdana" w:eastAsia="Times New Roman" w:hAnsi="Verdana" w:cs="Times New Roman"/>
          <w:sz w:val="20"/>
          <w:szCs w:val="20"/>
          <w:lang w:eastAsia="en-GB"/>
        </w:rPr>
        <w:t>2:</w:t>
      </w:r>
      <w:r w:rsidR="0068487C" w:rsidRPr="00547C40">
        <w:rPr>
          <w:rFonts w:ascii="Verdana" w:eastAsia="Times New Roman" w:hAnsi="Verdana" w:cs="Times New Roman"/>
          <w:sz w:val="20"/>
          <w:szCs w:val="20"/>
          <w:lang w:eastAsia="en-GB"/>
        </w:rPr>
        <w:t xml:space="preserve"> </w:t>
      </w:r>
      <w:r w:rsidR="00AF05B9">
        <w:rPr>
          <w:rFonts w:ascii="Verdana" w:eastAsia="Times New Roman" w:hAnsi="Verdana" w:cs="Times New Roman"/>
          <w:sz w:val="20"/>
          <w:szCs w:val="20"/>
          <w:lang w:eastAsia="en-GB"/>
        </w:rPr>
        <w:t>Contract and amendment Fund Management Agreement with Bank of Mal</w:t>
      </w:r>
      <w:r w:rsidR="00B64CE5">
        <w:rPr>
          <w:rFonts w:ascii="Verdana" w:eastAsia="Times New Roman" w:hAnsi="Verdana" w:cs="Times New Roman"/>
          <w:sz w:val="20"/>
          <w:szCs w:val="20"/>
          <w:lang w:eastAsia="en-GB"/>
        </w:rPr>
        <w:t>dives</w:t>
      </w:r>
    </w:p>
    <w:p w:rsidR="0068487C" w:rsidRPr="00547C40" w:rsidRDefault="0068487C" w:rsidP="00AF05B9">
      <w:pPr>
        <w:spacing w:after="0" w:line="240" w:lineRule="auto"/>
        <w:ind w:left="432"/>
        <w:rPr>
          <w:rFonts w:ascii="Verdana" w:eastAsia="Times New Roman" w:hAnsi="Verdana" w:cs="Times New Roman"/>
          <w:sz w:val="20"/>
          <w:szCs w:val="20"/>
          <w:lang w:eastAsia="en-GB"/>
        </w:rPr>
      </w:pPr>
      <w:r w:rsidRPr="00547C40">
        <w:rPr>
          <w:rFonts w:ascii="Verdana" w:eastAsia="Times New Roman" w:hAnsi="Verdana" w:cs="Times New Roman"/>
          <w:sz w:val="20"/>
          <w:szCs w:val="20"/>
          <w:lang w:eastAsia="en-GB"/>
        </w:rPr>
        <w:t>Annex</w:t>
      </w:r>
      <w:r w:rsidR="00762D09">
        <w:rPr>
          <w:rFonts w:ascii="Verdana" w:eastAsia="Times New Roman" w:hAnsi="Verdana" w:cs="Times New Roman"/>
          <w:sz w:val="20"/>
          <w:szCs w:val="20"/>
          <w:lang w:eastAsia="en-GB"/>
        </w:rPr>
        <w:t>3</w:t>
      </w:r>
      <w:r w:rsidRPr="00547C40">
        <w:rPr>
          <w:rFonts w:ascii="Verdana" w:eastAsia="Times New Roman" w:hAnsi="Verdana" w:cs="Times New Roman"/>
          <w:sz w:val="20"/>
          <w:szCs w:val="20"/>
          <w:lang w:eastAsia="en-GB"/>
        </w:rPr>
        <w:t xml:space="preserve">: </w:t>
      </w:r>
      <w:r w:rsidR="00AF05B9">
        <w:rPr>
          <w:rFonts w:ascii="Verdana" w:eastAsia="Times New Roman" w:hAnsi="Verdana" w:cs="Times New Roman"/>
          <w:sz w:val="20"/>
          <w:szCs w:val="20"/>
          <w:lang w:eastAsia="en-GB"/>
        </w:rPr>
        <w:t>Other supporting documents</w:t>
      </w:r>
    </w:p>
    <w:p w:rsidR="0068487C" w:rsidRPr="00547C40" w:rsidRDefault="0068487C" w:rsidP="0068487C">
      <w:pPr>
        <w:spacing w:after="0" w:line="240" w:lineRule="auto"/>
        <w:ind w:left="432"/>
        <w:rPr>
          <w:rFonts w:ascii="Verdana" w:eastAsia="Times New Roman" w:hAnsi="Verdana" w:cs="Times New Roman"/>
          <w:sz w:val="20"/>
          <w:szCs w:val="20"/>
          <w:lang w:eastAsia="en-GB"/>
        </w:rPr>
      </w:pPr>
    </w:p>
    <w:p w:rsidR="0068487C" w:rsidRPr="00547C40" w:rsidRDefault="0068487C" w:rsidP="0068487C">
      <w:pPr>
        <w:spacing w:after="0" w:line="240" w:lineRule="auto"/>
        <w:rPr>
          <w:rFonts w:ascii="Verdana" w:eastAsia="Times New Roman" w:hAnsi="Verdana" w:cs="Times New Roman"/>
          <w:sz w:val="20"/>
          <w:szCs w:val="20"/>
          <w:lang w:eastAsia="en-GB"/>
        </w:rPr>
      </w:pPr>
    </w:p>
    <w:p w:rsidR="0068487C" w:rsidRPr="00547C40" w:rsidRDefault="0068487C" w:rsidP="0068487C">
      <w:pPr>
        <w:spacing w:after="0" w:line="240" w:lineRule="auto"/>
        <w:rPr>
          <w:rFonts w:ascii="Verdana" w:eastAsia="Times New Roman" w:hAnsi="Verdana" w:cs="Times New Roman"/>
          <w:sz w:val="20"/>
          <w:szCs w:val="20"/>
          <w:lang w:eastAsia="en-GB"/>
        </w:rPr>
      </w:pPr>
    </w:p>
    <w:p w:rsidR="0068487C" w:rsidRDefault="0068487C" w:rsidP="0068487C">
      <w:pPr>
        <w:spacing w:after="0" w:line="240" w:lineRule="auto"/>
        <w:rPr>
          <w:rFonts w:ascii="Verdana" w:eastAsia="Times New Roman" w:hAnsi="Verdana" w:cs="Times New Roman"/>
          <w:sz w:val="20"/>
          <w:szCs w:val="20"/>
          <w:lang w:eastAsia="en-GB"/>
        </w:rPr>
      </w:pPr>
    </w:p>
    <w:p w:rsidR="00AF05B9" w:rsidRDefault="00AF05B9" w:rsidP="0068487C">
      <w:pPr>
        <w:spacing w:after="0" w:line="240" w:lineRule="auto"/>
        <w:rPr>
          <w:rFonts w:ascii="Verdana" w:eastAsia="Times New Roman" w:hAnsi="Verdana" w:cs="Times New Roman"/>
          <w:sz w:val="20"/>
          <w:szCs w:val="20"/>
          <w:lang w:eastAsia="en-GB"/>
        </w:rPr>
      </w:pPr>
    </w:p>
    <w:p w:rsidR="00AF05B9" w:rsidRDefault="00AF05B9" w:rsidP="0068487C">
      <w:pPr>
        <w:spacing w:after="0" w:line="240" w:lineRule="auto"/>
        <w:rPr>
          <w:rFonts w:ascii="Verdana" w:eastAsia="Times New Roman" w:hAnsi="Verdana" w:cs="Times New Roman"/>
          <w:sz w:val="20"/>
          <w:szCs w:val="20"/>
          <w:lang w:eastAsia="en-GB"/>
        </w:rPr>
      </w:pPr>
    </w:p>
    <w:p w:rsidR="00AF05B9" w:rsidRDefault="00AF05B9" w:rsidP="0068487C">
      <w:pPr>
        <w:spacing w:after="0" w:line="240" w:lineRule="auto"/>
        <w:rPr>
          <w:rFonts w:ascii="Verdana" w:eastAsia="Times New Roman" w:hAnsi="Verdana" w:cs="Times New Roman"/>
          <w:sz w:val="20"/>
          <w:szCs w:val="20"/>
          <w:lang w:eastAsia="en-GB"/>
        </w:rPr>
      </w:pPr>
    </w:p>
    <w:p w:rsidR="00AF05B9" w:rsidRDefault="00AF05B9" w:rsidP="0068487C">
      <w:pPr>
        <w:spacing w:after="0" w:line="240" w:lineRule="auto"/>
        <w:rPr>
          <w:rFonts w:ascii="Verdana" w:eastAsia="Times New Roman" w:hAnsi="Verdana" w:cs="Times New Roman"/>
          <w:sz w:val="20"/>
          <w:szCs w:val="20"/>
          <w:lang w:eastAsia="en-GB"/>
        </w:rPr>
      </w:pPr>
    </w:p>
    <w:p w:rsidR="00AF05B9" w:rsidRDefault="00AF05B9" w:rsidP="0068487C">
      <w:pPr>
        <w:spacing w:after="0" w:line="240" w:lineRule="auto"/>
        <w:rPr>
          <w:rFonts w:ascii="Verdana" w:eastAsia="Times New Roman" w:hAnsi="Verdana" w:cs="Times New Roman"/>
          <w:sz w:val="20"/>
          <w:szCs w:val="20"/>
          <w:lang w:eastAsia="en-GB"/>
        </w:rPr>
      </w:pPr>
    </w:p>
    <w:p w:rsidR="00AF05B9" w:rsidRDefault="00AF05B9" w:rsidP="0068487C">
      <w:pPr>
        <w:spacing w:after="0" w:line="240" w:lineRule="auto"/>
        <w:rPr>
          <w:rFonts w:ascii="Verdana" w:eastAsia="Times New Roman" w:hAnsi="Verdana" w:cs="Times New Roman"/>
          <w:sz w:val="20"/>
          <w:szCs w:val="20"/>
          <w:lang w:eastAsia="en-GB"/>
        </w:rPr>
      </w:pPr>
    </w:p>
    <w:p w:rsidR="00AF05B9" w:rsidRDefault="00AF05B9" w:rsidP="0068487C">
      <w:pPr>
        <w:spacing w:after="0" w:line="240" w:lineRule="auto"/>
        <w:rPr>
          <w:rFonts w:ascii="Verdana" w:eastAsia="Times New Roman" w:hAnsi="Verdana" w:cs="Times New Roman"/>
          <w:sz w:val="20"/>
          <w:szCs w:val="20"/>
          <w:lang w:eastAsia="en-GB"/>
        </w:rPr>
      </w:pPr>
    </w:p>
    <w:p w:rsidR="00AF05B9" w:rsidRDefault="00AF05B9" w:rsidP="0068487C">
      <w:pPr>
        <w:spacing w:after="0" w:line="240" w:lineRule="auto"/>
        <w:rPr>
          <w:rFonts w:ascii="Verdana" w:eastAsia="Times New Roman" w:hAnsi="Verdana" w:cs="Times New Roman"/>
          <w:sz w:val="20"/>
          <w:szCs w:val="20"/>
          <w:lang w:eastAsia="en-GB"/>
        </w:rPr>
      </w:pPr>
    </w:p>
    <w:p w:rsidR="00AF05B9" w:rsidRPr="00547C40" w:rsidRDefault="00AF05B9" w:rsidP="0068487C">
      <w:pPr>
        <w:spacing w:after="0" w:line="240" w:lineRule="auto"/>
        <w:rPr>
          <w:rFonts w:ascii="Verdana" w:eastAsia="Times New Roman" w:hAnsi="Verdana" w:cs="Times New Roman"/>
          <w:sz w:val="20"/>
          <w:szCs w:val="20"/>
          <w:lang w:eastAsia="en-GB"/>
        </w:rPr>
      </w:pPr>
    </w:p>
    <w:p w:rsidR="0068487C" w:rsidRPr="00547C40" w:rsidRDefault="0068487C" w:rsidP="0068487C">
      <w:pPr>
        <w:spacing w:line="240" w:lineRule="auto"/>
        <w:jc w:val="both"/>
        <w:rPr>
          <w:rFonts w:ascii="Verdana" w:hAnsi="Verdana"/>
          <w:sz w:val="20"/>
          <w:szCs w:val="20"/>
        </w:rPr>
      </w:pPr>
    </w:p>
    <w:p w:rsidR="0068487C" w:rsidRPr="00547C40" w:rsidRDefault="0068487C" w:rsidP="0068487C">
      <w:pPr>
        <w:pStyle w:val="Heading2"/>
        <w:spacing w:line="240" w:lineRule="auto"/>
        <w:rPr>
          <w:sz w:val="20"/>
          <w:szCs w:val="20"/>
        </w:rPr>
      </w:pPr>
      <w:r w:rsidRPr="00547C40">
        <w:rPr>
          <w:rFonts w:eastAsia="Times New Roman" w:cs="Arial"/>
          <w:bCs/>
          <w:color w:val="000000" w:themeColor="text1"/>
          <w:sz w:val="20"/>
          <w:szCs w:val="20"/>
          <w:lang w:val="en-CA"/>
        </w:rPr>
        <w:t xml:space="preserve">  </w:t>
      </w:r>
      <w:bookmarkStart w:id="2" w:name="_Toc495423687"/>
      <w:bookmarkStart w:id="3" w:name="_Toc495483741"/>
      <w:bookmarkStart w:id="4" w:name="_Toc495483947"/>
      <w:bookmarkStart w:id="5" w:name="_Toc495423688"/>
      <w:bookmarkStart w:id="6" w:name="_Toc495483742"/>
      <w:bookmarkStart w:id="7" w:name="_Toc495483948"/>
      <w:bookmarkStart w:id="8" w:name="_Toc495423689"/>
      <w:bookmarkStart w:id="9" w:name="_Toc495483743"/>
      <w:bookmarkStart w:id="10" w:name="_Toc495483949"/>
      <w:bookmarkStart w:id="11" w:name="_Toc495423690"/>
      <w:bookmarkStart w:id="12" w:name="_Toc495483744"/>
      <w:bookmarkStart w:id="13" w:name="_Toc495483950"/>
      <w:bookmarkStart w:id="14" w:name="_Toc495423691"/>
      <w:bookmarkStart w:id="15" w:name="_Toc495483745"/>
      <w:bookmarkStart w:id="16" w:name="_Toc495483951"/>
      <w:bookmarkStart w:id="17" w:name="_Toc495423692"/>
      <w:bookmarkStart w:id="18" w:name="_Toc495483746"/>
      <w:bookmarkStart w:id="19" w:name="_Toc495483952"/>
      <w:bookmarkStart w:id="20" w:name="_Toc495423693"/>
      <w:bookmarkStart w:id="21" w:name="_Toc495483747"/>
      <w:bookmarkStart w:id="22" w:name="_Toc495483953"/>
      <w:bookmarkStart w:id="23" w:name="_Toc495423694"/>
      <w:bookmarkStart w:id="24" w:name="_Toc495483748"/>
      <w:bookmarkStart w:id="25" w:name="_Toc495483954"/>
      <w:bookmarkStart w:id="26" w:name="_Toc495423695"/>
      <w:bookmarkStart w:id="27" w:name="_Toc495483749"/>
      <w:bookmarkStart w:id="28" w:name="_Toc495483955"/>
      <w:bookmarkStart w:id="29" w:name="_Toc495423696"/>
      <w:bookmarkStart w:id="30" w:name="_Toc495483750"/>
      <w:bookmarkStart w:id="31" w:name="_Toc495483956"/>
      <w:bookmarkStart w:id="32" w:name="_Toc495423697"/>
      <w:bookmarkStart w:id="33" w:name="_Toc495483751"/>
      <w:bookmarkStart w:id="34" w:name="_Toc495483957"/>
      <w:bookmarkStart w:id="35" w:name="_Toc495423698"/>
      <w:bookmarkStart w:id="36" w:name="_Toc495483752"/>
      <w:bookmarkStart w:id="37" w:name="_Toc495483958"/>
      <w:bookmarkStart w:id="38" w:name="_Toc495423699"/>
      <w:bookmarkStart w:id="39" w:name="_Toc495483753"/>
      <w:bookmarkStart w:id="40" w:name="_Toc495483959"/>
      <w:bookmarkStart w:id="41" w:name="_Toc495423700"/>
      <w:bookmarkStart w:id="42" w:name="_Toc495483754"/>
      <w:bookmarkStart w:id="43" w:name="_Toc495483960"/>
      <w:bookmarkStart w:id="44" w:name="_Toc495423701"/>
      <w:bookmarkStart w:id="45" w:name="_Toc495483755"/>
      <w:bookmarkStart w:id="46" w:name="_Toc495483961"/>
      <w:bookmarkStart w:id="47" w:name="_Toc495423702"/>
      <w:bookmarkStart w:id="48" w:name="_Toc495483756"/>
      <w:bookmarkStart w:id="49" w:name="_Toc495483962"/>
      <w:bookmarkStart w:id="50" w:name="_Toc495423703"/>
      <w:bookmarkStart w:id="51" w:name="_Toc495483757"/>
      <w:bookmarkStart w:id="52" w:name="_Toc495483963"/>
      <w:bookmarkStart w:id="53" w:name="_Toc495423704"/>
      <w:bookmarkStart w:id="54" w:name="_Toc495483758"/>
      <w:bookmarkStart w:id="55" w:name="_Toc495483964"/>
      <w:bookmarkStart w:id="56" w:name="_Toc495423705"/>
      <w:bookmarkStart w:id="57" w:name="_Toc495483759"/>
      <w:bookmarkStart w:id="58" w:name="_Toc495483965"/>
      <w:bookmarkStart w:id="59" w:name="_Toc495423706"/>
      <w:bookmarkStart w:id="60" w:name="_Toc495483760"/>
      <w:bookmarkStart w:id="61" w:name="_Toc495483966"/>
      <w:bookmarkStart w:id="62" w:name="_Toc495423707"/>
      <w:bookmarkStart w:id="63" w:name="_Toc495483761"/>
      <w:bookmarkStart w:id="64" w:name="_Toc495483967"/>
      <w:bookmarkStart w:id="65" w:name="_Toc495423708"/>
      <w:bookmarkStart w:id="66" w:name="_Toc495483762"/>
      <w:bookmarkStart w:id="67" w:name="_Toc495483968"/>
      <w:bookmarkStart w:id="68" w:name="_Toc495423709"/>
      <w:bookmarkStart w:id="69" w:name="_Toc495483763"/>
      <w:bookmarkStart w:id="70" w:name="_Toc495483969"/>
      <w:bookmarkStart w:id="71" w:name="_Toc495423710"/>
      <w:bookmarkStart w:id="72" w:name="_Toc495483764"/>
      <w:bookmarkStart w:id="73" w:name="_Toc495483970"/>
      <w:bookmarkStart w:id="74" w:name="_Toc495423711"/>
      <w:bookmarkStart w:id="75" w:name="_Toc495483765"/>
      <w:bookmarkStart w:id="76" w:name="_Toc495483971"/>
      <w:bookmarkStart w:id="77" w:name="_Toc495423712"/>
      <w:bookmarkStart w:id="78" w:name="_Toc495483766"/>
      <w:bookmarkStart w:id="79" w:name="_Toc495483972"/>
      <w:bookmarkStart w:id="80" w:name="_Toc495423713"/>
      <w:bookmarkStart w:id="81" w:name="_Toc495483767"/>
      <w:bookmarkStart w:id="82" w:name="_Toc495483973"/>
      <w:bookmarkStart w:id="83" w:name="_Toc495423714"/>
      <w:bookmarkStart w:id="84" w:name="_Toc495483768"/>
      <w:bookmarkStart w:id="85" w:name="_Toc495483974"/>
      <w:bookmarkStart w:id="86" w:name="_Toc495423715"/>
      <w:bookmarkStart w:id="87" w:name="_Toc495483769"/>
      <w:bookmarkStart w:id="88" w:name="_Toc495483975"/>
      <w:bookmarkStart w:id="89" w:name="_Toc495423716"/>
      <w:bookmarkStart w:id="90" w:name="_Toc495483770"/>
      <w:bookmarkStart w:id="91" w:name="_Toc495483976"/>
      <w:bookmarkStart w:id="92" w:name="_Toc495423717"/>
      <w:bookmarkStart w:id="93" w:name="_Toc495483771"/>
      <w:bookmarkStart w:id="94" w:name="_Toc495483977"/>
      <w:bookmarkStart w:id="95" w:name="_Toc495423718"/>
      <w:bookmarkStart w:id="96" w:name="_Toc495483772"/>
      <w:bookmarkStart w:id="97" w:name="_Toc495483978"/>
      <w:bookmarkStart w:id="98" w:name="_Toc495423719"/>
      <w:bookmarkStart w:id="99" w:name="_Toc495483773"/>
      <w:bookmarkStart w:id="100" w:name="_Toc495483979"/>
      <w:bookmarkStart w:id="101" w:name="_Toc495423720"/>
      <w:bookmarkStart w:id="102" w:name="_Toc495483774"/>
      <w:bookmarkStart w:id="103" w:name="_Toc495483980"/>
      <w:bookmarkStart w:id="104" w:name="_Toc495423721"/>
      <w:bookmarkStart w:id="105" w:name="_Toc495483775"/>
      <w:bookmarkStart w:id="106" w:name="_Toc495483981"/>
      <w:bookmarkStart w:id="107" w:name="_Toc495423722"/>
      <w:bookmarkStart w:id="108" w:name="_Toc495483776"/>
      <w:bookmarkStart w:id="109" w:name="_Toc495483982"/>
      <w:bookmarkStart w:id="110" w:name="_Toc495423723"/>
      <w:bookmarkStart w:id="111" w:name="_Toc495483777"/>
      <w:bookmarkStart w:id="112" w:name="_Toc495483983"/>
      <w:bookmarkStart w:id="113" w:name="_Toc495423724"/>
      <w:bookmarkStart w:id="114" w:name="_Toc495483778"/>
      <w:bookmarkStart w:id="115" w:name="_Toc495483984"/>
      <w:bookmarkStart w:id="116" w:name="_Toc495423725"/>
      <w:bookmarkStart w:id="117" w:name="_Toc495483779"/>
      <w:bookmarkStart w:id="118" w:name="_Toc495483985"/>
      <w:bookmarkStart w:id="119" w:name="_Toc495423726"/>
      <w:bookmarkStart w:id="120" w:name="_Toc495483780"/>
      <w:bookmarkStart w:id="121" w:name="_Toc495483986"/>
      <w:bookmarkStart w:id="122" w:name="_Toc495423727"/>
      <w:bookmarkStart w:id="123" w:name="_Toc495483781"/>
      <w:bookmarkStart w:id="124" w:name="_Toc495483987"/>
      <w:bookmarkStart w:id="125" w:name="_Toc495423728"/>
      <w:bookmarkStart w:id="126" w:name="_Toc495483782"/>
      <w:bookmarkStart w:id="127" w:name="_Toc495483988"/>
      <w:bookmarkStart w:id="128" w:name="_Toc495423729"/>
      <w:bookmarkStart w:id="129" w:name="_Toc495483783"/>
      <w:bookmarkStart w:id="130" w:name="_Toc495483989"/>
      <w:bookmarkStart w:id="131" w:name="_Toc495423730"/>
      <w:bookmarkStart w:id="132" w:name="_Toc495483784"/>
      <w:bookmarkStart w:id="133" w:name="_Toc495483990"/>
      <w:bookmarkStart w:id="134" w:name="_Toc495423731"/>
      <w:bookmarkStart w:id="135" w:name="_Toc495483785"/>
      <w:bookmarkStart w:id="136" w:name="_Toc495483991"/>
      <w:bookmarkStart w:id="137" w:name="_Toc495423732"/>
      <w:bookmarkStart w:id="138" w:name="_Toc495483786"/>
      <w:bookmarkStart w:id="139" w:name="_Toc495483992"/>
      <w:bookmarkStart w:id="140" w:name="_Toc495423733"/>
      <w:bookmarkStart w:id="141" w:name="_Toc495483787"/>
      <w:bookmarkStart w:id="142" w:name="_Toc495483993"/>
      <w:bookmarkStart w:id="143" w:name="_Toc495423734"/>
      <w:bookmarkStart w:id="144" w:name="_Toc495483788"/>
      <w:bookmarkStart w:id="145" w:name="_Toc495483994"/>
      <w:bookmarkStart w:id="146" w:name="_Toc495423735"/>
      <w:bookmarkStart w:id="147" w:name="_Toc495483789"/>
      <w:bookmarkStart w:id="148" w:name="_Toc495483995"/>
      <w:bookmarkStart w:id="149" w:name="_Toc495423736"/>
      <w:bookmarkStart w:id="150" w:name="_Toc495483790"/>
      <w:bookmarkStart w:id="151" w:name="_Toc495483996"/>
      <w:bookmarkStart w:id="152" w:name="_Toc495423737"/>
      <w:bookmarkStart w:id="153" w:name="_Toc495483791"/>
      <w:bookmarkStart w:id="154" w:name="_Toc495483997"/>
      <w:bookmarkStart w:id="155" w:name="_Toc495423738"/>
      <w:bookmarkStart w:id="156" w:name="_Toc495483792"/>
      <w:bookmarkStart w:id="157" w:name="_Toc495483998"/>
      <w:bookmarkStart w:id="158" w:name="_Toc495423739"/>
      <w:bookmarkStart w:id="159" w:name="_Toc495483793"/>
      <w:bookmarkStart w:id="160" w:name="_Toc495483999"/>
      <w:bookmarkStart w:id="161" w:name="_Toc495423740"/>
      <w:bookmarkStart w:id="162" w:name="_Toc495483794"/>
      <w:bookmarkStart w:id="163" w:name="_Toc495484000"/>
      <w:bookmarkStart w:id="164" w:name="_Toc495423741"/>
      <w:bookmarkStart w:id="165" w:name="_Toc495483795"/>
      <w:bookmarkStart w:id="166" w:name="_Toc495484001"/>
      <w:bookmarkStart w:id="167" w:name="_Toc495423742"/>
      <w:bookmarkStart w:id="168" w:name="_Toc495483796"/>
      <w:bookmarkStart w:id="169" w:name="_Toc495484002"/>
      <w:bookmarkStart w:id="170" w:name="_Toc495423743"/>
      <w:bookmarkStart w:id="171" w:name="_Toc495483797"/>
      <w:bookmarkStart w:id="172" w:name="_Toc495484003"/>
      <w:bookmarkStart w:id="173" w:name="_Toc495423744"/>
      <w:bookmarkStart w:id="174" w:name="_Toc495483798"/>
      <w:bookmarkStart w:id="175" w:name="_Toc495484004"/>
      <w:bookmarkStart w:id="176" w:name="_Toc495423745"/>
      <w:bookmarkStart w:id="177" w:name="_Toc495483799"/>
      <w:bookmarkStart w:id="178" w:name="_Toc495484005"/>
      <w:bookmarkStart w:id="179" w:name="_Toc495423746"/>
      <w:bookmarkStart w:id="180" w:name="_Toc495483800"/>
      <w:bookmarkStart w:id="181" w:name="_Toc495484006"/>
      <w:bookmarkStart w:id="182" w:name="_Toc495423747"/>
      <w:bookmarkStart w:id="183" w:name="_Toc495483801"/>
      <w:bookmarkStart w:id="184" w:name="_Toc495484007"/>
      <w:bookmarkStart w:id="185" w:name="_Toc495423748"/>
      <w:bookmarkStart w:id="186" w:name="_Toc495483802"/>
      <w:bookmarkStart w:id="187" w:name="_Toc495484008"/>
      <w:bookmarkStart w:id="188" w:name="_Toc495423749"/>
      <w:bookmarkStart w:id="189" w:name="_Toc495483803"/>
      <w:bookmarkStart w:id="190" w:name="_Toc495484009"/>
      <w:bookmarkStart w:id="191" w:name="_Toc495423750"/>
      <w:bookmarkStart w:id="192" w:name="_Toc495483804"/>
      <w:bookmarkStart w:id="193" w:name="_Toc495484010"/>
      <w:bookmarkStart w:id="194" w:name="_Toc495423751"/>
      <w:bookmarkStart w:id="195" w:name="_Toc495483805"/>
      <w:bookmarkStart w:id="196" w:name="_Toc495484011"/>
      <w:bookmarkStart w:id="197" w:name="_Toc495423752"/>
      <w:bookmarkStart w:id="198" w:name="_Toc495483806"/>
      <w:bookmarkStart w:id="199" w:name="_Toc495484012"/>
      <w:bookmarkStart w:id="200" w:name="_Toc495423753"/>
      <w:bookmarkStart w:id="201" w:name="_Toc495483807"/>
      <w:bookmarkStart w:id="202" w:name="_Toc495484013"/>
      <w:bookmarkStart w:id="203" w:name="_Toc495423754"/>
      <w:bookmarkStart w:id="204" w:name="_Toc495483808"/>
      <w:bookmarkStart w:id="205" w:name="_Toc495484014"/>
      <w:bookmarkStart w:id="206" w:name="_Toc495423755"/>
      <w:bookmarkStart w:id="207" w:name="_Toc495483809"/>
      <w:bookmarkStart w:id="208" w:name="_Toc495484015"/>
      <w:bookmarkStart w:id="209" w:name="_Toc495423756"/>
      <w:bookmarkStart w:id="210" w:name="_Toc495483810"/>
      <w:bookmarkStart w:id="211" w:name="_Toc495484016"/>
      <w:bookmarkStart w:id="212" w:name="_Toc495423757"/>
      <w:bookmarkStart w:id="213" w:name="_Toc495483811"/>
      <w:bookmarkStart w:id="214" w:name="_Toc495484017"/>
      <w:bookmarkStart w:id="215" w:name="_Toc495423758"/>
      <w:bookmarkStart w:id="216" w:name="_Toc495483812"/>
      <w:bookmarkStart w:id="217" w:name="_Toc495484018"/>
      <w:bookmarkStart w:id="218" w:name="_Toc495423759"/>
      <w:bookmarkStart w:id="219" w:name="_Toc495483813"/>
      <w:bookmarkStart w:id="220" w:name="_Toc495484019"/>
      <w:bookmarkStart w:id="221" w:name="_Toc495423760"/>
      <w:bookmarkStart w:id="222" w:name="_Toc495483814"/>
      <w:bookmarkStart w:id="223" w:name="_Toc495484020"/>
      <w:bookmarkStart w:id="224" w:name="_Toc495423761"/>
      <w:bookmarkStart w:id="225" w:name="_Toc495483815"/>
      <w:bookmarkStart w:id="226" w:name="_Toc495484021"/>
      <w:bookmarkStart w:id="227" w:name="_Toc495423762"/>
      <w:bookmarkStart w:id="228" w:name="_Toc495483816"/>
      <w:bookmarkStart w:id="229" w:name="_Toc495484022"/>
      <w:bookmarkStart w:id="230" w:name="_Toc495423763"/>
      <w:bookmarkStart w:id="231" w:name="_Toc495483817"/>
      <w:bookmarkStart w:id="232" w:name="_Toc495484023"/>
      <w:bookmarkStart w:id="233" w:name="_Toc495423764"/>
      <w:bookmarkStart w:id="234" w:name="_Toc495483818"/>
      <w:bookmarkStart w:id="235" w:name="_Toc495484024"/>
      <w:bookmarkStart w:id="236" w:name="_Toc495423765"/>
      <w:bookmarkStart w:id="237" w:name="_Toc495483819"/>
      <w:bookmarkStart w:id="238" w:name="_Toc495484025"/>
      <w:bookmarkStart w:id="239" w:name="_Toc495423766"/>
      <w:bookmarkStart w:id="240" w:name="_Toc495483820"/>
      <w:bookmarkStart w:id="241" w:name="_Toc495484026"/>
      <w:bookmarkStart w:id="242" w:name="_Toc495423767"/>
      <w:bookmarkStart w:id="243" w:name="_Toc495483821"/>
      <w:bookmarkStart w:id="244" w:name="_Toc495484027"/>
      <w:bookmarkStart w:id="245" w:name="_Toc495423768"/>
      <w:bookmarkStart w:id="246" w:name="_Toc495483822"/>
      <w:bookmarkStart w:id="247" w:name="_Toc495484028"/>
      <w:bookmarkStart w:id="248" w:name="_Toc495423769"/>
      <w:bookmarkStart w:id="249" w:name="_Toc495483823"/>
      <w:bookmarkStart w:id="250" w:name="_Toc495484029"/>
      <w:bookmarkStart w:id="251" w:name="_Toc495423770"/>
      <w:bookmarkStart w:id="252" w:name="_Toc495483824"/>
      <w:bookmarkStart w:id="253" w:name="_Toc495484030"/>
      <w:bookmarkStart w:id="254" w:name="_Toc495423771"/>
      <w:bookmarkStart w:id="255" w:name="_Toc495483825"/>
      <w:bookmarkStart w:id="256" w:name="_Toc495484031"/>
      <w:bookmarkStart w:id="257" w:name="_Toc495423772"/>
      <w:bookmarkStart w:id="258" w:name="_Toc495483826"/>
      <w:bookmarkStart w:id="259" w:name="_Toc495484032"/>
      <w:bookmarkStart w:id="260" w:name="_Toc495423773"/>
      <w:bookmarkStart w:id="261" w:name="_Toc495483827"/>
      <w:bookmarkStart w:id="262" w:name="_Toc495484033"/>
      <w:bookmarkStart w:id="263" w:name="_Toc495423774"/>
      <w:bookmarkStart w:id="264" w:name="_Toc495483828"/>
      <w:bookmarkStart w:id="265" w:name="_Toc495484034"/>
      <w:bookmarkStart w:id="266" w:name="_Toc495423775"/>
      <w:bookmarkStart w:id="267" w:name="_Toc495483829"/>
      <w:bookmarkStart w:id="268" w:name="_Toc495484035"/>
      <w:bookmarkStart w:id="269" w:name="_Toc495423776"/>
      <w:bookmarkStart w:id="270" w:name="_Toc495483830"/>
      <w:bookmarkStart w:id="271" w:name="_Toc495484036"/>
      <w:bookmarkStart w:id="272" w:name="_Toc495423777"/>
      <w:bookmarkStart w:id="273" w:name="_Toc495483831"/>
      <w:bookmarkStart w:id="274" w:name="_Toc495484037"/>
      <w:bookmarkStart w:id="275" w:name="_Toc495423778"/>
      <w:bookmarkStart w:id="276" w:name="_Toc495483832"/>
      <w:bookmarkStart w:id="277" w:name="_Toc495484038"/>
      <w:bookmarkStart w:id="278" w:name="_Toc495423779"/>
      <w:bookmarkStart w:id="279" w:name="_Toc495483833"/>
      <w:bookmarkStart w:id="280" w:name="_Toc495484039"/>
      <w:bookmarkStart w:id="281" w:name="_Toc495423780"/>
      <w:bookmarkStart w:id="282" w:name="_Toc495483834"/>
      <w:bookmarkStart w:id="283" w:name="_Toc495484040"/>
      <w:bookmarkStart w:id="284" w:name="_Toc495423781"/>
      <w:bookmarkStart w:id="285" w:name="_Toc495483835"/>
      <w:bookmarkStart w:id="286" w:name="_Toc495484041"/>
      <w:bookmarkStart w:id="287" w:name="_Toc495423782"/>
      <w:bookmarkStart w:id="288" w:name="_Toc495483836"/>
      <w:bookmarkStart w:id="289" w:name="_Toc495484042"/>
      <w:bookmarkStart w:id="290" w:name="_Toc495423783"/>
      <w:bookmarkStart w:id="291" w:name="_Toc495483837"/>
      <w:bookmarkStart w:id="292" w:name="_Toc495484043"/>
      <w:bookmarkStart w:id="293" w:name="_Toc495423784"/>
      <w:bookmarkStart w:id="294" w:name="_Toc495483838"/>
      <w:bookmarkStart w:id="295" w:name="_Toc495484044"/>
      <w:bookmarkStart w:id="296" w:name="_Toc495423785"/>
      <w:bookmarkStart w:id="297" w:name="_Toc495483839"/>
      <w:bookmarkStart w:id="298" w:name="_Toc495484045"/>
      <w:bookmarkStart w:id="299" w:name="_Toc495423786"/>
      <w:bookmarkStart w:id="300" w:name="_Toc495483840"/>
      <w:bookmarkStart w:id="301" w:name="_Toc495484046"/>
      <w:bookmarkStart w:id="302" w:name="_Toc495423787"/>
      <w:bookmarkStart w:id="303" w:name="_Toc495483841"/>
      <w:bookmarkStart w:id="304" w:name="_Toc495484047"/>
      <w:bookmarkStart w:id="305" w:name="_Toc495423788"/>
      <w:bookmarkStart w:id="306" w:name="_Toc495483842"/>
      <w:bookmarkStart w:id="307" w:name="_Toc495484048"/>
      <w:bookmarkStart w:id="308" w:name="_Toc495423789"/>
      <w:bookmarkStart w:id="309" w:name="_Toc495483843"/>
      <w:bookmarkStart w:id="310" w:name="_Toc495484049"/>
      <w:bookmarkStart w:id="311" w:name="_Toc495423790"/>
      <w:bookmarkStart w:id="312" w:name="_Toc495483844"/>
      <w:bookmarkStart w:id="313" w:name="_Toc495484050"/>
      <w:bookmarkStart w:id="314" w:name="_Toc495423791"/>
      <w:bookmarkStart w:id="315" w:name="_Toc495483845"/>
      <w:bookmarkStart w:id="316" w:name="_Toc495484051"/>
      <w:bookmarkStart w:id="317" w:name="_Toc495423792"/>
      <w:bookmarkStart w:id="318" w:name="_Toc495483846"/>
      <w:bookmarkStart w:id="319" w:name="_Toc495484052"/>
      <w:bookmarkStart w:id="320" w:name="_Toc495423793"/>
      <w:bookmarkStart w:id="321" w:name="_Toc495483847"/>
      <w:bookmarkStart w:id="322" w:name="_Toc495484053"/>
      <w:bookmarkStart w:id="323" w:name="_Toc495423794"/>
      <w:bookmarkStart w:id="324" w:name="_Toc495483848"/>
      <w:bookmarkStart w:id="325" w:name="_Toc495484054"/>
      <w:bookmarkStart w:id="326" w:name="_Toc495423795"/>
      <w:bookmarkStart w:id="327" w:name="_Toc495483849"/>
      <w:bookmarkStart w:id="328" w:name="_Toc495484055"/>
      <w:bookmarkStart w:id="329" w:name="_Toc495423796"/>
      <w:bookmarkStart w:id="330" w:name="_Toc495483850"/>
      <w:bookmarkStart w:id="331" w:name="_Toc495484056"/>
      <w:bookmarkStart w:id="332" w:name="_Toc495423797"/>
      <w:bookmarkStart w:id="333" w:name="_Toc495483851"/>
      <w:bookmarkStart w:id="334" w:name="_Toc495484057"/>
      <w:bookmarkStart w:id="335" w:name="_Toc495423798"/>
      <w:bookmarkStart w:id="336" w:name="_Toc495483852"/>
      <w:bookmarkStart w:id="337" w:name="_Toc495484058"/>
      <w:bookmarkStart w:id="338" w:name="_Toc495423799"/>
      <w:bookmarkStart w:id="339" w:name="_Toc495483853"/>
      <w:bookmarkStart w:id="340" w:name="_Toc495484059"/>
      <w:bookmarkStart w:id="341" w:name="_Toc495423800"/>
      <w:bookmarkStart w:id="342" w:name="_Toc495483854"/>
      <w:bookmarkStart w:id="343" w:name="_Toc495484060"/>
      <w:bookmarkStart w:id="344" w:name="_Toc495423801"/>
      <w:bookmarkStart w:id="345" w:name="_Toc495483855"/>
      <w:bookmarkStart w:id="346" w:name="_Toc495484061"/>
      <w:bookmarkStart w:id="347" w:name="_Toc495423802"/>
      <w:bookmarkStart w:id="348" w:name="_Toc495483856"/>
      <w:bookmarkStart w:id="349" w:name="_Toc495484062"/>
      <w:bookmarkStart w:id="350" w:name="_Toc495423803"/>
      <w:bookmarkStart w:id="351" w:name="_Toc495483857"/>
      <w:bookmarkStart w:id="352" w:name="_Toc495484063"/>
      <w:bookmarkStart w:id="353" w:name="_Toc495423804"/>
      <w:bookmarkStart w:id="354" w:name="_Toc495483858"/>
      <w:bookmarkStart w:id="355" w:name="_Toc495484064"/>
      <w:bookmarkStart w:id="356" w:name="_Toc495423805"/>
      <w:bookmarkStart w:id="357" w:name="_Toc495483859"/>
      <w:bookmarkStart w:id="358" w:name="_Toc495484065"/>
      <w:bookmarkStart w:id="359" w:name="_Toc495423806"/>
      <w:bookmarkStart w:id="360" w:name="_Toc495483860"/>
      <w:bookmarkStart w:id="361" w:name="_Toc495484066"/>
      <w:bookmarkStart w:id="362" w:name="_Toc495423807"/>
      <w:bookmarkStart w:id="363" w:name="_Toc495483861"/>
      <w:bookmarkStart w:id="364" w:name="_Toc495484067"/>
      <w:bookmarkStart w:id="365" w:name="_Toc495423808"/>
      <w:bookmarkStart w:id="366" w:name="_Toc495483862"/>
      <w:bookmarkStart w:id="367" w:name="_Toc495484068"/>
      <w:bookmarkStart w:id="368" w:name="_Toc495423809"/>
      <w:bookmarkStart w:id="369" w:name="_Toc495483863"/>
      <w:bookmarkStart w:id="370" w:name="_Toc495484069"/>
      <w:bookmarkStart w:id="371" w:name="_Toc495423810"/>
      <w:bookmarkStart w:id="372" w:name="_Toc495483864"/>
      <w:bookmarkStart w:id="373" w:name="_Toc495484070"/>
      <w:bookmarkStart w:id="374" w:name="_Toc495423811"/>
      <w:bookmarkStart w:id="375" w:name="_Toc495483865"/>
      <w:bookmarkStart w:id="376" w:name="_Toc495484071"/>
      <w:bookmarkStart w:id="377" w:name="_Toc495423812"/>
      <w:bookmarkStart w:id="378" w:name="_Toc495483866"/>
      <w:bookmarkStart w:id="379" w:name="_Toc495484072"/>
      <w:bookmarkStart w:id="380" w:name="_Toc495423813"/>
      <w:bookmarkStart w:id="381" w:name="_Toc495483867"/>
      <w:bookmarkStart w:id="382" w:name="_Toc495484073"/>
      <w:bookmarkStart w:id="383" w:name="_Toc495423814"/>
      <w:bookmarkStart w:id="384" w:name="_Toc495483868"/>
      <w:bookmarkStart w:id="385" w:name="_Toc495484074"/>
      <w:bookmarkStart w:id="386" w:name="_Toc495423815"/>
      <w:bookmarkStart w:id="387" w:name="_Toc495483869"/>
      <w:bookmarkStart w:id="388" w:name="_Toc495484075"/>
      <w:bookmarkStart w:id="389" w:name="_Toc495423816"/>
      <w:bookmarkStart w:id="390" w:name="_Toc495483870"/>
      <w:bookmarkStart w:id="391" w:name="_Toc495484076"/>
      <w:bookmarkStart w:id="392" w:name="_Toc495423817"/>
      <w:bookmarkStart w:id="393" w:name="_Toc495483871"/>
      <w:bookmarkStart w:id="394" w:name="_Toc495484077"/>
      <w:bookmarkStart w:id="395" w:name="_Toc495423818"/>
      <w:bookmarkStart w:id="396" w:name="_Toc495483872"/>
      <w:bookmarkStart w:id="397" w:name="_Toc495484078"/>
      <w:bookmarkStart w:id="398" w:name="_Toc495423819"/>
      <w:bookmarkStart w:id="399" w:name="_Toc495483873"/>
      <w:bookmarkStart w:id="400" w:name="_Toc495484079"/>
      <w:bookmarkStart w:id="401" w:name="_Toc495423820"/>
      <w:bookmarkStart w:id="402" w:name="_Toc495483874"/>
      <w:bookmarkStart w:id="403" w:name="_Toc495484080"/>
      <w:bookmarkStart w:id="404" w:name="_Toc495423821"/>
      <w:bookmarkStart w:id="405" w:name="_Toc495483875"/>
      <w:bookmarkStart w:id="406" w:name="_Toc495484081"/>
      <w:bookmarkStart w:id="407" w:name="_Toc495423822"/>
      <w:bookmarkStart w:id="408" w:name="_Toc495483876"/>
      <w:bookmarkStart w:id="409" w:name="_Toc495484082"/>
      <w:bookmarkStart w:id="410" w:name="_Toc495423823"/>
      <w:bookmarkStart w:id="411" w:name="_Toc495483877"/>
      <w:bookmarkStart w:id="412" w:name="_Toc495484083"/>
      <w:bookmarkStart w:id="413" w:name="_Toc495423824"/>
      <w:bookmarkStart w:id="414" w:name="_Toc495483878"/>
      <w:bookmarkStart w:id="415" w:name="_Toc4954840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6678AF" w:rsidRDefault="006678AF"/>
    <w:sectPr w:rsidR="006678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6D4" w:rsidRDefault="00C236D4" w:rsidP="0068487C">
      <w:pPr>
        <w:spacing w:after="0" w:line="240" w:lineRule="auto"/>
      </w:pPr>
      <w:r>
        <w:separator/>
      </w:r>
    </w:p>
  </w:endnote>
  <w:endnote w:type="continuationSeparator" w:id="0">
    <w:p w:rsidR="00C236D4" w:rsidRDefault="00C236D4" w:rsidP="0068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6D4" w:rsidRDefault="00C236D4" w:rsidP="0068487C">
      <w:pPr>
        <w:spacing w:after="0" w:line="240" w:lineRule="auto"/>
      </w:pPr>
      <w:r>
        <w:separator/>
      </w:r>
    </w:p>
  </w:footnote>
  <w:footnote w:type="continuationSeparator" w:id="0">
    <w:p w:rsidR="00C236D4" w:rsidRDefault="00C236D4" w:rsidP="0068487C">
      <w:pPr>
        <w:spacing w:after="0" w:line="240" w:lineRule="auto"/>
      </w:pPr>
      <w:r>
        <w:continuationSeparator/>
      </w:r>
    </w:p>
  </w:footnote>
  <w:footnote w:id="1">
    <w:p w:rsidR="001C16B8" w:rsidRPr="002F3532" w:rsidRDefault="001C16B8" w:rsidP="001C16B8">
      <w:pPr>
        <w:pStyle w:val="FootnoteText"/>
      </w:pPr>
      <w:r>
        <w:rPr>
          <w:rStyle w:val="FootnoteReference"/>
        </w:rPr>
        <w:footnoteRef/>
      </w:r>
      <w:r>
        <w:t xml:space="preserve"> This requirement will assist IFAD in meeting its disclosure requirements as outlined in Section 7. Public Disclosure. The management letter is not subject to disclosure and should be provided in a separate file.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4494"/>
    <w:multiLevelType w:val="hybridMultilevel"/>
    <w:tmpl w:val="6A04A39E"/>
    <w:lvl w:ilvl="0" w:tplc="1C090005">
      <w:start w:val="1"/>
      <w:numFmt w:val="bullet"/>
      <w:lvlText w:val=""/>
      <w:lvlJc w:val="left"/>
      <w:pPr>
        <w:ind w:left="1296" w:hanging="360"/>
      </w:pPr>
      <w:rPr>
        <w:rFonts w:ascii="Wingdings" w:hAnsi="Wingdings" w:hint="default"/>
      </w:rPr>
    </w:lvl>
    <w:lvl w:ilvl="1" w:tplc="1C090003">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1" w15:restartNumberingAfterBreak="0">
    <w:nsid w:val="16E21D8F"/>
    <w:multiLevelType w:val="hybridMultilevel"/>
    <w:tmpl w:val="4C3C2DA0"/>
    <w:lvl w:ilvl="0" w:tplc="08090005">
      <w:start w:val="1"/>
      <w:numFmt w:val="bullet"/>
      <w:lvlText w:val=""/>
      <w:lvlJc w:val="left"/>
      <w:pPr>
        <w:ind w:left="792" w:hanging="360"/>
      </w:pPr>
      <w:rPr>
        <w:rFonts w:ascii="Wingdings" w:hAnsi="Wingdings" w:hint="default"/>
      </w:r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2" w15:restartNumberingAfterBreak="0">
    <w:nsid w:val="16F2026F"/>
    <w:multiLevelType w:val="hybridMultilevel"/>
    <w:tmpl w:val="05E2EC84"/>
    <w:lvl w:ilvl="0" w:tplc="1C090005">
      <w:start w:val="1"/>
      <w:numFmt w:val="bullet"/>
      <w:lvlText w:val=""/>
      <w:lvlJc w:val="left"/>
      <w:pPr>
        <w:ind w:left="1296" w:hanging="360"/>
      </w:pPr>
      <w:rPr>
        <w:rFonts w:ascii="Wingdings" w:hAnsi="Wingdings"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3" w15:restartNumberingAfterBreak="0">
    <w:nsid w:val="22EF6F54"/>
    <w:multiLevelType w:val="hybridMultilevel"/>
    <w:tmpl w:val="00AE807E"/>
    <w:lvl w:ilvl="0" w:tplc="0809000F">
      <w:start w:val="1"/>
      <w:numFmt w:val="decimal"/>
      <w:lvlText w:val="%1."/>
      <w:lvlJc w:val="left"/>
      <w:pPr>
        <w:ind w:left="63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E25DD2"/>
    <w:multiLevelType w:val="hybridMultilevel"/>
    <w:tmpl w:val="F50C7178"/>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E7583"/>
    <w:multiLevelType w:val="hybridMultilevel"/>
    <w:tmpl w:val="CD48C4CE"/>
    <w:lvl w:ilvl="0" w:tplc="0809001B">
      <w:start w:val="1"/>
      <w:numFmt w:val="lowerRoman"/>
      <w:lvlText w:val="%1."/>
      <w:lvlJc w:val="right"/>
      <w:pPr>
        <w:ind w:left="1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914E2"/>
    <w:multiLevelType w:val="hybridMultilevel"/>
    <w:tmpl w:val="CD48C4CE"/>
    <w:lvl w:ilvl="0" w:tplc="0809001B">
      <w:start w:val="1"/>
      <w:numFmt w:val="lowerRoman"/>
      <w:lvlText w:val="%1."/>
      <w:lvlJc w:val="right"/>
      <w:pPr>
        <w:ind w:left="1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D7CEA"/>
    <w:multiLevelType w:val="hybridMultilevel"/>
    <w:tmpl w:val="25A6A1F4"/>
    <w:lvl w:ilvl="0" w:tplc="08090005">
      <w:start w:val="1"/>
      <w:numFmt w:val="bullet"/>
      <w:lvlText w:val=""/>
      <w:lvlJc w:val="left"/>
      <w:pPr>
        <w:ind w:left="990" w:hanging="360"/>
      </w:pPr>
      <w:rPr>
        <w:rFonts w:ascii="Wingdings" w:hAnsi="Wingdings" w:hint="default"/>
        <w:sz w:val="20"/>
        <w:szCs w:val="20"/>
      </w:rPr>
    </w:lvl>
    <w:lvl w:ilvl="1" w:tplc="0809001B">
      <w:start w:val="1"/>
      <w:numFmt w:val="lowerRoman"/>
      <w:lvlText w:val="%2."/>
      <w:lvlJc w:val="righ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50AA50D1"/>
    <w:multiLevelType w:val="hybridMultilevel"/>
    <w:tmpl w:val="5B24092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39B2518"/>
    <w:multiLevelType w:val="hybridMultilevel"/>
    <w:tmpl w:val="88DE1CF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5BB14C73"/>
    <w:multiLevelType w:val="hybridMultilevel"/>
    <w:tmpl w:val="23E807EE"/>
    <w:lvl w:ilvl="0" w:tplc="1C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8"/>
  </w:num>
  <w:num w:numId="4">
    <w:abstractNumId w:val="1"/>
  </w:num>
  <w:num w:numId="5">
    <w:abstractNumId w:val="0"/>
  </w:num>
  <w:num w:numId="6">
    <w:abstractNumId w:val="10"/>
  </w:num>
  <w:num w:numId="7">
    <w:abstractNumId w:val="2"/>
  </w:num>
  <w:num w:numId="8">
    <w:abstractNumId w:val="3"/>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7C"/>
    <w:rsid w:val="00004442"/>
    <w:rsid w:val="00162D3C"/>
    <w:rsid w:val="001C16B8"/>
    <w:rsid w:val="002104A7"/>
    <w:rsid w:val="002D75F8"/>
    <w:rsid w:val="003D6D26"/>
    <w:rsid w:val="00463986"/>
    <w:rsid w:val="00477405"/>
    <w:rsid w:val="004C3E92"/>
    <w:rsid w:val="004C781E"/>
    <w:rsid w:val="005240B7"/>
    <w:rsid w:val="00587147"/>
    <w:rsid w:val="005A40AF"/>
    <w:rsid w:val="006678AF"/>
    <w:rsid w:val="0068487C"/>
    <w:rsid w:val="0073030B"/>
    <w:rsid w:val="00744196"/>
    <w:rsid w:val="00762D09"/>
    <w:rsid w:val="007942AA"/>
    <w:rsid w:val="008D10E3"/>
    <w:rsid w:val="008E35F1"/>
    <w:rsid w:val="00935928"/>
    <w:rsid w:val="00AF05B9"/>
    <w:rsid w:val="00B64CE5"/>
    <w:rsid w:val="00BC1365"/>
    <w:rsid w:val="00BF4C4B"/>
    <w:rsid w:val="00C0509C"/>
    <w:rsid w:val="00C236D4"/>
    <w:rsid w:val="00CC396E"/>
    <w:rsid w:val="00D75EBE"/>
    <w:rsid w:val="00DA0360"/>
    <w:rsid w:val="00DC1AD9"/>
    <w:rsid w:val="00DC7EDD"/>
    <w:rsid w:val="00F300B4"/>
    <w:rsid w:val="00FB5C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858DD-5565-4C18-9D1F-DE1DE82E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7C"/>
  </w:style>
  <w:style w:type="paragraph" w:styleId="Heading2">
    <w:name w:val="heading 2"/>
    <w:basedOn w:val="Normal"/>
    <w:next w:val="Normal"/>
    <w:link w:val="Heading2Char"/>
    <w:uiPriority w:val="9"/>
    <w:unhideWhenUsed/>
    <w:qFormat/>
    <w:rsid w:val="0068487C"/>
    <w:pPr>
      <w:keepNext/>
      <w:keepLines/>
      <w:spacing w:before="40" w:after="0"/>
      <w:outlineLvl w:val="1"/>
    </w:pPr>
    <w:rPr>
      <w:rFonts w:ascii="Verdana" w:eastAsiaTheme="majorEastAsia" w:hAnsi="Verdan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487C"/>
    <w:rPr>
      <w:rFonts w:ascii="Verdana" w:eastAsiaTheme="majorEastAsia" w:hAnsi="Verdana" w:cstheme="majorBidi"/>
      <w:b/>
      <w:szCs w:val="26"/>
    </w:rPr>
  </w:style>
  <w:style w:type="paragraph" w:styleId="ListParagraph">
    <w:name w:val="List Paragraph"/>
    <w:basedOn w:val="Normal"/>
    <w:uiPriority w:val="34"/>
    <w:qFormat/>
    <w:rsid w:val="0068487C"/>
    <w:pPr>
      <w:ind w:left="720"/>
      <w:contextualSpacing/>
    </w:pPr>
  </w:style>
  <w:style w:type="paragraph" w:styleId="FootnoteText">
    <w:name w:val="footnote text"/>
    <w:aliases w:val="ft,f,single space"/>
    <w:basedOn w:val="Normal"/>
    <w:link w:val="FootnoteTextChar"/>
    <w:unhideWhenUsed/>
    <w:qFormat/>
    <w:rsid w:val="0068487C"/>
    <w:pPr>
      <w:spacing w:after="0" w:line="240" w:lineRule="auto"/>
    </w:pPr>
    <w:rPr>
      <w:sz w:val="20"/>
      <w:szCs w:val="20"/>
    </w:rPr>
  </w:style>
  <w:style w:type="character" w:customStyle="1" w:styleId="FootnoteTextChar">
    <w:name w:val="Footnote Text Char"/>
    <w:aliases w:val="ft Char,f Char,single space Char"/>
    <w:basedOn w:val="DefaultParagraphFont"/>
    <w:link w:val="FootnoteText"/>
    <w:rsid w:val="0068487C"/>
    <w:rPr>
      <w:sz w:val="20"/>
      <w:szCs w:val="20"/>
    </w:rPr>
  </w:style>
  <w:style w:type="character" w:styleId="FootnoteReference">
    <w:name w:val="footnote reference"/>
    <w:aliases w:val="ftref"/>
    <w:basedOn w:val="DefaultParagraphFont"/>
    <w:uiPriority w:val="99"/>
    <w:unhideWhenUsed/>
    <w:rsid w:val="0068487C"/>
    <w:rPr>
      <w:vertAlign w:val="superscript"/>
    </w:rPr>
  </w:style>
  <w:style w:type="paragraph" w:customStyle="1" w:styleId="Appendix">
    <w:name w:val="Appendix"/>
    <w:basedOn w:val="BodyText"/>
    <w:link w:val="AppendixChar"/>
    <w:qFormat/>
    <w:rsid w:val="0068487C"/>
    <w:pPr>
      <w:spacing w:after="0" w:line="240" w:lineRule="auto"/>
      <w:jc w:val="center"/>
    </w:pPr>
    <w:rPr>
      <w:rFonts w:ascii="Verdana" w:eastAsia="Times New Roman" w:hAnsi="Verdana" w:cs="Times New Roman"/>
      <w:b/>
      <w:bCs/>
      <w:spacing w:val="-5"/>
      <w:sz w:val="24"/>
      <w:szCs w:val="24"/>
      <w:lang w:eastAsia="en-GB"/>
    </w:rPr>
  </w:style>
  <w:style w:type="character" w:customStyle="1" w:styleId="AppendixChar">
    <w:name w:val="Appendix Char"/>
    <w:basedOn w:val="BodyTextChar"/>
    <w:link w:val="Appendix"/>
    <w:rsid w:val="0068487C"/>
    <w:rPr>
      <w:rFonts w:ascii="Verdana" w:eastAsia="Times New Roman" w:hAnsi="Verdana" w:cs="Times New Roman"/>
      <w:b/>
      <w:bCs/>
      <w:spacing w:val="-5"/>
      <w:sz w:val="24"/>
      <w:szCs w:val="24"/>
      <w:lang w:eastAsia="en-GB"/>
    </w:rPr>
  </w:style>
  <w:style w:type="paragraph" w:styleId="BodyText">
    <w:name w:val="Body Text"/>
    <w:basedOn w:val="Normal"/>
    <w:link w:val="BodyTextChar"/>
    <w:uiPriority w:val="99"/>
    <w:semiHidden/>
    <w:unhideWhenUsed/>
    <w:rsid w:val="0068487C"/>
    <w:pPr>
      <w:spacing w:after="120"/>
    </w:pPr>
  </w:style>
  <w:style w:type="character" w:customStyle="1" w:styleId="BodyTextChar">
    <w:name w:val="Body Text Char"/>
    <w:basedOn w:val="DefaultParagraphFont"/>
    <w:link w:val="BodyText"/>
    <w:uiPriority w:val="99"/>
    <w:semiHidden/>
    <w:rsid w:val="0068487C"/>
  </w:style>
  <w:style w:type="paragraph" w:customStyle="1" w:styleId="Default">
    <w:name w:val="Default"/>
    <w:rsid w:val="00935928"/>
    <w:pPr>
      <w:autoSpaceDE w:val="0"/>
      <w:autoSpaceDN w:val="0"/>
      <w:adjustRightInd w:val="0"/>
      <w:spacing w:after="0" w:line="240" w:lineRule="auto"/>
    </w:pPr>
    <w:rPr>
      <w:rFonts w:ascii="Verdana" w:hAnsi="Verdana" w:cs="Verdana"/>
      <w:color w:val="000000"/>
      <w:sz w:val="24"/>
      <w:szCs w:val="24"/>
      <w:lang w:val="en-US"/>
    </w:rPr>
  </w:style>
  <w:style w:type="paragraph" w:styleId="BodyText3">
    <w:name w:val="Body Text 3"/>
    <w:basedOn w:val="Normal"/>
    <w:link w:val="BodyText3Char"/>
    <w:uiPriority w:val="99"/>
    <w:semiHidden/>
    <w:unhideWhenUsed/>
    <w:rsid w:val="00BF4C4B"/>
    <w:pPr>
      <w:spacing w:after="120"/>
    </w:pPr>
    <w:rPr>
      <w:sz w:val="16"/>
      <w:szCs w:val="16"/>
    </w:rPr>
  </w:style>
  <w:style w:type="character" w:customStyle="1" w:styleId="BodyText3Char">
    <w:name w:val="Body Text 3 Char"/>
    <w:basedOn w:val="DefaultParagraphFont"/>
    <w:link w:val="BodyText3"/>
    <w:uiPriority w:val="99"/>
    <w:semiHidden/>
    <w:rsid w:val="00BF4C4B"/>
    <w:rPr>
      <w:sz w:val="16"/>
      <w:szCs w:val="16"/>
    </w:rPr>
  </w:style>
  <w:style w:type="paragraph" w:customStyle="1" w:styleId="indent3">
    <w:name w:val="indent3"/>
    <w:basedOn w:val="Normal"/>
    <w:rsid w:val="00BF4C4B"/>
    <w:pPr>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paragraph" w:styleId="BalloonText">
    <w:name w:val="Balloon Text"/>
    <w:basedOn w:val="Normal"/>
    <w:link w:val="BalloonTextChar"/>
    <w:uiPriority w:val="99"/>
    <w:semiHidden/>
    <w:unhideWhenUsed/>
    <w:rsid w:val="00794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Mainella, Claudio</dc:creator>
  <cp:lastModifiedBy>khadheeja mohamed</cp:lastModifiedBy>
  <cp:revision>2</cp:revision>
  <cp:lastPrinted>2018-11-22T06:38:00Z</cp:lastPrinted>
  <dcterms:created xsi:type="dcterms:W3CDTF">2018-11-22T08:34:00Z</dcterms:created>
  <dcterms:modified xsi:type="dcterms:W3CDTF">2018-11-22T08:34:00Z</dcterms:modified>
</cp:coreProperties>
</file>