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3" w:rsidRDefault="00631F36">
      <w:pPr>
        <w:ind w:left="-720"/>
      </w:pPr>
      <w:bookmarkStart w:id="0" w:name="_GoBack"/>
      <w:bookmarkEnd w:id="0"/>
      <w:r>
        <w:t>Ministry of Education</w:t>
      </w:r>
    </w:p>
    <w:p w:rsidR="00412123" w:rsidRDefault="00631F36">
      <w:pPr>
        <w:ind w:left="-720"/>
      </w:pPr>
      <w:r>
        <w:t>Male’, Maldives</w:t>
      </w:r>
    </w:p>
    <w:p w:rsidR="00412123" w:rsidRDefault="00412123">
      <w:pPr>
        <w:ind w:left="-720"/>
        <w:rPr>
          <w:b/>
          <w:u w:val="single"/>
        </w:rPr>
      </w:pPr>
    </w:p>
    <w:p w:rsidR="00412123" w:rsidRDefault="00631F36">
      <w:pPr>
        <w:ind w:left="-720"/>
        <w:jc w:val="center"/>
        <w:rPr>
          <w:b/>
          <w:u w:val="single"/>
        </w:rPr>
      </w:pPr>
      <w:r>
        <w:rPr>
          <w:b/>
          <w:u w:val="single"/>
        </w:rPr>
        <w:t xml:space="preserve">TOR for Construction BTEC Diploma Course Consultants </w:t>
      </w:r>
    </w:p>
    <w:p w:rsidR="00412123" w:rsidRDefault="00412123">
      <w:pPr>
        <w:ind w:left="-720"/>
        <w:rPr>
          <w:b/>
          <w:u w:val="single"/>
        </w:rPr>
      </w:pPr>
    </w:p>
    <w:p w:rsidR="00412123" w:rsidRDefault="00631F36">
      <w:pPr>
        <w:ind w:left="-720"/>
        <w:rPr>
          <w:b/>
          <w:u w:val="single"/>
        </w:rPr>
      </w:pPr>
      <w:r>
        <w:rPr>
          <w:b/>
          <w:u w:val="single"/>
        </w:rPr>
        <w:t xml:space="preserve">Background </w:t>
      </w:r>
    </w:p>
    <w:p w:rsidR="00412123" w:rsidRDefault="00412123">
      <w:pPr>
        <w:ind w:left="-720"/>
      </w:pPr>
    </w:p>
    <w:p w:rsidR="00412123" w:rsidRDefault="00631F36">
      <w:pPr>
        <w:ind w:left="-720"/>
        <w:jc w:val="both"/>
      </w:pPr>
      <w:r>
        <w:t xml:space="preserve">The Ministry of Education aims to bridge the gap between student ambition and employment opportunities by providing skill-based learning opportunities. We have identified a need for an international level construction course for students to advance in the </w:t>
      </w:r>
      <w:r>
        <w:t xml:space="preserve">field. </w:t>
      </w:r>
    </w:p>
    <w:p w:rsidR="00412123" w:rsidRDefault="00412123">
      <w:pPr>
        <w:ind w:left="-720"/>
        <w:jc w:val="both"/>
      </w:pPr>
    </w:p>
    <w:p w:rsidR="00412123" w:rsidRDefault="00631F36">
      <w:pPr>
        <w:ind w:left="-720"/>
        <w:jc w:val="both"/>
      </w:pPr>
      <w:r>
        <w:t>We are offering a BTEC Level 2 Diploma (MQA L3 certificate) in Construction for interested students to be completed in a 6 month period in Maldives Polytechnic. This diploma will be useful for them as it will enable them to advance in any field th</w:t>
      </w:r>
      <w:r>
        <w:t xml:space="preserve">ey want to in the future, since BTECs are accepted internationally. Those who are already working in the industry without any qualifications will also have a chance to join and have their skills be recognized at an international level. </w:t>
      </w:r>
    </w:p>
    <w:p w:rsidR="00412123" w:rsidRDefault="00412123">
      <w:pPr>
        <w:ind w:left="-720"/>
        <w:jc w:val="both"/>
      </w:pPr>
    </w:p>
    <w:p w:rsidR="00412123" w:rsidRDefault="00631F36">
      <w:pPr>
        <w:ind w:left="-720"/>
        <w:jc w:val="both"/>
      </w:pPr>
      <w:r>
        <w:t>We require a consu</w:t>
      </w:r>
      <w:r>
        <w:t xml:space="preserve">ltancy with field experts to ensure that this course is as hands-on as possible and will provide trade specific skills. </w:t>
      </w:r>
    </w:p>
    <w:p w:rsidR="00412123" w:rsidRDefault="00412123">
      <w:pPr>
        <w:ind w:left="-720"/>
        <w:jc w:val="both"/>
      </w:pPr>
    </w:p>
    <w:p w:rsidR="00412123" w:rsidRDefault="00631F36">
      <w:pPr>
        <w:ind w:left="-720"/>
        <w:jc w:val="both"/>
        <w:rPr>
          <w:b/>
          <w:u w:val="single"/>
        </w:rPr>
      </w:pPr>
      <w:r>
        <w:rPr>
          <w:b/>
          <w:u w:val="single"/>
        </w:rPr>
        <w:t xml:space="preserve">Required Tasks </w:t>
      </w:r>
    </w:p>
    <w:p w:rsidR="00412123" w:rsidRDefault="00412123">
      <w:pPr>
        <w:ind w:left="-720"/>
        <w:jc w:val="both"/>
        <w:rPr>
          <w:b/>
          <w:u w:val="single"/>
        </w:rPr>
      </w:pPr>
    </w:p>
    <w:p w:rsidR="00412123" w:rsidRDefault="00631F36">
      <w:pPr>
        <w:numPr>
          <w:ilvl w:val="0"/>
          <w:numId w:val="3"/>
        </w:numPr>
        <w:ind w:left="90" w:hanging="450"/>
        <w:contextualSpacing/>
        <w:jc w:val="both"/>
      </w:pPr>
      <w:r>
        <w:t xml:space="preserve">Create a syllabus for completion within 6 months </w:t>
      </w:r>
    </w:p>
    <w:p w:rsidR="00412123" w:rsidRDefault="00631F36">
      <w:pPr>
        <w:numPr>
          <w:ilvl w:val="1"/>
          <w:numId w:val="3"/>
        </w:numPr>
        <w:ind w:left="810"/>
        <w:contextualSpacing/>
        <w:jc w:val="both"/>
      </w:pPr>
      <w:r>
        <w:t xml:space="preserve">Include field trip days, </w:t>
      </w:r>
      <w:proofErr w:type="spellStart"/>
      <w:r>
        <w:t>practicals</w:t>
      </w:r>
      <w:proofErr w:type="spellEnd"/>
      <w:r>
        <w:t>, theory, etc. based on the unit</w:t>
      </w:r>
      <w:r>
        <w:t xml:space="preserve">s and learning outcomes outlined in Annex. The BTEC L2 Diploma in Construction specification available on Pearson website also outlines the guided learning hours. The syllabus must meet these guidelines.  </w:t>
      </w:r>
    </w:p>
    <w:p w:rsidR="00412123" w:rsidRDefault="00631F36">
      <w:pPr>
        <w:numPr>
          <w:ilvl w:val="0"/>
          <w:numId w:val="3"/>
        </w:numPr>
        <w:ind w:left="90" w:hanging="450"/>
        <w:contextualSpacing/>
        <w:jc w:val="both"/>
      </w:pPr>
      <w:r>
        <w:t>Identify competent assessors for delivery of all u</w:t>
      </w:r>
      <w:r>
        <w:t xml:space="preserve">nits. Assessors must have a background in the units they teach, and their CVs must be submitted outlining their competencies. </w:t>
      </w:r>
    </w:p>
    <w:p w:rsidR="00412123" w:rsidRDefault="00631F36">
      <w:pPr>
        <w:numPr>
          <w:ilvl w:val="0"/>
          <w:numId w:val="3"/>
        </w:numPr>
        <w:ind w:left="90" w:hanging="450"/>
        <w:contextualSpacing/>
        <w:jc w:val="both"/>
      </w:pPr>
      <w:r>
        <w:t>Internship component - Identify workplaces for an internship and ensure all students are placed in a work environment. Please pro</w:t>
      </w:r>
      <w:r>
        <w:t xml:space="preserve">vide a list of workplaces including contacts. </w:t>
      </w:r>
    </w:p>
    <w:p w:rsidR="00412123" w:rsidRDefault="00631F36">
      <w:pPr>
        <w:numPr>
          <w:ilvl w:val="0"/>
          <w:numId w:val="3"/>
        </w:numPr>
        <w:ind w:left="90" w:hanging="450"/>
        <w:contextualSpacing/>
        <w:jc w:val="both"/>
      </w:pPr>
      <w:r>
        <w:t xml:space="preserve">Internal verification and monitoring </w:t>
      </w:r>
    </w:p>
    <w:p w:rsidR="00412123" w:rsidRDefault="00631F36">
      <w:pPr>
        <w:numPr>
          <w:ilvl w:val="1"/>
          <w:numId w:val="3"/>
        </w:numPr>
        <w:ind w:left="810"/>
        <w:contextualSpacing/>
        <w:jc w:val="both"/>
      </w:pPr>
      <w:r>
        <w:t xml:space="preserve">Attend a BTEC training of 1 day to understand verification process </w:t>
      </w:r>
    </w:p>
    <w:p w:rsidR="00412123" w:rsidRDefault="00631F36">
      <w:pPr>
        <w:numPr>
          <w:ilvl w:val="1"/>
          <w:numId w:val="3"/>
        </w:numPr>
        <w:ind w:left="810"/>
        <w:contextualSpacing/>
        <w:jc w:val="both"/>
      </w:pPr>
      <w:r>
        <w:t>Verify assignment briefs and assessment decisions of assessors as per BTEC regulations (2 forms to be f</w:t>
      </w:r>
      <w:r>
        <w:t xml:space="preserve">illed out by taking a sample of the cohort). Please allocate 10 hours per unit for this activity. </w:t>
      </w:r>
    </w:p>
    <w:p w:rsidR="00412123" w:rsidRDefault="00631F36">
      <w:pPr>
        <w:numPr>
          <w:ilvl w:val="1"/>
          <w:numId w:val="3"/>
        </w:numPr>
        <w:ind w:left="810"/>
        <w:contextualSpacing/>
        <w:jc w:val="both"/>
      </w:pPr>
      <w:r>
        <w:t xml:space="preserve">Monitor delivery of each lecturer and unit to ensure that learning outcomes are being met - provide a monthly report. </w:t>
      </w:r>
    </w:p>
    <w:p w:rsidR="00412123" w:rsidRDefault="00631F36">
      <w:pPr>
        <w:numPr>
          <w:ilvl w:val="0"/>
          <w:numId w:val="3"/>
        </w:numPr>
        <w:ind w:left="90"/>
        <w:contextualSpacing/>
        <w:jc w:val="both"/>
      </w:pPr>
      <w:r>
        <w:t>Meet with MOE team consistently throughout the duration for reporting and planning tasks</w:t>
      </w:r>
    </w:p>
    <w:p w:rsidR="00412123" w:rsidRDefault="00412123">
      <w:pPr>
        <w:ind w:left="-720"/>
        <w:jc w:val="both"/>
      </w:pPr>
    </w:p>
    <w:p w:rsidR="00412123" w:rsidRDefault="00631F36">
      <w:pPr>
        <w:ind w:left="-720"/>
        <w:jc w:val="both"/>
        <w:rPr>
          <w:b/>
          <w:u w:val="single"/>
        </w:rPr>
      </w:pPr>
      <w:r>
        <w:rPr>
          <w:b/>
          <w:u w:val="single"/>
        </w:rPr>
        <w:t>Duration of project</w:t>
      </w:r>
    </w:p>
    <w:p w:rsidR="00412123" w:rsidRDefault="00631F36">
      <w:pPr>
        <w:ind w:left="-720"/>
        <w:jc w:val="both"/>
      </w:pPr>
      <w:r>
        <w:t>6 months</w:t>
      </w:r>
    </w:p>
    <w:p w:rsidR="00412123" w:rsidRDefault="00412123">
      <w:pPr>
        <w:ind w:left="-720"/>
        <w:jc w:val="both"/>
      </w:pPr>
    </w:p>
    <w:p w:rsidR="00412123" w:rsidRDefault="00631F36">
      <w:pPr>
        <w:ind w:left="-720"/>
        <w:jc w:val="both"/>
        <w:rPr>
          <w:b/>
        </w:rPr>
      </w:pPr>
      <w:r>
        <w:rPr>
          <w:b/>
        </w:rPr>
        <w:t>Required Competencies</w:t>
      </w:r>
    </w:p>
    <w:p w:rsidR="00412123" w:rsidRDefault="00631F36">
      <w:pPr>
        <w:numPr>
          <w:ilvl w:val="0"/>
          <w:numId w:val="16"/>
        </w:numPr>
        <w:contextualSpacing/>
      </w:pPr>
      <w:r>
        <w:lastRenderedPageBreak/>
        <w:t>Individuals within team must hold a minimum of Bachelor’s Degree in related field</w:t>
      </w:r>
    </w:p>
    <w:p w:rsidR="00412123" w:rsidRDefault="00631F36">
      <w:pPr>
        <w:numPr>
          <w:ilvl w:val="0"/>
          <w:numId w:val="16"/>
        </w:numPr>
        <w:contextualSpacing/>
      </w:pPr>
      <w:r>
        <w:t>Must have minimum 3 years of wor</w:t>
      </w:r>
      <w:r>
        <w:t xml:space="preserve">k experience ideally within the construction/civil field and some experience within the education field </w:t>
      </w:r>
    </w:p>
    <w:p w:rsidR="00412123" w:rsidRDefault="00631F36">
      <w:pPr>
        <w:numPr>
          <w:ilvl w:val="0"/>
          <w:numId w:val="16"/>
        </w:numPr>
        <w:contextualSpacing/>
      </w:pPr>
      <w:r>
        <w:t>Familiarity with BTEC qualifications will be a strong plus but is not mandatory</w:t>
      </w:r>
    </w:p>
    <w:p w:rsidR="00412123" w:rsidRDefault="00631F36">
      <w:pPr>
        <w:numPr>
          <w:ilvl w:val="0"/>
          <w:numId w:val="16"/>
        </w:numPr>
        <w:contextualSpacing/>
      </w:pPr>
      <w:r>
        <w:t>Must be able to work on a tight schedule and work closely with MOE team</w:t>
      </w:r>
      <w:r>
        <w:t xml:space="preserve"> </w:t>
      </w:r>
    </w:p>
    <w:p w:rsidR="00412123" w:rsidRDefault="00412123"/>
    <w:p w:rsidR="00412123" w:rsidRDefault="00412123"/>
    <w:p w:rsidR="00412123" w:rsidRDefault="00631F36">
      <w:pPr>
        <w:ind w:left="-720"/>
        <w:rPr>
          <w:b/>
        </w:rPr>
      </w:pPr>
      <w:r>
        <w:rPr>
          <w:b/>
        </w:rPr>
        <w:t xml:space="preserve">Application and Selection Procedures </w:t>
      </w:r>
    </w:p>
    <w:p w:rsidR="00412123" w:rsidRDefault="00631F36">
      <w:r>
        <w:t>The content of the bid proposal must include the following</w:t>
      </w:r>
    </w:p>
    <w:p w:rsidR="00412123" w:rsidRDefault="00631F36">
      <w:pPr>
        <w:numPr>
          <w:ilvl w:val="0"/>
          <w:numId w:val="2"/>
        </w:numPr>
        <w:contextualSpacing/>
      </w:pPr>
      <w:r>
        <w:t>A summary of relevant experience (include CVs)</w:t>
      </w:r>
    </w:p>
    <w:p w:rsidR="00412123" w:rsidRDefault="00631F36">
      <w:pPr>
        <w:numPr>
          <w:ilvl w:val="0"/>
          <w:numId w:val="2"/>
        </w:numPr>
        <w:contextualSpacing/>
      </w:pPr>
      <w:r>
        <w:t>A proposal of how you plan to undertake the task including work plan and deliverables</w:t>
      </w:r>
    </w:p>
    <w:p w:rsidR="00412123" w:rsidRDefault="00631F36">
      <w:pPr>
        <w:numPr>
          <w:ilvl w:val="0"/>
          <w:numId w:val="2"/>
        </w:numPr>
        <w:contextualSpacing/>
      </w:pPr>
      <w:r>
        <w:t>Proposed charges (plea</w:t>
      </w:r>
      <w:r>
        <w:t>se state the bid amount in MVR for undertaking the course with breakdown)</w:t>
      </w:r>
    </w:p>
    <w:p w:rsidR="00412123" w:rsidRDefault="00412123">
      <w:pPr>
        <w:jc w:val="both"/>
      </w:pPr>
    </w:p>
    <w:p w:rsidR="00412123" w:rsidRDefault="00412123">
      <w:pPr>
        <w:ind w:left="-720"/>
        <w:jc w:val="both"/>
      </w:pPr>
    </w:p>
    <w:p w:rsidR="00412123" w:rsidRDefault="00631F36">
      <w:pPr>
        <w:ind w:left="-720"/>
        <w:jc w:val="both"/>
        <w:rPr>
          <w:b/>
          <w:u w:val="single"/>
        </w:rPr>
      </w:pPr>
      <w:r>
        <w:rPr>
          <w:b/>
          <w:u w:val="single"/>
        </w:rPr>
        <w:t>Bid point system breakdown</w:t>
      </w:r>
    </w:p>
    <w:p w:rsidR="00412123" w:rsidRDefault="00631F36">
      <w:pPr>
        <w:numPr>
          <w:ilvl w:val="0"/>
          <w:numId w:val="6"/>
        </w:numPr>
        <w:contextualSpacing/>
        <w:jc w:val="both"/>
      </w:pPr>
      <w:r>
        <w:t>Technical evaluation (50%)</w:t>
      </w:r>
    </w:p>
    <w:p w:rsidR="00412123" w:rsidRDefault="00631F36">
      <w:pPr>
        <w:numPr>
          <w:ilvl w:val="0"/>
          <w:numId w:val="6"/>
        </w:numPr>
        <w:contextualSpacing/>
        <w:jc w:val="both"/>
      </w:pPr>
      <w:r>
        <w:t>Bid financial evaluation (50%)</w:t>
      </w:r>
    </w:p>
    <w:p w:rsidR="00412123" w:rsidRDefault="00412123">
      <w:pPr>
        <w:ind w:left="-720"/>
      </w:pPr>
    </w:p>
    <w:p w:rsidR="00412123" w:rsidRDefault="00412123">
      <w:pPr>
        <w:ind w:left="-720"/>
        <w:rPr>
          <w:b/>
          <w:u w:val="single"/>
        </w:rPr>
      </w:pPr>
    </w:p>
    <w:tbl>
      <w:tblPr>
        <w:tblStyle w:val="a"/>
        <w:tblW w:w="1008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935"/>
        <w:gridCol w:w="3675"/>
        <w:gridCol w:w="930"/>
        <w:gridCol w:w="2040"/>
      </w:tblGrid>
      <w:tr w:rsidR="00412123">
        <w:trPr>
          <w:trHeight w:val="420"/>
        </w:trPr>
        <w:tc>
          <w:tcPr>
            <w:tcW w:w="10080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Technical Evaluation (50%) - All bidders must achieve a minimum of 35% in technical evaluation to be considered for financial evaluation.</w:t>
            </w:r>
          </w:p>
        </w:tc>
      </w:tr>
      <w:tr w:rsidR="00412123"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Area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Assessment</w:t>
            </w:r>
          </w:p>
        </w:tc>
        <w:tc>
          <w:tcPr>
            <w:tcW w:w="3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Assessment Detail</w:t>
            </w:r>
          </w:p>
        </w:tc>
        <w:tc>
          <w:tcPr>
            <w:tcW w:w="9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Marks</w:t>
            </w:r>
          </w:p>
        </w:tc>
        <w:tc>
          <w:tcPr>
            <w:tcW w:w="2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 xml:space="preserve">Maximum achievable (%) </w:t>
            </w:r>
          </w:p>
        </w:tc>
      </w:tr>
      <w:tr w:rsidR="00412123">
        <w:trPr>
          <w:trHeight w:val="420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Educational Background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Certificates received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MNQF L7 &amp; L8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25</w:t>
            </w:r>
          </w:p>
        </w:tc>
      </w:tr>
      <w:tr w:rsidR="00412123">
        <w:trPr>
          <w:trHeight w:val="420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MNQF L9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</w:tr>
      <w:tr w:rsidR="00412123">
        <w:trPr>
          <w:trHeight w:val="420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MNQF L10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</w:tr>
      <w:tr w:rsidR="00412123">
        <w:trPr>
          <w:trHeight w:val="420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Work experience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Civil/Construction Sector experience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For each team member with minimum 2 years of experience in civil/construction field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15</w:t>
            </w:r>
          </w:p>
        </w:tc>
      </w:tr>
      <w:tr w:rsidR="00412123">
        <w:trPr>
          <w:trHeight w:val="420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412123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Education sector experience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 xml:space="preserve">For every education project such as syllabus creation, lectures,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5</w:t>
            </w:r>
          </w:p>
        </w:tc>
      </w:tr>
      <w:tr w:rsidR="00412123">
        <w:trPr>
          <w:trHeight w:val="4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Work plan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Ability to work on a tight schedule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 xml:space="preserve">Work plan with timeline rated on a scale of 1-5, 5 being the most efficient timeline.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1-5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</w:pPr>
            <w:r>
              <w:t>5</w:t>
            </w:r>
          </w:p>
        </w:tc>
      </w:tr>
    </w:tbl>
    <w:p w:rsidR="00412123" w:rsidRDefault="00412123">
      <w:pPr>
        <w:ind w:left="-720"/>
        <w:rPr>
          <w:b/>
          <w:u w:val="single"/>
        </w:rPr>
      </w:pPr>
    </w:p>
    <w:p w:rsidR="00412123" w:rsidRDefault="00631F36">
      <w:pPr>
        <w:ind w:left="-720"/>
        <w:rPr>
          <w:b/>
          <w:u w:val="single"/>
        </w:rPr>
      </w:pPr>
      <w:r>
        <w:br w:type="page"/>
      </w:r>
    </w:p>
    <w:p w:rsidR="00412123" w:rsidRDefault="00631F36">
      <w:pPr>
        <w:ind w:left="-720"/>
        <w:rPr>
          <w:b/>
          <w:u w:val="single"/>
        </w:rPr>
      </w:pPr>
      <w:r>
        <w:rPr>
          <w:b/>
          <w:u w:val="single"/>
        </w:rPr>
        <w:lastRenderedPageBreak/>
        <w:t>Annex</w:t>
      </w:r>
    </w:p>
    <w:p w:rsidR="00412123" w:rsidRDefault="00631F36">
      <w:pPr>
        <w:ind w:left="-720"/>
        <w:rPr>
          <w:b/>
          <w:u w:val="single"/>
        </w:rPr>
      </w:pPr>
      <w:r>
        <w:rPr>
          <w:b/>
          <w:u w:val="single"/>
        </w:rPr>
        <w:t>Units and learning outcomes of construction course (Total 60 credits)</w:t>
      </w:r>
    </w:p>
    <w:p w:rsidR="00412123" w:rsidRDefault="00412123"/>
    <w:tbl>
      <w:tblPr>
        <w:tblStyle w:val="a0"/>
        <w:tblW w:w="1072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15"/>
        <w:gridCol w:w="870"/>
        <w:gridCol w:w="7065"/>
      </w:tblGrid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Unit Value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Unit Learning Outcomes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of the construction industry</w:t>
            </w:r>
          </w:p>
          <w:p w:rsidR="00412123" w:rsidRDefault="0041212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diversity and complexity of the construction industry</w:t>
            </w:r>
          </w:p>
          <w:p w:rsidR="00412123" w:rsidRDefault="00631F36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Know the contribution the construction industry makes to our social and economic</w:t>
            </w:r>
            <w:r>
              <w:rPr>
                <w:sz w:val="20"/>
                <w:szCs w:val="20"/>
              </w:rPr>
              <w:br/>
              <w:t>Wellbeing</w:t>
            </w:r>
          </w:p>
          <w:p w:rsidR="00412123" w:rsidRDefault="00631F36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about human resources in the construction industry</w:t>
            </w:r>
          </w:p>
          <w:p w:rsidR="00412123" w:rsidRDefault="00631F36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about careers in the construction industry.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health, safety and welfare in construction ind</w:t>
            </w:r>
            <w:r>
              <w:rPr>
                <w:sz w:val="20"/>
                <w:szCs w:val="20"/>
              </w:rPr>
              <w:t>ustry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5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importance of health, safety and welfare in the construction and built environment sector</w:t>
            </w:r>
          </w:p>
          <w:p w:rsidR="00412123" w:rsidRDefault="00631F36">
            <w:pPr>
              <w:widowControl w:val="0"/>
              <w:numPr>
                <w:ilvl w:val="0"/>
                <w:numId w:val="15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carry out risk assessments</w:t>
            </w:r>
          </w:p>
          <w:p w:rsidR="00412123" w:rsidRDefault="00631F36">
            <w:pPr>
              <w:widowControl w:val="0"/>
              <w:numPr>
                <w:ilvl w:val="0"/>
                <w:numId w:val="15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importance of control measures in risk assessment.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Sustainability in construction industry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concept of sustainability as it applies to the construction and built environment sector</w:t>
            </w:r>
          </w:p>
          <w:p w:rsidR="00412123" w:rsidRDefault="00631F36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issues affecting the development of a sustainable built environment</w:t>
            </w:r>
          </w:p>
          <w:p w:rsidR="00412123" w:rsidRDefault="00631F36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sustainability can benefit the built environment both locally and</w:t>
            </w:r>
            <w:r>
              <w:rPr>
                <w:sz w:val="20"/>
                <w:szCs w:val="20"/>
              </w:rPr>
              <w:t xml:space="preserve"> nationally </w:t>
            </w:r>
          </w:p>
          <w:p w:rsidR="00412123" w:rsidRDefault="00631F36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sustainable design and construction techniques are used to address environmental issues.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process and operations for a low-rise domestic building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stages of a construction project and the importance of good planning and</w:t>
            </w:r>
            <w:r>
              <w:rPr>
                <w:sz w:val="20"/>
                <w:szCs w:val="20"/>
              </w:rPr>
              <w:br/>
              <w:t>sequencing of construction work</w:t>
            </w:r>
          </w:p>
          <w:p w:rsidR="00412123" w:rsidRDefault="00631F36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traditional and modern construction processes and operations used in low-</w:t>
            </w:r>
            <w:r>
              <w:rPr>
                <w:sz w:val="20"/>
                <w:szCs w:val="20"/>
              </w:rPr>
              <w:br/>
              <w:t>rise domestic construction</w:t>
            </w:r>
          </w:p>
          <w:p w:rsidR="00412123" w:rsidRDefault="00631F36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properties and us</w:t>
            </w:r>
            <w:r>
              <w:rPr>
                <w:sz w:val="20"/>
                <w:szCs w:val="20"/>
              </w:rPr>
              <w:t>es of natural, processed and manufactured construction materials.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drawing techniques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different types of drawings used in the construction industry</w:t>
            </w:r>
          </w:p>
          <w:p w:rsidR="00412123" w:rsidRDefault="00631F36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drawing equipment and materials used to produce construction sketches and drawings</w:t>
            </w:r>
          </w:p>
          <w:p w:rsidR="00412123" w:rsidRDefault="00631F36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construction drawing standards and conventions to produce sketches</w:t>
            </w:r>
            <w:r>
              <w:rPr>
                <w:sz w:val="20"/>
                <w:szCs w:val="20"/>
              </w:rPr>
              <w:br/>
              <w:t>and working drawings.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carpentry and joinery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2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hand tools a</w:t>
            </w:r>
            <w:r>
              <w:rPr>
                <w:sz w:val="20"/>
                <w:szCs w:val="20"/>
              </w:rPr>
              <w:t>nd materials commonly used to perform carpentry and joinery tasks</w:t>
            </w:r>
          </w:p>
          <w:p w:rsidR="00412123" w:rsidRDefault="00631F36">
            <w:pPr>
              <w:widowControl w:val="0"/>
              <w:numPr>
                <w:ilvl w:val="0"/>
                <w:numId w:val="12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important health, safety and welfare issues associated with carpentry and joinery tasks</w:t>
            </w:r>
          </w:p>
          <w:p w:rsidR="00412123" w:rsidRDefault="00631F36">
            <w:pPr>
              <w:widowControl w:val="0"/>
              <w:numPr>
                <w:ilvl w:val="0"/>
                <w:numId w:val="12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safe working practices to mark out and form joints for a timber frame to a given specification.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carpentry operations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hand tools and materials commonly used to perform carpentry tasks</w:t>
            </w:r>
          </w:p>
          <w:p w:rsidR="00412123" w:rsidRDefault="00631F3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important healt</w:t>
            </w:r>
            <w:r>
              <w:rPr>
                <w:sz w:val="20"/>
                <w:szCs w:val="20"/>
              </w:rPr>
              <w:t xml:space="preserve">h, safety and welfare issues </w:t>
            </w:r>
            <w:r>
              <w:rPr>
                <w:sz w:val="20"/>
                <w:szCs w:val="20"/>
              </w:rPr>
              <w:lastRenderedPageBreak/>
              <w:t>associated with carpentry tasks</w:t>
            </w:r>
          </w:p>
          <w:p w:rsidR="00412123" w:rsidRDefault="00631F3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safe working practices to perform carpentry tasks.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Performing </w:t>
            </w:r>
            <w:proofErr w:type="spellStart"/>
            <w:r>
              <w:rPr>
                <w:sz w:val="20"/>
                <w:szCs w:val="20"/>
              </w:rPr>
              <w:t>blockwork</w:t>
            </w:r>
            <w:proofErr w:type="spellEnd"/>
            <w:r>
              <w:rPr>
                <w:sz w:val="20"/>
                <w:szCs w:val="20"/>
              </w:rPr>
              <w:t xml:space="preserve"> operations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the hand tools and materials commonly used to perform </w:t>
            </w:r>
            <w:proofErr w:type="spellStart"/>
            <w:r>
              <w:rPr>
                <w:sz w:val="20"/>
                <w:szCs w:val="20"/>
              </w:rPr>
              <w:t>blockwork</w:t>
            </w:r>
            <w:proofErr w:type="spellEnd"/>
            <w:r>
              <w:rPr>
                <w:sz w:val="20"/>
                <w:szCs w:val="20"/>
              </w:rPr>
              <w:t xml:space="preserve"> tasks</w:t>
            </w:r>
          </w:p>
          <w:p w:rsidR="00412123" w:rsidRDefault="00631F36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important health, safety and welfare issues associated with </w:t>
            </w:r>
            <w:proofErr w:type="spellStart"/>
            <w:r>
              <w:rPr>
                <w:sz w:val="20"/>
                <w:szCs w:val="20"/>
              </w:rPr>
              <w:t>blockwork</w:t>
            </w:r>
            <w:proofErr w:type="spellEnd"/>
            <w:r>
              <w:rPr>
                <w:sz w:val="20"/>
                <w:szCs w:val="20"/>
              </w:rPr>
              <w:t xml:space="preserve"> tasks</w:t>
            </w:r>
          </w:p>
          <w:p w:rsidR="00412123" w:rsidRDefault="00631F36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safe working practices to the setting out and construction of corners and junctions in solid block walling to given specifications.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p</w:t>
            </w:r>
            <w:r>
              <w:rPr>
                <w:sz w:val="20"/>
                <w:szCs w:val="20"/>
              </w:rPr>
              <w:t>lumbing operations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hand tools and portable power tools commonly used to perform plumbing and heating and ventilating tasks</w:t>
            </w:r>
          </w:p>
          <w:p w:rsidR="00412123" w:rsidRDefault="00631F36">
            <w:pPr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important health, safety and welfare issues associated with plumbing and heating and ventilating tasks</w:t>
            </w:r>
          </w:p>
          <w:p w:rsidR="00412123" w:rsidRDefault="00631F36">
            <w:pPr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safe working practices to form pipe joints and install pipework systems to given specifications.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electrical operations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Know the hand tools and materials used in carrying out electrical installation tasks</w:t>
            </w:r>
          </w:p>
          <w:p w:rsidR="00412123" w:rsidRDefault="00631F36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important health, safety and welfare issues associated with performing electrical installation operations</w:t>
            </w:r>
          </w:p>
          <w:p w:rsidR="00412123" w:rsidRDefault="00631F36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safe working practices to electrical installations.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roofing operations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4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hand tools and materials commonly used to perform roofing tasks</w:t>
            </w:r>
          </w:p>
          <w:p w:rsidR="00412123" w:rsidRDefault="00631F36">
            <w:pPr>
              <w:widowControl w:val="0"/>
              <w:numPr>
                <w:ilvl w:val="0"/>
                <w:numId w:val="14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important health, safety and welfare issues associated with given roofing tasks</w:t>
            </w:r>
          </w:p>
          <w:p w:rsidR="00412123" w:rsidRDefault="00631F36">
            <w:pPr>
              <w:widowControl w:val="0"/>
              <w:numPr>
                <w:ilvl w:val="0"/>
                <w:numId w:val="14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use safe working practices to fix plain roof tiles to a sloping roof surface.</w:t>
            </w:r>
          </w:p>
        </w:tc>
      </w:tr>
      <w:tr w:rsidR="00412123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wall and floor tiling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123" w:rsidRDefault="00631F36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hand tools, portable power tools and materials commonly used to perform wall- and floor-tiling tasks</w:t>
            </w:r>
          </w:p>
          <w:p w:rsidR="00412123" w:rsidRDefault="00631F36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important health and safety issues associated with wall- and floor-tiling tasks</w:t>
            </w:r>
          </w:p>
          <w:p w:rsidR="00412123" w:rsidRDefault="00631F36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apply safe working practices to prepare, set out, and perform tiling tasks.</w:t>
            </w:r>
          </w:p>
        </w:tc>
      </w:tr>
    </w:tbl>
    <w:p w:rsidR="00412123" w:rsidRDefault="00412123"/>
    <w:sectPr w:rsidR="0041212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D9E"/>
    <w:multiLevelType w:val="multilevel"/>
    <w:tmpl w:val="19DC8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293CB8"/>
    <w:multiLevelType w:val="multilevel"/>
    <w:tmpl w:val="25ACB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587D69"/>
    <w:multiLevelType w:val="multilevel"/>
    <w:tmpl w:val="F94A0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475370"/>
    <w:multiLevelType w:val="multilevel"/>
    <w:tmpl w:val="8F4CE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AC3265"/>
    <w:multiLevelType w:val="multilevel"/>
    <w:tmpl w:val="0E6CB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6650515"/>
    <w:multiLevelType w:val="multilevel"/>
    <w:tmpl w:val="703AD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B2952E2"/>
    <w:multiLevelType w:val="multilevel"/>
    <w:tmpl w:val="ED1C0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1A35136"/>
    <w:multiLevelType w:val="multilevel"/>
    <w:tmpl w:val="78B4F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A944541"/>
    <w:multiLevelType w:val="multilevel"/>
    <w:tmpl w:val="45AAE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03951EB"/>
    <w:multiLevelType w:val="multilevel"/>
    <w:tmpl w:val="E2940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1EF4BCF"/>
    <w:multiLevelType w:val="multilevel"/>
    <w:tmpl w:val="00CE4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6871E95"/>
    <w:multiLevelType w:val="multilevel"/>
    <w:tmpl w:val="C8086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B097B7E"/>
    <w:multiLevelType w:val="multilevel"/>
    <w:tmpl w:val="CC405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CB22EFB"/>
    <w:multiLevelType w:val="multilevel"/>
    <w:tmpl w:val="0FF0E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47456B5"/>
    <w:multiLevelType w:val="multilevel"/>
    <w:tmpl w:val="470C2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87B4F87"/>
    <w:multiLevelType w:val="multilevel"/>
    <w:tmpl w:val="8A685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4"/>
  </w:num>
  <w:num w:numId="5">
    <w:abstractNumId w:val="1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2123"/>
    <w:rsid w:val="00412123"/>
    <w:rsid w:val="006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 Mohamed</dc:creator>
  <cp:lastModifiedBy>Abdulla Mohamed</cp:lastModifiedBy>
  <cp:revision>2</cp:revision>
  <dcterms:created xsi:type="dcterms:W3CDTF">2017-11-22T09:38:00Z</dcterms:created>
  <dcterms:modified xsi:type="dcterms:W3CDTF">2017-11-22T09:38:00Z</dcterms:modified>
</cp:coreProperties>
</file>