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979E8" w14:textId="051B2551" w:rsidR="002732B8" w:rsidRPr="00E36FB8" w:rsidRDefault="00916B99" w:rsidP="00916B99">
      <w:pPr>
        <w:autoSpaceDE w:val="0"/>
        <w:autoSpaceDN w:val="0"/>
        <w:adjustRightInd w:val="0"/>
        <w:spacing w:after="0" w:line="240" w:lineRule="auto"/>
        <w:rPr>
          <w:rFonts w:cstheme="minorHAnsi"/>
          <w:b/>
          <w:sz w:val="24"/>
          <w:szCs w:val="24"/>
        </w:rPr>
      </w:pPr>
      <w:r>
        <w:rPr>
          <w:rFonts w:cstheme="minorHAnsi"/>
          <w:b/>
          <w:sz w:val="24"/>
          <w:szCs w:val="24"/>
        </w:rPr>
        <w:t xml:space="preserve">                                               </w:t>
      </w:r>
      <w:r w:rsidR="00651171">
        <w:rPr>
          <w:rFonts w:cstheme="minorHAnsi"/>
          <w:b/>
          <w:sz w:val="24"/>
          <w:szCs w:val="24"/>
        </w:rPr>
        <w:t xml:space="preserve"> </w:t>
      </w:r>
      <w:r w:rsidR="002732B8" w:rsidRPr="00E36FB8">
        <w:rPr>
          <w:rFonts w:cstheme="minorHAnsi"/>
          <w:b/>
          <w:sz w:val="24"/>
          <w:szCs w:val="24"/>
        </w:rPr>
        <w:t xml:space="preserve">Genotype-Tissue Expression </w:t>
      </w:r>
      <w:r w:rsidR="00651171" w:rsidRPr="00E36FB8">
        <w:rPr>
          <w:rFonts w:cstheme="minorHAnsi"/>
          <w:b/>
          <w:sz w:val="24"/>
          <w:szCs w:val="24"/>
        </w:rPr>
        <w:t>(GTEx)</w:t>
      </w:r>
      <w:r w:rsidR="00651171">
        <w:rPr>
          <w:rFonts w:cstheme="minorHAnsi"/>
          <w:b/>
          <w:sz w:val="24"/>
          <w:szCs w:val="24"/>
        </w:rPr>
        <w:t xml:space="preserve"> </w:t>
      </w:r>
      <w:r w:rsidR="002732B8" w:rsidRPr="00E36FB8">
        <w:rPr>
          <w:rFonts w:cstheme="minorHAnsi"/>
          <w:b/>
          <w:sz w:val="24"/>
          <w:szCs w:val="24"/>
        </w:rPr>
        <w:t xml:space="preserve">Project </w:t>
      </w:r>
    </w:p>
    <w:p w14:paraId="677B7968" w14:textId="0D887FEA" w:rsidR="000C7C8F" w:rsidRPr="000C7C8F" w:rsidRDefault="003E031D" w:rsidP="00916B99">
      <w:pPr>
        <w:autoSpaceDE w:val="0"/>
        <w:autoSpaceDN w:val="0"/>
        <w:adjustRightInd w:val="0"/>
        <w:spacing w:after="0" w:line="240" w:lineRule="auto"/>
        <w:jc w:val="center"/>
        <w:rPr>
          <w:rFonts w:cstheme="minorHAnsi"/>
          <w:b/>
          <w:bCs/>
          <w:color w:val="000000"/>
          <w:sz w:val="24"/>
          <w:szCs w:val="24"/>
        </w:rPr>
      </w:pPr>
      <w:r w:rsidRPr="00E36FB8">
        <w:rPr>
          <w:rFonts w:cstheme="minorHAnsi"/>
          <w:b/>
          <w:bCs/>
          <w:color w:val="000000"/>
          <w:sz w:val="24"/>
          <w:szCs w:val="24"/>
        </w:rPr>
        <w:t>Material</w:t>
      </w:r>
      <w:r w:rsidR="003B6856" w:rsidRPr="00E36FB8">
        <w:rPr>
          <w:rFonts w:cstheme="minorHAnsi"/>
          <w:b/>
          <w:bCs/>
          <w:color w:val="000000"/>
          <w:sz w:val="24"/>
          <w:szCs w:val="24"/>
        </w:rPr>
        <w:t xml:space="preserve"> Transfer Agreement</w:t>
      </w:r>
      <w:r w:rsidR="009E0EEA" w:rsidRPr="00E36FB8">
        <w:rPr>
          <w:rFonts w:cstheme="minorHAnsi"/>
          <w:b/>
          <w:bCs/>
          <w:color w:val="000000"/>
          <w:sz w:val="24"/>
          <w:szCs w:val="24"/>
        </w:rPr>
        <w:t xml:space="preserve"> (MTA)</w:t>
      </w:r>
    </w:p>
    <w:p w14:paraId="06ED6D77" w14:textId="77777777" w:rsidR="00ED5E2E" w:rsidRPr="00E36FB8" w:rsidRDefault="00ED5E2E" w:rsidP="00ED5E2E">
      <w:pPr>
        <w:autoSpaceDE w:val="0"/>
        <w:autoSpaceDN w:val="0"/>
        <w:adjustRightInd w:val="0"/>
        <w:spacing w:after="0" w:line="240" w:lineRule="auto"/>
        <w:jc w:val="center"/>
        <w:rPr>
          <w:rFonts w:cstheme="minorHAnsi"/>
          <w:color w:val="000000"/>
          <w:sz w:val="24"/>
          <w:szCs w:val="24"/>
        </w:rPr>
      </w:pPr>
    </w:p>
    <w:p w14:paraId="5D8D2A2C" w14:textId="1F14990B" w:rsidR="003B6856" w:rsidRDefault="003B6856" w:rsidP="00FA3DAB">
      <w:pPr>
        <w:autoSpaceDE w:val="0"/>
        <w:autoSpaceDN w:val="0"/>
        <w:adjustRightInd w:val="0"/>
        <w:spacing w:after="0" w:line="240" w:lineRule="auto"/>
        <w:rPr>
          <w:rFonts w:cstheme="minorHAnsi"/>
          <w:b/>
          <w:color w:val="000000"/>
          <w:sz w:val="24"/>
          <w:szCs w:val="24"/>
        </w:rPr>
      </w:pPr>
      <w:r w:rsidRPr="00E36FB8">
        <w:rPr>
          <w:rFonts w:cstheme="minorHAnsi"/>
          <w:b/>
          <w:color w:val="000000"/>
          <w:sz w:val="24"/>
          <w:szCs w:val="24"/>
        </w:rPr>
        <w:t>Background</w:t>
      </w:r>
    </w:p>
    <w:p w14:paraId="744001BA" w14:textId="77777777" w:rsidR="00651171" w:rsidRPr="00E36FB8" w:rsidRDefault="00651171" w:rsidP="00FA3DAB">
      <w:pPr>
        <w:autoSpaceDE w:val="0"/>
        <w:autoSpaceDN w:val="0"/>
        <w:adjustRightInd w:val="0"/>
        <w:spacing w:after="0" w:line="240" w:lineRule="auto"/>
        <w:rPr>
          <w:rFonts w:cstheme="minorHAnsi"/>
          <w:b/>
          <w:color w:val="000000"/>
          <w:sz w:val="24"/>
          <w:szCs w:val="24"/>
        </w:rPr>
      </w:pPr>
    </w:p>
    <w:p w14:paraId="0B97BFD1" w14:textId="440D9C88" w:rsidR="00295186" w:rsidRPr="00E36FB8" w:rsidRDefault="00295186" w:rsidP="00952269">
      <w:pPr>
        <w:jc w:val="both"/>
        <w:rPr>
          <w:rFonts w:cstheme="minorHAnsi"/>
          <w:color w:val="000000"/>
          <w:sz w:val="24"/>
          <w:szCs w:val="24"/>
        </w:rPr>
      </w:pPr>
      <w:r w:rsidRPr="00E36FB8">
        <w:rPr>
          <w:rFonts w:cstheme="minorHAnsi"/>
          <w:color w:val="000000"/>
          <w:sz w:val="24"/>
          <w:szCs w:val="24"/>
        </w:rPr>
        <w:t xml:space="preserve">The primary goal of the Genotype-Tissue Expression (GTEx) project is to establish a resource database and associated tissue bank in which to study the relationship between genetic variation and gene expression and other molecular phenotypes in multiple reference tissues and to make this resource broadly available </w:t>
      </w:r>
      <w:r w:rsidR="00880746">
        <w:rPr>
          <w:rFonts w:cstheme="minorHAnsi"/>
          <w:color w:val="000000"/>
          <w:sz w:val="24"/>
          <w:szCs w:val="24"/>
        </w:rPr>
        <w:t>to further medical</w:t>
      </w:r>
      <w:r w:rsidR="001D6162">
        <w:rPr>
          <w:rFonts w:cstheme="minorHAnsi"/>
          <w:color w:val="000000"/>
          <w:sz w:val="24"/>
          <w:szCs w:val="24"/>
        </w:rPr>
        <w:t xml:space="preserve"> </w:t>
      </w:r>
      <w:r w:rsidRPr="00E36FB8">
        <w:rPr>
          <w:rFonts w:cstheme="minorHAnsi"/>
          <w:color w:val="000000"/>
          <w:sz w:val="24"/>
          <w:szCs w:val="24"/>
        </w:rPr>
        <w:t xml:space="preserve">research.  </w:t>
      </w:r>
    </w:p>
    <w:p w14:paraId="57A662A2" w14:textId="25A71CFD" w:rsidR="00295186" w:rsidRPr="00E36FB8" w:rsidRDefault="00295186" w:rsidP="00952269">
      <w:pPr>
        <w:jc w:val="both"/>
        <w:rPr>
          <w:rFonts w:cstheme="minorHAnsi"/>
          <w:color w:val="000000"/>
          <w:sz w:val="24"/>
          <w:szCs w:val="24"/>
        </w:rPr>
      </w:pPr>
      <w:r w:rsidRPr="00E36FB8">
        <w:rPr>
          <w:rFonts w:cstheme="minorHAnsi"/>
          <w:color w:val="000000"/>
          <w:sz w:val="24"/>
          <w:szCs w:val="24"/>
        </w:rPr>
        <w:t xml:space="preserve">The GTEx project </w:t>
      </w:r>
      <w:r w:rsidR="00BA5F26" w:rsidRPr="00E36FB8">
        <w:rPr>
          <w:rFonts w:cstheme="minorHAnsi"/>
          <w:color w:val="000000"/>
          <w:sz w:val="24"/>
          <w:szCs w:val="24"/>
        </w:rPr>
        <w:t>involve</w:t>
      </w:r>
      <w:r w:rsidR="00BA5F26">
        <w:rPr>
          <w:rFonts w:cstheme="minorHAnsi"/>
          <w:color w:val="000000"/>
          <w:sz w:val="24"/>
          <w:szCs w:val="24"/>
        </w:rPr>
        <w:t>d</w:t>
      </w:r>
      <w:r w:rsidR="00BA5F26" w:rsidRPr="00E36FB8">
        <w:rPr>
          <w:rFonts w:cstheme="minorHAnsi"/>
          <w:color w:val="000000"/>
          <w:sz w:val="24"/>
          <w:szCs w:val="24"/>
        </w:rPr>
        <w:t xml:space="preserve"> </w:t>
      </w:r>
      <w:r w:rsidRPr="00E36FB8">
        <w:rPr>
          <w:rFonts w:cstheme="minorHAnsi"/>
          <w:color w:val="000000"/>
          <w:sz w:val="24"/>
          <w:szCs w:val="24"/>
        </w:rPr>
        <w:t>the rapid collection of multiple tissue types from deceased donors. The collection of biospecimens from deceased individuals is not legally classified as human subjects research under 45 CFR 46. However, donor recruitment sites obtain</w:t>
      </w:r>
      <w:r w:rsidR="00BA5F26">
        <w:rPr>
          <w:rFonts w:cstheme="minorHAnsi"/>
          <w:color w:val="000000"/>
          <w:sz w:val="24"/>
          <w:szCs w:val="24"/>
        </w:rPr>
        <w:t>ed</w:t>
      </w:r>
      <w:r w:rsidRPr="00E36FB8">
        <w:rPr>
          <w:rFonts w:cstheme="minorHAnsi"/>
          <w:color w:val="000000"/>
          <w:sz w:val="24"/>
          <w:szCs w:val="24"/>
        </w:rPr>
        <w:t xml:space="preserve"> written </w:t>
      </w:r>
      <w:r w:rsidR="00D764CE" w:rsidRPr="00E36FB8">
        <w:rPr>
          <w:rFonts w:cstheme="minorHAnsi"/>
          <w:color w:val="000000"/>
          <w:sz w:val="24"/>
          <w:szCs w:val="24"/>
        </w:rPr>
        <w:t xml:space="preserve">or telephonic </w:t>
      </w:r>
      <w:r w:rsidRPr="00E36FB8">
        <w:rPr>
          <w:rFonts w:cstheme="minorHAnsi"/>
          <w:color w:val="000000"/>
          <w:sz w:val="24"/>
          <w:szCs w:val="24"/>
        </w:rPr>
        <w:t xml:space="preserve">authorization from next-of-kin for participation in GTEx. This </w:t>
      </w:r>
      <w:r w:rsidR="00BA5F26">
        <w:rPr>
          <w:rFonts w:cstheme="minorHAnsi"/>
          <w:color w:val="000000"/>
          <w:sz w:val="24"/>
          <w:szCs w:val="24"/>
        </w:rPr>
        <w:t>wa</w:t>
      </w:r>
      <w:r w:rsidRPr="00E36FB8">
        <w:rPr>
          <w:rFonts w:cstheme="minorHAnsi"/>
          <w:color w:val="000000"/>
          <w:sz w:val="24"/>
          <w:szCs w:val="24"/>
        </w:rPr>
        <w:t>s typically done through an addendum or modification to an existing authorization form for research donation of tissues and organs.  It includes statements common in consent forms such as the intention to perform genetic analyses, establish cell lines, and to share data with the scientific community (see</w:t>
      </w:r>
      <w:r w:rsidR="00920F1C">
        <w:rPr>
          <w:rFonts w:cstheme="minorHAnsi"/>
          <w:color w:val="000000"/>
          <w:sz w:val="24"/>
          <w:szCs w:val="24"/>
        </w:rPr>
        <w:t xml:space="preserve"> </w:t>
      </w:r>
      <w:r w:rsidR="00002A55" w:rsidRPr="00002A55">
        <w:rPr>
          <w:rFonts w:cstheme="minorHAnsi"/>
          <w:color w:val="000000"/>
          <w:sz w:val="24"/>
          <w:szCs w:val="24"/>
        </w:rPr>
        <w:t>https://biospecimens.cancer.gov/resources/sops/library.asp</w:t>
      </w:r>
      <w:r w:rsidR="00002A55" w:rsidRPr="00002A55" w:rsidDel="00002A55">
        <w:rPr>
          <w:rFonts w:cstheme="minorHAnsi"/>
          <w:color w:val="000000"/>
          <w:sz w:val="24"/>
          <w:szCs w:val="24"/>
        </w:rPr>
        <w:t xml:space="preserve"> </w:t>
      </w:r>
      <w:r w:rsidRPr="00E36FB8">
        <w:rPr>
          <w:rFonts w:cstheme="minorHAnsi"/>
          <w:color w:val="000000"/>
          <w:sz w:val="24"/>
          <w:szCs w:val="24"/>
        </w:rPr>
        <w:t>for example language</w:t>
      </w:r>
      <w:r w:rsidR="001F1E0E">
        <w:rPr>
          <w:rFonts w:cstheme="minorHAnsi"/>
          <w:color w:val="000000"/>
          <w:sz w:val="24"/>
          <w:szCs w:val="24"/>
        </w:rPr>
        <w:t xml:space="preserve"> under Enrollment and Informed Consent section</w:t>
      </w:r>
      <w:r w:rsidRPr="00E36FB8">
        <w:rPr>
          <w:rFonts w:cstheme="minorHAnsi"/>
          <w:color w:val="000000"/>
          <w:sz w:val="24"/>
          <w:szCs w:val="24"/>
        </w:rPr>
        <w:t xml:space="preserve">). The GTEx project obtains authorization for broad future research use and unless required by the applicant’s Institution, specific IRB review is not required. </w:t>
      </w:r>
    </w:p>
    <w:p w14:paraId="2522B30D" w14:textId="297E8370" w:rsidR="00295186" w:rsidRPr="00E36FB8" w:rsidRDefault="00295186" w:rsidP="00952269">
      <w:pPr>
        <w:jc w:val="both"/>
        <w:rPr>
          <w:rFonts w:cstheme="minorHAnsi"/>
          <w:color w:val="000000"/>
          <w:sz w:val="24"/>
          <w:szCs w:val="24"/>
        </w:rPr>
      </w:pPr>
      <w:r w:rsidRPr="00E36FB8">
        <w:rPr>
          <w:rFonts w:cstheme="minorHAnsi"/>
          <w:color w:val="000000"/>
          <w:sz w:val="24"/>
          <w:szCs w:val="24"/>
        </w:rPr>
        <w:t xml:space="preserve">Biospecimen acquisition for GTEx </w:t>
      </w:r>
      <w:r w:rsidR="008B2DC6">
        <w:rPr>
          <w:rFonts w:cstheme="minorHAnsi"/>
          <w:color w:val="000000"/>
          <w:sz w:val="24"/>
          <w:szCs w:val="24"/>
        </w:rPr>
        <w:t>wa</w:t>
      </w:r>
      <w:r w:rsidR="008B2DC6" w:rsidRPr="00E36FB8">
        <w:rPr>
          <w:rFonts w:cstheme="minorHAnsi"/>
          <w:color w:val="000000"/>
          <w:sz w:val="24"/>
          <w:szCs w:val="24"/>
        </w:rPr>
        <w:t xml:space="preserve">s </w:t>
      </w:r>
      <w:r w:rsidRPr="00E36FB8">
        <w:rPr>
          <w:rFonts w:cstheme="minorHAnsi"/>
          <w:color w:val="000000"/>
          <w:sz w:val="24"/>
          <w:szCs w:val="24"/>
        </w:rPr>
        <w:t xml:space="preserve">accomplished through contracts issued by the National Cancer Institute’s (NCI) Biorepositories and Biospecimen Research Branch (BBRB). </w:t>
      </w:r>
      <w:r w:rsidR="007A12F2">
        <w:rPr>
          <w:rFonts w:cstheme="minorHAnsi"/>
          <w:color w:val="000000"/>
          <w:sz w:val="24"/>
          <w:szCs w:val="24"/>
        </w:rPr>
        <w:t>L</w:t>
      </w:r>
      <w:r w:rsidR="00E2091F">
        <w:rPr>
          <w:rFonts w:cstheme="minorHAnsi"/>
          <w:color w:val="000000"/>
          <w:sz w:val="24"/>
          <w:szCs w:val="24"/>
        </w:rPr>
        <w:t>eidos Biomedical Research, Inc.,</w:t>
      </w:r>
      <w:r w:rsidRPr="00E36FB8">
        <w:rPr>
          <w:rFonts w:cstheme="minorHAnsi"/>
          <w:color w:val="000000"/>
          <w:sz w:val="24"/>
          <w:szCs w:val="24"/>
        </w:rPr>
        <w:t xml:space="preserve"> </w:t>
      </w:r>
      <w:r w:rsidR="00920F1C">
        <w:rPr>
          <w:rFonts w:cstheme="minorHAnsi"/>
          <w:color w:val="000000"/>
          <w:sz w:val="24"/>
          <w:szCs w:val="24"/>
        </w:rPr>
        <w:t xml:space="preserve">the prime contractor to the NCI, </w:t>
      </w:r>
      <w:r w:rsidRPr="00E36FB8">
        <w:rPr>
          <w:rFonts w:cstheme="minorHAnsi"/>
          <w:color w:val="000000"/>
          <w:sz w:val="24"/>
          <w:szCs w:val="24"/>
        </w:rPr>
        <w:t>serve</w:t>
      </w:r>
      <w:r w:rsidR="00BA5F26">
        <w:rPr>
          <w:rFonts w:cstheme="minorHAnsi"/>
          <w:color w:val="000000"/>
          <w:sz w:val="24"/>
          <w:szCs w:val="24"/>
        </w:rPr>
        <w:t>d</w:t>
      </w:r>
      <w:r w:rsidRPr="00E36FB8">
        <w:rPr>
          <w:rFonts w:cstheme="minorHAnsi"/>
          <w:color w:val="000000"/>
          <w:sz w:val="24"/>
          <w:szCs w:val="24"/>
        </w:rPr>
        <w:t xml:space="preserve"> as the Comprehensive Data Resource.  Biospecimen collection and processing </w:t>
      </w:r>
      <w:r w:rsidR="00E11585">
        <w:rPr>
          <w:rFonts w:cstheme="minorHAnsi"/>
          <w:color w:val="000000"/>
          <w:sz w:val="24"/>
          <w:szCs w:val="24"/>
        </w:rPr>
        <w:t>we</w:t>
      </w:r>
      <w:r w:rsidR="00E11585" w:rsidRPr="00E36FB8">
        <w:rPr>
          <w:rFonts w:cstheme="minorHAnsi"/>
          <w:color w:val="000000"/>
          <w:sz w:val="24"/>
          <w:szCs w:val="24"/>
        </w:rPr>
        <w:t xml:space="preserve">re </w:t>
      </w:r>
      <w:r w:rsidRPr="00E36FB8">
        <w:rPr>
          <w:rFonts w:cstheme="minorHAnsi"/>
          <w:color w:val="000000"/>
          <w:sz w:val="24"/>
          <w:szCs w:val="24"/>
        </w:rPr>
        <w:t xml:space="preserve">accomplished through </w:t>
      </w:r>
      <w:r w:rsidR="00E2091F">
        <w:rPr>
          <w:rFonts w:cstheme="minorHAnsi"/>
          <w:color w:val="000000"/>
          <w:sz w:val="24"/>
          <w:szCs w:val="24"/>
        </w:rPr>
        <w:t xml:space="preserve">Leidos Biomedical Research, Inc., </w:t>
      </w:r>
      <w:r w:rsidRPr="00E36FB8">
        <w:rPr>
          <w:rFonts w:cstheme="minorHAnsi"/>
          <w:color w:val="000000"/>
          <w:sz w:val="24"/>
          <w:szCs w:val="24"/>
        </w:rPr>
        <w:t xml:space="preserve">subcontracts to the Biospecimen Source Sites (BSSs) and a Comprehensive Biospecimen Resource (CBR). </w:t>
      </w:r>
    </w:p>
    <w:p w14:paraId="3F3BB72A" w14:textId="620C2A8E" w:rsidR="008D7F1E" w:rsidRPr="00E36FB8" w:rsidRDefault="00295186" w:rsidP="00952269">
      <w:pPr>
        <w:jc w:val="both"/>
        <w:rPr>
          <w:rFonts w:cstheme="minorHAnsi"/>
          <w:color w:val="000000"/>
          <w:sz w:val="24"/>
          <w:szCs w:val="24"/>
        </w:rPr>
      </w:pPr>
      <w:r w:rsidRPr="00E36FB8">
        <w:rPr>
          <w:rFonts w:cstheme="minorHAnsi"/>
          <w:color w:val="000000"/>
          <w:sz w:val="24"/>
          <w:szCs w:val="24"/>
        </w:rPr>
        <w:t xml:space="preserve">There </w:t>
      </w:r>
      <w:r w:rsidR="00E11585">
        <w:rPr>
          <w:rFonts w:cstheme="minorHAnsi"/>
          <w:color w:val="000000"/>
          <w:sz w:val="24"/>
          <w:szCs w:val="24"/>
        </w:rPr>
        <w:t>we</w:t>
      </w:r>
      <w:r w:rsidR="00E11585" w:rsidRPr="00E36FB8">
        <w:rPr>
          <w:rFonts w:cstheme="minorHAnsi"/>
          <w:color w:val="000000"/>
          <w:sz w:val="24"/>
          <w:szCs w:val="24"/>
        </w:rPr>
        <w:t xml:space="preserve">re </w:t>
      </w:r>
      <w:r w:rsidR="00F86484">
        <w:rPr>
          <w:rFonts w:cstheme="minorHAnsi"/>
          <w:color w:val="000000"/>
          <w:sz w:val="24"/>
          <w:szCs w:val="24"/>
        </w:rPr>
        <w:t>3</w:t>
      </w:r>
      <w:r w:rsidRPr="00E36FB8">
        <w:rPr>
          <w:rFonts w:cstheme="minorHAnsi"/>
          <w:color w:val="000000"/>
          <w:sz w:val="24"/>
          <w:szCs w:val="24"/>
        </w:rPr>
        <w:t xml:space="preserve"> BSSs involved in the collection of biospecimens: </w:t>
      </w:r>
      <w:r w:rsidR="00F86484" w:rsidRPr="00E36FB8">
        <w:rPr>
          <w:rFonts w:cstheme="minorHAnsi"/>
          <w:color w:val="000000"/>
          <w:sz w:val="24"/>
          <w:szCs w:val="24"/>
        </w:rPr>
        <w:t>The</w:t>
      </w:r>
      <w:r w:rsidRPr="00E36FB8">
        <w:rPr>
          <w:rFonts w:cstheme="minorHAnsi"/>
          <w:color w:val="000000"/>
          <w:sz w:val="24"/>
          <w:szCs w:val="24"/>
        </w:rPr>
        <w:t xml:space="preserve"> National Disease Research Interchange (NDRI - Philadelphia, PA)</w:t>
      </w:r>
      <w:r w:rsidR="00F86484">
        <w:rPr>
          <w:rFonts w:cstheme="minorHAnsi"/>
          <w:color w:val="000000"/>
          <w:sz w:val="24"/>
          <w:szCs w:val="24"/>
        </w:rPr>
        <w:t>,</w:t>
      </w:r>
      <w:r w:rsidR="00BA5F26">
        <w:rPr>
          <w:rFonts w:cstheme="minorHAnsi"/>
          <w:color w:val="000000"/>
          <w:sz w:val="24"/>
          <w:szCs w:val="24"/>
        </w:rPr>
        <w:t xml:space="preserve"> </w:t>
      </w:r>
      <w:r w:rsidRPr="00E36FB8">
        <w:rPr>
          <w:rFonts w:cstheme="minorHAnsi"/>
          <w:color w:val="000000"/>
          <w:sz w:val="24"/>
          <w:szCs w:val="24"/>
        </w:rPr>
        <w:t>Roswell Park Cancer Institute (RPCI - Buffalo, NY)</w:t>
      </w:r>
      <w:r w:rsidR="00F86484">
        <w:rPr>
          <w:rFonts w:cstheme="minorHAnsi"/>
          <w:color w:val="000000"/>
          <w:sz w:val="24"/>
          <w:szCs w:val="24"/>
        </w:rPr>
        <w:t xml:space="preserve"> and Science Care, Inc. (Phoenix, AZ)</w:t>
      </w:r>
      <w:r w:rsidRPr="00E36FB8">
        <w:rPr>
          <w:rFonts w:cstheme="minorHAnsi"/>
          <w:color w:val="000000"/>
          <w:sz w:val="24"/>
          <w:szCs w:val="24"/>
        </w:rPr>
        <w:t>. The BSSs work</w:t>
      </w:r>
      <w:r w:rsidR="00BA5F26">
        <w:rPr>
          <w:rFonts w:cstheme="minorHAnsi"/>
          <w:color w:val="000000"/>
          <w:sz w:val="24"/>
          <w:szCs w:val="24"/>
        </w:rPr>
        <w:t>ed</w:t>
      </w:r>
      <w:r w:rsidRPr="00E36FB8">
        <w:rPr>
          <w:rFonts w:cstheme="minorHAnsi"/>
          <w:color w:val="000000"/>
          <w:sz w:val="24"/>
          <w:szCs w:val="24"/>
        </w:rPr>
        <w:t xml:space="preserve"> with their Organ Procurement Organization</w:t>
      </w:r>
      <w:r w:rsidR="00920F1C">
        <w:rPr>
          <w:rFonts w:cstheme="minorHAnsi"/>
          <w:color w:val="000000"/>
          <w:sz w:val="24"/>
          <w:szCs w:val="24"/>
        </w:rPr>
        <w:t>s</w:t>
      </w:r>
      <w:r w:rsidRPr="00E36FB8">
        <w:rPr>
          <w:rFonts w:cstheme="minorHAnsi"/>
          <w:color w:val="000000"/>
          <w:sz w:val="24"/>
          <w:szCs w:val="24"/>
        </w:rPr>
        <w:t xml:space="preserve"> (OPO</w:t>
      </w:r>
      <w:r w:rsidR="00920F1C">
        <w:rPr>
          <w:rFonts w:cstheme="minorHAnsi"/>
          <w:color w:val="000000"/>
          <w:sz w:val="24"/>
          <w:szCs w:val="24"/>
        </w:rPr>
        <w:t>s</w:t>
      </w:r>
      <w:r w:rsidRPr="00E36FB8">
        <w:rPr>
          <w:rFonts w:cstheme="minorHAnsi"/>
          <w:color w:val="000000"/>
          <w:sz w:val="24"/>
          <w:szCs w:val="24"/>
        </w:rPr>
        <w:t>)</w:t>
      </w:r>
      <w:r w:rsidR="00F86484">
        <w:rPr>
          <w:rFonts w:cstheme="minorHAnsi"/>
          <w:color w:val="000000"/>
          <w:sz w:val="24"/>
          <w:szCs w:val="24"/>
        </w:rPr>
        <w:t>,</w:t>
      </w:r>
      <w:r w:rsidR="00BE3A0E">
        <w:rPr>
          <w:rFonts w:cstheme="minorHAnsi"/>
          <w:color w:val="000000"/>
          <w:sz w:val="24"/>
          <w:szCs w:val="24"/>
        </w:rPr>
        <w:t xml:space="preserve"> </w:t>
      </w:r>
      <w:r w:rsidRPr="00E36FB8">
        <w:rPr>
          <w:rFonts w:cstheme="minorHAnsi"/>
          <w:color w:val="000000"/>
          <w:sz w:val="24"/>
          <w:szCs w:val="24"/>
        </w:rPr>
        <w:t>American Association of Tissue Bank (AATB) partners</w:t>
      </w:r>
      <w:r w:rsidR="00F86484">
        <w:rPr>
          <w:rFonts w:cstheme="minorHAnsi"/>
          <w:color w:val="000000"/>
          <w:sz w:val="24"/>
          <w:szCs w:val="24"/>
        </w:rPr>
        <w:t xml:space="preserve"> and rapid autopsy programs</w:t>
      </w:r>
      <w:r w:rsidRPr="00E36FB8">
        <w:rPr>
          <w:rFonts w:cstheme="minorHAnsi"/>
          <w:color w:val="000000"/>
          <w:sz w:val="24"/>
          <w:szCs w:val="24"/>
        </w:rPr>
        <w:t xml:space="preserve"> to accomplish recruitment. </w:t>
      </w:r>
    </w:p>
    <w:p w14:paraId="70EE9DFF" w14:textId="5D77EE8B" w:rsidR="008D7F1E" w:rsidRPr="00E36FB8" w:rsidRDefault="008D7F1E" w:rsidP="00952269">
      <w:pPr>
        <w:jc w:val="both"/>
        <w:rPr>
          <w:rFonts w:cstheme="minorHAnsi"/>
          <w:color w:val="000000"/>
          <w:sz w:val="24"/>
          <w:szCs w:val="24"/>
        </w:rPr>
      </w:pPr>
      <w:r w:rsidRPr="00E36FB8">
        <w:rPr>
          <w:rFonts w:cstheme="minorHAnsi"/>
          <w:color w:val="000000"/>
          <w:sz w:val="24"/>
          <w:szCs w:val="24"/>
        </w:rPr>
        <w:t xml:space="preserve">At the CBR (The Van Andel Institute, Grand Rapids, MI), an aliquot from each tissue sampled at the BSSs </w:t>
      </w:r>
      <w:r w:rsidR="00E11585">
        <w:rPr>
          <w:rFonts w:cstheme="minorHAnsi"/>
          <w:color w:val="000000"/>
          <w:sz w:val="24"/>
          <w:szCs w:val="24"/>
        </w:rPr>
        <w:t>wa</w:t>
      </w:r>
      <w:r w:rsidR="00E11585" w:rsidRPr="00E36FB8">
        <w:rPr>
          <w:rFonts w:cstheme="minorHAnsi"/>
          <w:color w:val="000000"/>
          <w:sz w:val="24"/>
          <w:szCs w:val="24"/>
        </w:rPr>
        <w:t xml:space="preserve">s </w:t>
      </w:r>
      <w:r w:rsidRPr="00E36FB8">
        <w:rPr>
          <w:rFonts w:cstheme="minorHAnsi"/>
          <w:color w:val="000000"/>
          <w:sz w:val="24"/>
          <w:szCs w:val="24"/>
        </w:rPr>
        <w:t xml:space="preserve">accessioned, quality controlled, paraffin embedded, sectioned, and stained for histopathology analysis. </w:t>
      </w:r>
      <w:r w:rsidR="00BA5F26">
        <w:rPr>
          <w:rFonts w:cstheme="minorHAnsi"/>
          <w:color w:val="000000"/>
          <w:sz w:val="24"/>
          <w:szCs w:val="24"/>
        </w:rPr>
        <w:t>A second immediately adjacent aliquot was also accessioned, preserved, and set to the LDACC (Laboratory, Data Analysis and Coordination Center) to be used as the primary aliquot for molecular analyses.</w:t>
      </w:r>
    </w:p>
    <w:p w14:paraId="0D303461" w14:textId="77777777" w:rsidR="008D7F1E" w:rsidRPr="00E36FB8" w:rsidRDefault="008D7F1E" w:rsidP="00952269">
      <w:pPr>
        <w:jc w:val="both"/>
        <w:rPr>
          <w:rFonts w:cstheme="minorHAnsi"/>
          <w:color w:val="000000"/>
          <w:sz w:val="24"/>
          <w:szCs w:val="24"/>
        </w:rPr>
      </w:pPr>
    </w:p>
    <w:p w14:paraId="0D5620B8" w14:textId="7F6E88EE" w:rsidR="001C1046" w:rsidRPr="00E36FB8" w:rsidRDefault="007B0069" w:rsidP="00952269">
      <w:pPr>
        <w:jc w:val="both"/>
        <w:rPr>
          <w:rFonts w:cstheme="minorHAnsi"/>
          <w:color w:val="000000"/>
          <w:sz w:val="24"/>
          <w:szCs w:val="24"/>
        </w:rPr>
      </w:pPr>
      <w:r>
        <w:rPr>
          <w:rFonts w:cstheme="minorHAnsi"/>
          <w:color w:val="000000"/>
          <w:sz w:val="24"/>
          <w:szCs w:val="24"/>
        </w:rPr>
        <w:t>W</w:t>
      </w:r>
      <w:r w:rsidR="008D7F1E" w:rsidRPr="00E36FB8">
        <w:rPr>
          <w:rFonts w:cstheme="minorHAnsi"/>
          <w:color w:val="000000"/>
          <w:sz w:val="24"/>
          <w:szCs w:val="24"/>
        </w:rPr>
        <w:t>hole brain</w:t>
      </w:r>
      <w:r w:rsidR="005547A9" w:rsidRPr="00E36FB8">
        <w:rPr>
          <w:rFonts w:cstheme="minorHAnsi"/>
          <w:color w:val="000000"/>
          <w:sz w:val="24"/>
          <w:szCs w:val="24"/>
        </w:rPr>
        <w:t>s</w:t>
      </w:r>
      <w:r w:rsidR="008D7F1E" w:rsidRPr="00E36FB8">
        <w:rPr>
          <w:rFonts w:cstheme="minorHAnsi"/>
          <w:color w:val="000000"/>
          <w:sz w:val="24"/>
          <w:szCs w:val="24"/>
        </w:rPr>
        <w:t xml:space="preserve"> with attached brain stem and cervical spinal cord, when possible, </w:t>
      </w:r>
      <w:r w:rsidR="00E11585">
        <w:rPr>
          <w:rFonts w:cstheme="minorHAnsi"/>
          <w:color w:val="000000"/>
          <w:sz w:val="24"/>
          <w:szCs w:val="24"/>
        </w:rPr>
        <w:t>we</w:t>
      </w:r>
      <w:r w:rsidR="00E11585" w:rsidRPr="00E36FB8">
        <w:rPr>
          <w:rFonts w:cstheme="minorHAnsi"/>
          <w:color w:val="000000"/>
          <w:sz w:val="24"/>
          <w:szCs w:val="24"/>
        </w:rPr>
        <w:t xml:space="preserve">re </w:t>
      </w:r>
      <w:r w:rsidR="008D7F1E" w:rsidRPr="00E36FB8">
        <w:rPr>
          <w:rFonts w:cstheme="minorHAnsi"/>
          <w:color w:val="000000"/>
          <w:sz w:val="24"/>
          <w:szCs w:val="24"/>
        </w:rPr>
        <w:t>shipped from the BSSs to an NIH-funded Brain Bank (University of Miami School of Medicine</w:t>
      </w:r>
      <w:r w:rsidR="00F86484">
        <w:rPr>
          <w:rFonts w:cstheme="minorHAnsi"/>
          <w:color w:val="000000"/>
          <w:sz w:val="24"/>
          <w:szCs w:val="24"/>
        </w:rPr>
        <w:t xml:space="preserve"> Brain Endowment Bank</w:t>
      </w:r>
      <w:r w:rsidR="008D7F1E" w:rsidRPr="00E36FB8">
        <w:rPr>
          <w:rFonts w:cstheme="minorHAnsi"/>
          <w:color w:val="000000"/>
          <w:sz w:val="24"/>
          <w:szCs w:val="24"/>
        </w:rPr>
        <w:t xml:space="preserve">, Miami, FL). After sectioning at the Brain Bank, frozen samples from several anatomical regions of the brain </w:t>
      </w:r>
      <w:r w:rsidR="00E11585">
        <w:rPr>
          <w:rFonts w:cstheme="minorHAnsi"/>
          <w:color w:val="000000"/>
          <w:sz w:val="24"/>
          <w:szCs w:val="24"/>
        </w:rPr>
        <w:t>we</w:t>
      </w:r>
      <w:r w:rsidR="00E11585" w:rsidRPr="00E36FB8">
        <w:rPr>
          <w:rFonts w:cstheme="minorHAnsi"/>
          <w:color w:val="000000"/>
          <w:sz w:val="24"/>
          <w:szCs w:val="24"/>
        </w:rPr>
        <w:t xml:space="preserve">re </w:t>
      </w:r>
      <w:r w:rsidR="008D7F1E" w:rsidRPr="00E36FB8">
        <w:rPr>
          <w:rFonts w:cstheme="minorHAnsi"/>
          <w:color w:val="000000"/>
          <w:sz w:val="24"/>
          <w:szCs w:val="24"/>
        </w:rPr>
        <w:t>analyzed for gene expression</w:t>
      </w:r>
      <w:r w:rsidR="00BA5F26">
        <w:rPr>
          <w:rFonts w:cstheme="minorHAnsi"/>
          <w:color w:val="000000"/>
          <w:sz w:val="24"/>
          <w:szCs w:val="24"/>
        </w:rPr>
        <w:t xml:space="preserve"> at the LDACC</w:t>
      </w:r>
      <w:r w:rsidR="008D7F1E" w:rsidRPr="00E36FB8">
        <w:rPr>
          <w:rFonts w:cstheme="minorHAnsi"/>
          <w:color w:val="000000"/>
          <w:sz w:val="24"/>
          <w:szCs w:val="24"/>
        </w:rPr>
        <w:t xml:space="preserve"> and the remaining brain </w:t>
      </w:r>
      <w:r w:rsidR="00BA5F26">
        <w:rPr>
          <w:rFonts w:cstheme="minorHAnsi"/>
          <w:color w:val="000000"/>
          <w:sz w:val="24"/>
          <w:szCs w:val="24"/>
        </w:rPr>
        <w:t xml:space="preserve">was </w:t>
      </w:r>
      <w:r w:rsidR="008D7F1E" w:rsidRPr="00E36FB8">
        <w:rPr>
          <w:rFonts w:cstheme="minorHAnsi"/>
          <w:color w:val="000000"/>
          <w:sz w:val="24"/>
          <w:szCs w:val="24"/>
        </w:rPr>
        <w:t xml:space="preserve">banked for future use. </w:t>
      </w:r>
    </w:p>
    <w:p w14:paraId="3C31DE27" w14:textId="742F0620" w:rsidR="001C1046" w:rsidRPr="00E36FB8" w:rsidRDefault="00295186" w:rsidP="00952269">
      <w:pPr>
        <w:jc w:val="both"/>
        <w:rPr>
          <w:rFonts w:cstheme="minorHAnsi"/>
          <w:color w:val="000000"/>
          <w:sz w:val="24"/>
          <w:szCs w:val="24"/>
        </w:rPr>
      </w:pPr>
      <w:r w:rsidRPr="00E36FB8">
        <w:rPr>
          <w:rFonts w:cstheme="minorHAnsi"/>
          <w:color w:val="000000"/>
          <w:sz w:val="24"/>
          <w:szCs w:val="24"/>
        </w:rPr>
        <w:t>The</w:t>
      </w:r>
      <w:r w:rsidR="002E6961">
        <w:rPr>
          <w:rFonts w:cstheme="minorHAnsi"/>
          <w:color w:val="000000"/>
          <w:sz w:val="24"/>
          <w:szCs w:val="24"/>
        </w:rPr>
        <w:t xml:space="preserve"> LDACC</w:t>
      </w:r>
      <w:r w:rsidRPr="00E36FB8">
        <w:rPr>
          <w:rFonts w:cstheme="minorHAnsi"/>
          <w:color w:val="000000"/>
          <w:sz w:val="24"/>
          <w:szCs w:val="24"/>
        </w:rPr>
        <w:t xml:space="preserve">, funded through a contract to The Broad Institute, </w:t>
      </w:r>
      <w:r w:rsidR="00952269">
        <w:rPr>
          <w:rFonts w:cstheme="minorHAnsi"/>
          <w:color w:val="000000"/>
          <w:sz w:val="24"/>
          <w:szCs w:val="24"/>
        </w:rPr>
        <w:t>Cambridge</w:t>
      </w:r>
      <w:r w:rsidRPr="00E36FB8">
        <w:rPr>
          <w:rFonts w:cstheme="minorHAnsi"/>
          <w:color w:val="000000"/>
          <w:sz w:val="24"/>
          <w:szCs w:val="24"/>
        </w:rPr>
        <w:t>, MA,</w:t>
      </w:r>
      <w:r w:rsidR="001C1046" w:rsidRPr="00E36FB8">
        <w:rPr>
          <w:rFonts w:cstheme="minorHAnsi"/>
          <w:color w:val="000000"/>
          <w:sz w:val="24"/>
          <w:szCs w:val="24"/>
        </w:rPr>
        <w:t xml:space="preserve"> managed by </w:t>
      </w:r>
      <w:r w:rsidR="004B7342">
        <w:rPr>
          <w:rFonts w:cstheme="minorHAnsi"/>
          <w:color w:val="000000"/>
          <w:sz w:val="24"/>
          <w:szCs w:val="24"/>
        </w:rPr>
        <w:t>Leidos Biomedical Inc.</w:t>
      </w:r>
      <w:r w:rsidR="001C1046" w:rsidRPr="00E36FB8">
        <w:rPr>
          <w:rFonts w:cstheme="minorHAnsi"/>
          <w:color w:val="000000"/>
          <w:sz w:val="24"/>
          <w:szCs w:val="24"/>
        </w:rPr>
        <w:t>,</w:t>
      </w:r>
      <w:r w:rsidRPr="00E36FB8">
        <w:rPr>
          <w:rFonts w:cstheme="minorHAnsi"/>
          <w:color w:val="000000"/>
          <w:sz w:val="24"/>
          <w:szCs w:val="24"/>
        </w:rPr>
        <w:t xml:space="preserve"> performs numerous activities</w:t>
      </w:r>
      <w:r w:rsidR="000C7C8F">
        <w:rPr>
          <w:rFonts w:cstheme="minorHAnsi"/>
          <w:color w:val="000000"/>
          <w:sz w:val="24"/>
          <w:szCs w:val="24"/>
        </w:rPr>
        <w:t>, including</w:t>
      </w:r>
      <w:r w:rsidR="001C1046" w:rsidRPr="00E36FB8">
        <w:rPr>
          <w:rFonts w:cstheme="minorHAnsi"/>
          <w:color w:val="000000"/>
          <w:sz w:val="24"/>
          <w:szCs w:val="24"/>
        </w:rPr>
        <w:t xml:space="preserve"> </w:t>
      </w:r>
      <w:r w:rsidRPr="00E36FB8">
        <w:rPr>
          <w:rFonts w:cstheme="minorHAnsi"/>
          <w:color w:val="000000"/>
          <w:sz w:val="24"/>
          <w:szCs w:val="24"/>
        </w:rPr>
        <w:t>molecular analysis. The LDACC is responsible for genotyp</w:t>
      </w:r>
      <w:r w:rsidR="001F1A7E">
        <w:rPr>
          <w:rFonts w:cstheme="minorHAnsi"/>
          <w:color w:val="000000"/>
          <w:sz w:val="24"/>
          <w:szCs w:val="24"/>
        </w:rPr>
        <w:t>e sequencing of</w:t>
      </w:r>
      <w:r w:rsidRPr="00E36FB8">
        <w:rPr>
          <w:rFonts w:cstheme="minorHAnsi"/>
          <w:color w:val="000000"/>
          <w:sz w:val="24"/>
          <w:szCs w:val="24"/>
        </w:rPr>
        <w:t xml:space="preserve"> blood samples as well as performing RNA-seq of high quality tissues. In addition, it develops, houses, and maintains databases to track, store, and provide access to the GTEx data </w:t>
      </w:r>
      <w:r w:rsidR="00B42137">
        <w:rPr>
          <w:rFonts w:cstheme="minorHAnsi"/>
          <w:color w:val="000000"/>
          <w:sz w:val="24"/>
          <w:szCs w:val="24"/>
        </w:rPr>
        <w:t xml:space="preserve">that includes clinical, collection, handling and processing data </w:t>
      </w:r>
      <w:r w:rsidRPr="00E36FB8">
        <w:rPr>
          <w:rFonts w:cstheme="minorHAnsi"/>
          <w:color w:val="000000"/>
          <w:sz w:val="24"/>
          <w:szCs w:val="24"/>
        </w:rPr>
        <w:t>(for open access data) as well as submi</w:t>
      </w:r>
      <w:r w:rsidR="004B7342">
        <w:rPr>
          <w:rFonts w:cstheme="minorHAnsi"/>
          <w:color w:val="000000"/>
          <w:sz w:val="24"/>
          <w:szCs w:val="24"/>
        </w:rPr>
        <w:t>ssion of all protected</w:t>
      </w:r>
      <w:r w:rsidR="001A54CD">
        <w:rPr>
          <w:rFonts w:cstheme="minorHAnsi"/>
          <w:color w:val="000000"/>
          <w:sz w:val="24"/>
          <w:szCs w:val="24"/>
        </w:rPr>
        <w:t>, deidentified</w:t>
      </w:r>
      <w:r w:rsidR="00415D71">
        <w:rPr>
          <w:rFonts w:cstheme="minorHAnsi"/>
          <w:color w:val="000000"/>
          <w:sz w:val="24"/>
          <w:szCs w:val="24"/>
        </w:rPr>
        <w:t xml:space="preserve"> </w:t>
      </w:r>
      <w:r w:rsidRPr="00E36FB8">
        <w:rPr>
          <w:rFonts w:cstheme="minorHAnsi"/>
          <w:color w:val="000000"/>
          <w:sz w:val="24"/>
          <w:szCs w:val="24"/>
        </w:rPr>
        <w:t>GTEx data to the database of Genotypes and Phenotypes (National Center for Biomedical Information’s (NCBI) dbGaP - for controlled access data). The LDACC is also a member, together with the statistical analysis investigators, of the GTEx Analysis Working Group (AWG)</w:t>
      </w:r>
      <w:r w:rsidR="001F1A7E">
        <w:rPr>
          <w:rFonts w:cstheme="minorHAnsi"/>
          <w:color w:val="000000"/>
          <w:sz w:val="24"/>
          <w:szCs w:val="24"/>
        </w:rPr>
        <w:t>,</w:t>
      </w:r>
      <w:r w:rsidRPr="00E36FB8">
        <w:rPr>
          <w:rFonts w:cstheme="minorHAnsi"/>
          <w:color w:val="000000"/>
          <w:sz w:val="24"/>
          <w:szCs w:val="24"/>
        </w:rPr>
        <w:t xml:space="preserve"> which is responsible for analyses of the integrated data sets.</w:t>
      </w:r>
      <w:r w:rsidR="001C1046" w:rsidRPr="00E36FB8">
        <w:rPr>
          <w:rFonts w:cstheme="minorHAnsi"/>
          <w:color w:val="000000"/>
          <w:sz w:val="24"/>
          <w:szCs w:val="24"/>
        </w:rPr>
        <w:t xml:space="preserve"> </w:t>
      </w:r>
    </w:p>
    <w:p w14:paraId="6024578E" w14:textId="3D97AF18" w:rsidR="001C1046" w:rsidRPr="00E36FB8" w:rsidRDefault="001C1046" w:rsidP="00295186">
      <w:pPr>
        <w:rPr>
          <w:rFonts w:cstheme="minorHAnsi"/>
          <w:color w:val="000000"/>
          <w:sz w:val="24"/>
          <w:szCs w:val="24"/>
        </w:rPr>
      </w:pPr>
      <w:r w:rsidRPr="00E36FB8">
        <w:rPr>
          <w:rFonts w:cstheme="minorHAnsi"/>
          <w:color w:val="000000"/>
          <w:sz w:val="24"/>
          <w:szCs w:val="24"/>
        </w:rPr>
        <w:t xml:space="preserve">The </w:t>
      </w:r>
      <w:r w:rsidR="00952269">
        <w:rPr>
          <w:rFonts w:cstheme="minorHAnsi"/>
          <w:color w:val="000000"/>
          <w:sz w:val="24"/>
          <w:szCs w:val="24"/>
        </w:rPr>
        <w:t xml:space="preserve">use of </w:t>
      </w:r>
      <w:r w:rsidRPr="00E36FB8">
        <w:rPr>
          <w:rFonts w:cstheme="minorHAnsi"/>
          <w:color w:val="000000"/>
          <w:sz w:val="24"/>
          <w:szCs w:val="24"/>
        </w:rPr>
        <w:t xml:space="preserve">GTEx biospecimens and any </w:t>
      </w:r>
      <w:r w:rsidR="004B7342">
        <w:rPr>
          <w:rFonts w:cstheme="minorHAnsi"/>
          <w:color w:val="000000"/>
          <w:sz w:val="24"/>
          <w:szCs w:val="24"/>
        </w:rPr>
        <w:t xml:space="preserve">modified and/or </w:t>
      </w:r>
      <w:r w:rsidR="009B7737" w:rsidRPr="00E36FB8">
        <w:rPr>
          <w:rFonts w:cstheme="minorHAnsi"/>
          <w:color w:val="000000"/>
          <w:sz w:val="24"/>
          <w:szCs w:val="24"/>
        </w:rPr>
        <w:t xml:space="preserve">unmodified </w:t>
      </w:r>
      <w:r w:rsidRPr="00E36FB8">
        <w:rPr>
          <w:rFonts w:cstheme="minorHAnsi"/>
          <w:color w:val="000000"/>
          <w:sz w:val="24"/>
          <w:szCs w:val="24"/>
        </w:rPr>
        <w:t xml:space="preserve">derivatives are </w:t>
      </w:r>
      <w:r w:rsidRPr="00E36FB8">
        <w:rPr>
          <w:sz w:val="24"/>
          <w:szCs w:val="24"/>
        </w:rPr>
        <w:t xml:space="preserve">subject to </w:t>
      </w:r>
      <w:r w:rsidR="009B7737" w:rsidRPr="00E36FB8">
        <w:rPr>
          <w:sz w:val="24"/>
          <w:szCs w:val="24"/>
        </w:rPr>
        <w:t xml:space="preserve">the terms of </w:t>
      </w:r>
      <w:r w:rsidRPr="00E36FB8">
        <w:rPr>
          <w:sz w:val="24"/>
          <w:szCs w:val="24"/>
        </w:rPr>
        <w:t>this MTA.</w:t>
      </w:r>
      <w:r w:rsidRPr="00E36FB8">
        <w:rPr>
          <w:rFonts w:cstheme="minorHAnsi"/>
          <w:color w:val="000000"/>
          <w:sz w:val="24"/>
          <w:szCs w:val="24"/>
        </w:rPr>
        <w:t xml:space="preserve"> </w:t>
      </w:r>
    </w:p>
    <w:p w14:paraId="452EA51A" w14:textId="1AB6F3A2" w:rsidR="00AF618C" w:rsidRPr="00E36FB8" w:rsidRDefault="00AF618C" w:rsidP="00295186">
      <w:pPr>
        <w:rPr>
          <w:rFonts w:cstheme="minorHAnsi"/>
          <w:color w:val="000000"/>
          <w:sz w:val="24"/>
          <w:szCs w:val="24"/>
        </w:rPr>
      </w:pPr>
      <w:r w:rsidRPr="00E36FB8">
        <w:rPr>
          <w:rFonts w:cstheme="minorHAnsi"/>
          <w:color w:val="000000"/>
          <w:sz w:val="24"/>
          <w:szCs w:val="24"/>
        </w:rPr>
        <w:br w:type="page"/>
      </w:r>
    </w:p>
    <w:p w14:paraId="2980A280" w14:textId="77777777" w:rsidR="002732B8" w:rsidRPr="00E36FB8" w:rsidRDefault="002732B8" w:rsidP="008E4599">
      <w:pPr>
        <w:autoSpaceDE w:val="0"/>
        <w:autoSpaceDN w:val="0"/>
        <w:adjustRightInd w:val="0"/>
        <w:spacing w:after="0" w:line="240" w:lineRule="auto"/>
        <w:jc w:val="center"/>
        <w:rPr>
          <w:rFonts w:cstheme="minorHAnsi"/>
          <w:b/>
          <w:color w:val="000000"/>
          <w:sz w:val="24"/>
          <w:szCs w:val="24"/>
        </w:rPr>
      </w:pPr>
      <w:bookmarkStart w:id="0" w:name="_GoBack"/>
      <w:bookmarkEnd w:id="0"/>
      <w:r w:rsidRPr="00E36FB8">
        <w:rPr>
          <w:rFonts w:cstheme="minorHAnsi"/>
          <w:b/>
          <w:color w:val="000000"/>
          <w:sz w:val="24"/>
          <w:szCs w:val="24"/>
        </w:rPr>
        <w:t>Material Transfer Agreement</w:t>
      </w:r>
    </w:p>
    <w:p w14:paraId="46E6C9FD" w14:textId="77777777" w:rsidR="00B523F5" w:rsidRPr="00E36FB8" w:rsidRDefault="00B523F5" w:rsidP="008A59F8">
      <w:pPr>
        <w:autoSpaceDE w:val="0"/>
        <w:autoSpaceDN w:val="0"/>
        <w:adjustRightInd w:val="0"/>
        <w:spacing w:after="0" w:line="240" w:lineRule="auto"/>
        <w:rPr>
          <w:rFonts w:cstheme="minorHAnsi"/>
          <w:color w:val="000000"/>
          <w:sz w:val="24"/>
          <w:szCs w:val="24"/>
        </w:rPr>
      </w:pPr>
    </w:p>
    <w:p w14:paraId="1EDFBF50" w14:textId="11B39DD3" w:rsidR="008E4599" w:rsidRPr="00E36FB8" w:rsidRDefault="003E031D" w:rsidP="00952269">
      <w:pPr>
        <w:autoSpaceDE w:val="0"/>
        <w:autoSpaceDN w:val="0"/>
        <w:adjustRightInd w:val="0"/>
        <w:spacing w:after="0" w:line="240" w:lineRule="auto"/>
        <w:jc w:val="both"/>
        <w:rPr>
          <w:rFonts w:cstheme="minorHAnsi"/>
          <w:color w:val="000000"/>
          <w:sz w:val="24"/>
          <w:szCs w:val="24"/>
        </w:rPr>
      </w:pPr>
      <w:r w:rsidRPr="00E36FB8">
        <w:rPr>
          <w:rFonts w:cstheme="minorHAnsi"/>
          <w:color w:val="000000"/>
          <w:sz w:val="24"/>
          <w:szCs w:val="24"/>
        </w:rPr>
        <w:t>This Material Transfer Agreement (the “Agreement”) is by and between</w:t>
      </w:r>
      <w:r w:rsidR="002732B8" w:rsidRPr="00E36FB8">
        <w:rPr>
          <w:rFonts w:cstheme="minorHAnsi"/>
          <w:color w:val="000000"/>
          <w:sz w:val="24"/>
          <w:szCs w:val="24"/>
        </w:rPr>
        <w:t xml:space="preserve"> </w:t>
      </w:r>
      <w:r w:rsidR="00952269" w:rsidRPr="00952269">
        <w:rPr>
          <w:rFonts w:cstheme="minorHAnsi"/>
          <w:color w:val="000000"/>
          <w:sz w:val="24"/>
          <w:szCs w:val="24"/>
        </w:rPr>
        <w:t>The Broad Institute</w:t>
      </w:r>
      <w:r w:rsidR="00952269">
        <w:rPr>
          <w:rFonts w:cstheme="minorHAnsi"/>
          <w:color w:val="000000"/>
          <w:sz w:val="24"/>
          <w:szCs w:val="24"/>
        </w:rPr>
        <w:t xml:space="preserve">, Inc. </w:t>
      </w:r>
      <w:r w:rsidRPr="00E36FB8">
        <w:rPr>
          <w:rFonts w:cstheme="minorHAnsi"/>
          <w:color w:val="000000"/>
          <w:sz w:val="24"/>
          <w:szCs w:val="24"/>
        </w:rPr>
        <w:t>(</w:t>
      </w:r>
      <w:r w:rsidR="008A59F8" w:rsidRPr="00E36FB8">
        <w:rPr>
          <w:rFonts w:cstheme="minorHAnsi"/>
          <w:color w:val="000000"/>
          <w:sz w:val="24"/>
          <w:szCs w:val="24"/>
        </w:rPr>
        <w:t>“PROVIDER</w:t>
      </w:r>
      <w:r w:rsidRPr="00E36FB8">
        <w:rPr>
          <w:rFonts w:cstheme="minorHAnsi"/>
          <w:color w:val="000000"/>
          <w:sz w:val="24"/>
          <w:szCs w:val="24"/>
        </w:rPr>
        <w:t>”</w:t>
      </w:r>
      <w:r w:rsidR="00C60B30" w:rsidRPr="00E36FB8">
        <w:rPr>
          <w:rFonts w:cstheme="minorHAnsi"/>
          <w:color w:val="000000"/>
          <w:sz w:val="24"/>
          <w:szCs w:val="24"/>
        </w:rPr>
        <w:t xml:space="preserve"> or “PROVIDER ORGANIZATION”</w:t>
      </w:r>
      <w:r w:rsidRPr="00E36FB8">
        <w:rPr>
          <w:rFonts w:cstheme="minorHAnsi"/>
          <w:color w:val="000000"/>
          <w:sz w:val="24"/>
          <w:szCs w:val="24"/>
        </w:rPr>
        <w:t>)</w:t>
      </w:r>
      <w:r w:rsidR="002732B8" w:rsidRPr="00E36FB8">
        <w:rPr>
          <w:rFonts w:cstheme="minorHAnsi"/>
          <w:color w:val="000000"/>
          <w:sz w:val="24"/>
          <w:szCs w:val="24"/>
        </w:rPr>
        <w:t xml:space="preserve"> </w:t>
      </w:r>
      <w:r w:rsidR="0010788D" w:rsidRPr="00E36FB8">
        <w:rPr>
          <w:rFonts w:cstheme="minorHAnsi"/>
          <w:color w:val="000000"/>
          <w:sz w:val="24"/>
          <w:szCs w:val="24"/>
        </w:rPr>
        <w:t>and Recipient</w:t>
      </w:r>
      <w:r w:rsidR="00B523F5" w:rsidRPr="00E36FB8">
        <w:rPr>
          <w:rFonts w:cstheme="minorHAnsi"/>
          <w:color w:val="000000"/>
          <w:sz w:val="24"/>
          <w:szCs w:val="24"/>
        </w:rPr>
        <w:t xml:space="preserve"> Scientist, at </w:t>
      </w:r>
      <w:r w:rsidRPr="00FD7447">
        <w:rPr>
          <w:rFonts w:cstheme="minorHAnsi"/>
          <w:i/>
          <w:color w:val="000000"/>
          <w:sz w:val="24"/>
          <w:szCs w:val="24"/>
          <w:highlight w:val="yellow"/>
        </w:rPr>
        <w:t>&lt;insert name of third-party institution&gt;</w:t>
      </w:r>
      <w:r w:rsidRPr="00E36FB8">
        <w:rPr>
          <w:rFonts w:cstheme="minorHAnsi"/>
          <w:color w:val="000000"/>
          <w:sz w:val="24"/>
          <w:szCs w:val="24"/>
        </w:rPr>
        <w:t xml:space="preserve"> (</w:t>
      </w:r>
      <w:r w:rsidR="00C60B30" w:rsidRPr="00E36FB8">
        <w:rPr>
          <w:rFonts w:cstheme="minorHAnsi"/>
          <w:color w:val="000000"/>
          <w:sz w:val="24"/>
          <w:szCs w:val="24"/>
        </w:rPr>
        <w:t xml:space="preserve">“RECIPIENT” or </w:t>
      </w:r>
      <w:r w:rsidRPr="00E36FB8">
        <w:rPr>
          <w:rFonts w:cstheme="minorHAnsi"/>
          <w:color w:val="000000"/>
          <w:sz w:val="24"/>
          <w:szCs w:val="24"/>
        </w:rPr>
        <w:t>“R</w:t>
      </w:r>
      <w:r w:rsidR="008A59F8" w:rsidRPr="00E36FB8">
        <w:rPr>
          <w:rFonts w:cstheme="minorHAnsi"/>
          <w:color w:val="000000"/>
          <w:sz w:val="24"/>
          <w:szCs w:val="24"/>
        </w:rPr>
        <w:t>ECIPIENT</w:t>
      </w:r>
      <w:r w:rsidR="00B523F5" w:rsidRPr="00E36FB8">
        <w:rPr>
          <w:rFonts w:cstheme="minorHAnsi"/>
          <w:color w:val="000000"/>
          <w:sz w:val="24"/>
          <w:szCs w:val="24"/>
        </w:rPr>
        <w:t xml:space="preserve"> ORGANIZATION</w:t>
      </w:r>
      <w:r w:rsidRPr="00E36FB8">
        <w:rPr>
          <w:rFonts w:cstheme="minorHAnsi"/>
          <w:color w:val="000000"/>
          <w:sz w:val="24"/>
          <w:szCs w:val="24"/>
        </w:rPr>
        <w:t>”)</w:t>
      </w:r>
      <w:r w:rsidR="00AA4180" w:rsidRPr="00E36FB8">
        <w:rPr>
          <w:rFonts w:cstheme="minorHAnsi"/>
          <w:color w:val="000000"/>
          <w:sz w:val="24"/>
          <w:szCs w:val="24"/>
        </w:rPr>
        <w:t>.</w:t>
      </w:r>
      <w:r w:rsidRPr="00E36FB8">
        <w:rPr>
          <w:rFonts w:cstheme="minorHAnsi"/>
          <w:color w:val="000000"/>
          <w:sz w:val="24"/>
          <w:szCs w:val="24"/>
        </w:rPr>
        <w:t xml:space="preserve"> </w:t>
      </w:r>
    </w:p>
    <w:p w14:paraId="08BB0FB8" w14:textId="77777777" w:rsidR="0010788D" w:rsidRPr="00E36FB8" w:rsidRDefault="0010788D" w:rsidP="00952269">
      <w:pPr>
        <w:autoSpaceDE w:val="0"/>
        <w:autoSpaceDN w:val="0"/>
        <w:adjustRightInd w:val="0"/>
        <w:spacing w:after="0" w:line="240" w:lineRule="auto"/>
        <w:jc w:val="both"/>
        <w:rPr>
          <w:sz w:val="24"/>
          <w:szCs w:val="24"/>
        </w:rPr>
      </w:pPr>
    </w:p>
    <w:p w14:paraId="13A272F5" w14:textId="4960FD60" w:rsidR="00250D96" w:rsidRPr="00E36FB8" w:rsidRDefault="00250D96" w:rsidP="00952269">
      <w:pPr>
        <w:jc w:val="both"/>
        <w:rPr>
          <w:rFonts w:cstheme="minorHAnsi"/>
          <w:color w:val="000000"/>
          <w:sz w:val="24"/>
          <w:szCs w:val="24"/>
        </w:rPr>
      </w:pPr>
      <w:r w:rsidRPr="00E36FB8">
        <w:rPr>
          <w:rFonts w:cstheme="minorHAnsi"/>
          <w:color w:val="000000"/>
          <w:sz w:val="24"/>
          <w:szCs w:val="24"/>
        </w:rPr>
        <w:t>WHEREAS</w:t>
      </w:r>
      <w:r w:rsidR="00EE29F8">
        <w:rPr>
          <w:rFonts w:cstheme="minorHAnsi"/>
          <w:color w:val="000000"/>
          <w:sz w:val="24"/>
          <w:szCs w:val="24"/>
        </w:rPr>
        <w:t>,</w:t>
      </w:r>
      <w:r w:rsidRPr="00E36FB8">
        <w:rPr>
          <w:rFonts w:cstheme="minorHAnsi"/>
          <w:color w:val="000000"/>
          <w:sz w:val="24"/>
          <w:szCs w:val="24"/>
        </w:rPr>
        <w:t xml:space="preserve"> the </w:t>
      </w:r>
      <w:r w:rsidR="001F1A7E">
        <w:rPr>
          <w:rFonts w:cstheme="minorHAnsi"/>
          <w:color w:val="000000"/>
          <w:sz w:val="24"/>
          <w:szCs w:val="24"/>
        </w:rPr>
        <w:t>LDACC</w:t>
      </w:r>
      <w:r w:rsidRPr="00E36FB8">
        <w:rPr>
          <w:rFonts w:cstheme="minorHAnsi"/>
          <w:color w:val="000000"/>
          <w:sz w:val="24"/>
          <w:szCs w:val="24"/>
        </w:rPr>
        <w:t xml:space="preserve">, the </w:t>
      </w:r>
      <w:r w:rsidR="001F1A7E">
        <w:rPr>
          <w:rFonts w:cstheme="minorHAnsi"/>
          <w:color w:val="000000"/>
          <w:sz w:val="24"/>
          <w:szCs w:val="24"/>
        </w:rPr>
        <w:t>Laboratory, Data Analysis and Coordinating Center, at the Broad Institute</w:t>
      </w:r>
      <w:r w:rsidRPr="00E36FB8">
        <w:rPr>
          <w:rFonts w:cstheme="minorHAnsi"/>
          <w:color w:val="000000"/>
          <w:sz w:val="24"/>
          <w:szCs w:val="24"/>
        </w:rPr>
        <w:t xml:space="preserve"> has administrative oversight of</w:t>
      </w:r>
      <w:r w:rsidRPr="00E36FB8">
        <w:rPr>
          <w:sz w:val="24"/>
          <w:szCs w:val="24"/>
        </w:rPr>
        <w:t xml:space="preserve"> the </w:t>
      </w:r>
      <w:r w:rsidRPr="00E36FB8">
        <w:rPr>
          <w:rFonts w:cstheme="minorHAnsi"/>
          <w:color w:val="000000"/>
          <w:sz w:val="24"/>
          <w:szCs w:val="24"/>
        </w:rPr>
        <w:t xml:space="preserve">GTEx </w:t>
      </w:r>
      <w:r w:rsidR="001F1A7E">
        <w:rPr>
          <w:rFonts w:cstheme="minorHAnsi"/>
          <w:color w:val="000000"/>
          <w:sz w:val="24"/>
          <w:szCs w:val="24"/>
        </w:rPr>
        <w:t>legacy samples</w:t>
      </w:r>
      <w:r w:rsidR="001F1A7E" w:rsidRPr="00E36FB8">
        <w:rPr>
          <w:rFonts w:cstheme="minorHAnsi"/>
          <w:color w:val="000000"/>
          <w:sz w:val="24"/>
          <w:szCs w:val="24"/>
        </w:rPr>
        <w:t xml:space="preserve"> </w:t>
      </w:r>
      <w:r w:rsidRPr="00E36FB8">
        <w:rPr>
          <w:rFonts w:cstheme="minorHAnsi"/>
          <w:color w:val="000000"/>
          <w:sz w:val="24"/>
          <w:szCs w:val="24"/>
        </w:rPr>
        <w:t>and therefore will handle the approval and tracking of all Material Transfer Agreements (MTAs) involv</w:t>
      </w:r>
      <w:r w:rsidR="000C7C8F">
        <w:rPr>
          <w:rFonts w:cstheme="minorHAnsi"/>
          <w:color w:val="000000"/>
          <w:sz w:val="24"/>
          <w:szCs w:val="24"/>
        </w:rPr>
        <w:t>ing</w:t>
      </w:r>
      <w:r w:rsidRPr="00E36FB8">
        <w:rPr>
          <w:rFonts w:cstheme="minorHAnsi"/>
          <w:color w:val="000000"/>
          <w:sz w:val="24"/>
          <w:szCs w:val="24"/>
        </w:rPr>
        <w:t xml:space="preserve"> </w:t>
      </w:r>
      <w:r w:rsidR="0086543A" w:rsidRPr="00E36FB8">
        <w:rPr>
          <w:rFonts w:cstheme="minorHAnsi"/>
          <w:color w:val="000000"/>
          <w:sz w:val="24"/>
          <w:szCs w:val="24"/>
        </w:rPr>
        <w:t>GTEx biospecimen</w:t>
      </w:r>
      <w:r w:rsidRPr="00E36FB8">
        <w:rPr>
          <w:rFonts w:cstheme="minorHAnsi"/>
          <w:color w:val="000000"/>
          <w:sz w:val="24"/>
          <w:szCs w:val="24"/>
        </w:rPr>
        <w:t xml:space="preserve">s. </w:t>
      </w:r>
    </w:p>
    <w:p w14:paraId="5A20E08B" w14:textId="4DF54F06" w:rsidR="00E64D25" w:rsidRPr="00E36FB8" w:rsidRDefault="00E64D25" w:rsidP="00952269">
      <w:pPr>
        <w:jc w:val="both"/>
        <w:rPr>
          <w:rFonts w:cstheme="minorHAnsi"/>
          <w:color w:val="000000"/>
          <w:sz w:val="24"/>
          <w:szCs w:val="24"/>
        </w:rPr>
      </w:pPr>
      <w:r w:rsidRPr="00E36FB8">
        <w:rPr>
          <w:sz w:val="24"/>
          <w:szCs w:val="24"/>
        </w:rPr>
        <w:t xml:space="preserve">WHEREAS, the </w:t>
      </w:r>
      <w:r w:rsidR="00693CFC">
        <w:rPr>
          <w:sz w:val="24"/>
          <w:szCs w:val="24"/>
        </w:rPr>
        <w:t>PROVIDER</w:t>
      </w:r>
      <w:r w:rsidR="00BE76AD">
        <w:rPr>
          <w:sz w:val="24"/>
          <w:szCs w:val="24"/>
        </w:rPr>
        <w:t>, the LDACC,</w:t>
      </w:r>
      <w:r w:rsidR="00693CFC">
        <w:rPr>
          <w:sz w:val="24"/>
          <w:szCs w:val="24"/>
        </w:rPr>
        <w:t xml:space="preserve"> </w:t>
      </w:r>
      <w:r w:rsidR="006B3A3D" w:rsidRPr="00E36FB8">
        <w:rPr>
          <w:rFonts w:cstheme="minorHAnsi"/>
          <w:color w:val="000000"/>
          <w:sz w:val="24"/>
          <w:szCs w:val="24"/>
        </w:rPr>
        <w:t>has</w:t>
      </w:r>
      <w:r w:rsidRPr="00E36FB8">
        <w:rPr>
          <w:rFonts w:cstheme="minorHAnsi"/>
          <w:color w:val="000000"/>
          <w:sz w:val="24"/>
          <w:szCs w:val="24"/>
        </w:rPr>
        <w:t xml:space="preserve"> approved the request to transfer biospecimens </w:t>
      </w:r>
      <w:r w:rsidR="006B3A3D" w:rsidRPr="00E36FB8">
        <w:rPr>
          <w:rFonts w:cstheme="minorHAnsi"/>
          <w:color w:val="000000"/>
          <w:sz w:val="24"/>
          <w:szCs w:val="24"/>
        </w:rPr>
        <w:t xml:space="preserve">and related data to the Recipient Scientist for the research purposes identified herein.  </w:t>
      </w:r>
    </w:p>
    <w:p w14:paraId="3A530F89" w14:textId="77777777" w:rsidR="006B3A3D" w:rsidRPr="00E36FB8" w:rsidRDefault="006B3A3D" w:rsidP="00952269">
      <w:pPr>
        <w:autoSpaceDE w:val="0"/>
        <w:autoSpaceDN w:val="0"/>
        <w:adjustRightInd w:val="0"/>
        <w:spacing w:after="0" w:line="240" w:lineRule="auto"/>
        <w:jc w:val="both"/>
        <w:rPr>
          <w:rFonts w:cstheme="minorHAnsi"/>
          <w:color w:val="000000"/>
          <w:sz w:val="24"/>
          <w:szCs w:val="24"/>
        </w:rPr>
      </w:pPr>
      <w:r w:rsidRPr="00E36FB8">
        <w:rPr>
          <w:rFonts w:cstheme="minorHAnsi"/>
          <w:color w:val="000000"/>
          <w:sz w:val="24"/>
          <w:szCs w:val="24"/>
        </w:rPr>
        <w:t xml:space="preserve">NOW, THEREFORE, the </w:t>
      </w:r>
      <w:r w:rsidR="00C60B30" w:rsidRPr="00E36FB8">
        <w:rPr>
          <w:rFonts w:cstheme="minorHAnsi"/>
          <w:color w:val="000000"/>
          <w:sz w:val="24"/>
          <w:szCs w:val="24"/>
        </w:rPr>
        <w:t xml:space="preserve">PROVIDER </w:t>
      </w:r>
      <w:r w:rsidRPr="00E36FB8">
        <w:rPr>
          <w:rFonts w:cstheme="minorHAnsi"/>
          <w:color w:val="000000"/>
          <w:sz w:val="24"/>
          <w:szCs w:val="24"/>
        </w:rPr>
        <w:t xml:space="preserve">and </w:t>
      </w:r>
      <w:r w:rsidR="00C60B30" w:rsidRPr="00E36FB8">
        <w:rPr>
          <w:rFonts w:cstheme="minorHAnsi"/>
          <w:color w:val="000000"/>
          <w:sz w:val="24"/>
          <w:szCs w:val="24"/>
        </w:rPr>
        <w:t>RECIPIENT ORGANIZATION</w:t>
      </w:r>
      <w:r w:rsidRPr="00E36FB8">
        <w:rPr>
          <w:rFonts w:cstheme="minorHAnsi"/>
          <w:color w:val="000000"/>
          <w:sz w:val="24"/>
          <w:szCs w:val="24"/>
        </w:rPr>
        <w:t xml:space="preserve">, acting on behalf of the Recipient Scientist, agree as follows: </w:t>
      </w:r>
    </w:p>
    <w:p w14:paraId="1F87C8D9" w14:textId="77777777" w:rsidR="006B3A3D" w:rsidRPr="00E36FB8" w:rsidRDefault="006B3A3D" w:rsidP="00952269">
      <w:pPr>
        <w:autoSpaceDE w:val="0"/>
        <w:autoSpaceDN w:val="0"/>
        <w:adjustRightInd w:val="0"/>
        <w:spacing w:after="0" w:line="240" w:lineRule="auto"/>
        <w:jc w:val="both"/>
        <w:rPr>
          <w:rFonts w:cstheme="minorHAnsi"/>
          <w:color w:val="000000"/>
          <w:sz w:val="24"/>
          <w:szCs w:val="24"/>
        </w:rPr>
      </w:pPr>
    </w:p>
    <w:p w14:paraId="3730EAA6" w14:textId="77777777" w:rsidR="003E031D" w:rsidRPr="00E36FB8" w:rsidRDefault="006B3A3D" w:rsidP="00952269">
      <w:pPr>
        <w:tabs>
          <w:tab w:val="left" w:pos="720"/>
        </w:tabs>
        <w:autoSpaceDE w:val="0"/>
        <w:autoSpaceDN w:val="0"/>
        <w:adjustRightInd w:val="0"/>
        <w:spacing w:after="0" w:line="240" w:lineRule="auto"/>
        <w:ind w:left="360" w:hanging="360"/>
        <w:jc w:val="both"/>
        <w:rPr>
          <w:rFonts w:cstheme="minorHAnsi"/>
          <w:color w:val="000000"/>
          <w:sz w:val="24"/>
          <w:szCs w:val="24"/>
        </w:rPr>
      </w:pPr>
      <w:r w:rsidRPr="00E36FB8">
        <w:rPr>
          <w:rFonts w:cstheme="minorHAnsi"/>
          <w:color w:val="000000"/>
          <w:sz w:val="24"/>
          <w:szCs w:val="24"/>
        </w:rPr>
        <w:t xml:space="preserve">1. </w:t>
      </w:r>
      <w:r w:rsidRPr="00E36FB8">
        <w:rPr>
          <w:rFonts w:cstheme="minorHAnsi"/>
          <w:color w:val="000000"/>
          <w:sz w:val="24"/>
          <w:szCs w:val="24"/>
        </w:rPr>
        <w:tab/>
      </w:r>
      <w:r w:rsidR="003E031D" w:rsidRPr="00E36FB8">
        <w:rPr>
          <w:rFonts w:cstheme="minorHAnsi"/>
          <w:color w:val="000000"/>
          <w:sz w:val="24"/>
          <w:szCs w:val="24"/>
        </w:rPr>
        <w:t xml:space="preserve">Throughout this Agreement, </w:t>
      </w:r>
      <w:r w:rsidR="0086543A" w:rsidRPr="00E36FB8">
        <w:rPr>
          <w:rFonts w:cstheme="minorHAnsi"/>
          <w:color w:val="000000"/>
          <w:sz w:val="24"/>
          <w:szCs w:val="24"/>
        </w:rPr>
        <w:t>PROVIDER</w:t>
      </w:r>
      <w:r w:rsidR="003E031D" w:rsidRPr="00E36FB8">
        <w:rPr>
          <w:rFonts w:cstheme="minorHAnsi"/>
          <w:color w:val="000000"/>
          <w:sz w:val="24"/>
          <w:szCs w:val="24"/>
        </w:rPr>
        <w:t xml:space="preserve"> and </w:t>
      </w:r>
      <w:r w:rsidR="0086543A" w:rsidRPr="00E36FB8">
        <w:rPr>
          <w:rFonts w:cstheme="minorHAnsi"/>
          <w:color w:val="000000"/>
          <w:sz w:val="24"/>
          <w:szCs w:val="24"/>
        </w:rPr>
        <w:t>RECIPIENT ORGANIZATION</w:t>
      </w:r>
      <w:r w:rsidR="003E031D" w:rsidRPr="00E36FB8">
        <w:rPr>
          <w:rFonts w:cstheme="minorHAnsi"/>
          <w:color w:val="000000"/>
          <w:sz w:val="24"/>
          <w:szCs w:val="24"/>
        </w:rPr>
        <w:t xml:space="preserve"> are collectively referred to as the “Parties.” This Agreement will become effective upon the date of the last signature affixed below. </w:t>
      </w:r>
    </w:p>
    <w:p w14:paraId="6AA6B686" w14:textId="77777777" w:rsidR="003E031D" w:rsidRPr="00E36FB8" w:rsidRDefault="003E031D" w:rsidP="00952269">
      <w:pPr>
        <w:tabs>
          <w:tab w:val="left" w:pos="720"/>
        </w:tabs>
        <w:autoSpaceDE w:val="0"/>
        <w:autoSpaceDN w:val="0"/>
        <w:adjustRightInd w:val="0"/>
        <w:spacing w:after="0" w:line="240" w:lineRule="auto"/>
        <w:ind w:left="720" w:hanging="360"/>
        <w:jc w:val="both"/>
        <w:rPr>
          <w:rFonts w:cstheme="minorHAnsi"/>
          <w:color w:val="000000"/>
          <w:sz w:val="24"/>
          <w:szCs w:val="24"/>
        </w:rPr>
      </w:pPr>
    </w:p>
    <w:p w14:paraId="18B512D1" w14:textId="764E4C9C" w:rsidR="00B57CA9" w:rsidRPr="00E36FB8" w:rsidRDefault="006B3A3D" w:rsidP="00952269">
      <w:pPr>
        <w:tabs>
          <w:tab w:val="left" w:pos="720"/>
        </w:tabs>
        <w:ind w:left="360" w:hanging="360"/>
        <w:jc w:val="both"/>
        <w:rPr>
          <w:sz w:val="24"/>
          <w:szCs w:val="24"/>
        </w:rPr>
      </w:pPr>
      <w:r w:rsidRPr="00E36FB8">
        <w:rPr>
          <w:sz w:val="24"/>
          <w:szCs w:val="24"/>
        </w:rPr>
        <w:t xml:space="preserve">2.   </w:t>
      </w:r>
      <w:r w:rsidR="00B57CA9" w:rsidRPr="00E36FB8">
        <w:rPr>
          <w:sz w:val="24"/>
          <w:szCs w:val="24"/>
        </w:rPr>
        <w:tab/>
      </w:r>
      <w:r w:rsidRPr="00E36FB8">
        <w:rPr>
          <w:sz w:val="24"/>
          <w:szCs w:val="24"/>
        </w:rPr>
        <w:t>The fo</w:t>
      </w:r>
      <w:r w:rsidR="008A59F8" w:rsidRPr="00E36FB8">
        <w:rPr>
          <w:sz w:val="24"/>
          <w:szCs w:val="24"/>
        </w:rPr>
        <w:t xml:space="preserve">llowing biospecimens and/or </w:t>
      </w:r>
      <w:r w:rsidR="00BE76AD">
        <w:rPr>
          <w:sz w:val="24"/>
          <w:szCs w:val="24"/>
        </w:rPr>
        <w:t>modified and/or u</w:t>
      </w:r>
      <w:r w:rsidR="0005529F" w:rsidRPr="00E36FB8">
        <w:rPr>
          <w:sz w:val="24"/>
          <w:szCs w:val="24"/>
        </w:rPr>
        <w:t xml:space="preserve">nmodified </w:t>
      </w:r>
      <w:r w:rsidR="005B435E" w:rsidRPr="00E36FB8">
        <w:rPr>
          <w:sz w:val="24"/>
          <w:szCs w:val="24"/>
        </w:rPr>
        <w:t>D</w:t>
      </w:r>
      <w:r w:rsidR="008A59F8" w:rsidRPr="00E36FB8">
        <w:rPr>
          <w:sz w:val="24"/>
          <w:szCs w:val="24"/>
        </w:rPr>
        <w:t>erivatives (“MATERIAL”)</w:t>
      </w:r>
      <w:r w:rsidR="00B57CA9" w:rsidRPr="00E36FB8">
        <w:rPr>
          <w:sz w:val="24"/>
          <w:szCs w:val="24"/>
        </w:rPr>
        <w:t xml:space="preserve"> and the following data (“DATA”) shall be transferred to </w:t>
      </w:r>
      <w:r w:rsidR="0086543A" w:rsidRPr="00E36FB8">
        <w:rPr>
          <w:sz w:val="24"/>
          <w:szCs w:val="24"/>
        </w:rPr>
        <w:t>RECIPIENT ORGANIZATION</w:t>
      </w:r>
      <w:r w:rsidR="008A59F8" w:rsidRPr="00E36FB8">
        <w:rPr>
          <w:sz w:val="24"/>
          <w:szCs w:val="24"/>
        </w:rPr>
        <w:t>:</w:t>
      </w:r>
    </w:p>
    <w:p w14:paraId="759F911F" w14:textId="77777777" w:rsidR="00B57CA9" w:rsidRPr="00234E75" w:rsidRDefault="00B57CA9" w:rsidP="00952269">
      <w:pPr>
        <w:tabs>
          <w:tab w:val="left" w:pos="720"/>
        </w:tabs>
        <w:ind w:left="720" w:hanging="360"/>
        <w:jc w:val="both"/>
        <w:rPr>
          <w:sz w:val="24"/>
          <w:szCs w:val="24"/>
          <w:highlight w:val="yellow"/>
        </w:rPr>
      </w:pPr>
      <w:r w:rsidRPr="00E36FB8">
        <w:rPr>
          <w:sz w:val="24"/>
          <w:szCs w:val="24"/>
        </w:rPr>
        <w:tab/>
      </w:r>
      <w:r w:rsidR="008A59F8" w:rsidRPr="00E36FB8">
        <w:rPr>
          <w:sz w:val="24"/>
          <w:szCs w:val="24"/>
        </w:rPr>
        <w:t xml:space="preserve"> </w:t>
      </w:r>
      <w:r w:rsidR="008A59F8" w:rsidRPr="00234E75">
        <w:rPr>
          <w:i/>
          <w:sz w:val="24"/>
          <w:szCs w:val="24"/>
          <w:highlight w:val="yellow"/>
        </w:rPr>
        <w:t>&lt;insert description of specific samples to be transferred&gt;</w:t>
      </w:r>
      <w:r w:rsidR="008A59F8" w:rsidRPr="00234E75">
        <w:rPr>
          <w:sz w:val="24"/>
          <w:szCs w:val="24"/>
          <w:highlight w:val="yellow"/>
        </w:rPr>
        <w:t xml:space="preserve"> </w:t>
      </w:r>
    </w:p>
    <w:p w14:paraId="058F511F" w14:textId="77777777" w:rsidR="00B57CA9" w:rsidRPr="00E36FB8" w:rsidRDefault="00B57CA9" w:rsidP="00952269">
      <w:pPr>
        <w:tabs>
          <w:tab w:val="left" w:pos="720"/>
        </w:tabs>
        <w:ind w:left="720" w:hanging="360"/>
        <w:jc w:val="both"/>
        <w:rPr>
          <w:sz w:val="24"/>
          <w:szCs w:val="24"/>
        </w:rPr>
      </w:pPr>
      <w:r w:rsidRPr="00234E75">
        <w:rPr>
          <w:sz w:val="24"/>
          <w:szCs w:val="24"/>
          <w:highlight w:val="yellow"/>
        </w:rPr>
        <w:tab/>
      </w:r>
      <w:r w:rsidR="008A59F8" w:rsidRPr="00234E75">
        <w:rPr>
          <w:i/>
          <w:sz w:val="24"/>
          <w:szCs w:val="24"/>
          <w:highlight w:val="yellow"/>
        </w:rPr>
        <w:t>&lt;insert description of specific data to be transferred, if applicable&gt;</w:t>
      </w:r>
      <w:r w:rsidR="00AB5837" w:rsidRPr="00E36FB8">
        <w:rPr>
          <w:sz w:val="24"/>
          <w:szCs w:val="24"/>
        </w:rPr>
        <w:t xml:space="preserve"> </w:t>
      </w:r>
      <w:r w:rsidRPr="00E36FB8">
        <w:rPr>
          <w:sz w:val="24"/>
          <w:szCs w:val="24"/>
        </w:rPr>
        <w:t xml:space="preserve"> </w:t>
      </w:r>
    </w:p>
    <w:p w14:paraId="079F41B6" w14:textId="0ED3A47E" w:rsidR="00B57CA9" w:rsidRPr="00E36FB8" w:rsidRDefault="00C60B30" w:rsidP="00952269">
      <w:pPr>
        <w:tabs>
          <w:tab w:val="left" w:pos="720"/>
        </w:tabs>
        <w:ind w:left="720" w:hanging="360"/>
        <w:jc w:val="both"/>
        <w:rPr>
          <w:rFonts w:cstheme="minorHAnsi"/>
          <w:color w:val="000000"/>
          <w:sz w:val="24"/>
          <w:szCs w:val="24"/>
        </w:rPr>
      </w:pPr>
      <w:r w:rsidRPr="00E36FB8">
        <w:rPr>
          <w:sz w:val="24"/>
          <w:szCs w:val="24"/>
        </w:rPr>
        <w:tab/>
      </w:r>
      <w:r w:rsidR="00ED5E2E" w:rsidRPr="00E36FB8">
        <w:rPr>
          <w:rFonts w:cstheme="minorHAnsi"/>
          <w:color w:val="000000"/>
          <w:sz w:val="24"/>
          <w:szCs w:val="24"/>
        </w:rPr>
        <w:t>The above MATERIAL</w:t>
      </w:r>
      <w:r w:rsidR="008A59F8" w:rsidRPr="00E36FB8">
        <w:rPr>
          <w:rFonts w:cstheme="minorHAnsi"/>
          <w:color w:val="000000"/>
          <w:sz w:val="24"/>
          <w:szCs w:val="24"/>
        </w:rPr>
        <w:t xml:space="preserve"> and DATA are</w:t>
      </w:r>
      <w:r w:rsidR="00ED5E2E" w:rsidRPr="00E36FB8">
        <w:rPr>
          <w:rFonts w:cstheme="minorHAnsi"/>
          <w:color w:val="000000"/>
          <w:sz w:val="24"/>
          <w:szCs w:val="24"/>
        </w:rPr>
        <w:t xml:space="preserve"> the property of the PROVIDER and </w:t>
      </w:r>
      <w:r w:rsidR="008A59F8" w:rsidRPr="00E36FB8">
        <w:rPr>
          <w:rFonts w:cstheme="minorHAnsi"/>
          <w:color w:val="000000"/>
          <w:sz w:val="24"/>
          <w:szCs w:val="24"/>
        </w:rPr>
        <w:t xml:space="preserve">are </w:t>
      </w:r>
      <w:r w:rsidR="00ED5E2E" w:rsidRPr="00E36FB8">
        <w:rPr>
          <w:rFonts w:cstheme="minorHAnsi"/>
          <w:color w:val="000000"/>
          <w:sz w:val="24"/>
          <w:szCs w:val="24"/>
        </w:rPr>
        <w:t xml:space="preserve">made available </w:t>
      </w:r>
      <w:r w:rsidR="00B57CA9" w:rsidRPr="00E36FB8">
        <w:rPr>
          <w:rFonts w:cstheme="minorHAnsi"/>
          <w:color w:val="000000"/>
          <w:sz w:val="24"/>
          <w:szCs w:val="24"/>
        </w:rPr>
        <w:t xml:space="preserve">to </w:t>
      </w:r>
      <w:r w:rsidR="00075EA5" w:rsidRPr="00E36FB8">
        <w:rPr>
          <w:rFonts w:cstheme="minorHAnsi"/>
          <w:color w:val="000000"/>
          <w:sz w:val="24"/>
          <w:szCs w:val="24"/>
        </w:rPr>
        <w:t xml:space="preserve">RECIPIENT SCIENTIST </w:t>
      </w:r>
      <w:r w:rsidR="00B57CA9" w:rsidRPr="00E36FB8">
        <w:rPr>
          <w:rFonts w:cstheme="minorHAnsi"/>
          <w:color w:val="000000"/>
          <w:sz w:val="24"/>
          <w:szCs w:val="24"/>
        </w:rPr>
        <w:t xml:space="preserve">and </w:t>
      </w:r>
      <w:r w:rsidR="00075EA5" w:rsidRPr="00E36FB8">
        <w:rPr>
          <w:rFonts w:cstheme="minorHAnsi"/>
          <w:color w:val="000000"/>
          <w:sz w:val="24"/>
          <w:szCs w:val="24"/>
        </w:rPr>
        <w:t>RECIPIENT ORGANIZATION</w:t>
      </w:r>
      <w:r w:rsidR="00B57CA9" w:rsidRPr="00E36FB8">
        <w:rPr>
          <w:rFonts w:cstheme="minorHAnsi"/>
          <w:color w:val="000000"/>
          <w:sz w:val="24"/>
          <w:szCs w:val="24"/>
        </w:rPr>
        <w:t xml:space="preserve"> </w:t>
      </w:r>
      <w:r w:rsidR="00ED5E2E" w:rsidRPr="00E36FB8">
        <w:rPr>
          <w:rFonts w:cstheme="minorHAnsi"/>
          <w:color w:val="000000"/>
          <w:sz w:val="24"/>
          <w:szCs w:val="24"/>
        </w:rPr>
        <w:t xml:space="preserve">as a service to the research community. </w:t>
      </w:r>
      <w:r w:rsidR="00BE76AD">
        <w:rPr>
          <w:rFonts w:cstheme="minorHAnsi"/>
          <w:color w:val="000000"/>
          <w:sz w:val="24"/>
          <w:szCs w:val="24"/>
        </w:rPr>
        <w:t>Researchers accessing the materials may be charged on a cost recovery basis.</w:t>
      </w:r>
    </w:p>
    <w:p w14:paraId="03A88DE8" w14:textId="77777777" w:rsidR="00AF6C45" w:rsidRPr="00E36FB8" w:rsidRDefault="00AF6C45" w:rsidP="00952269">
      <w:pPr>
        <w:widowControl w:val="0"/>
        <w:ind w:left="360" w:hanging="360"/>
        <w:jc w:val="both"/>
        <w:rPr>
          <w:rFonts w:eastAsia="Times New Roman" w:cstheme="minorHAnsi"/>
          <w:sz w:val="24"/>
          <w:szCs w:val="24"/>
        </w:rPr>
      </w:pPr>
      <w:r w:rsidRPr="00E36FB8">
        <w:rPr>
          <w:rFonts w:cstheme="minorHAnsi"/>
          <w:color w:val="000000"/>
          <w:sz w:val="24"/>
          <w:szCs w:val="24"/>
        </w:rPr>
        <w:t xml:space="preserve">3. </w:t>
      </w:r>
      <w:r w:rsidRPr="00E36FB8">
        <w:rPr>
          <w:rFonts w:cstheme="minorHAnsi"/>
          <w:color w:val="000000"/>
          <w:sz w:val="24"/>
          <w:szCs w:val="24"/>
        </w:rPr>
        <w:tab/>
      </w:r>
      <w:r w:rsidRPr="00E36FB8">
        <w:rPr>
          <w:rFonts w:eastAsia="Times New Roman" w:cstheme="minorHAnsi"/>
          <w:sz w:val="24"/>
          <w:szCs w:val="24"/>
          <w:u w:val="single"/>
        </w:rPr>
        <w:t>Definitions</w:t>
      </w:r>
      <w:r w:rsidRPr="00E36FB8">
        <w:rPr>
          <w:rFonts w:eastAsia="Times New Roman" w:cstheme="minorHAnsi"/>
          <w:sz w:val="24"/>
          <w:szCs w:val="24"/>
        </w:rPr>
        <w:t>.  The following definitions, which derive from the Uniform Biological Materials Transfer Agreement (UBMTA), shall apply herein:</w:t>
      </w:r>
    </w:p>
    <w:p w14:paraId="7458A5E4" w14:textId="46672D8F" w:rsidR="00AF6C45" w:rsidRPr="00E36FB8" w:rsidRDefault="00AF6C45" w:rsidP="00952269">
      <w:pPr>
        <w:widowControl w:val="0"/>
        <w:overflowPunct w:val="0"/>
        <w:autoSpaceDE w:val="0"/>
        <w:autoSpaceDN w:val="0"/>
        <w:adjustRightInd w:val="0"/>
        <w:spacing w:after="0" w:line="240" w:lineRule="auto"/>
        <w:ind w:left="820" w:hanging="360"/>
        <w:jc w:val="both"/>
        <w:textAlignment w:val="baseline"/>
        <w:rPr>
          <w:rFonts w:eastAsia="Times New Roman" w:cstheme="minorHAnsi"/>
          <w:sz w:val="24"/>
          <w:szCs w:val="24"/>
        </w:rPr>
      </w:pPr>
      <w:r w:rsidRPr="00E36FB8">
        <w:rPr>
          <w:rFonts w:eastAsia="Times New Roman" w:cstheme="minorHAnsi"/>
          <w:sz w:val="24"/>
          <w:szCs w:val="24"/>
        </w:rPr>
        <w:tab/>
        <w:t xml:space="preserve">a.  </w:t>
      </w:r>
      <w:r w:rsidR="005B435E" w:rsidRPr="00E36FB8">
        <w:rPr>
          <w:rFonts w:eastAsia="Times New Roman" w:cstheme="minorHAnsi"/>
          <w:sz w:val="24"/>
          <w:szCs w:val="24"/>
        </w:rPr>
        <w:t>Unmodified derivatives</w:t>
      </w:r>
      <w:r w:rsidRPr="00E36FB8">
        <w:rPr>
          <w:rFonts w:eastAsia="Times New Roman" w:cstheme="minorHAnsi"/>
          <w:sz w:val="24"/>
          <w:szCs w:val="24"/>
        </w:rPr>
        <w:t xml:space="preserve">:  Substances created by the RECIPIENT which constitute an unmodified functional subunit or product expressed by the MATERIAL provided under this </w:t>
      </w:r>
      <w:r w:rsidR="00952269">
        <w:rPr>
          <w:rFonts w:eastAsia="Times New Roman" w:cstheme="minorHAnsi"/>
          <w:sz w:val="24"/>
          <w:szCs w:val="24"/>
        </w:rPr>
        <w:t>A</w:t>
      </w:r>
      <w:r w:rsidRPr="00E36FB8">
        <w:rPr>
          <w:rFonts w:eastAsia="Times New Roman" w:cstheme="minorHAnsi"/>
          <w:sz w:val="24"/>
          <w:szCs w:val="24"/>
        </w:rPr>
        <w:t>greement.  Some examples include, without limitation:  subclones of unmodified cell lines, purified or fractionated subsets of the MATERIAL, proteins expressed by DNA/RNA isolated from MATERIAL, or monoclonal antibodies secreted by a hybridoma cell line</w:t>
      </w:r>
      <w:r w:rsidR="005B435E" w:rsidRPr="00E36FB8">
        <w:rPr>
          <w:rFonts w:eastAsia="Times New Roman" w:cstheme="minorHAnsi"/>
          <w:sz w:val="24"/>
          <w:szCs w:val="24"/>
        </w:rPr>
        <w:t xml:space="preserve"> created using MATERIAL</w:t>
      </w:r>
      <w:r w:rsidRPr="00E36FB8">
        <w:rPr>
          <w:rFonts w:eastAsia="Times New Roman" w:cstheme="minorHAnsi"/>
          <w:sz w:val="24"/>
          <w:szCs w:val="24"/>
        </w:rPr>
        <w:t xml:space="preserve">. </w:t>
      </w:r>
    </w:p>
    <w:p w14:paraId="07E106E8" w14:textId="77777777" w:rsidR="00AF6C45" w:rsidRPr="00E36FB8" w:rsidRDefault="00AF6C45" w:rsidP="00952269">
      <w:pPr>
        <w:widowControl w:val="0"/>
        <w:overflowPunct w:val="0"/>
        <w:autoSpaceDE w:val="0"/>
        <w:autoSpaceDN w:val="0"/>
        <w:adjustRightInd w:val="0"/>
        <w:spacing w:after="0" w:line="240" w:lineRule="auto"/>
        <w:ind w:left="820" w:hanging="360"/>
        <w:jc w:val="both"/>
        <w:textAlignment w:val="baseline"/>
        <w:rPr>
          <w:rFonts w:eastAsia="Times New Roman" w:cstheme="minorHAnsi"/>
          <w:sz w:val="24"/>
          <w:szCs w:val="24"/>
        </w:rPr>
      </w:pPr>
    </w:p>
    <w:p w14:paraId="5ED2951F" w14:textId="77777777" w:rsidR="00AF6C45" w:rsidRPr="00E36FB8" w:rsidRDefault="00AF6C45" w:rsidP="00952269">
      <w:pPr>
        <w:widowControl w:val="0"/>
        <w:overflowPunct w:val="0"/>
        <w:autoSpaceDE w:val="0"/>
        <w:autoSpaceDN w:val="0"/>
        <w:adjustRightInd w:val="0"/>
        <w:spacing w:after="0" w:line="240" w:lineRule="auto"/>
        <w:ind w:left="820" w:hanging="360"/>
        <w:jc w:val="both"/>
        <w:textAlignment w:val="baseline"/>
        <w:rPr>
          <w:rFonts w:eastAsia="Times New Roman" w:cstheme="minorHAnsi"/>
          <w:sz w:val="24"/>
          <w:szCs w:val="24"/>
        </w:rPr>
      </w:pPr>
      <w:r w:rsidRPr="00E36FB8">
        <w:rPr>
          <w:rFonts w:eastAsia="Times New Roman" w:cstheme="minorHAnsi"/>
          <w:sz w:val="24"/>
          <w:szCs w:val="24"/>
        </w:rPr>
        <w:tab/>
        <w:t xml:space="preserve">b.  </w:t>
      </w:r>
      <w:r w:rsidR="005B435E" w:rsidRPr="00E36FB8">
        <w:rPr>
          <w:rFonts w:eastAsia="Times New Roman" w:cstheme="minorHAnsi"/>
          <w:sz w:val="24"/>
          <w:szCs w:val="24"/>
        </w:rPr>
        <w:t>Modifications</w:t>
      </w:r>
      <w:r w:rsidRPr="00E36FB8">
        <w:rPr>
          <w:rFonts w:eastAsia="Times New Roman" w:cstheme="minorHAnsi"/>
          <w:sz w:val="24"/>
          <w:szCs w:val="24"/>
        </w:rPr>
        <w:t xml:space="preserve">:  Substances created by the RECIPIENT which contain or incorporate all </w:t>
      </w:r>
      <w:r w:rsidRPr="00E36FB8">
        <w:rPr>
          <w:rFonts w:eastAsia="Times New Roman" w:cstheme="minorHAnsi"/>
          <w:sz w:val="24"/>
          <w:szCs w:val="24"/>
        </w:rPr>
        <w:lastRenderedPageBreak/>
        <w:t xml:space="preserve">or part of the MATERIAL, including but not limited to induced pluripotent stem cells (iPSC) and their subsequently derived cell lines, and transfected cells. </w:t>
      </w:r>
    </w:p>
    <w:p w14:paraId="1C827B61" w14:textId="47C32A5D" w:rsidR="00AF6C45" w:rsidRPr="00E36FB8" w:rsidRDefault="00AF6C45" w:rsidP="00952269">
      <w:pPr>
        <w:widowControl w:val="0"/>
        <w:overflowPunct w:val="0"/>
        <w:autoSpaceDE w:val="0"/>
        <w:autoSpaceDN w:val="0"/>
        <w:adjustRightInd w:val="0"/>
        <w:spacing w:after="0" w:line="240" w:lineRule="auto"/>
        <w:ind w:left="820" w:hanging="360"/>
        <w:jc w:val="both"/>
        <w:textAlignment w:val="baseline"/>
        <w:rPr>
          <w:rFonts w:cstheme="minorHAnsi"/>
          <w:color w:val="000000"/>
          <w:sz w:val="24"/>
          <w:szCs w:val="24"/>
        </w:rPr>
      </w:pPr>
      <w:r w:rsidRPr="00E36FB8">
        <w:rPr>
          <w:rFonts w:eastAsia="Times New Roman" w:cstheme="minorHAnsi"/>
          <w:sz w:val="24"/>
          <w:szCs w:val="24"/>
        </w:rPr>
        <w:tab/>
      </w:r>
    </w:p>
    <w:p w14:paraId="54C3EC2A" w14:textId="5354001E" w:rsidR="00ED5E2E" w:rsidRPr="00E36FB8" w:rsidRDefault="006127F4" w:rsidP="00952269">
      <w:pPr>
        <w:tabs>
          <w:tab w:val="left" w:pos="720"/>
        </w:tabs>
        <w:ind w:left="360" w:hanging="360"/>
        <w:jc w:val="both"/>
        <w:rPr>
          <w:rFonts w:cstheme="minorHAnsi"/>
          <w:color w:val="000000"/>
          <w:sz w:val="24"/>
          <w:szCs w:val="24"/>
        </w:rPr>
      </w:pPr>
      <w:r>
        <w:rPr>
          <w:sz w:val="24"/>
          <w:szCs w:val="24"/>
        </w:rPr>
        <w:t>4</w:t>
      </w:r>
      <w:r w:rsidR="00B57CA9" w:rsidRPr="00E36FB8">
        <w:rPr>
          <w:sz w:val="24"/>
          <w:szCs w:val="24"/>
        </w:rPr>
        <w:t>.</w:t>
      </w:r>
      <w:r w:rsidR="00B57CA9" w:rsidRPr="00E36FB8">
        <w:rPr>
          <w:rFonts w:cstheme="minorHAnsi"/>
          <w:bCs/>
          <w:color w:val="000000"/>
          <w:sz w:val="24"/>
          <w:szCs w:val="24"/>
        </w:rPr>
        <w:tab/>
      </w:r>
      <w:r w:rsidR="00CD2A98" w:rsidRPr="00E36FB8">
        <w:rPr>
          <w:rFonts w:cstheme="minorHAnsi"/>
          <w:bCs/>
          <w:color w:val="000000"/>
          <w:sz w:val="24"/>
          <w:szCs w:val="24"/>
        </w:rPr>
        <w:t>Th</w:t>
      </w:r>
      <w:r w:rsidR="00B57CA9" w:rsidRPr="00E36FB8">
        <w:rPr>
          <w:rFonts w:cstheme="minorHAnsi"/>
          <w:bCs/>
          <w:color w:val="000000"/>
          <w:sz w:val="24"/>
          <w:szCs w:val="24"/>
        </w:rPr>
        <w:t>e</w:t>
      </w:r>
      <w:r w:rsidR="00CD2A98" w:rsidRPr="00E36FB8">
        <w:rPr>
          <w:rFonts w:cstheme="minorHAnsi"/>
          <w:bCs/>
          <w:color w:val="000000"/>
          <w:sz w:val="24"/>
          <w:szCs w:val="24"/>
        </w:rPr>
        <w:t xml:space="preserve"> </w:t>
      </w:r>
      <w:r w:rsidR="00B57CA9" w:rsidRPr="00E36FB8">
        <w:rPr>
          <w:rFonts w:cstheme="minorHAnsi"/>
          <w:bCs/>
          <w:color w:val="000000"/>
          <w:sz w:val="24"/>
          <w:szCs w:val="24"/>
        </w:rPr>
        <w:t xml:space="preserve">MATERIAL </w:t>
      </w:r>
      <w:r w:rsidR="00CD2A98" w:rsidRPr="00E36FB8">
        <w:rPr>
          <w:rFonts w:cstheme="minorHAnsi"/>
          <w:bCs/>
          <w:color w:val="000000"/>
          <w:sz w:val="24"/>
          <w:szCs w:val="24"/>
        </w:rPr>
        <w:t xml:space="preserve">and </w:t>
      </w:r>
      <w:r w:rsidR="00B57CA9" w:rsidRPr="00E36FB8">
        <w:rPr>
          <w:rFonts w:cstheme="minorHAnsi"/>
          <w:bCs/>
          <w:color w:val="000000"/>
          <w:sz w:val="24"/>
          <w:szCs w:val="24"/>
        </w:rPr>
        <w:t>DATA</w:t>
      </w:r>
      <w:r w:rsidR="00CD2A98" w:rsidRPr="00E36FB8">
        <w:rPr>
          <w:rFonts w:cstheme="minorHAnsi"/>
          <w:bCs/>
          <w:color w:val="000000"/>
          <w:sz w:val="24"/>
          <w:szCs w:val="24"/>
        </w:rPr>
        <w:t xml:space="preserve"> are not for use in human subjects</w:t>
      </w:r>
      <w:r w:rsidR="00ED5E2E" w:rsidRPr="00E36FB8">
        <w:rPr>
          <w:rFonts w:cstheme="minorHAnsi"/>
          <w:bCs/>
          <w:color w:val="000000"/>
          <w:sz w:val="24"/>
          <w:szCs w:val="24"/>
        </w:rPr>
        <w:t xml:space="preserve"> </w:t>
      </w:r>
      <w:r w:rsidR="00CD2A98" w:rsidRPr="00E36FB8">
        <w:rPr>
          <w:rFonts w:cstheme="minorHAnsi"/>
          <w:bCs/>
          <w:color w:val="000000"/>
          <w:sz w:val="24"/>
          <w:szCs w:val="24"/>
        </w:rPr>
        <w:t>or for the treatment or diagnosis of human subjects</w:t>
      </w:r>
      <w:r w:rsidR="00B57CA9" w:rsidRPr="00E36FB8">
        <w:rPr>
          <w:rFonts w:cstheme="minorHAnsi"/>
          <w:bCs/>
          <w:color w:val="000000"/>
          <w:sz w:val="24"/>
          <w:szCs w:val="24"/>
        </w:rPr>
        <w:t xml:space="preserve"> or patients</w:t>
      </w:r>
      <w:r w:rsidR="00CD2A98" w:rsidRPr="00E36FB8">
        <w:rPr>
          <w:rFonts w:cstheme="minorHAnsi"/>
          <w:bCs/>
          <w:color w:val="000000"/>
          <w:sz w:val="24"/>
          <w:szCs w:val="24"/>
        </w:rPr>
        <w:t>.</w:t>
      </w:r>
    </w:p>
    <w:p w14:paraId="7B47DC60" w14:textId="54AD3B0C" w:rsidR="00ED5E2E" w:rsidRPr="00391B40" w:rsidRDefault="006127F4" w:rsidP="00952269">
      <w:pPr>
        <w:autoSpaceDE w:val="0"/>
        <w:autoSpaceDN w:val="0"/>
        <w:adjustRightInd w:val="0"/>
        <w:spacing w:before="120" w:after="120" w:line="240" w:lineRule="auto"/>
        <w:ind w:left="360" w:hanging="360"/>
        <w:jc w:val="both"/>
        <w:rPr>
          <w:rFonts w:cstheme="minorHAnsi"/>
          <w:color w:val="000000"/>
          <w:sz w:val="24"/>
          <w:szCs w:val="24"/>
        </w:rPr>
      </w:pPr>
      <w:r>
        <w:rPr>
          <w:rFonts w:cstheme="minorHAnsi"/>
          <w:color w:val="000000"/>
          <w:sz w:val="24"/>
          <w:szCs w:val="24"/>
        </w:rPr>
        <w:t>5.</w:t>
      </w:r>
      <w:r>
        <w:rPr>
          <w:rFonts w:cstheme="minorHAnsi"/>
          <w:color w:val="000000"/>
          <w:sz w:val="24"/>
          <w:szCs w:val="24"/>
        </w:rPr>
        <w:tab/>
      </w:r>
      <w:r w:rsidR="00CD2A98" w:rsidRPr="00391B40">
        <w:rPr>
          <w:rFonts w:cstheme="minorHAnsi"/>
          <w:color w:val="000000"/>
          <w:sz w:val="24"/>
          <w:szCs w:val="24"/>
        </w:rPr>
        <w:t>T</w:t>
      </w:r>
      <w:r w:rsidR="008A59F8" w:rsidRPr="00391B40">
        <w:rPr>
          <w:rFonts w:cstheme="minorHAnsi"/>
          <w:color w:val="000000"/>
          <w:sz w:val="24"/>
          <w:szCs w:val="24"/>
        </w:rPr>
        <w:t xml:space="preserve">he MATERIAL and DATA provided by </w:t>
      </w:r>
      <w:r w:rsidR="000D2C83">
        <w:rPr>
          <w:rFonts w:cstheme="minorHAnsi"/>
          <w:color w:val="000000"/>
          <w:sz w:val="24"/>
          <w:szCs w:val="24"/>
        </w:rPr>
        <w:t xml:space="preserve">the </w:t>
      </w:r>
      <w:r w:rsidR="00075EA5" w:rsidRPr="00391B40">
        <w:rPr>
          <w:rFonts w:cstheme="minorHAnsi"/>
          <w:color w:val="000000"/>
          <w:sz w:val="24"/>
          <w:szCs w:val="24"/>
        </w:rPr>
        <w:t>PROVIDER</w:t>
      </w:r>
      <w:r w:rsidR="008A59F8" w:rsidRPr="00391B40">
        <w:rPr>
          <w:rFonts w:cstheme="minorHAnsi"/>
          <w:color w:val="000000"/>
          <w:sz w:val="24"/>
          <w:szCs w:val="24"/>
        </w:rPr>
        <w:t xml:space="preserve"> will be de-identified and all Protected Health Information (PHI), as defined by the Federal Health Insurance Portability and Accountability Act (HIPAA, 45 C.F.R. 164)</w:t>
      </w:r>
      <w:r w:rsidR="00EE29F8">
        <w:rPr>
          <w:rFonts w:cstheme="minorHAnsi"/>
          <w:color w:val="000000"/>
          <w:sz w:val="24"/>
          <w:szCs w:val="24"/>
        </w:rPr>
        <w:t>,</w:t>
      </w:r>
      <w:r w:rsidR="008A59F8" w:rsidRPr="00391B40">
        <w:rPr>
          <w:rFonts w:cstheme="minorHAnsi"/>
          <w:color w:val="000000"/>
          <w:sz w:val="24"/>
          <w:szCs w:val="24"/>
        </w:rPr>
        <w:t xml:space="preserve"> will have been removed.</w:t>
      </w:r>
    </w:p>
    <w:p w14:paraId="7DC6AF76" w14:textId="27B0DF28" w:rsidR="00ED5E2E" w:rsidRPr="00391B40" w:rsidRDefault="006127F4" w:rsidP="00952269">
      <w:pPr>
        <w:autoSpaceDE w:val="0"/>
        <w:autoSpaceDN w:val="0"/>
        <w:adjustRightInd w:val="0"/>
        <w:spacing w:before="120" w:after="120" w:line="240" w:lineRule="auto"/>
        <w:ind w:left="360" w:hanging="360"/>
        <w:jc w:val="both"/>
        <w:rPr>
          <w:rFonts w:cstheme="minorHAnsi"/>
          <w:color w:val="000000"/>
          <w:sz w:val="24"/>
          <w:szCs w:val="24"/>
        </w:rPr>
      </w:pPr>
      <w:r>
        <w:rPr>
          <w:rFonts w:cstheme="minorHAnsi"/>
          <w:color w:val="000000"/>
          <w:sz w:val="24"/>
          <w:szCs w:val="24"/>
        </w:rPr>
        <w:t>6.</w:t>
      </w:r>
      <w:r>
        <w:rPr>
          <w:rFonts w:cstheme="minorHAnsi"/>
          <w:color w:val="000000"/>
          <w:sz w:val="24"/>
          <w:szCs w:val="24"/>
        </w:rPr>
        <w:tab/>
      </w:r>
      <w:r w:rsidR="00ED5E2E" w:rsidRPr="00391B40">
        <w:rPr>
          <w:rFonts w:cstheme="minorHAnsi"/>
          <w:color w:val="000000"/>
          <w:sz w:val="24"/>
          <w:szCs w:val="24"/>
        </w:rPr>
        <w:t xml:space="preserve">The MATERIAL </w:t>
      </w:r>
      <w:r w:rsidR="008631D8" w:rsidRPr="00391B40">
        <w:rPr>
          <w:rFonts w:cstheme="minorHAnsi"/>
          <w:color w:val="000000"/>
          <w:sz w:val="24"/>
          <w:szCs w:val="24"/>
        </w:rPr>
        <w:t>and/or DATA</w:t>
      </w:r>
      <w:r w:rsidR="009B6FE4">
        <w:rPr>
          <w:rFonts w:cstheme="minorHAnsi"/>
          <w:color w:val="000000"/>
          <w:sz w:val="24"/>
          <w:szCs w:val="24"/>
        </w:rPr>
        <w:t>, including modified and unmodified derivatives,</w:t>
      </w:r>
      <w:r w:rsidR="008631D8" w:rsidRPr="00391B40">
        <w:rPr>
          <w:rFonts w:cstheme="minorHAnsi"/>
          <w:color w:val="000000"/>
          <w:sz w:val="24"/>
          <w:szCs w:val="24"/>
        </w:rPr>
        <w:t xml:space="preserve"> </w:t>
      </w:r>
      <w:r w:rsidR="00ED5E2E" w:rsidRPr="00391B40">
        <w:rPr>
          <w:rFonts w:cstheme="minorHAnsi"/>
          <w:color w:val="000000"/>
          <w:sz w:val="24"/>
          <w:szCs w:val="24"/>
        </w:rPr>
        <w:t xml:space="preserve">will not be further distributed to others without the PROVIDER's written consent. The RECIPIENT shall refer any request for the MATERIAL to the PROVIDER. To the extent supplies </w:t>
      </w:r>
      <w:r w:rsidR="008E4599" w:rsidRPr="00391B40">
        <w:rPr>
          <w:rFonts w:cstheme="minorHAnsi"/>
          <w:color w:val="000000"/>
          <w:sz w:val="24"/>
          <w:szCs w:val="24"/>
        </w:rPr>
        <w:t xml:space="preserve">of MATERIAL </w:t>
      </w:r>
      <w:r w:rsidR="00ED5E2E" w:rsidRPr="00391B40">
        <w:rPr>
          <w:rFonts w:cstheme="minorHAnsi"/>
          <w:color w:val="000000"/>
          <w:sz w:val="24"/>
          <w:szCs w:val="24"/>
        </w:rPr>
        <w:t xml:space="preserve">are </w:t>
      </w:r>
      <w:r w:rsidR="005D2D8B">
        <w:rPr>
          <w:rFonts w:cstheme="minorHAnsi"/>
          <w:color w:val="000000"/>
          <w:sz w:val="24"/>
          <w:szCs w:val="24"/>
        </w:rPr>
        <w:t>available,</w:t>
      </w:r>
      <w:r w:rsidR="00ED5E2E" w:rsidRPr="00391B40">
        <w:rPr>
          <w:rFonts w:cstheme="minorHAnsi"/>
          <w:color w:val="000000"/>
          <w:sz w:val="24"/>
          <w:szCs w:val="24"/>
        </w:rPr>
        <w:t xml:space="preserve"> the PROVIDER </w:t>
      </w:r>
      <w:r w:rsidR="008E4599" w:rsidRPr="00391B40">
        <w:rPr>
          <w:rFonts w:cstheme="minorHAnsi"/>
          <w:color w:val="000000"/>
          <w:sz w:val="24"/>
          <w:szCs w:val="24"/>
        </w:rPr>
        <w:t>may</w:t>
      </w:r>
      <w:r w:rsidR="00ED5E2E" w:rsidRPr="00391B40">
        <w:rPr>
          <w:rFonts w:cstheme="minorHAnsi"/>
          <w:color w:val="000000"/>
          <w:sz w:val="24"/>
          <w:szCs w:val="24"/>
        </w:rPr>
        <w:t xml:space="preserve"> make the MATERIAL available, under a separate </w:t>
      </w:r>
      <w:r w:rsidR="00952269">
        <w:rPr>
          <w:rFonts w:cstheme="minorHAnsi"/>
          <w:color w:val="000000"/>
          <w:sz w:val="24"/>
          <w:szCs w:val="24"/>
        </w:rPr>
        <w:t>a</w:t>
      </w:r>
      <w:r w:rsidR="00ED5E2E" w:rsidRPr="00391B40">
        <w:rPr>
          <w:rFonts w:cstheme="minorHAnsi"/>
          <w:color w:val="000000"/>
          <w:sz w:val="24"/>
          <w:szCs w:val="24"/>
        </w:rPr>
        <w:t xml:space="preserve">greement. </w:t>
      </w:r>
    </w:p>
    <w:p w14:paraId="05E58CE8" w14:textId="5D85109A" w:rsidR="00CD2A98" w:rsidRPr="00391B40" w:rsidRDefault="006127F4" w:rsidP="00952269">
      <w:pPr>
        <w:spacing w:before="120" w:after="120" w:line="240" w:lineRule="auto"/>
        <w:ind w:left="360" w:hanging="360"/>
        <w:jc w:val="both"/>
        <w:rPr>
          <w:rFonts w:cstheme="minorHAnsi"/>
          <w:color w:val="000000"/>
          <w:sz w:val="24"/>
          <w:szCs w:val="24"/>
        </w:rPr>
      </w:pPr>
      <w:r>
        <w:rPr>
          <w:rFonts w:cstheme="minorHAnsi"/>
          <w:color w:val="000000"/>
          <w:sz w:val="24"/>
          <w:szCs w:val="24"/>
        </w:rPr>
        <w:t>7.</w:t>
      </w:r>
      <w:r>
        <w:rPr>
          <w:rFonts w:cstheme="minorHAnsi"/>
          <w:color w:val="000000"/>
          <w:sz w:val="24"/>
          <w:szCs w:val="24"/>
        </w:rPr>
        <w:tab/>
      </w:r>
      <w:r w:rsidR="00CD2A98" w:rsidRPr="00391B40">
        <w:rPr>
          <w:rFonts w:cstheme="minorHAnsi"/>
          <w:color w:val="000000"/>
          <w:sz w:val="24"/>
          <w:szCs w:val="24"/>
        </w:rPr>
        <w:t xml:space="preserve">The RECIPIENT agrees that the </w:t>
      </w:r>
      <w:r w:rsidR="00B57CA9" w:rsidRPr="00391B40">
        <w:rPr>
          <w:rFonts w:cstheme="minorHAnsi"/>
          <w:color w:val="000000"/>
          <w:sz w:val="24"/>
          <w:szCs w:val="24"/>
        </w:rPr>
        <w:t>MATERIAL and DATA</w:t>
      </w:r>
      <w:r w:rsidR="00CD2A98" w:rsidRPr="00391B40">
        <w:rPr>
          <w:rFonts w:cstheme="minorHAnsi"/>
          <w:color w:val="000000"/>
          <w:sz w:val="24"/>
          <w:szCs w:val="24"/>
        </w:rPr>
        <w:t xml:space="preserve"> will only be used for the stated research purposes</w:t>
      </w:r>
      <w:r w:rsidR="00391B40">
        <w:rPr>
          <w:rFonts w:cstheme="minorHAnsi"/>
          <w:color w:val="000000"/>
          <w:sz w:val="24"/>
          <w:szCs w:val="24"/>
        </w:rPr>
        <w:t xml:space="preserve"> as described in the grant application or in the s</w:t>
      </w:r>
      <w:r w:rsidR="00391B40">
        <w:rPr>
          <w:rFonts w:eastAsia="Times New Roman" w:cs="Calibri"/>
          <w:bCs/>
          <w:color w:val="000000"/>
          <w:sz w:val="24"/>
          <w:szCs w:val="24"/>
        </w:rPr>
        <w:t>ample access</w:t>
      </w:r>
      <w:r w:rsidR="00391B40" w:rsidRPr="001D67FD">
        <w:rPr>
          <w:rFonts w:eastAsia="Times New Roman" w:cs="Calibri"/>
          <w:bCs/>
          <w:color w:val="000000"/>
          <w:sz w:val="24"/>
          <w:szCs w:val="24"/>
        </w:rPr>
        <w:t xml:space="preserve"> </w:t>
      </w:r>
      <w:r w:rsidR="00391B40">
        <w:rPr>
          <w:rFonts w:eastAsia="Times New Roman" w:cs="Calibri"/>
          <w:bCs/>
          <w:color w:val="000000"/>
          <w:sz w:val="24"/>
          <w:szCs w:val="24"/>
        </w:rPr>
        <w:t>r</w:t>
      </w:r>
      <w:r w:rsidR="00391B40" w:rsidRPr="001D67FD">
        <w:rPr>
          <w:rFonts w:eastAsia="Times New Roman" w:cs="Calibri"/>
          <w:bCs/>
          <w:color w:val="000000"/>
          <w:sz w:val="24"/>
          <w:szCs w:val="24"/>
        </w:rPr>
        <w:t>equest</w:t>
      </w:r>
      <w:r w:rsidR="00CD2A98" w:rsidRPr="00391B40">
        <w:rPr>
          <w:rFonts w:cstheme="minorHAnsi"/>
          <w:color w:val="000000"/>
          <w:sz w:val="24"/>
          <w:szCs w:val="24"/>
        </w:rPr>
        <w:t>.</w:t>
      </w:r>
      <w:r w:rsidR="00B4462B" w:rsidRPr="00391B40">
        <w:rPr>
          <w:sz w:val="24"/>
          <w:szCs w:val="24"/>
        </w:rPr>
        <w:t xml:space="preserve"> Any changes to proposal or research procedure must be reported to the PROVIDER.</w:t>
      </w:r>
    </w:p>
    <w:p w14:paraId="13CBB51C" w14:textId="437513CF" w:rsidR="00ED5E2E" w:rsidRPr="00E36FB8" w:rsidRDefault="00ED5E2E" w:rsidP="00952269">
      <w:pPr>
        <w:pStyle w:val="ListParagraph"/>
        <w:numPr>
          <w:ilvl w:val="0"/>
          <w:numId w:val="5"/>
        </w:numPr>
        <w:autoSpaceDE w:val="0"/>
        <w:autoSpaceDN w:val="0"/>
        <w:adjustRightInd w:val="0"/>
        <w:spacing w:before="120" w:after="120" w:line="240" w:lineRule="auto"/>
        <w:contextualSpacing w:val="0"/>
        <w:jc w:val="both"/>
        <w:rPr>
          <w:rFonts w:cstheme="minorHAnsi"/>
          <w:i/>
          <w:color w:val="000000"/>
          <w:sz w:val="24"/>
          <w:szCs w:val="24"/>
        </w:rPr>
      </w:pPr>
      <w:r w:rsidRPr="00E36FB8">
        <w:rPr>
          <w:rFonts w:cstheme="minorHAnsi"/>
          <w:color w:val="000000"/>
          <w:sz w:val="24"/>
          <w:szCs w:val="24"/>
        </w:rPr>
        <w:t xml:space="preserve">The RECIPIENT agrees to acknowledge the source of the MATERIAL </w:t>
      </w:r>
      <w:r w:rsidR="008631D8" w:rsidRPr="00E36FB8">
        <w:rPr>
          <w:rFonts w:cstheme="minorHAnsi"/>
          <w:color w:val="000000"/>
          <w:sz w:val="24"/>
          <w:szCs w:val="24"/>
        </w:rPr>
        <w:t xml:space="preserve">and/or DATA </w:t>
      </w:r>
      <w:r w:rsidRPr="00E36FB8">
        <w:rPr>
          <w:rFonts w:cstheme="minorHAnsi"/>
          <w:color w:val="000000"/>
          <w:sz w:val="24"/>
          <w:szCs w:val="24"/>
        </w:rPr>
        <w:t>in any</w:t>
      </w:r>
      <w:r w:rsidR="003D3F55" w:rsidRPr="00E36FB8">
        <w:rPr>
          <w:sz w:val="24"/>
          <w:szCs w:val="24"/>
        </w:rPr>
        <w:t xml:space="preserve"> </w:t>
      </w:r>
      <w:r w:rsidR="003D3F55" w:rsidRPr="00E36FB8">
        <w:rPr>
          <w:rFonts w:cstheme="minorHAnsi"/>
          <w:color w:val="000000"/>
          <w:sz w:val="24"/>
          <w:szCs w:val="24"/>
        </w:rPr>
        <w:t xml:space="preserve">presentation, disclosures, or </w:t>
      </w:r>
      <w:r w:rsidRPr="00E36FB8">
        <w:rPr>
          <w:rFonts w:cstheme="minorHAnsi"/>
          <w:color w:val="000000"/>
          <w:sz w:val="24"/>
          <w:szCs w:val="24"/>
        </w:rPr>
        <w:t xml:space="preserve">publications </w:t>
      </w:r>
      <w:r w:rsidR="003D3F55" w:rsidRPr="00E36FB8">
        <w:rPr>
          <w:rFonts w:cstheme="minorHAnsi"/>
          <w:color w:val="000000"/>
          <w:sz w:val="24"/>
          <w:szCs w:val="24"/>
        </w:rPr>
        <w:t xml:space="preserve">resulting from any analyses conducted on the specimens </w:t>
      </w:r>
      <w:r w:rsidR="00EE29F8">
        <w:rPr>
          <w:rFonts w:cstheme="minorHAnsi"/>
          <w:color w:val="000000"/>
          <w:sz w:val="24"/>
          <w:szCs w:val="24"/>
        </w:rPr>
        <w:t>in accordance with</w:t>
      </w:r>
      <w:r w:rsidR="00031185">
        <w:rPr>
          <w:rFonts w:cstheme="minorHAnsi"/>
          <w:color w:val="000000"/>
          <w:sz w:val="24"/>
          <w:szCs w:val="24"/>
        </w:rPr>
        <w:t xml:space="preserve"> the Publication Policy at </w:t>
      </w:r>
      <w:r w:rsidR="00031185" w:rsidRPr="00031185">
        <w:rPr>
          <w:rFonts w:cstheme="minorHAnsi"/>
          <w:color w:val="000000"/>
          <w:sz w:val="24"/>
          <w:szCs w:val="24"/>
        </w:rPr>
        <w:t>http://www.</w:t>
      </w:r>
      <w:r w:rsidR="00DB72FE">
        <w:rPr>
          <w:rFonts w:cstheme="minorHAnsi"/>
          <w:color w:val="000000"/>
          <w:sz w:val="24"/>
          <w:szCs w:val="24"/>
        </w:rPr>
        <w:t>gtexportal.org</w:t>
      </w:r>
    </w:p>
    <w:p w14:paraId="08EFB09E" w14:textId="3B5D93CB" w:rsidR="00ED5E2E" w:rsidRPr="00E36FB8" w:rsidRDefault="00ED5E2E" w:rsidP="00952269">
      <w:pPr>
        <w:pStyle w:val="ListParagraph"/>
        <w:numPr>
          <w:ilvl w:val="0"/>
          <w:numId w:val="5"/>
        </w:numPr>
        <w:autoSpaceDE w:val="0"/>
        <w:autoSpaceDN w:val="0"/>
        <w:adjustRightInd w:val="0"/>
        <w:spacing w:before="120" w:after="120" w:line="240" w:lineRule="auto"/>
        <w:contextualSpacing w:val="0"/>
        <w:jc w:val="both"/>
        <w:rPr>
          <w:rFonts w:cstheme="minorHAnsi"/>
          <w:color w:val="000000"/>
          <w:sz w:val="24"/>
          <w:szCs w:val="24"/>
        </w:rPr>
      </w:pPr>
      <w:r w:rsidRPr="00E36FB8">
        <w:rPr>
          <w:rFonts w:cstheme="minorHAnsi"/>
          <w:color w:val="000000"/>
          <w:sz w:val="24"/>
          <w:szCs w:val="24"/>
        </w:rPr>
        <w:t xml:space="preserve">Any MATERIAL </w:t>
      </w:r>
      <w:r w:rsidR="008E4599" w:rsidRPr="00E36FB8">
        <w:rPr>
          <w:rFonts w:cstheme="minorHAnsi"/>
          <w:color w:val="000000"/>
          <w:sz w:val="24"/>
          <w:szCs w:val="24"/>
        </w:rPr>
        <w:t xml:space="preserve">and DATA </w:t>
      </w:r>
      <w:r w:rsidRPr="00E36FB8">
        <w:rPr>
          <w:rFonts w:cstheme="minorHAnsi"/>
          <w:color w:val="000000"/>
          <w:sz w:val="24"/>
          <w:szCs w:val="24"/>
        </w:rPr>
        <w:t xml:space="preserve">delivered pursuant to this Agreement is understood to be experimental in nature and may have hazardous properties. </w:t>
      </w:r>
      <w:r w:rsidR="003D3F55" w:rsidRPr="00E36FB8">
        <w:rPr>
          <w:rFonts w:cstheme="minorHAnsi"/>
          <w:color w:val="000000"/>
          <w:sz w:val="24"/>
          <w:szCs w:val="24"/>
        </w:rPr>
        <w:t xml:space="preserve">The PROVIDER makes no representations and extends no warranties of any kind, either expressed or implied. There are no express or implied warranties of merchantability or fitness for a particular purpose, or that the use of the material will not infringe any patent, copyright, trademark, or other proprietary rights. </w:t>
      </w:r>
      <w:r w:rsidRPr="00E36FB8">
        <w:rPr>
          <w:rFonts w:cstheme="minorHAnsi"/>
          <w:color w:val="000000"/>
          <w:sz w:val="24"/>
          <w:szCs w:val="24"/>
        </w:rPr>
        <w:t xml:space="preserve">Unless prohibited by law, </w:t>
      </w:r>
      <w:r w:rsidR="003D3F55" w:rsidRPr="00E36FB8">
        <w:rPr>
          <w:rFonts w:cstheme="minorHAnsi"/>
          <w:color w:val="000000"/>
          <w:sz w:val="24"/>
          <w:szCs w:val="24"/>
        </w:rPr>
        <w:t xml:space="preserve">RECIPIENT </w:t>
      </w:r>
      <w:r w:rsidRPr="00E36FB8">
        <w:rPr>
          <w:rFonts w:cstheme="minorHAnsi"/>
          <w:color w:val="000000"/>
          <w:sz w:val="24"/>
          <w:szCs w:val="24"/>
        </w:rPr>
        <w:t xml:space="preserve">assumes all liability for claims for damages against it by third parties which may arise from </w:t>
      </w:r>
      <w:r w:rsidR="00952269">
        <w:rPr>
          <w:rFonts w:cstheme="minorHAnsi"/>
          <w:color w:val="000000"/>
          <w:sz w:val="24"/>
          <w:szCs w:val="24"/>
        </w:rPr>
        <w:t>RECIPIENT’s</w:t>
      </w:r>
      <w:r w:rsidRPr="00E36FB8">
        <w:rPr>
          <w:rFonts w:cstheme="minorHAnsi"/>
          <w:color w:val="000000"/>
          <w:sz w:val="24"/>
          <w:szCs w:val="24"/>
        </w:rPr>
        <w:t xml:space="preserve"> use, storage or disposal of the </w:t>
      </w:r>
      <w:r w:rsidR="008E4599" w:rsidRPr="00E36FB8">
        <w:rPr>
          <w:rFonts w:cstheme="minorHAnsi"/>
          <w:color w:val="000000"/>
          <w:sz w:val="24"/>
          <w:szCs w:val="24"/>
        </w:rPr>
        <w:t>MATERIAL and DATA</w:t>
      </w:r>
      <w:r w:rsidRPr="00E36FB8">
        <w:rPr>
          <w:rFonts w:cstheme="minorHAnsi"/>
          <w:color w:val="000000"/>
          <w:sz w:val="24"/>
          <w:szCs w:val="24"/>
        </w:rPr>
        <w:t xml:space="preserve"> except that, to the extent permitted by law, the </w:t>
      </w:r>
      <w:r w:rsidR="003D3F55" w:rsidRPr="00E36FB8">
        <w:rPr>
          <w:rFonts w:cstheme="minorHAnsi"/>
          <w:color w:val="000000"/>
          <w:sz w:val="24"/>
          <w:szCs w:val="24"/>
        </w:rPr>
        <w:t xml:space="preserve">PROVIDER </w:t>
      </w:r>
      <w:r w:rsidRPr="00E36FB8">
        <w:rPr>
          <w:rFonts w:cstheme="minorHAnsi"/>
          <w:color w:val="000000"/>
          <w:sz w:val="24"/>
          <w:szCs w:val="24"/>
        </w:rPr>
        <w:t xml:space="preserve">shall be liable to the </w:t>
      </w:r>
      <w:r w:rsidR="003D3F55" w:rsidRPr="00E36FB8">
        <w:rPr>
          <w:rFonts w:cstheme="minorHAnsi"/>
          <w:color w:val="000000"/>
          <w:sz w:val="24"/>
          <w:szCs w:val="24"/>
        </w:rPr>
        <w:t xml:space="preserve">RECIPIENT </w:t>
      </w:r>
      <w:r w:rsidRPr="00E36FB8">
        <w:rPr>
          <w:rFonts w:cstheme="minorHAnsi"/>
          <w:color w:val="000000"/>
          <w:sz w:val="24"/>
          <w:szCs w:val="24"/>
        </w:rPr>
        <w:t xml:space="preserve">when the damage is caused by the gross negligence or willful misconduct of the </w:t>
      </w:r>
      <w:r w:rsidR="003D3F55" w:rsidRPr="00E36FB8">
        <w:rPr>
          <w:rFonts w:cstheme="minorHAnsi"/>
          <w:color w:val="000000"/>
          <w:sz w:val="24"/>
          <w:szCs w:val="24"/>
        </w:rPr>
        <w:t>PROVIDER</w:t>
      </w:r>
      <w:r w:rsidRPr="00E36FB8">
        <w:rPr>
          <w:rFonts w:cstheme="minorHAnsi"/>
          <w:color w:val="000000"/>
          <w:sz w:val="24"/>
          <w:szCs w:val="24"/>
        </w:rPr>
        <w:t xml:space="preserve">. </w:t>
      </w:r>
    </w:p>
    <w:p w14:paraId="6E574EC6" w14:textId="08C462E7" w:rsidR="00ED5E2E" w:rsidRDefault="00ED5E2E" w:rsidP="00952269">
      <w:pPr>
        <w:pStyle w:val="ListParagraph"/>
        <w:numPr>
          <w:ilvl w:val="0"/>
          <w:numId w:val="5"/>
        </w:numPr>
        <w:autoSpaceDE w:val="0"/>
        <w:autoSpaceDN w:val="0"/>
        <w:adjustRightInd w:val="0"/>
        <w:spacing w:before="120" w:after="120" w:line="240" w:lineRule="auto"/>
        <w:contextualSpacing w:val="0"/>
        <w:jc w:val="both"/>
        <w:rPr>
          <w:rFonts w:cstheme="minorHAnsi"/>
          <w:color w:val="000000"/>
          <w:sz w:val="24"/>
          <w:szCs w:val="24"/>
        </w:rPr>
      </w:pPr>
      <w:r w:rsidRPr="00E36FB8">
        <w:rPr>
          <w:rFonts w:cstheme="minorHAnsi"/>
          <w:color w:val="000000"/>
          <w:sz w:val="24"/>
          <w:szCs w:val="24"/>
        </w:rPr>
        <w:t>The RECIPIENT agrees to use the MATERIAL</w:t>
      </w:r>
      <w:r w:rsidR="008E4599" w:rsidRPr="00E36FB8">
        <w:rPr>
          <w:rFonts w:cstheme="minorHAnsi"/>
          <w:color w:val="000000"/>
          <w:sz w:val="24"/>
          <w:szCs w:val="24"/>
        </w:rPr>
        <w:t xml:space="preserve"> and DATA</w:t>
      </w:r>
      <w:r w:rsidRPr="00E36FB8">
        <w:rPr>
          <w:rFonts w:cstheme="minorHAnsi"/>
          <w:color w:val="000000"/>
          <w:sz w:val="24"/>
          <w:szCs w:val="24"/>
        </w:rPr>
        <w:t xml:space="preserve"> in compliance with all applicable statutes and regulations. </w:t>
      </w:r>
    </w:p>
    <w:p w14:paraId="130BF50E" w14:textId="4A8DEC9B" w:rsidR="00952269" w:rsidRPr="00952269" w:rsidRDefault="00ED5E2E" w:rsidP="00952269">
      <w:pPr>
        <w:pStyle w:val="ListParagraph"/>
        <w:numPr>
          <w:ilvl w:val="0"/>
          <w:numId w:val="5"/>
        </w:numPr>
        <w:autoSpaceDE w:val="0"/>
        <w:autoSpaceDN w:val="0"/>
        <w:adjustRightInd w:val="0"/>
        <w:spacing w:before="120" w:after="120" w:line="240" w:lineRule="auto"/>
        <w:contextualSpacing w:val="0"/>
        <w:jc w:val="both"/>
        <w:rPr>
          <w:sz w:val="24"/>
          <w:szCs w:val="24"/>
        </w:rPr>
      </w:pPr>
      <w:r w:rsidRPr="00952269">
        <w:rPr>
          <w:rFonts w:cstheme="minorHAnsi"/>
          <w:color w:val="000000"/>
          <w:sz w:val="24"/>
          <w:szCs w:val="24"/>
        </w:rPr>
        <w:t>The MATERIAL</w:t>
      </w:r>
      <w:r w:rsidR="008E4599" w:rsidRPr="00952269">
        <w:rPr>
          <w:rFonts w:cstheme="minorHAnsi"/>
          <w:color w:val="000000"/>
          <w:sz w:val="24"/>
          <w:szCs w:val="24"/>
        </w:rPr>
        <w:t xml:space="preserve"> and DATA</w:t>
      </w:r>
      <w:r w:rsidRPr="00952269">
        <w:rPr>
          <w:rFonts w:cstheme="minorHAnsi"/>
          <w:color w:val="000000"/>
          <w:sz w:val="24"/>
          <w:szCs w:val="24"/>
        </w:rPr>
        <w:t xml:space="preserve"> </w:t>
      </w:r>
      <w:r w:rsidR="00BE76AD">
        <w:rPr>
          <w:rFonts w:cstheme="minorHAnsi"/>
          <w:color w:val="000000"/>
          <w:sz w:val="24"/>
          <w:szCs w:val="24"/>
        </w:rPr>
        <w:t xml:space="preserve">may be provided on a cost recovery basis </w:t>
      </w:r>
      <w:r w:rsidRPr="00952269">
        <w:rPr>
          <w:rFonts w:cstheme="minorHAnsi"/>
          <w:color w:val="000000"/>
          <w:sz w:val="24"/>
          <w:szCs w:val="24"/>
        </w:rPr>
        <w:t>solely to reimburse the PROVIDER for its preparation and distribution costs. If a fee is requested, the amount will be indicated here</w:t>
      </w:r>
      <w:r w:rsidR="00AB5837" w:rsidRPr="00952269">
        <w:rPr>
          <w:rFonts w:cstheme="minorHAnsi"/>
          <w:color w:val="000000"/>
          <w:sz w:val="24"/>
          <w:szCs w:val="24"/>
        </w:rPr>
        <w:t>:</w:t>
      </w:r>
      <w:r w:rsidR="009A27EF">
        <w:rPr>
          <w:rFonts w:cstheme="minorHAnsi"/>
          <w:color w:val="000000"/>
          <w:sz w:val="24"/>
          <w:szCs w:val="24"/>
        </w:rPr>
        <w:t xml:space="preserve"> </w:t>
      </w:r>
      <w:r w:rsidR="00D704A0" w:rsidRPr="00D704A0">
        <w:rPr>
          <w:rFonts w:cstheme="minorHAnsi"/>
          <w:color w:val="000000"/>
          <w:sz w:val="24"/>
          <w:szCs w:val="24"/>
          <w:highlight w:val="yellow"/>
        </w:rPr>
        <w:t>_____</w:t>
      </w:r>
    </w:p>
    <w:p w14:paraId="1684D7F7" w14:textId="7A5CA493" w:rsidR="00A43A4F" w:rsidRPr="00952269" w:rsidRDefault="003D3F55" w:rsidP="00952269">
      <w:pPr>
        <w:pStyle w:val="ListParagraph"/>
        <w:numPr>
          <w:ilvl w:val="0"/>
          <w:numId w:val="5"/>
        </w:numPr>
        <w:autoSpaceDE w:val="0"/>
        <w:autoSpaceDN w:val="0"/>
        <w:adjustRightInd w:val="0"/>
        <w:spacing w:before="120" w:after="120" w:line="240" w:lineRule="auto"/>
        <w:contextualSpacing w:val="0"/>
        <w:jc w:val="both"/>
        <w:rPr>
          <w:sz w:val="24"/>
          <w:szCs w:val="24"/>
        </w:rPr>
      </w:pPr>
      <w:r w:rsidRPr="00952269">
        <w:rPr>
          <w:sz w:val="24"/>
          <w:szCs w:val="24"/>
        </w:rPr>
        <w:t xml:space="preserve">The RECIPIENT </w:t>
      </w:r>
      <w:r w:rsidR="00D10720">
        <w:rPr>
          <w:sz w:val="24"/>
          <w:szCs w:val="24"/>
        </w:rPr>
        <w:t>shall</w:t>
      </w:r>
      <w:r w:rsidRPr="00952269">
        <w:rPr>
          <w:sz w:val="24"/>
          <w:szCs w:val="24"/>
        </w:rPr>
        <w:t xml:space="preserve"> not attempt to obtain information identifying the donors who donated the </w:t>
      </w:r>
      <w:r w:rsidR="00B4462B" w:rsidRPr="00952269">
        <w:rPr>
          <w:sz w:val="24"/>
          <w:szCs w:val="24"/>
        </w:rPr>
        <w:t>MATERIAL.</w:t>
      </w:r>
    </w:p>
    <w:p w14:paraId="015DCA0B" w14:textId="77777777" w:rsidR="00B4462B" w:rsidRPr="00E36FB8" w:rsidRDefault="00B4462B" w:rsidP="00952269">
      <w:pPr>
        <w:numPr>
          <w:ilvl w:val="0"/>
          <w:numId w:val="5"/>
        </w:numPr>
        <w:spacing w:before="120" w:after="120" w:line="240" w:lineRule="auto"/>
        <w:jc w:val="both"/>
        <w:rPr>
          <w:sz w:val="24"/>
          <w:szCs w:val="24"/>
        </w:rPr>
      </w:pPr>
      <w:r w:rsidRPr="00E36FB8">
        <w:rPr>
          <w:sz w:val="24"/>
          <w:szCs w:val="24"/>
        </w:rPr>
        <w:t>The RECIPIENT agrees to destroy any unused MATERIAL</w:t>
      </w:r>
      <w:r w:rsidR="00A43A4F" w:rsidRPr="00E36FB8">
        <w:rPr>
          <w:sz w:val="24"/>
          <w:szCs w:val="24"/>
        </w:rPr>
        <w:t xml:space="preserve"> </w:t>
      </w:r>
      <w:r w:rsidRPr="00E36FB8">
        <w:rPr>
          <w:sz w:val="24"/>
          <w:szCs w:val="24"/>
        </w:rPr>
        <w:t xml:space="preserve">and DATA associated </w:t>
      </w:r>
      <w:r w:rsidR="00631C8A" w:rsidRPr="00E36FB8">
        <w:rPr>
          <w:sz w:val="24"/>
          <w:szCs w:val="24"/>
        </w:rPr>
        <w:t xml:space="preserve">no later </w:t>
      </w:r>
      <w:r w:rsidR="00EF05EE" w:rsidRPr="00E36FB8">
        <w:rPr>
          <w:sz w:val="24"/>
          <w:szCs w:val="24"/>
        </w:rPr>
        <w:t xml:space="preserve">than </w:t>
      </w:r>
      <w:r w:rsidR="00B2395B" w:rsidRPr="00E36FB8">
        <w:rPr>
          <w:sz w:val="24"/>
          <w:szCs w:val="24"/>
        </w:rPr>
        <w:t>1 year</w:t>
      </w:r>
      <w:r w:rsidRPr="00E36FB8">
        <w:rPr>
          <w:sz w:val="24"/>
          <w:szCs w:val="24"/>
        </w:rPr>
        <w:t xml:space="preserve"> from </w:t>
      </w:r>
      <w:r w:rsidR="00B2395B" w:rsidRPr="00E36FB8">
        <w:rPr>
          <w:sz w:val="24"/>
          <w:szCs w:val="24"/>
        </w:rPr>
        <w:t>the completion of the project unless otherwise instructed by the PROVIDER.</w:t>
      </w:r>
    </w:p>
    <w:p w14:paraId="220DC483" w14:textId="765E73DC" w:rsidR="005D2D8B" w:rsidRPr="002C7C4A" w:rsidRDefault="00B4462B" w:rsidP="00952269">
      <w:pPr>
        <w:numPr>
          <w:ilvl w:val="0"/>
          <w:numId w:val="5"/>
        </w:numPr>
        <w:spacing w:before="120" w:after="120" w:line="240" w:lineRule="auto"/>
        <w:jc w:val="both"/>
        <w:rPr>
          <w:sz w:val="24"/>
          <w:szCs w:val="24"/>
        </w:rPr>
      </w:pPr>
      <w:r w:rsidRPr="00E36FB8">
        <w:rPr>
          <w:sz w:val="24"/>
          <w:szCs w:val="24"/>
        </w:rPr>
        <w:t>The RECIPIENT agrees to prompt publication</w:t>
      </w:r>
      <w:r w:rsidR="005D2D8B">
        <w:rPr>
          <w:sz w:val="24"/>
          <w:szCs w:val="24"/>
        </w:rPr>
        <w:t xml:space="preserve"> in agreement with the GTEx publication policy</w:t>
      </w:r>
      <w:r w:rsidRPr="00E36FB8">
        <w:rPr>
          <w:sz w:val="24"/>
          <w:szCs w:val="24"/>
        </w:rPr>
        <w:t xml:space="preserve"> </w:t>
      </w:r>
      <w:r w:rsidR="008433CD">
        <w:rPr>
          <w:sz w:val="24"/>
          <w:szCs w:val="24"/>
        </w:rPr>
        <w:t>(see</w:t>
      </w:r>
      <w:r w:rsidR="0032616B">
        <w:rPr>
          <w:sz w:val="24"/>
          <w:szCs w:val="24"/>
        </w:rPr>
        <w:t xml:space="preserve"> </w:t>
      </w:r>
      <w:hyperlink r:id="rId8" w:history="1">
        <w:r w:rsidR="0032616B" w:rsidRPr="00651171">
          <w:rPr>
            <w:rStyle w:val="Hyperlink"/>
          </w:rPr>
          <w:t>https://gtexportal.org/home/documentationPage#staticTextPublicationPolicy</w:t>
        </w:r>
      </w:hyperlink>
      <w:r w:rsidR="0032616B">
        <w:rPr>
          <w:rFonts w:cstheme="minorHAnsi"/>
          <w:sz w:val="24"/>
          <w:szCs w:val="24"/>
        </w:rPr>
        <w:t>)</w:t>
      </w:r>
      <w:r w:rsidR="008433CD">
        <w:rPr>
          <w:rFonts w:cstheme="minorHAnsi"/>
          <w:i/>
          <w:color w:val="000000"/>
          <w:sz w:val="24"/>
          <w:szCs w:val="24"/>
        </w:rPr>
        <w:t xml:space="preserve"> </w:t>
      </w:r>
      <w:r w:rsidRPr="00E36FB8">
        <w:rPr>
          <w:sz w:val="24"/>
          <w:szCs w:val="24"/>
        </w:rPr>
        <w:t xml:space="preserve">and placing of </w:t>
      </w:r>
      <w:r w:rsidRPr="00E36FB8">
        <w:rPr>
          <w:sz w:val="24"/>
          <w:szCs w:val="24"/>
        </w:rPr>
        <w:lastRenderedPageBreak/>
        <w:t>research results deriv</w:t>
      </w:r>
      <w:r w:rsidR="00075EA5" w:rsidRPr="00E36FB8">
        <w:rPr>
          <w:sz w:val="24"/>
          <w:szCs w:val="24"/>
        </w:rPr>
        <w:t>ed</w:t>
      </w:r>
      <w:r w:rsidRPr="00E36FB8">
        <w:rPr>
          <w:sz w:val="24"/>
          <w:szCs w:val="24"/>
        </w:rPr>
        <w:t xml:space="preserve"> from the MATERIAL in the public domain</w:t>
      </w:r>
      <w:r w:rsidR="00FC71D7" w:rsidRPr="00E36FB8">
        <w:rPr>
          <w:sz w:val="24"/>
          <w:szCs w:val="24"/>
        </w:rPr>
        <w:t xml:space="preserve">. </w:t>
      </w:r>
      <w:r w:rsidR="00022D19">
        <w:rPr>
          <w:sz w:val="24"/>
          <w:szCs w:val="24"/>
        </w:rPr>
        <w:t xml:space="preserve"> </w:t>
      </w:r>
      <w:r w:rsidR="00560DCF">
        <w:rPr>
          <w:sz w:val="24"/>
          <w:szCs w:val="24"/>
        </w:rPr>
        <w:t>All p</w:t>
      </w:r>
      <w:r w:rsidR="00022D19">
        <w:rPr>
          <w:sz w:val="24"/>
          <w:szCs w:val="24"/>
        </w:rPr>
        <w:t>rotected, identifiable data, such as genotype data</w:t>
      </w:r>
      <w:r w:rsidR="00916B99">
        <w:rPr>
          <w:sz w:val="24"/>
          <w:szCs w:val="24"/>
        </w:rPr>
        <w:t xml:space="preserve"> or RNA seq data</w:t>
      </w:r>
      <w:r w:rsidR="00022D19">
        <w:rPr>
          <w:sz w:val="24"/>
          <w:szCs w:val="24"/>
        </w:rPr>
        <w:t>, must be deposited in a protected d</w:t>
      </w:r>
      <w:r w:rsidR="0032616B">
        <w:rPr>
          <w:sz w:val="24"/>
          <w:szCs w:val="24"/>
        </w:rPr>
        <w:t>a</w:t>
      </w:r>
      <w:r w:rsidR="00022D19">
        <w:rPr>
          <w:sz w:val="24"/>
          <w:szCs w:val="24"/>
        </w:rPr>
        <w:t xml:space="preserve">tabase such as dbGaP.  </w:t>
      </w:r>
      <w:r w:rsidR="00FC71D7" w:rsidRPr="00E36FB8">
        <w:rPr>
          <w:sz w:val="24"/>
          <w:szCs w:val="24"/>
        </w:rPr>
        <w:t>An example is</w:t>
      </w:r>
      <w:r w:rsidRPr="00E36FB8">
        <w:rPr>
          <w:sz w:val="24"/>
          <w:szCs w:val="24"/>
        </w:rPr>
        <w:t xml:space="preserve"> described in </w:t>
      </w:r>
      <w:r w:rsidR="00075EA5" w:rsidRPr="00E36FB8">
        <w:rPr>
          <w:sz w:val="24"/>
          <w:szCs w:val="24"/>
        </w:rPr>
        <w:t>the “</w:t>
      </w:r>
      <w:r w:rsidR="009872A7" w:rsidRPr="00E36FB8">
        <w:rPr>
          <w:sz w:val="24"/>
          <w:szCs w:val="24"/>
        </w:rPr>
        <w:t>Resour</w:t>
      </w:r>
      <w:r w:rsidR="00FA750F" w:rsidRPr="00E36FB8">
        <w:rPr>
          <w:sz w:val="24"/>
          <w:szCs w:val="24"/>
        </w:rPr>
        <w:t>ce</w:t>
      </w:r>
      <w:r w:rsidR="00075EA5" w:rsidRPr="00E36FB8">
        <w:rPr>
          <w:sz w:val="24"/>
          <w:szCs w:val="24"/>
        </w:rPr>
        <w:t xml:space="preserve"> Sharing Plan” section of </w:t>
      </w:r>
      <w:r w:rsidRPr="00E36FB8">
        <w:rPr>
          <w:sz w:val="24"/>
          <w:szCs w:val="24"/>
        </w:rPr>
        <w:t>RFA-RM-12-009</w:t>
      </w:r>
      <w:r w:rsidR="00B2395B" w:rsidRPr="00E36FB8">
        <w:rPr>
          <w:sz w:val="24"/>
          <w:szCs w:val="24"/>
        </w:rPr>
        <w:t xml:space="preserve"> </w:t>
      </w:r>
      <w:r w:rsidR="00075EA5" w:rsidRPr="00E36FB8">
        <w:rPr>
          <w:sz w:val="24"/>
          <w:szCs w:val="24"/>
        </w:rPr>
        <w:t>(</w:t>
      </w:r>
      <w:hyperlink r:id="rId9" w:history="1">
        <w:r w:rsidR="00DA1A33" w:rsidRPr="00E36FB8">
          <w:rPr>
            <w:rStyle w:val="Hyperlink"/>
            <w:sz w:val="24"/>
            <w:szCs w:val="24"/>
          </w:rPr>
          <w:t>http://grants.nih.gov/grants/guide/rfa-files/rfa-rm-12-009.html</w:t>
        </w:r>
      </w:hyperlink>
      <w:r w:rsidR="00DA1A33" w:rsidRPr="00E36FB8">
        <w:rPr>
          <w:sz w:val="24"/>
          <w:szCs w:val="24"/>
        </w:rPr>
        <w:t xml:space="preserve">; </w:t>
      </w:r>
      <w:r w:rsidR="00075EA5" w:rsidRPr="00E36FB8">
        <w:rPr>
          <w:sz w:val="24"/>
          <w:szCs w:val="24"/>
        </w:rPr>
        <w:t>see also Appendix A)</w:t>
      </w:r>
      <w:r w:rsidRPr="00E36FB8">
        <w:rPr>
          <w:sz w:val="24"/>
          <w:szCs w:val="24"/>
        </w:rPr>
        <w:t>.</w:t>
      </w:r>
      <w:r w:rsidR="00DA1A33" w:rsidRPr="00E36FB8">
        <w:rPr>
          <w:sz w:val="24"/>
          <w:szCs w:val="24"/>
        </w:rPr>
        <w:t xml:space="preserve"> </w:t>
      </w:r>
    </w:p>
    <w:p w14:paraId="173FA369" w14:textId="77777777" w:rsidR="00B4462B" w:rsidRPr="00E36FB8" w:rsidRDefault="00B4462B" w:rsidP="00952269">
      <w:pPr>
        <w:numPr>
          <w:ilvl w:val="0"/>
          <w:numId w:val="5"/>
        </w:numPr>
        <w:spacing w:before="120" w:after="120" w:line="240" w:lineRule="auto"/>
        <w:jc w:val="both"/>
        <w:rPr>
          <w:sz w:val="24"/>
          <w:szCs w:val="24"/>
        </w:rPr>
      </w:pPr>
      <w:r w:rsidRPr="00E36FB8">
        <w:rPr>
          <w:sz w:val="24"/>
          <w:szCs w:val="24"/>
        </w:rPr>
        <w:t xml:space="preserve">The RECIPIENT agrees </w:t>
      </w:r>
      <w:r w:rsidR="008E4599" w:rsidRPr="00E36FB8">
        <w:rPr>
          <w:sz w:val="24"/>
          <w:szCs w:val="24"/>
        </w:rPr>
        <w:t xml:space="preserve">that no </w:t>
      </w:r>
      <w:r w:rsidRPr="00E36FB8">
        <w:rPr>
          <w:sz w:val="24"/>
          <w:szCs w:val="24"/>
        </w:rPr>
        <w:t xml:space="preserve">Intellectual Property (IP) rights </w:t>
      </w:r>
      <w:r w:rsidR="008E4599" w:rsidRPr="00E36FB8">
        <w:rPr>
          <w:sz w:val="24"/>
          <w:szCs w:val="24"/>
        </w:rPr>
        <w:t>are granted to</w:t>
      </w:r>
      <w:r w:rsidRPr="00E36FB8">
        <w:rPr>
          <w:sz w:val="24"/>
          <w:szCs w:val="24"/>
        </w:rPr>
        <w:t xml:space="preserve"> any MATERIALS.</w:t>
      </w:r>
    </w:p>
    <w:p w14:paraId="496A1369" w14:textId="77777777" w:rsidR="00651171" w:rsidRDefault="00075EA5" w:rsidP="00651171">
      <w:pPr>
        <w:pStyle w:val="ListParagraph"/>
        <w:numPr>
          <w:ilvl w:val="0"/>
          <w:numId w:val="5"/>
        </w:numPr>
        <w:autoSpaceDE w:val="0"/>
        <w:autoSpaceDN w:val="0"/>
        <w:adjustRightInd w:val="0"/>
        <w:spacing w:after="0" w:line="240" w:lineRule="auto"/>
        <w:jc w:val="both"/>
        <w:rPr>
          <w:sz w:val="24"/>
          <w:szCs w:val="24"/>
        </w:rPr>
      </w:pPr>
      <w:r w:rsidRPr="002756BB">
        <w:rPr>
          <w:sz w:val="24"/>
          <w:szCs w:val="24"/>
        </w:rPr>
        <w:t>Either Party may terminate this Agreement for any reason upon thirty (30) days written notice to the other Party.</w:t>
      </w:r>
    </w:p>
    <w:p w14:paraId="25926919" w14:textId="518C1F2E" w:rsidR="002756BB" w:rsidRPr="00651171" w:rsidRDefault="00651171" w:rsidP="00ED5E2E">
      <w:pPr>
        <w:pStyle w:val="ListParagraph"/>
        <w:numPr>
          <w:ilvl w:val="0"/>
          <w:numId w:val="5"/>
        </w:numPr>
        <w:autoSpaceDE w:val="0"/>
        <w:autoSpaceDN w:val="0"/>
        <w:adjustRightInd w:val="0"/>
        <w:spacing w:after="0" w:line="240" w:lineRule="auto"/>
        <w:jc w:val="both"/>
        <w:rPr>
          <w:sz w:val="24"/>
          <w:szCs w:val="24"/>
        </w:rPr>
      </w:pPr>
      <w:r w:rsidRPr="00651171">
        <w:rPr>
          <w:sz w:val="24"/>
          <w:szCs w:val="24"/>
        </w:rPr>
        <w:t>This Agreement and any amendment hereto may be executed in counterparts and all such counterparts taken together shall be deemed to constitute one and the same instrument.  If this Agreement is executed in counterparts, no signatory hereto will be bound until all the Parties named below have duly executed a counterpart of this Agreement.</w:t>
      </w:r>
    </w:p>
    <w:p w14:paraId="766EED13" w14:textId="77777777" w:rsidR="00651171" w:rsidRDefault="00651171" w:rsidP="00FD7447">
      <w:pPr>
        <w:jc w:val="center"/>
        <w:rPr>
          <w:rFonts w:cstheme="minorHAnsi"/>
        </w:rPr>
      </w:pPr>
    </w:p>
    <w:p w14:paraId="5FB4886B" w14:textId="6013E617" w:rsidR="00FD7447" w:rsidRPr="00FD7447" w:rsidRDefault="00FD7447" w:rsidP="00FD7447">
      <w:pPr>
        <w:jc w:val="center"/>
        <w:rPr>
          <w:rFonts w:cstheme="minorHAnsi"/>
        </w:rPr>
      </w:pPr>
      <w:r w:rsidRPr="00FD7447">
        <w:rPr>
          <w:rFonts w:cstheme="minorHAnsi"/>
        </w:rPr>
        <w:t>[</w:t>
      </w:r>
      <w:r w:rsidRPr="00FD7447">
        <w:rPr>
          <w:rFonts w:cstheme="minorHAnsi"/>
          <w:i/>
        </w:rPr>
        <w:t>The remainder of this page is intentionally left blank. Signature page follows</w:t>
      </w:r>
      <w:r w:rsidRPr="00FD7447">
        <w:rPr>
          <w:rFonts w:cstheme="minorHAnsi"/>
        </w:rPr>
        <w:t>.]</w:t>
      </w:r>
    </w:p>
    <w:p w14:paraId="574AD5F1" w14:textId="77777777" w:rsidR="002756BB" w:rsidRDefault="002756BB" w:rsidP="00ED5E2E">
      <w:pPr>
        <w:autoSpaceDE w:val="0"/>
        <w:autoSpaceDN w:val="0"/>
        <w:adjustRightInd w:val="0"/>
        <w:spacing w:after="0" w:line="240" w:lineRule="auto"/>
        <w:rPr>
          <w:rFonts w:cstheme="minorHAnsi"/>
          <w:b/>
          <w:color w:val="000000"/>
          <w:sz w:val="24"/>
          <w:szCs w:val="24"/>
        </w:rPr>
      </w:pPr>
    </w:p>
    <w:p w14:paraId="4E9DDFF9" w14:textId="77777777" w:rsidR="002756BB" w:rsidRDefault="002756BB" w:rsidP="00ED5E2E">
      <w:pPr>
        <w:autoSpaceDE w:val="0"/>
        <w:autoSpaceDN w:val="0"/>
        <w:adjustRightInd w:val="0"/>
        <w:spacing w:after="0" w:line="240" w:lineRule="auto"/>
        <w:rPr>
          <w:rFonts w:cstheme="minorHAnsi"/>
          <w:b/>
          <w:color w:val="000000"/>
          <w:sz w:val="24"/>
          <w:szCs w:val="24"/>
        </w:rPr>
      </w:pPr>
    </w:p>
    <w:p w14:paraId="7C02EFA7" w14:textId="77777777" w:rsidR="002756BB" w:rsidRDefault="002756BB" w:rsidP="00ED5E2E">
      <w:pPr>
        <w:autoSpaceDE w:val="0"/>
        <w:autoSpaceDN w:val="0"/>
        <w:adjustRightInd w:val="0"/>
        <w:spacing w:after="0" w:line="240" w:lineRule="auto"/>
        <w:rPr>
          <w:rFonts w:cstheme="minorHAnsi"/>
          <w:b/>
          <w:color w:val="000000"/>
          <w:sz w:val="24"/>
          <w:szCs w:val="24"/>
        </w:rPr>
      </w:pPr>
    </w:p>
    <w:p w14:paraId="0E0A5EAB" w14:textId="77777777" w:rsidR="002756BB" w:rsidRDefault="002756BB" w:rsidP="00ED5E2E">
      <w:pPr>
        <w:autoSpaceDE w:val="0"/>
        <w:autoSpaceDN w:val="0"/>
        <w:adjustRightInd w:val="0"/>
        <w:spacing w:after="0" w:line="240" w:lineRule="auto"/>
        <w:rPr>
          <w:rFonts w:cstheme="minorHAnsi"/>
          <w:b/>
          <w:color w:val="000000"/>
          <w:sz w:val="24"/>
          <w:szCs w:val="24"/>
        </w:rPr>
      </w:pPr>
    </w:p>
    <w:p w14:paraId="245AA01E" w14:textId="77777777" w:rsidR="00FD7447" w:rsidRDefault="00FD7447">
      <w:pPr>
        <w:rPr>
          <w:rFonts w:cstheme="minorHAnsi"/>
          <w:b/>
          <w:color w:val="000000"/>
          <w:sz w:val="24"/>
          <w:szCs w:val="24"/>
        </w:rPr>
      </w:pPr>
      <w:r>
        <w:rPr>
          <w:rFonts w:cstheme="minorHAnsi"/>
          <w:b/>
          <w:color w:val="000000"/>
          <w:sz w:val="24"/>
          <w:szCs w:val="24"/>
        </w:rPr>
        <w:br w:type="page"/>
      </w:r>
    </w:p>
    <w:p w14:paraId="47680531" w14:textId="42ED4AC8" w:rsidR="00ED5E2E" w:rsidRDefault="00ED5E2E" w:rsidP="00ED5E2E">
      <w:pPr>
        <w:autoSpaceDE w:val="0"/>
        <w:autoSpaceDN w:val="0"/>
        <w:adjustRightInd w:val="0"/>
        <w:spacing w:after="0" w:line="240" w:lineRule="auto"/>
        <w:rPr>
          <w:rFonts w:cstheme="minorHAnsi"/>
          <w:b/>
          <w:color w:val="000000"/>
          <w:sz w:val="24"/>
          <w:szCs w:val="24"/>
        </w:rPr>
      </w:pPr>
      <w:r w:rsidRPr="00E36FB8">
        <w:rPr>
          <w:rFonts w:cstheme="minorHAnsi"/>
          <w:b/>
          <w:color w:val="000000"/>
          <w:sz w:val="24"/>
          <w:szCs w:val="24"/>
        </w:rPr>
        <w:lastRenderedPageBreak/>
        <w:t xml:space="preserve">PROVIDER INFORMATION and AUTHORIZED SIGNATURE </w:t>
      </w:r>
    </w:p>
    <w:p w14:paraId="06934B16" w14:textId="77777777" w:rsidR="00391B40" w:rsidRPr="00E36FB8" w:rsidRDefault="00391B40" w:rsidP="00ED5E2E">
      <w:pPr>
        <w:autoSpaceDE w:val="0"/>
        <w:autoSpaceDN w:val="0"/>
        <w:adjustRightInd w:val="0"/>
        <w:spacing w:after="0" w:line="240" w:lineRule="auto"/>
        <w:rPr>
          <w:rFonts w:cstheme="minorHAnsi"/>
          <w:b/>
          <w:color w:val="000000"/>
          <w:sz w:val="24"/>
          <w:szCs w:val="24"/>
        </w:rPr>
      </w:pPr>
    </w:p>
    <w:p w14:paraId="7EE0DF72" w14:textId="0733BE90" w:rsidR="00391B40" w:rsidRPr="00E36FB8" w:rsidRDefault="00391B40" w:rsidP="00391B40">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Provider Authorized Signatory Name and Title:</w:t>
      </w:r>
      <w:r w:rsidRPr="00E36FB8">
        <w:rPr>
          <w:rFonts w:cstheme="minorHAnsi"/>
          <w:color w:val="000000"/>
          <w:sz w:val="24"/>
          <w:szCs w:val="24"/>
        </w:rPr>
        <w:tab/>
      </w:r>
      <w:r w:rsidRPr="00E36FB8">
        <w:rPr>
          <w:rFonts w:cstheme="minorHAnsi"/>
          <w:color w:val="000000"/>
          <w:sz w:val="24"/>
          <w:szCs w:val="24"/>
        </w:rPr>
        <w:tab/>
      </w:r>
    </w:p>
    <w:p w14:paraId="13E92775" w14:textId="74643E11" w:rsidR="00391B40" w:rsidRPr="00E36FB8" w:rsidRDefault="00391B40" w:rsidP="00391B40">
      <w:pPr>
        <w:widowControl w:val="0"/>
        <w:tabs>
          <w:tab w:val="left" w:pos="-1080"/>
          <w:tab w:val="left" w:pos="-720"/>
          <w:tab w:val="right" w:pos="90"/>
          <w:tab w:val="left" w:pos="360"/>
          <w:tab w:val="left" w:pos="720"/>
          <w:tab w:val="left" w:pos="1080"/>
          <w:tab w:val="left" w:pos="1440"/>
          <w:tab w:val="left" w:pos="1800"/>
          <w:tab w:val="left" w:pos="2160"/>
          <w:tab w:val="left" w:pos="2520"/>
          <w:tab w:val="left" w:pos="2880"/>
        </w:tabs>
        <w:spacing w:after="0" w:line="240" w:lineRule="auto"/>
        <w:rPr>
          <w:rFonts w:cstheme="minorHAnsi"/>
          <w:sz w:val="24"/>
          <w:szCs w:val="24"/>
        </w:rPr>
      </w:pPr>
      <w:r w:rsidRPr="00E36FB8">
        <w:rPr>
          <w:rFonts w:cstheme="minorHAnsi"/>
          <w:color w:val="000000"/>
          <w:sz w:val="24"/>
          <w:szCs w:val="24"/>
        </w:rPr>
        <w:t>Provider Organization:</w:t>
      </w:r>
      <w:r w:rsidRPr="00E36FB8">
        <w:rPr>
          <w:rFonts w:cstheme="minorHAnsi"/>
          <w:sz w:val="24"/>
          <w:szCs w:val="24"/>
        </w:rPr>
        <w:t xml:space="preserve"> </w:t>
      </w:r>
      <w:r w:rsidRPr="00E36FB8">
        <w:rPr>
          <w:rFonts w:cstheme="minorHAnsi"/>
          <w:sz w:val="24"/>
          <w:szCs w:val="24"/>
        </w:rPr>
        <w:tab/>
      </w:r>
      <w:r w:rsidR="00952269" w:rsidRPr="00952269">
        <w:rPr>
          <w:rFonts w:cstheme="minorHAnsi"/>
          <w:sz w:val="24"/>
          <w:szCs w:val="24"/>
        </w:rPr>
        <w:t>The Broad Institute</w:t>
      </w:r>
      <w:r w:rsidR="00952269">
        <w:rPr>
          <w:rFonts w:cstheme="minorHAnsi"/>
          <w:sz w:val="24"/>
          <w:szCs w:val="24"/>
        </w:rPr>
        <w:t>, Inc.</w:t>
      </w:r>
    </w:p>
    <w:p w14:paraId="2C0EEAFB" w14:textId="4028F8E2" w:rsidR="00ED5E2E" w:rsidRPr="00E36FB8" w:rsidRDefault="00ED5E2E" w:rsidP="00ED5E2E">
      <w:pPr>
        <w:autoSpaceDE w:val="0"/>
        <w:autoSpaceDN w:val="0"/>
        <w:adjustRightInd w:val="0"/>
        <w:spacing w:after="0" w:line="240" w:lineRule="auto"/>
        <w:rPr>
          <w:rFonts w:cstheme="minorHAnsi"/>
          <w:color w:val="000000"/>
          <w:sz w:val="24"/>
          <w:szCs w:val="24"/>
        </w:rPr>
      </w:pPr>
    </w:p>
    <w:p w14:paraId="53595ECC" w14:textId="77777777" w:rsidR="0056144F" w:rsidRPr="00E36FB8" w:rsidRDefault="00ED5E2E" w:rsidP="0056144F">
      <w:pPr>
        <w:autoSpaceDE w:val="0"/>
        <w:autoSpaceDN w:val="0"/>
        <w:adjustRightInd w:val="0"/>
        <w:spacing w:after="0" w:line="240" w:lineRule="auto"/>
        <w:rPr>
          <w:rFonts w:cstheme="minorHAnsi"/>
          <w:color w:val="000000"/>
          <w:sz w:val="24"/>
          <w:szCs w:val="24"/>
          <w:u w:val="single"/>
        </w:rPr>
      </w:pPr>
      <w:r w:rsidRPr="00E36FB8">
        <w:rPr>
          <w:rFonts w:cstheme="minorHAnsi"/>
          <w:color w:val="000000"/>
          <w:sz w:val="24"/>
          <w:szCs w:val="24"/>
          <w:u w:val="single"/>
        </w:rPr>
        <w:t>Addre</w:t>
      </w:r>
      <w:r w:rsidR="0056144F" w:rsidRPr="00E36FB8">
        <w:rPr>
          <w:rFonts w:cstheme="minorHAnsi"/>
          <w:color w:val="000000"/>
          <w:sz w:val="24"/>
          <w:szCs w:val="24"/>
          <w:u w:val="single"/>
        </w:rPr>
        <w:t>ss for the Notices Sent</w:t>
      </w:r>
      <w:r w:rsidR="00846848" w:rsidRPr="00E36FB8">
        <w:rPr>
          <w:rFonts w:cstheme="minorHAnsi"/>
          <w:color w:val="000000"/>
          <w:sz w:val="24"/>
          <w:szCs w:val="24"/>
          <w:u w:val="single"/>
        </w:rPr>
        <w:t xml:space="preserve"> </w:t>
      </w:r>
      <w:r w:rsidR="0056144F" w:rsidRPr="00E36FB8">
        <w:rPr>
          <w:rFonts w:cstheme="minorHAnsi"/>
          <w:color w:val="000000"/>
          <w:sz w:val="24"/>
          <w:szCs w:val="24"/>
          <w:u w:val="single"/>
        </w:rPr>
        <w:t>by U.S. Postal Service</w:t>
      </w:r>
      <w:r w:rsidR="00846848" w:rsidRPr="00E36FB8">
        <w:rPr>
          <w:rFonts w:cstheme="minorHAnsi"/>
          <w:color w:val="000000"/>
          <w:sz w:val="24"/>
          <w:szCs w:val="24"/>
          <w:u w:val="single"/>
        </w:rPr>
        <w:t>,</w:t>
      </w:r>
      <w:r w:rsidR="00846848" w:rsidRPr="00E36FB8">
        <w:rPr>
          <w:rFonts w:cstheme="minorHAnsi"/>
          <w:sz w:val="24"/>
          <w:szCs w:val="24"/>
          <w:u w:val="single"/>
        </w:rPr>
        <w:t xml:space="preserve"> FedEx, UPS, and Other Couriers</w:t>
      </w:r>
      <w:r w:rsidR="00D30F72" w:rsidRPr="00E36FB8">
        <w:rPr>
          <w:rFonts w:cstheme="minorHAnsi"/>
          <w:sz w:val="24"/>
          <w:szCs w:val="24"/>
          <w:u w:val="single"/>
        </w:rPr>
        <w:t xml:space="preserve"> to Provider</w:t>
      </w:r>
    </w:p>
    <w:p w14:paraId="4FEB1399" w14:textId="6C4C4C1D" w:rsidR="007B20B8" w:rsidRDefault="00952269" w:rsidP="007B20B8">
      <w:pPr>
        <w:autoSpaceDE w:val="0"/>
        <w:autoSpaceDN w:val="0"/>
        <w:adjustRightInd w:val="0"/>
        <w:spacing w:after="0" w:line="240" w:lineRule="auto"/>
        <w:rPr>
          <w:rFonts w:cstheme="minorHAnsi"/>
          <w:sz w:val="24"/>
          <w:szCs w:val="24"/>
        </w:rPr>
      </w:pPr>
      <w:r w:rsidRPr="00952269">
        <w:rPr>
          <w:rFonts w:cstheme="minorHAnsi"/>
          <w:sz w:val="24"/>
          <w:szCs w:val="24"/>
        </w:rPr>
        <w:t>The Broad Institute</w:t>
      </w:r>
      <w:r>
        <w:rPr>
          <w:rFonts w:cstheme="minorHAnsi"/>
          <w:sz w:val="24"/>
          <w:szCs w:val="24"/>
        </w:rPr>
        <w:t>, Inc.</w:t>
      </w:r>
    </w:p>
    <w:p w14:paraId="4610F2F0" w14:textId="6CED01AA" w:rsidR="00952269" w:rsidRDefault="00952269" w:rsidP="007B20B8">
      <w:pPr>
        <w:autoSpaceDE w:val="0"/>
        <w:autoSpaceDN w:val="0"/>
        <w:adjustRightInd w:val="0"/>
        <w:spacing w:after="0" w:line="240" w:lineRule="auto"/>
        <w:rPr>
          <w:rFonts w:cstheme="minorHAnsi"/>
          <w:sz w:val="24"/>
          <w:szCs w:val="24"/>
        </w:rPr>
      </w:pPr>
      <w:r>
        <w:rPr>
          <w:rFonts w:cstheme="minorHAnsi"/>
          <w:sz w:val="24"/>
          <w:szCs w:val="24"/>
        </w:rPr>
        <w:t>Attn.: General Counsel</w:t>
      </w:r>
    </w:p>
    <w:p w14:paraId="5B65CE7E" w14:textId="6F1E7AD4" w:rsidR="00952269" w:rsidRDefault="00952269" w:rsidP="007B20B8">
      <w:pPr>
        <w:autoSpaceDE w:val="0"/>
        <w:autoSpaceDN w:val="0"/>
        <w:adjustRightInd w:val="0"/>
        <w:spacing w:after="0" w:line="240" w:lineRule="auto"/>
        <w:rPr>
          <w:rFonts w:cstheme="minorHAnsi"/>
          <w:sz w:val="24"/>
          <w:szCs w:val="24"/>
        </w:rPr>
      </w:pPr>
      <w:r>
        <w:rPr>
          <w:rFonts w:cstheme="minorHAnsi"/>
          <w:sz w:val="24"/>
          <w:szCs w:val="24"/>
        </w:rPr>
        <w:t>415 Main Street</w:t>
      </w:r>
    </w:p>
    <w:p w14:paraId="7F5B018F" w14:textId="60A4735E" w:rsidR="00952269" w:rsidRPr="00E36FB8" w:rsidRDefault="00952269" w:rsidP="007B20B8">
      <w:pPr>
        <w:autoSpaceDE w:val="0"/>
        <w:autoSpaceDN w:val="0"/>
        <w:adjustRightInd w:val="0"/>
        <w:spacing w:after="0" w:line="240" w:lineRule="auto"/>
        <w:rPr>
          <w:rFonts w:cstheme="minorHAnsi"/>
          <w:sz w:val="24"/>
          <w:szCs w:val="24"/>
        </w:rPr>
      </w:pPr>
      <w:r>
        <w:rPr>
          <w:rFonts w:cstheme="minorHAnsi"/>
          <w:sz w:val="24"/>
          <w:szCs w:val="24"/>
        </w:rPr>
        <w:t>Cambridge, MA  02142</w:t>
      </w:r>
    </w:p>
    <w:p w14:paraId="085BAE0D" w14:textId="6311DB94" w:rsidR="007B20B8" w:rsidRPr="00E36FB8" w:rsidRDefault="007B20B8" w:rsidP="007B20B8">
      <w:pPr>
        <w:autoSpaceDE w:val="0"/>
        <w:autoSpaceDN w:val="0"/>
        <w:adjustRightInd w:val="0"/>
        <w:spacing w:after="0" w:line="240" w:lineRule="auto"/>
        <w:rPr>
          <w:rFonts w:cstheme="minorHAnsi"/>
          <w:sz w:val="24"/>
          <w:szCs w:val="24"/>
        </w:rPr>
      </w:pPr>
      <w:r w:rsidRPr="00E36FB8">
        <w:rPr>
          <w:rFonts w:cstheme="minorHAnsi"/>
          <w:sz w:val="24"/>
          <w:szCs w:val="24"/>
        </w:rPr>
        <w:t>T (</w:t>
      </w:r>
      <w:r w:rsidR="00952269">
        <w:rPr>
          <w:rFonts w:cstheme="minorHAnsi"/>
          <w:sz w:val="24"/>
          <w:szCs w:val="24"/>
        </w:rPr>
        <w:t>617</w:t>
      </w:r>
      <w:r w:rsidRPr="00E36FB8">
        <w:rPr>
          <w:rFonts w:cstheme="minorHAnsi"/>
          <w:sz w:val="24"/>
          <w:szCs w:val="24"/>
        </w:rPr>
        <w:t xml:space="preserve">) </w:t>
      </w:r>
      <w:r w:rsidR="00952269">
        <w:rPr>
          <w:rFonts w:cstheme="minorHAnsi"/>
          <w:sz w:val="24"/>
          <w:szCs w:val="24"/>
        </w:rPr>
        <w:t>714-7000</w:t>
      </w:r>
      <w:r w:rsidRPr="00E36FB8">
        <w:rPr>
          <w:rFonts w:cstheme="minorHAnsi"/>
          <w:sz w:val="24"/>
          <w:szCs w:val="24"/>
        </w:rPr>
        <w:t xml:space="preserve"> </w:t>
      </w:r>
    </w:p>
    <w:p w14:paraId="62C272B2" w14:textId="73D568F9" w:rsidR="00ED5E2E" w:rsidRPr="00E36FB8" w:rsidRDefault="00ED5E2E" w:rsidP="00ED5E2E">
      <w:pPr>
        <w:autoSpaceDE w:val="0"/>
        <w:autoSpaceDN w:val="0"/>
        <w:adjustRightInd w:val="0"/>
        <w:spacing w:after="0" w:line="240" w:lineRule="auto"/>
        <w:rPr>
          <w:rFonts w:cstheme="minorHAnsi"/>
          <w:color w:val="000000"/>
          <w:sz w:val="24"/>
          <w:szCs w:val="24"/>
        </w:rPr>
      </w:pPr>
    </w:p>
    <w:p w14:paraId="58B6F406" w14:textId="77777777" w:rsidR="00B71453" w:rsidRPr="00E36FB8" w:rsidRDefault="00B71453" w:rsidP="00ED5E2E">
      <w:pPr>
        <w:autoSpaceDE w:val="0"/>
        <w:autoSpaceDN w:val="0"/>
        <w:adjustRightInd w:val="0"/>
        <w:spacing w:after="0" w:line="240" w:lineRule="auto"/>
        <w:rPr>
          <w:rFonts w:cstheme="minorHAnsi"/>
          <w:color w:val="000000"/>
          <w:sz w:val="24"/>
          <w:szCs w:val="24"/>
        </w:rPr>
      </w:pPr>
    </w:p>
    <w:p w14:paraId="7DBC7074" w14:textId="77777777" w:rsidR="00ED5E2E" w:rsidRPr="00E36FB8" w:rsidRDefault="00ED5E2E" w:rsidP="00ED5E2E">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_________________________________</w:t>
      </w:r>
      <w:r w:rsidR="00846848" w:rsidRPr="00E36FB8">
        <w:rPr>
          <w:rFonts w:cstheme="minorHAnsi"/>
          <w:color w:val="000000"/>
          <w:sz w:val="24"/>
          <w:szCs w:val="24"/>
        </w:rPr>
        <w:t>_______________</w:t>
      </w:r>
      <w:r w:rsidRPr="00E36FB8">
        <w:rPr>
          <w:rFonts w:cstheme="minorHAnsi"/>
          <w:color w:val="000000"/>
          <w:sz w:val="24"/>
          <w:szCs w:val="24"/>
        </w:rPr>
        <w:t xml:space="preserve">_ </w:t>
      </w:r>
      <w:r w:rsidRPr="00E36FB8">
        <w:rPr>
          <w:rFonts w:cstheme="minorHAnsi"/>
          <w:color w:val="000000"/>
          <w:sz w:val="24"/>
          <w:szCs w:val="24"/>
        </w:rPr>
        <w:tab/>
        <w:t xml:space="preserve">________________________ </w:t>
      </w:r>
    </w:p>
    <w:p w14:paraId="41331005" w14:textId="77777777" w:rsidR="00ED5E2E" w:rsidRPr="00E36FB8" w:rsidRDefault="00846848" w:rsidP="00ED5E2E">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Printed name and s</w:t>
      </w:r>
      <w:r w:rsidR="00ED5E2E" w:rsidRPr="00E36FB8">
        <w:rPr>
          <w:rFonts w:cstheme="minorHAnsi"/>
          <w:color w:val="000000"/>
          <w:sz w:val="24"/>
          <w:szCs w:val="24"/>
        </w:rPr>
        <w:t xml:space="preserve">ignature of Authorized Official </w:t>
      </w:r>
      <w:r w:rsidR="00ED5E2E" w:rsidRPr="00E36FB8">
        <w:rPr>
          <w:rFonts w:cstheme="minorHAnsi"/>
          <w:color w:val="000000"/>
          <w:sz w:val="24"/>
          <w:szCs w:val="24"/>
        </w:rPr>
        <w:tab/>
      </w:r>
      <w:r w:rsidR="00ED5E2E" w:rsidRPr="00E36FB8">
        <w:rPr>
          <w:rFonts w:cstheme="minorHAnsi"/>
          <w:color w:val="000000"/>
          <w:sz w:val="24"/>
          <w:szCs w:val="24"/>
        </w:rPr>
        <w:tab/>
      </w:r>
      <w:r w:rsidR="00ED5E2E" w:rsidRPr="00E36FB8">
        <w:rPr>
          <w:rFonts w:cstheme="minorHAnsi"/>
          <w:color w:val="000000"/>
          <w:sz w:val="24"/>
          <w:szCs w:val="24"/>
        </w:rPr>
        <w:tab/>
      </w:r>
      <w:r w:rsidR="00ED5E2E" w:rsidRPr="00E36FB8">
        <w:rPr>
          <w:rFonts w:cstheme="minorHAnsi"/>
          <w:color w:val="000000"/>
          <w:sz w:val="24"/>
          <w:szCs w:val="24"/>
        </w:rPr>
        <w:tab/>
      </w:r>
      <w:r w:rsidR="00ED5E2E" w:rsidRPr="00E36FB8">
        <w:rPr>
          <w:rFonts w:cstheme="minorHAnsi"/>
          <w:color w:val="000000"/>
          <w:sz w:val="24"/>
          <w:szCs w:val="24"/>
        </w:rPr>
        <w:tab/>
        <w:t xml:space="preserve">Date </w:t>
      </w:r>
    </w:p>
    <w:p w14:paraId="5EFA6FA6" w14:textId="77777777" w:rsidR="00ED5E2E" w:rsidRPr="00E36FB8" w:rsidRDefault="00ED5E2E" w:rsidP="00ED5E2E">
      <w:pPr>
        <w:autoSpaceDE w:val="0"/>
        <w:autoSpaceDN w:val="0"/>
        <w:adjustRightInd w:val="0"/>
        <w:spacing w:after="0" w:line="240" w:lineRule="auto"/>
        <w:rPr>
          <w:rFonts w:cstheme="minorHAnsi"/>
          <w:color w:val="000000"/>
          <w:sz w:val="24"/>
          <w:szCs w:val="24"/>
        </w:rPr>
      </w:pPr>
    </w:p>
    <w:p w14:paraId="489A195B" w14:textId="77777777" w:rsidR="00DB0ECA" w:rsidRPr="00E36FB8" w:rsidRDefault="00DB0ECA" w:rsidP="00ED5E2E">
      <w:pPr>
        <w:autoSpaceDE w:val="0"/>
        <w:autoSpaceDN w:val="0"/>
        <w:adjustRightInd w:val="0"/>
        <w:spacing w:after="0" w:line="240" w:lineRule="auto"/>
        <w:rPr>
          <w:rFonts w:cstheme="minorHAnsi"/>
          <w:color w:val="000000"/>
          <w:sz w:val="24"/>
          <w:szCs w:val="24"/>
        </w:rPr>
      </w:pPr>
    </w:p>
    <w:p w14:paraId="5ACBA108" w14:textId="77777777" w:rsidR="00ED5E2E" w:rsidRPr="00E36FB8" w:rsidRDefault="00ED5E2E" w:rsidP="008F3409">
      <w:pPr>
        <w:rPr>
          <w:rFonts w:cstheme="minorHAnsi"/>
          <w:b/>
          <w:color w:val="000000"/>
          <w:sz w:val="24"/>
          <w:szCs w:val="24"/>
        </w:rPr>
      </w:pPr>
      <w:r w:rsidRPr="00E36FB8">
        <w:rPr>
          <w:rFonts w:cstheme="minorHAnsi"/>
          <w:b/>
          <w:color w:val="000000"/>
          <w:sz w:val="24"/>
          <w:szCs w:val="24"/>
        </w:rPr>
        <w:t xml:space="preserve">RECIPIENT INFORMATION and AUTHORIZED SIGNATURE </w:t>
      </w:r>
    </w:p>
    <w:p w14:paraId="50ED9C1A" w14:textId="77777777" w:rsidR="00ED5E2E" w:rsidRPr="00E36FB8" w:rsidRDefault="00ED5E2E" w:rsidP="00ED5E2E">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Recipient</w:t>
      </w:r>
      <w:r w:rsidR="00846848" w:rsidRPr="00E36FB8">
        <w:rPr>
          <w:rFonts w:cstheme="minorHAnsi"/>
          <w:color w:val="000000"/>
          <w:sz w:val="24"/>
          <w:szCs w:val="24"/>
        </w:rPr>
        <w:t xml:space="preserve"> </w:t>
      </w:r>
      <w:r w:rsidR="00DB0ECA" w:rsidRPr="00E36FB8">
        <w:rPr>
          <w:rFonts w:cstheme="minorHAnsi"/>
          <w:color w:val="000000"/>
          <w:sz w:val="24"/>
          <w:szCs w:val="24"/>
        </w:rPr>
        <w:t xml:space="preserve">Authorized Signatory </w:t>
      </w:r>
      <w:r w:rsidR="00846848" w:rsidRPr="00E36FB8">
        <w:rPr>
          <w:rFonts w:cstheme="minorHAnsi"/>
          <w:color w:val="000000"/>
          <w:sz w:val="24"/>
          <w:szCs w:val="24"/>
        </w:rPr>
        <w:t>Name</w:t>
      </w:r>
      <w:r w:rsidR="00D30F72" w:rsidRPr="00E36FB8">
        <w:rPr>
          <w:rFonts w:cstheme="minorHAnsi"/>
          <w:color w:val="000000"/>
          <w:sz w:val="24"/>
          <w:szCs w:val="24"/>
        </w:rPr>
        <w:t xml:space="preserve"> and Title</w:t>
      </w:r>
      <w:r w:rsidRPr="00E36FB8">
        <w:rPr>
          <w:rFonts w:cstheme="minorHAnsi"/>
          <w:color w:val="000000"/>
          <w:sz w:val="24"/>
          <w:szCs w:val="24"/>
        </w:rPr>
        <w:t>:</w:t>
      </w:r>
      <w:r w:rsidR="00A43A4F" w:rsidRPr="00E36FB8">
        <w:rPr>
          <w:rFonts w:cstheme="minorHAnsi"/>
          <w:color w:val="000000"/>
          <w:sz w:val="24"/>
          <w:szCs w:val="24"/>
        </w:rPr>
        <w:tab/>
      </w:r>
    </w:p>
    <w:p w14:paraId="468A7660" w14:textId="77777777" w:rsidR="00DB0ECA" w:rsidRPr="00E36FB8" w:rsidRDefault="00DB0ECA" w:rsidP="00ED5E2E">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Recipient Organization Scientist Name and Title:</w:t>
      </w:r>
    </w:p>
    <w:p w14:paraId="48EC0E0D" w14:textId="77777777" w:rsidR="00A43A4F" w:rsidRPr="00E36FB8" w:rsidRDefault="00ED5E2E" w:rsidP="00ED5E2E">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Recipient Organization</w:t>
      </w:r>
      <w:r w:rsidR="00DB0ECA" w:rsidRPr="00E36FB8">
        <w:rPr>
          <w:rFonts w:cstheme="minorHAnsi"/>
          <w:color w:val="000000"/>
          <w:sz w:val="24"/>
          <w:szCs w:val="24"/>
        </w:rPr>
        <w:t xml:space="preserve"> Name</w:t>
      </w:r>
      <w:r w:rsidRPr="00E36FB8">
        <w:rPr>
          <w:rFonts w:cstheme="minorHAnsi"/>
          <w:color w:val="000000"/>
          <w:sz w:val="24"/>
          <w:szCs w:val="24"/>
        </w:rPr>
        <w:t>:</w:t>
      </w:r>
      <w:r w:rsidR="00A43A4F" w:rsidRPr="00E36FB8">
        <w:rPr>
          <w:rFonts w:cstheme="minorHAnsi"/>
          <w:color w:val="000000"/>
          <w:sz w:val="24"/>
          <w:szCs w:val="24"/>
        </w:rPr>
        <w:tab/>
      </w:r>
    </w:p>
    <w:p w14:paraId="22E3E603" w14:textId="77777777" w:rsidR="00B71453" w:rsidRPr="00E36FB8" w:rsidRDefault="00B71453" w:rsidP="00ED5E2E">
      <w:pPr>
        <w:autoSpaceDE w:val="0"/>
        <w:autoSpaceDN w:val="0"/>
        <w:adjustRightInd w:val="0"/>
        <w:spacing w:after="0" w:line="240" w:lineRule="auto"/>
        <w:rPr>
          <w:rFonts w:cstheme="minorHAnsi"/>
          <w:color w:val="000000"/>
          <w:sz w:val="24"/>
          <w:szCs w:val="24"/>
        </w:rPr>
      </w:pPr>
    </w:p>
    <w:p w14:paraId="220791BE" w14:textId="77777777" w:rsidR="00846848" w:rsidRPr="00E36FB8" w:rsidRDefault="00846848" w:rsidP="00846848">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 xml:space="preserve">_________________________________________________ </w:t>
      </w:r>
      <w:r w:rsidRPr="00E36FB8">
        <w:rPr>
          <w:rFonts w:cstheme="minorHAnsi"/>
          <w:color w:val="000000"/>
          <w:sz w:val="24"/>
          <w:szCs w:val="24"/>
        </w:rPr>
        <w:tab/>
        <w:t xml:space="preserve">________________________ </w:t>
      </w:r>
    </w:p>
    <w:p w14:paraId="176EE93D" w14:textId="77777777" w:rsidR="00343CB2" w:rsidRPr="00E36FB8" w:rsidRDefault="00846848" w:rsidP="00A43A4F">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 xml:space="preserve">Printed name and signature of Authorized Official </w:t>
      </w:r>
      <w:r w:rsidR="00A43A4F" w:rsidRPr="00E36FB8">
        <w:rPr>
          <w:rFonts w:cstheme="minorHAnsi"/>
          <w:color w:val="000000"/>
          <w:sz w:val="24"/>
          <w:szCs w:val="24"/>
        </w:rPr>
        <w:tab/>
      </w:r>
      <w:r w:rsidR="00A43A4F" w:rsidRPr="00E36FB8">
        <w:rPr>
          <w:rFonts w:cstheme="minorHAnsi"/>
          <w:color w:val="000000"/>
          <w:sz w:val="24"/>
          <w:szCs w:val="24"/>
        </w:rPr>
        <w:tab/>
      </w:r>
      <w:r w:rsidR="00A43A4F" w:rsidRPr="00E36FB8">
        <w:rPr>
          <w:rFonts w:cstheme="minorHAnsi"/>
          <w:color w:val="000000"/>
          <w:sz w:val="24"/>
          <w:szCs w:val="24"/>
        </w:rPr>
        <w:tab/>
      </w:r>
      <w:r w:rsidR="00A43A4F" w:rsidRPr="00E36FB8">
        <w:rPr>
          <w:rFonts w:cstheme="minorHAnsi"/>
          <w:color w:val="000000"/>
          <w:sz w:val="24"/>
          <w:szCs w:val="24"/>
        </w:rPr>
        <w:tab/>
      </w:r>
      <w:r w:rsidR="00A43A4F" w:rsidRPr="00E36FB8">
        <w:rPr>
          <w:rFonts w:cstheme="minorHAnsi"/>
          <w:color w:val="000000"/>
          <w:sz w:val="24"/>
          <w:szCs w:val="24"/>
        </w:rPr>
        <w:tab/>
        <w:t xml:space="preserve">Date </w:t>
      </w:r>
    </w:p>
    <w:p w14:paraId="14F67A04" w14:textId="77777777" w:rsidR="00D30F72" w:rsidRPr="00E36FB8" w:rsidRDefault="00D30F72" w:rsidP="00A43A4F">
      <w:pPr>
        <w:autoSpaceDE w:val="0"/>
        <w:autoSpaceDN w:val="0"/>
        <w:adjustRightInd w:val="0"/>
        <w:spacing w:after="0" w:line="240" w:lineRule="auto"/>
        <w:rPr>
          <w:rFonts w:cstheme="minorHAnsi"/>
          <w:color w:val="000000"/>
          <w:sz w:val="24"/>
          <w:szCs w:val="24"/>
        </w:rPr>
      </w:pPr>
    </w:p>
    <w:p w14:paraId="4EB3AF6A" w14:textId="77777777" w:rsidR="00D30F72" w:rsidRPr="00E36FB8" w:rsidRDefault="00D30F72" w:rsidP="00A43A4F">
      <w:pPr>
        <w:autoSpaceDE w:val="0"/>
        <w:autoSpaceDN w:val="0"/>
        <w:adjustRightInd w:val="0"/>
        <w:spacing w:after="0" w:line="240" w:lineRule="auto"/>
        <w:rPr>
          <w:rFonts w:cstheme="minorHAnsi"/>
          <w:color w:val="000000"/>
          <w:sz w:val="24"/>
          <w:szCs w:val="24"/>
        </w:rPr>
      </w:pPr>
    </w:p>
    <w:p w14:paraId="5E5D45AE" w14:textId="77777777" w:rsidR="00D30F72" w:rsidRPr="00E36FB8" w:rsidRDefault="00D30F72" w:rsidP="00A43A4F">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 xml:space="preserve">Address for </w:t>
      </w:r>
      <w:r w:rsidR="00DB0ECA" w:rsidRPr="00E36FB8">
        <w:rPr>
          <w:rFonts w:cstheme="minorHAnsi"/>
          <w:color w:val="000000"/>
          <w:sz w:val="24"/>
          <w:szCs w:val="24"/>
        </w:rPr>
        <w:t xml:space="preserve">Legal </w:t>
      </w:r>
      <w:r w:rsidRPr="00E36FB8">
        <w:rPr>
          <w:rFonts w:cstheme="minorHAnsi"/>
          <w:color w:val="000000"/>
          <w:sz w:val="24"/>
          <w:szCs w:val="24"/>
        </w:rPr>
        <w:t xml:space="preserve">Notices sent to Recipient </w:t>
      </w:r>
      <w:r w:rsidR="00DB0ECA" w:rsidRPr="00E36FB8">
        <w:rPr>
          <w:rFonts w:cstheme="minorHAnsi"/>
          <w:color w:val="000000"/>
          <w:sz w:val="24"/>
          <w:szCs w:val="24"/>
        </w:rPr>
        <w:t>Organization:</w:t>
      </w:r>
    </w:p>
    <w:p w14:paraId="3B470BB0" w14:textId="77777777" w:rsidR="00D30F72" w:rsidRPr="00E36FB8" w:rsidRDefault="00D30F72" w:rsidP="00A43A4F">
      <w:pPr>
        <w:autoSpaceDE w:val="0"/>
        <w:autoSpaceDN w:val="0"/>
        <w:adjustRightInd w:val="0"/>
        <w:spacing w:after="0" w:line="240" w:lineRule="auto"/>
        <w:rPr>
          <w:rFonts w:cstheme="minorHAnsi"/>
          <w:color w:val="000000"/>
          <w:sz w:val="24"/>
          <w:szCs w:val="24"/>
        </w:rPr>
      </w:pPr>
    </w:p>
    <w:p w14:paraId="2F9832DC" w14:textId="77777777" w:rsidR="00D30F72" w:rsidRPr="00E36FB8" w:rsidRDefault="00D30F72" w:rsidP="00A43A4F">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[Insert address]</w:t>
      </w:r>
    </w:p>
    <w:p w14:paraId="7CE3E62E" w14:textId="77777777" w:rsidR="00DB0ECA" w:rsidRPr="00E36FB8" w:rsidRDefault="00DB0ECA">
      <w:pPr>
        <w:rPr>
          <w:rFonts w:cstheme="minorHAnsi"/>
          <w:color w:val="000000"/>
          <w:sz w:val="24"/>
          <w:szCs w:val="24"/>
        </w:rPr>
      </w:pPr>
    </w:p>
    <w:p w14:paraId="4E025EC2" w14:textId="77777777" w:rsidR="00DB0ECA" w:rsidRPr="00E36FB8" w:rsidRDefault="00DB0ECA">
      <w:pPr>
        <w:rPr>
          <w:rFonts w:cstheme="minorHAnsi"/>
          <w:color w:val="000000"/>
          <w:sz w:val="24"/>
          <w:szCs w:val="24"/>
        </w:rPr>
      </w:pPr>
      <w:r w:rsidRPr="00E36FB8">
        <w:rPr>
          <w:rFonts w:cstheme="minorHAnsi"/>
          <w:color w:val="000000"/>
          <w:sz w:val="24"/>
          <w:szCs w:val="24"/>
        </w:rPr>
        <w:t>Address for Notices sent to Recipient Scientist:</w:t>
      </w:r>
    </w:p>
    <w:p w14:paraId="77E2CD49" w14:textId="2BB1411F" w:rsidR="00391B40" w:rsidRDefault="00DB0ECA" w:rsidP="00391B40">
      <w:pPr>
        <w:autoSpaceDE w:val="0"/>
        <w:autoSpaceDN w:val="0"/>
        <w:adjustRightInd w:val="0"/>
        <w:spacing w:after="0" w:line="240" w:lineRule="auto"/>
        <w:rPr>
          <w:rFonts w:cstheme="minorHAnsi"/>
          <w:color w:val="000000"/>
          <w:sz w:val="24"/>
          <w:szCs w:val="24"/>
        </w:rPr>
      </w:pPr>
      <w:r w:rsidRPr="00E36FB8">
        <w:rPr>
          <w:rFonts w:cstheme="minorHAnsi"/>
          <w:color w:val="000000"/>
          <w:sz w:val="24"/>
          <w:szCs w:val="24"/>
        </w:rPr>
        <w:t>[Insert address]</w:t>
      </w:r>
      <w:r w:rsidR="00391B40">
        <w:rPr>
          <w:rFonts w:cstheme="minorHAnsi"/>
          <w:color w:val="000000"/>
          <w:sz w:val="24"/>
          <w:szCs w:val="24"/>
        </w:rPr>
        <w:br w:type="page"/>
      </w:r>
    </w:p>
    <w:p w14:paraId="5A3AD768" w14:textId="310F57D4" w:rsidR="00B95B31" w:rsidRPr="00391B40" w:rsidRDefault="00B95B31" w:rsidP="00FD7447">
      <w:pPr>
        <w:autoSpaceDE w:val="0"/>
        <w:autoSpaceDN w:val="0"/>
        <w:adjustRightInd w:val="0"/>
        <w:spacing w:after="0" w:line="240" w:lineRule="auto"/>
        <w:jc w:val="center"/>
        <w:rPr>
          <w:color w:val="000000"/>
          <w:sz w:val="24"/>
          <w:szCs w:val="24"/>
        </w:rPr>
      </w:pPr>
      <w:r w:rsidRPr="00391B40">
        <w:rPr>
          <w:color w:val="000000"/>
          <w:sz w:val="24"/>
          <w:szCs w:val="24"/>
        </w:rPr>
        <w:lastRenderedPageBreak/>
        <w:t>Appendix A</w:t>
      </w:r>
    </w:p>
    <w:p w14:paraId="1E6697E3" w14:textId="77777777" w:rsidR="00E5078B" w:rsidRPr="00E36FB8" w:rsidRDefault="00D461B5" w:rsidP="00FD7447">
      <w:pPr>
        <w:pStyle w:val="heading4indent"/>
        <w:jc w:val="both"/>
        <w:rPr>
          <w:rFonts w:asciiTheme="minorHAnsi" w:hAnsiTheme="minorHAnsi"/>
          <w:color w:val="000000"/>
        </w:rPr>
      </w:pPr>
      <w:hyperlink r:id="rId10" w:history="1">
        <w:r w:rsidR="00FA750F" w:rsidRPr="00391B40">
          <w:rPr>
            <w:rStyle w:val="Hyperlink"/>
            <w:rFonts w:asciiTheme="minorHAnsi" w:hAnsiTheme="minorHAnsi"/>
          </w:rPr>
          <w:t>RFA-RM-12-009</w:t>
        </w:r>
      </w:hyperlink>
      <w:r w:rsidR="00FA750F" w:rsidRPr="00E36FB8">
        <w:rPr>
          <w:rFonts w:asciiTheme="minorHAnsi" w:hAnsiTheme="minorHAnsi"/>
          <w:color w:val="000000"/>
        </w:rPr>
        <w:t xml:space="preserve"> </w:t>
      </w:r>
      <w:r w:rsidR="00E5078B" w:rsidRPr="00E36FB8">
        <w:rPr>
          <w:rFonts w:asciiTheme="minorHAnsi" w:hAnsiTheme="minorHAnsi"/>
          <w:color w:val="000000"/>
        </w:rPr>
        <w:t xml:space="preserve">(Funding Opportunity Announcement entitled “Enhancing GTEx with Molecular Analyses of Stored Biospecimens”) </w:t>
      </w:r>
    </w:p>
    <w:p w14:paraId="60DD908B" w14:textId="77777777" w:rsidR="00E5078B" w:rsidRPr="00E36FB8" w:rsidRDefault="00E5078B" w:rsidP="00FD7447">
      <w:pPr>
        <w:pStyle w:val="heading4indent"/>
        <w:jc w:val="both"/>
        <w:rPr>
          <w:rFonts w:asciiTheme="minorHAnsi" w:hAnsiTheme="minorHAnsi"/>
          <w:color w:val="000000"/>
        </w:rPr>
      </w:pPr>
      <w:r w:rsidRPr="00E36FB8">
        <w:rPr>
          <w:rFonts w:asciiTheme="minorHAnsi" w:hAnsiTheme="minorHAnsi"/>
          <w:color w:val="000000"/>
        </w:rPr>
        <w:t>http://grants.nih.gov/grants/guide/rfa-files/rfa-rm-12-009.html</w:t>
      </w:r>
    </w:p>
    <w:p w14:paraId="2EFEFD5D" w14:textId="77777777" w:rsidR="00FA750F" w:rsidRPr="00E36FB8" w:rsidRDefault="00FA750F" w:rsidP="00FD7447">
      <w:pPr>
        <w:pStyle w:val="heading4indent"/>
        <w:jc w:val="both"/>
        <w:rPr>
          <w:rFonts w:asciiTheme="minorHAnsi" w:hAnsiTheme="minorHAnsi"/>
        </w:rPr>
      </w:pPr>
      <w:r w:rsidRPr="00E36FB8">
        <w:rPr>
          <w:rFonts w:asciiTheme="minorHAnsi" w:hAnsiTheme="minorHAnsi"/>
        </w:rPr>
        <w:t>Resource Sharing Plan</w:t>
      </w:r>
    </w:p>
    <w:p w14:paraId="074A9C99" w14:textId="77777777" w:rsidR="00FA750F" w:rsidRPr="00E36FB8" w:rsidRDefault="00FA750F" w:rsidP="00FD7447">
      <w:pPr>
        <w:pStyle w:val="psingleindent"/>
        <w:jc w:val="both"/>
        <w:rPr>
          <w:rFonts w:asciiTheme="minorHAnsi" w:hAnsiTheme="minorHAnsi"/>
        </w:rPr>
      </w:pPr>
      <w:r w:rsidRPr="00E36FB8">
        <w:rPr>
          <w:rFonts w:asciiTheme="minorHAnsi" w:hAnsiTheme="minorHAnsi"/>
        </w:rPr>
        <w:t xml:space="preserve">Individuals are required to comply with the instructions for the Resource Sharing Plans (Data Sharing Plan, Sharing Model Organisms, and Genome Wide Association Studies (GWAS)) as provided in the SF424 (R&amp;R) Application Guide, with the following modifications: </w:t>
      </w:r>
    </w:p>
    <w:p w14:paraId="54665BD1" w14:textId="0F0B6AD1" w:rsidR="00FA750F" w:rsidRPr="00E36FB8" w:rsidRDefault="00FA750F" w:rsidP="00FD7447">
      <w:pPr>
        <w:pStyle w:val="psingleindent"/>
        <w:jc w:val="both"/>
        <w:rPr>
          <w:rFonts w:asciiTheme="minorHAnsi" w:hAnsiTheme="minorHAnsi"/>
        </w:rPr>
      </w:pPr>
      <w:r w:rsidRPr="00E36FB8">
        <w:rPr>
          <w:rStyle w:val="Strong"/>
          <w:rFonts w:asciiTheme="minorHAnsi" w:hAnsiTheme="minorHAnsi"/>
        </w:rPr>
        <w:t xml:space="preserve">Data Release Principles and Standards. </w:t>
      </w:r>
      <w:r w:rsidRPr="00E36FB8">
        <w:rPr>
          <w:rFonts w:asciiTheme="minorHAnsi" w:hAnsiTheme="minorHAnsi"/>
        </w:rPr>
        <w:t xml:space="preserve">Data from this FOA are expected to be shared in an easily accessible format to increase the value of the significant public investment.  Consistent with achieving the goals of this program, the NIH expects that information such as data syntheses, study protocols, bioinformatics tools, and any other meta data collected will be widely shared with the scientific community for research and made publicly available through the GTEx data portal and other data repositories. </w:t>
      </w:r>
    </w:p>
    <w:p w14:paraId="75DD50A4" w14:textId="77777777" w:rsidR="00FA750F" w:rsidRPr="00E36FB8" w:rsidRDefault="00FA750F" w:rsidP="00FD7447">
      <w:pPr>
        <w:pStyle w:val="psingleindent"/>
        <w:jc w:val="both"/>
        <w:rPr>
          <w:rFonts w:asciiTheme="minorHAnsi" w:hAnsiTheme="minorHAnsi"/>
        </w:rPr>
      </w:pPr>
      <w:r w:rsidRPr="00E36FB8">
        <w:rPr>
          <w:rFonts w:asciiTheme="minorHAnsi" w:hAnsiTheme="minorHAnsi"/>
        </w:rPr>
        <w:t>Applicants should indicate their willingness to cooperate with the GTEx Consortium and other stakeholders in the development and design of research and standardization methods, procedures, policies and strategies to be applied for this resource. Applicants should also describe prior experience in working as part of a research consortium, developing consensus approaches for data sharing and other research-related topics, or other collaborative activities to meet individual study and collaborative goals.</w:t>
      </w:r>
    </w:p>
    <w:p w14:paraId="466B9D1D" w14:textId="77777777" w:rsidR="00FA750F" w:rsidRPr="00E36FB8" w:rsidRDefault="00FA750F" w:rsidP="00FD7447">
      <w:pPr>
        <w:pStyle w:val="psingleindent"/>
        <w:jc w:val="both"/>
        <w:rPr>
          <w:rFonts w:asciiTheme="minorHAnsi" w:hAnsiTheme="minorHAnsi"/>
        </w:rPr>
      </w:pPr>
      <w:r w:rsidRPr="00E36FB8">
        <w:rPr>
          <w:rStyle w:val="Strong"/>
          <w:rFonts w:asciiTheme="minorHAnsi" w:hAnsiTheme="minorHAnsi"/>
        </w:rPr>
        <w:t xml:space="preserve">Data sharing plan. </w:t>
      </w:r>
      <w:r w:rsidRPr="00E36FB8">
        <w:rPr>
          <w:rFonts w:asciiTheme="minorHAnsi" w:hAnsiTheme="minorHAnsi"/>
        </w:rPr>
        <w:t>All controlled access data generated from GTEx samples are expected to be deposited into dbGaP (</w:t>
      </w:r>
      <w:hyperlink r:id="rId11" w:history="1">
        <w:r w:rsidRPr="00E36FB8">
          <w:rPr>
            <w:rStyle w:val="Hyperlink"/>
            <w:rFonts w:asciiTheme="minorHAnsi" w:hAnsiTheme="minorHAnsi"/>
          </w:rPr>
          <w:t>http://www.ncbi.nlm.nih.gov/sites/entrez?db=gap</w:t>
        </w:r>
      </w:hyperlink>
      <w:r w:rsidRPr="00E36FB8">
        <w:rPr>
          <w:rFonts w:asciiTheme="minorHAnsi" w:hAnsiTheme="minorHAnsi"/>
        </w:rPr>
        <w:t>) or other NIH Trusted Partners databases. All data without privacy concerns are expected to be returned to the GTEx portal (</w:t>
      </w:r>
      <w:hyperlink r:id="rId12" w:history="1">
        <w:r w:rsidRPr="00E36FB8">
          <w:rPr>
            <w:rStyle w:val="Hyperlink"/>
            <w:rFonts w:asciiTheme="minorHAnsi" w:hAnsiTheme="minorHAnsi"/>
          </w:rPr>
          <w:t>www.broadinstitute.org/gtex</w:t>
        </w:r>
      </w:hyperlink>
      <w:r w:rsidRPr="00E36FB8">
        <w:rPr>
          <w:rFonts w:asciiTheme="minorHAnsi" w:hAnsiTheme="minorHAnsi"/>
        </w:rPr>
        <w:t xml:space="preserve">) and other appropriate repositories with open access. </w:t>
      </w:r>
    </w:p>
    <w:p w14:paraId="29772CFD" w14:textId="77777777" w:rsidR="00FA750F" w:rsidRPr="00E36FB8" w:rsidRDefault="00FA750F" w:rsidP="00FD7447">
      <w:pPr>
        <w:pStyle w:val="psingleindent"/>
        <w:jc w:val="both"/>
        <w:rPr>
          <w:rFonts w:asciiTheme="minorHAnsi" w:hAnsiTheme="minorHAnsi"/>
        </w:rPr>
      </w:pPr>
      <w:r w:rsidRPr="00E36FB8">
        <w:rPr>
          <w:rFonts w:asciiTheme="minorHAnsi" w:hAnsiTheme="minorHAnsi"/>
        </w:rPr>
        <w:t xml:space="preserve">Rapid deposition of data into repositories is expected. Depending on the type of data, the duration of data production, as well as the quantity of the samples assayed in a given period, the frequency of data deposition might vary. All data are expected to be deposited once data generation is completed. Before this and other data deposits, a period of quality control of up to 3 months might be needed. Interim or periodic deposition might be expected if the data are produced over an extended period of time (e.g. &gt;12 months) and are of sufficient size. For example, in a study generating results on a large number of samples over an 18 month period, data deposition may be expected at regular intervals. </w:t>
      </w:r>
    </w:p>
    <w:p w14:paraId="5C05BC60" w14:textId="77777777" w:rsidR="00FA750F" w:rsidRPr="00E36FB8" w:rsidRDefault="00FA750F" w:rsidP="00FD7447">
      <w:pPr>
        <w:pStyle w:val="psingleindent"/>
        <w:jc w:val="both"/>
        <w:rPr>
          <w:rFonts w:asciiTheme="minorHAnsi" w:hAnsiTheme="minorHAnsi"/>
        </w:rPr>
      </w:pPr>
      <w:r w:rsidRPr="00E36FB8">
        <w:rPr>
          <w:rFonts w:asciiTheme="minorHAnsi" w:hAnsiTheme="minorHAnsi"/>
        </w:rPr>
        <w:t xml:space="preserve">NIH does not anticipate a publication embargo. However, a holding period of up to 6 months after each deposit might be considered before the data are made publicly available. This policy </w:t>
      </w:r>
      <w:r w:rsidRPr="00E36FB8">
        <w:rPr>
          <w:rFonts w:asciiTheme="minorHAnsi" w:hAnsiTheme="minorHAnsi"/>
        </w:rPr>
        <w:lastRenderedPageBreak/>
        <w:t xml:space="preserve">might be revised should an NIH-wide data sharing policy be issued (see </w:t>
      </w:r>
      <w:hyperlink r:id="rId13" w:history="1">
        <w:r w:rsidRPr="00E36FB8">
          <w:rPr>
            <w:rStyle w:val="Hyperlink"/>
            <w:rFonts w:asciiTheme="minorHAnsi" w:hAnsiTheme="minorHAnsi"/>
          </w:rPr>
          <w:t>http://grants.nih.gov/grants/guide/notice-files/NOT-HG-10-006.html</w:t>
        </w:r>
      </w:hyperlink>
      <w:r w:rsidRPr="00E36FB8">
        <w:rPr>
          <w:rFonts w:asciiTheme="minorHAnsi" w:hAnsiTheme="minorHAnsi"/>
        </w:rPr>
        <w:t xml:space="preserve">).   </w:t>
      </w:r>
    </w:p>
    <w:p w14:paraId="6318A03D" w14:textId="77777777" w:rsidR="00FA750F" w:rsidRPr="00E36FB8" w:rsidRDefault="00FA750F" w:rsidP="00FD7447">
      <w:pPr>
        <w:pStyle w:val="psingleindent"/>
        <w:jc w:val="both"/>
        <w:rPr>
          <w:rFonts w:asciiTheme="minorHAnsi" w:hAnsiTheme="minorHAnsi"/>
        </w:rPr>
      </w:pPr>
      <w:r w:rsidRPr="00E36FB8">
        <w:rPr>
          <w:rFonts w:asciiTheme="minorHAnsi" w:hAnsiTheme="minorHAnsi"/>
        </w:rPr>
        <w:t>Applicants should provide a specific proposal for release of data, and are encouraged to address the issue of frequency of the release, based on practical considerations or previous experience and the recommendations above. The reasonableness of the proposed data sharing plan will be assessed by the reviewers.</w:t>
      </w:r>
    </w:p>
    <w:p w14:paraId="42C83D8B" w14:textId="375B17C5" w:rsidR="00FA750F" w:rsidRPr="00E36FB8" w:rsidRDefault="00FA750F" w:rsidP="00FD7447">
      <w:pPr>
        <w:pStyle w:val="psingleindent"/>
        <w:jc w:val="both"/>
        <w:rPr>
          <w:rFonts w:asciiTheme="minorHAnsi" w:hAnsiTheme="minorHAnsi"/>
        </w:rPr>
      </w:pPr>
      <w:r w:rsidRPr="00E36FB8">
        <w:rPr>
          <w:rFonts w:asciiTheme="minorHAnsi" w:hAnsiTheme="minorHAnsi"/>
        </w:rPr>
        <w:t xml:space="preserve">As is the case for SNP genotyping and RNA-seq </w:t>
      </w:r>
      <w:r w:rsidRPr="00FD7447">
        <w:rPr>
          <w:rFonts w:asciiTheme="minorHAnsi" w:hAnsiTheme="minorHAnsi" w:cstheme="minorHAnsi"/>
        </w:rPr>
        <w:t xml:space="preserve">data </w:t>
      </w:r>
      <w:r w:rsidR="00FD7447">
        <w:rPr>
          <w:rFonts w:asciiTheme="minorHAnsi" w:hAnsiTheme="minorHAnsi" w:cstheme="minorHAnsi"/>
        </w:rPr>
        <w:t>as well as W</w:t>
      </w:r>
      <w:r w:rsidR="00FD7447" w:rsidRPr="00FD7447">
        <w:rPr>
          <w:rFonts w:asciiTheme="minorHAnsi" w:hAnsiTheme="minorHAnsi" w:cstheme="minorHAnsi"/>
          <w:color w:val="222222"/>
          <w:shd w:val="clear" w:color="auto" w:fill="FFFFFF"/>
        </w:rPr>
        <w:t>hole Genome Sequencing and Exome Sequencing data</w:t>
      </w:r>
      <w:r w:rsidR="00FD7447">
        <w:rPr>
          <w:rFonts w:asciiTheme="minorHAnsi" w:hAnsiTheme="minorHAnsi" w:cstheme="minorHAnsi"/>
          <w:color w:val="222222"/>
          <w:shd w:val="clear" w:color="auto" w:fill="FFFFFF"/>
        </w:rPr>
        <w:t xml:space="preserve"> </w:t>
      </w:r>
      <w:r w:rsidRPr="00FD7447">
        <w:rPr>
          <w:rFonts w:asciiTheme="minorHAnsi" w:hAnsiTheme="minorHAnsi" w:cstheme="minorHAnsi"/>
        </w:rPr>
        <w:t>a</w:t>
      </w:r>
      <w:r w:rsidRPr="00E36FB8">
        <w:rPr>
          <w:rFonts w:asciiTheme="minorHAnsi" w:hAnsiTheme="minorHAnsi"/>
        </w:rPr>
        <w:t>lready produced by GTEx, similar data generated in this FOA that contains extensive genetic variation information (e.g., genome-wide methyl-seq) are expected to be deposited into the controlled access part of dbGaP or other NIH Trusted Partners databases.  Applicants should address whether they anticipate any of their data requiring controlled access.</w:t>
      </w:r>
    </w:p>
    <w:p w14:paraId="16EDE13A" w14:textId="77777777" w:rsidR="00FA750F" w:rsidRPr="008E4599" w:rsidRDefault="00FA750F" w:rsidP="00A43A4F">
      <w:pPr>
        <w:autoSpaceDE w:val="0"/>
        <w:autoSpaceDN w:val="0"/>
        <w:adjustRightInd w:val="0"/>
        <w:spacing w:after="0" w:line="240" w:lineRule="auto"/>
        <w:rPr>
          <w:rFonts w:cstheme="minorHAnsi"/>
        </w:rPr>
      </w:pPr>
    </w:p>
    <w:sectPr w:rsidR="00FA750F" w:rsidRPr="008E4599" w:rsidSect="00B71453">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77579" w14:textId="77777777" w:rsidR="00302825" w:rsidRDefault="00302825" w:rsidP="00B71453">
      <w:pPr>
        <w:spacing w:after="0" w:line="240" w:lineRule="auto"/>
      </w:pPr>
      <w:r>
        <w:separator/>
      </w:r>
    </w:p>
  </w:endnote>
  <w:endnote w:type="continuationSeparator" w:id="0">
    <w:p w14:paraId="64C102EB" w14:textId="77777777" w:rsidR="00302825" w:rsidRDefault="00302825" w:rsidP="00B71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EKGJMA+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898066"/>
      <w:docPartObj>
        <w:docPartGallery w:val="Page Numbers (Bottom of Page)"/>
        <w:docPartUnique/>
      </w:docPartObj>
    </w:sdtPr>
    <w:sdtEndPr>
      <w:rPr>
        <w:noProof/>
      </w:rPr>
    </w:sdtEndPr>
    <w:sdtContent>
      <w:p w14:paraId="4ED6C3A1" w14:textId="4329BF07" w:rsidR="00651171" w:rsidRDefault="00651171">
        <w:pPr>
          <w:pStyle w:val="Footer"/>
          <w:jc w:val="center"/>
        </w:pPr>
        <w:r>
          <w:fldChar w:fldCharType="begin"/>
        </w:r>
        <w:r>
          <w:instrText xml:space="preserve"> PAGE   \* MERGEFORMAT </w:instrText>
        </w:r>
        <w:r>
          <w:fldChar w:fldCharType="separate"/>
        </w:r>
        <w:r w:rsidR="00D461B5">
          <w:rPr>
            <w:noProof/>
          </w:rPr>
          <w:t>8</w:t>
        </w:r>
        <w:r>
          <w:rPr>
            <w:noProof/>
          </w:rPr>
          <w:fldChar w:fldCharType="end"/>
        </w:r>
      </w:p>
    </w:sdtContent>
  </w:sdt>
  <w:p w14:paraId="3AE62382" w14:textId="2BF0C588" w:rsidR="00D10720" w:rsidRPr="00CD60B0" w:rsidRDefault="00D10720" w:rsidP="00952269">
    <w:pPr>
      <w:pStyle w:val="Footer"/>
      <w:tabs>
        <w:tab w:val="clear" w:pos="9360"/>
        <w:tab w:val="right" w:pos="91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3CF44" w14:textId="77777777" w:rsidR="00302825" w:rsidRDefault="00302825" w:rsidP="00B71453">
      <w:pPr>
        <w:spacing w:after="0" w:line="240" w:lineRule="auto"/>
      </w:pPr>
      <w:r>
        <w:separator/>
      </w:r>
    </w:p>
  </w:footnote>
  <w:footnote w:type="continuationSeparator" w:id="0">
    <w:p w14:paraId="273FDA8D" w14:textId="77777777" w:rsidR="00302825" w:rsidRDefault="00302825" w:rsidP="00B71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457253"/>
      <w:docPartObj>
        <w:docPartGallery w:val="Watermarks"/>
        <w:docPartUnique/>
      </w:docPartObj>
    </w:sdtPr>
    <w:sdtEndPr/>
    <w:sdtContent>
      <w:p w14:paraId="7CA2F86B" w14:textId="77777777" w:rsidR="00D10720" w:rsidRDefault="00D461B5">
        <w:pPr>
          <w:pStyle w:val="Header"/>
        </w:pPr>
        <w:r>
          <w:rPr>
            <w:noProof/>
            <w:lang w:eastAsia="zh-TW"/>
          </w:rPr>
          <w:pict w14:anchorId="7B0A4D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34528" o:spid="_x0000_s2049"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FINAL"/>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720A0"/>
    <w:multiLevelType w:val="hybridMultilevel"/>
    <w:tmpl w:val="F7504672"/>
    <w:lvl w:ilvl="0" w:tplc="7582730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86224B0"/>
    <w:multiLevelType w:val="multilevel"/>
    <w:tmpl w:val="E1EA5390"/>
    <w:lvl w:ilvl="0">
      <w:start w:val="4"/>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6B81563"/>
    <w:multiLevelType w:val="hybridMultilevel"/>
    <w:tmpl w:val="5276F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546FFD"/>
    <w:multiLevelType w:val="hybridMultilevel"/>
    <w:tmpl w:val="4CB06C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F271ADF"/>
    <w:multiLevelType w:val="multilevel"/>
    <w:tmpl w:val="E1EA5390"/>
    <w:lvl w:ilvl="0">
      <w:start w:val="4"/>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2DF6097"/>
    <w:multiLevelType w:val="multilevel"/>
    <w:tmpl w:val="E1EA5390"/>
    <w:lvl w:ilvl="0">
      <w:start w:val="4"/>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335B5996"/>
    <w:multiLevelType w:val="hybridMultilevel"/>
    <w:tmpl w:val="2C424D5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2F61ECF"/>
    <w:multiLevelType w:val="multilevel"/>
    <w:tmpl w:val="E1EA5390"/>
    <w:lvl w:ilvl="0">
      <w:start w:val="4"/>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D17100D"/>
    <w:multiLevelType w:val="hybridMultilevel"/>
    <w:tmpl w:val="10CA7478"/>
    <w:lvl w:ilvl="0" w:tplc="A5C62892">
      <w:start w:val="8"/>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6"/>
  </w:num>
  <w:num w:numId="4">
    <w:abstractNumId w:val="2"/>
  </w:num>
  <w:num w:numId="5">
    <w:abstractNumId w:val="8"/>
  </w:num>
  <w:num w:numId="6">
    <w:abstractNumId w:val="0"/>
  </w:num>
  <w:num w:numId="7">
    <w:abstractNumId w:val="4"/>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E2E"/>
    <w:rsid w:val="00002A55"/>
    <w:rsid w:val="00022D19"/>
    <w:rsid w:val="00031185"/>
    <w:rsid w:val="000460ED"/>
    <w:rsid w:val="0005529F"/>
    <w:rsid w:val="00070970"/>
    <w:rsid w:val="00075EA5"/>
    <w:rsid w:val="0007679A"/>
    <w:rsid w:val="000B201B"/>
    <w:rsid w:val="000C7C8F"/>
    <w:rsid w:val="000D2567"/>
    <w:rsid w:val="000D2C83"/>
    <w:rsid w:val="000E74B3"/>
    <w:rsid w:val="0010788D"/>
    <w:rsid w:val="00140465"/>
    <w:rsid w:val="00143BE4"/>
    <w:rsid w:val="001801C8"/>
    <w:rsid w:val="001A54CD"/>
    <w:rsid w:val="001C1046"/>
    <w:rsid w:val="001D6162"/>
    <w:rsid w:val="001F1A7E"/>
    <w:rsid w:val="001F1E0E"/>
    <w:rsid w:val="00234E75"/>
    <w:rsid w:val="0024031F"/>
    <w:rsid w:val="00250D96"/>
    <w:rsid w:val="002732B8"/>
    <w:rsid w:val="002756BB"/>
    <w:rsid w:val="00295186"/>
    <w:rsid w:val="002C7C4A"/>
    <w:rsid w:val="002E3C83"/>
    <w:rsid w:val="002E6961"/>
    <w:rsid w:val="00302825"/>
    <w:rsid w:val="00305F86"/>
    <w:rsid w:val="003136FC"/>
    <w:rsid w:val="00322D24"/>
    <w:rsid w:val="0032616B"/>
    <w:rsid w:val="003371CB"/>
    <w:rsid w:val="00340FFE"/>
    <w:rsid w:val="00342C4E"/>
    <w:rsid w:val="00343CB2"/>
    <w:rsid w:val="00391B40"/>
    <w:rsid w:val="003B6856"/>
    <w:rsid w:val="003C20DD"/>
    <w:rsid w:val="003D3F55"/>
    <w:rsid w:val="003E031D"/>
    <w:rsid w:val="003E0AAA"/>
    <w:rsid w:val="00410177"/>
    <w:rsid w:val="00415D71"/>
    <w:rsid w:val="00427C84"/>
    <w:rsid w:val="00476FF2"/>
    <w:rsid w:val="00484D51"/>
    <w:rsid w:val="004B7342"/>
    <w:rsid w:val="004E1073"/>
    <w:rsid w:val="004E1B42"/>
    <w:rsid w:val="00520501"/>
    <w:rsid w:val="00544734"/>
    <w:rsid w:val="0055256B"/>
    <w:rsid w:val="005547A9"/>
    <w:rsid w:val="005567D6"/>
    <w:rsid w:val="00560DCF"/>
    <w:rsid w:val="0056144F"/>
    <w:rsid w:val="00573FFD"/>
    <w:rsid w:val="00593093"/>
    <w:rsid w:val="005B435E"/>
    <w:rsid w:val="005D2D8B"/>
    <w:rsid w:val="00605490"/>
    <w:rsid w:val="006127F4"/>
    <w:rsid w:val="00631C8A"/>
    <w:rsid w:val="00651171"/>
    <w:rsid w:val="006522F0"/>
    <w:rsid w:val="00674977"/>
    <w:rsid w:val="00693CFC"/>
    <w:rsid w:val="006A4DED"/>
    <w:rsid w:val="006B0C8A"/>
    <w:rsid w:val="006B25BF"/>
    <w:rsid w:val="006B3A3D"/>
    <w:rsid w:val="006B4169"/>
    <w:rsid w:val="006C109E"/>
    <w:rsid w:val="006E623A"/>
    <w:rsid w:val="006F0E40"/>
    <w:rsid w:val="006F2169"/>
    <w:rsid w:val="00702793"/>
    <w:rsid w:val="00724D67"/>
    <w:rsid w:val="007258A5"/>
    <w:rsid w:val="007266DE"/>
    <w:rsid w:val="00774056"/>
    <w:rsid w:val="00781B45"/>
    <w:rsid w:val="007A12F2"/>
    <w:rsid w:val="007B0069"/>
    <w:rsid w:val="007B20B8"/>
    <w:rsid w:val="007D244D"/>
    <w:rsid w:val="007E0529"/>
    <w:rsid w:val="007E2C2D"/>
    <w:rsid w:val="007F55A3"/>
    <w:rsid w:val="00833B18"/>
    <w:rsid w:val="008433CD"/>
    <w:rsid w:val="00846848"/>
    <w:rsid w:val="008631D8"/>
    <w:rsid w:val="00864F46"/>
    <w:rsid w:val="0086543A"/>
    <w:rsid w:val="00865548"/>
    <w:rsid w:val="008741FE"/>
    <w:rsid w:val="00880746"/>
    <w:rsid w:val="00895A6B"/>
    <w:rsid w:val="008A59F8"/>
    <w:rsid w:val="008B2DC6"/>
    <w:rsid w:val="008C0F8B"/>
    <w:rsid w:val="008D706A"/>
    <w:rsid w:val="008D7F1E"/>
    <w:rsid w:val="008E4599"/>
    <w:rsid w:val="008F3409"/>
    <w:rsid w:val="00906863"/>
    <w:rsid w:val="00916B99"/>
    <w:rsid w:val="00920F1C"/>
    <w:rsid w:val="00944750"/>
    <w:rsid w:val="00952269"/>
    <w:rsid w:val="009779C3"/>
    <w:rsid w:val="009872A7"/>
    <w:rsid w:val="009A27EF"/>
    <w:rsid w:val="009B6FE4"/>
    <w:rsid w:val="009B7737"/>
    <w:rsid w:val="009D5A4E"/>
    <w:rsid w:val="009E0EEA"/>
    <w:rsid w:val="009E6416"/>
    <w:rsid w:val="009F6B84"/>
    <w:rsid w:val="00A12759"/>
    <w:rsid w:val="00A136A2"/>
    <w:rsid w:val="00A23EE9"/>
    <w:rsid w:val="00A378AD"/>
    <w:rsid w:val="00A43538"/>
    <w:rsid w:val="00A43A4F"/>
    <w:rsid w:val="00A63471"/>
    <w:rsid w:val="00A65D6A"/>
    <w:rsid w:val="00A66494"/>
    <w:rsid w:val="00A87D01"/>
    <w:rsid w:val="00A974D9"/>
    <w:rsid w:val="00AA4180"/>
    <w:rsid w:val="00AA41B9"/>
    <w:rsid w:val="00AB5837"/>
    <w:rsid w:val="00AF618C"/>
    <w:rsid w:val="00AF6C45"/>
    <w:rsid w:val="00B15614"/>
    <w:rsid w:val="00B2395B"/>
    <w:rsid w:val="00B24FE0"/>
    <w:rsid w:val="00B4134B"/>
    <w:rsid w:val="00B42137"/>
    <w:rsid w:val="00B432A2"/>
    <w:rsid w:val="00B4462B"/>
    <w:rsid w:val="00B523F5"/>
    <w:rsid w:val="00B57CA9"/>
    <w:rsid w:val="00B71453"/>
    <w:rsid w:val="00B776B8"/>
    <w:rsid w:val="00B93404"/>
    <w:rsid w:val="00B95B31"/>
    <w:rsid w:val="00BA5F26"/>
    <w:rsid w:val="00BE3A0E"/>
    <w:rsid w:val="00BE76AD"/>
    <w:rsid w:val="00C322AC"/>
    <w:rsid w:val="00C42D2D"/>
    <w:rsid w:val="00C513E1"/>
    <w:rsid w:val="00C54D4F"/>
    <w:rsid w:val="00C60B30"/>
    <w:rsid w:val="00C66DBA"/>
    <w:rsid w:val="00CA6D57"/>
    <w:rsid w:val="00CD2A98"/>
    <w:rsid w:val="00CD60B0"/>
    <w:rsid w:val="00CF561A"/>
    <w:rsid w:val="00D00CCA"/>
    <w:rsid w:val="00D015ED"/>
    <w:rsid w:val="00D10720"/>
    <w:rsid w:val="00D30F72"/>
    <w:rsid w:val="00D461B5"/>
    <w:rsid w:val="00D6183C"/>
    <w:rsid w:val="00D704A0"/>
    <w:rsid w:val="00D75F77"/>
    <w:rsid w:val="00D764CE"/>
    <w:rsid w:val="00D90E96"/>
    <w:rsid w:val="00D97BE7"/>
    <w:rsid w:val="00DA1A33"/>
    <w:rsid w:val="00DA2255"/>
    <w:rsid w:val="00DA49AD"/>
    <w:rsid w:val="00DB0ECA"/>
    <w:rsid w:val="00DB72FE"/>
    <w:rsid w:val="00DD157C"/>
    <w:rsid w:val="00DD3C19"/>
    <w:rsid w:val="00DD57C7"/>
    <w:rsid w:val="00DE25A8"/>
    <w:rsid w:val="00E072F6"/>
    <w:rsid w:val="00E11585"/>
    <w:rsid w:val="00E2091F"/>
    <w:rsid w:val="00E36FB8"/>
    <w:rsid w:val="00E459FE"/>
    <w:rsid w:val="00E5078B"/>
    <w:rsid w:val="00E64D25"/>
    <w:rsid w:val="00E7410E"/>
    <w:rsid w:val="00EC372C"/>
    <w:rsid w:val="00ED5E2E"/>
    <w:rsid w:val="00EE2526"/>
    <w:rsid w:val="00EE29F8"/>
    <w:rsid w:val="00EF05EE"/>
    <w:rsid w:val="00F05247"/>
    <w:rsid w:val="00F05760"/>
    <w:rsid w:val="00F31684"/>
    <w:rsid w:val="00F3195A"/>
    <w:rsid w:val="00F80586"/>
    <w:rsid w:val="00F86484"/>
    <w:rsid w:val="00FA14B1"/>
    <w:rsid w:val="00FA3DAB"/>
    <w:rsid w:val="00FA750F"/>
    <w:rsid w:val="00FC71D7"/>
    <w:rsid w:val="00FD7447"/>
    <w:rsid w:val="00FE3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8C52C32"/>
  <w15:docId w15:val="{4662FFDA-DFD9-4B19-BE56-58439690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D5E2E"/>
    <w:pPr>
      <w:autoSpaceDE w:val="0"/>
      <w:autoSpaceDN w:val="0"/>
      <w:adjustRightInd w:val="0"/>
      <w:spacing w:after="0" w:line="240" w:lineRule="auto"/>
    </w:pPr>
    <w:rPr>
      <w:rFonts w:ascii="EKGJMA+TimesNewRoman,Bold" w:hAnsi="EKGJMA+TimesNewRoman,Bold" w:cs="EKGJMA+TimesNewRoman,Bold"/>
      <w:color w:val="000000"/>
      <w:sz w:val="24"/>
      <w:szCs w:val="24"/>
    </w:rPr>
  </w:style>
  <w:style w:type="paragraph" w:styleId="Header">
    <w:name w:val="header"/>
    <w:basedOn w:val="Normal"/>
    <w:link w:val="HeaderChar"/>
    <w:uiPriority w:val="99"/>
    <w:unhideWhenUsed/>
    <w:rsid w:val="00B714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1453"/>
  </w:style>
  <w:style w:type="paragraph" w:styleId="Footer">
    <w:name w:val="footer"/>
    <w:basedOn w:val="Normal"/>
    <w:link w:val="FooterChar"/>
    <w:uiPriority w:val="99"/>
    <w:unhideWhenUsed/>
    <w:rsid w:val="00B714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453"/>
  </w:style>
  <w:style w:type="paragraph" w:styleId="BalloonText">
    <w:name w:val="Balloon Text"/>
    <w:basedOn w:val="Normal"/>
    <w:link w:val="BalloonTextChar"/>
    <w:uiPriority w:val="99"/>
    <w:semiHidden/>
    <w:unhideWhenUsed/>
    <w:rsid w:val="00B714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1453"/>
    <w:rPr>
      <w:rFonts w:ascii="Tahoma" w:hAnsi="Tahoma" w:cs="Tahoma"/>
      <w:sz w:val="16"/>
      <w:szCs w:val="16"/>
    </w:rPr>
  </w:style>
  <w:style w:type="character" w:styleId="Hyperlink">
    <w:name w:val="Hyperlink"/>
    <w:basedOn w:val="DefaultParagraphFont"/>
    <w:rsid w:val="0056144F"/>
    <w:rPr>
      <w:color w:val="0000FF"/>
      <w:u w:val="single"/>
    </w:rPr>
  </w:style>
  <w:style w:type="character" w:styleId="CommentReference">
    <w:name w:val="annotation reference"/>
    <w:basedOn w:val="DefaultParagraphFont"/>
    <w:uiPriority w:val="99"/>
    <w:semiHidden/>
    <w:unhideWhenUsed/>
    <w:rsid w:val="003136FC"/>
    <w:rPr>
      <w:sz w:val="16"/>
      <w:szCs w:val="16"/>
    </w:rPr>
  </w:style>
  <w:style w:type="paragraph" w:styleId="CommentText">
    <w:name w:val="annotation text"/>
    <w:basedOn w:val="Normal"/>
    <w:link w:val="CommentTextChar"/>
    <w:uiPriority w:val="99"/>
    <w:semiHidden/>
    <w:unhideWhenUsed/>
    <w:rsid w:val="003136FC"/>
    <w:pPr>
      <w:spacing w:line="240" w:lineRule="auto"/>
    </w:pPr>
    <w:rPr>
      <w:sz w:val="20"/>
      <w:szCs w:val="20"/>
    </w:rPr>
  </w:style>
  <w:style w:type="character" w:customStyle="1" w:styleId="CommentTextChar">
    <w:name w:val="Comment Text Char"/>
    <w:basedOn w:val="DefaultParagraphFont"/>
    <w:link w:val="CommentText"/>
    <w:uiPriority w:val="99"/>
    <w:semiHidden/>
    <w:rsid w:val="003136FC"/>
    <w:rPr>
      <w:sz w:val="20"/>
      <w:szCs w:val="20"/>
    </w:rPr>
  </w:style>
  <w:style w:type="paragraph" w:styleId="CommentSubject">
    <w:name w:val="annotation subject"/>
    <w:basedOn w:val="CommentText"/>
    <w:next w:val="CommentText"/>
    <w:link w:val="CommentSubjectChar"/>
    <w:uiPriority w:val="99"/>
    <w:semiHidden/>
    <w:unhideWhenUsed/>
    <w:rsid w:val="003136FC"/>
    <w:rPr>
      <w:b/>
      <w:bCs/>
    </w:rPr>
  </w:style>
  <w:style w:type="character" w:customStyle="1" w:styleId="CommentSubjectChar">
    <w:name w:val="Comment Subject Char"/>
    <w:basedOn w:val="CommentTextChar"/>
    <w:link w:val="CommentSubject"/>
    <w:uiPriority w:val="99"/>
    <w:semiHidden/>
    <w:rsid w:val="003136FC"/>
    <w:rPr>
      <w:b/>
      <w:bCs/>
      <w:sz w:val="20"/>
      <w:szCs w:val="20"/>
    </w:rPr>
  </w:style>
  <w:style w:type="paragraph" w:styleId="ListParagraph">
    <w:name w:val="List Paragraph"/>
    <w:basedOn w:val="Normal"/>
    <w:uiPriority w:val="34"/>
    <w:qFormat/>
    <w:rsid w:val="002732B8"/>
    <w:pPr>
      <w:ind w:left="720"/>
      <w:contextualSpacing/>
    </w:pPr>
  </w:style>
  <w:style w:type="paragraph" w:styleId="Revision">
    <w:name w:val="Revision"/>
    <w:hidden/>
    <w:uiPriority w:val="99"/>
    <w:semiHidden/>
    <w:rsid w:val="00CD2A98"/>
    <w:pPr>
      <w:spacing w:after="0" w:line="240" w:lineRule="auto"/>
    </w:pPr>
  </w:style>
  <w:style w:type="paragraph" w:customStyle="1" w:styleId="heading4indent">
    <w:name w:val="heading4indent"/>
    <w:basedOn w:val="Normal"/>
    <w:rsid w:val="00FA750F"/>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psingleindent">
    <w:name w:val="p_singleindent"/>
    <w:basedOn w:val="Normal"/>
    <w:rsid w:val="00FA750F"/>
    <w:pPr>
      <w:spacing w:before="100" w:beforeAutospacing="1" w:after="100" w:afterAutospacing="1" w:line="240" w:lineRule="auto"/>
    </w:pPr>
    <w:rPr>
      <w:rFonts w:ascii="Times New Roman" w:eastAsiaTheme="minorHAnsi" w:hAnsi="Times New Roman" w:cs="Times New Roman"/>
      <w:sz w:val="24"/>
      <w:szCs w:val="24"/>
    </w:rPr>
  </w:style>
  <w:style w:type="character" w:styleId="Strong">
    <w:name w:val="Strong"/>
    <w:basedOn w:val="DefaultParagraphFont"/>
    <w:uiPriority w:val="22"/>
    <w:qFormat/>
    <w:rsid w:val="00FA750F"/>
    <w:rPr>
      <w:b/>
      <w:bCs/>
    </w:rPr>
  </w:style>
  <w:style w:type="character" w:styleId="FollowedHyperlink">
    <w:name w:val="FollowedHyperlink"/>
    <w:basedOn w:val="DefaultParagraphFont"/>
    <w:uiPriority w:val="99"/>
    <w:semiHidden/>
    <w:unhideWhenUsed/>
    <w:rsid w:val="00DA1A33"/>
    <w:rPr>
      <w:color w:val="800080" w:themeColor="followedHyperlink"/>
      <w:u w:val="single"/>
    </w:rPr>
  </w:style>
  <w:style w:type="paragraph" w:styleId="NoSpacing">
    <w:name w:val="No Spacing"/>
    <w:link w:val="NoSpacingChar"/>
    <w:uiPriority w:val="1"/>
    <w:qFormat/>
    <w:rsid w:val="00CD60B0"/>
    <w:pPr>
      <w:spacing w:after="0" w:line="240" w:lineRule="auto"/>
    </w:pPr>
    <w:rPr>
      <w:lang w:eastAsia="ja-JP"/>
    </w:rPr>
  </w:style>
  <w:style w:type="character" w:customStyle="1" w:styleId="NoSpacingChar">
    <w:name w:val="No Spacing Char"/>
    <w:basedOn w:val="DefaultParagraphFont"/>
    <w:link w:val="NoSpacing"/>
    <w:uiPriority w:val="1"/>
    <w:rsid w:val="00CD60B0"/>
    <w:rPr>
      <w:lang w:eastAsia="ja-JP"/>
    </w:rPr>
  </w:style>
  <w:style w:type="paragraph" w:customStyle="1" w:styleId="F9E977197262459AB16AE09F8A4F0155">
    <w:name w:val="F9E977197262459AB16AE09F8A4F0155"/>
    <w:rsid w:val="00CD60B0"/>
    <w:rPr>
      <w:lang w:eastAsia="ja-JP"/>
    </w:rPr>
  </w:style>
  <w:style w:type="character" w:styleId="Mention">
    <w:name w:val="Mention"/>
    <w:basedOn w:val="DefaultParagraphFont"/>
    <w:uiPriority w:val="99"/>
    <w:semiHidden/>
    <w:unhideWhenUsed/>
    <w:rsid w:val="00002A55"/>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4031">
      <w:bodyDiv w:val="1"/>
      <w:marLeft w:val="0"/>
      <w:marRight w:val="0"/>
      <w:marTop w:val="0"/>
      <w:marBottom w:val="0"/>
      <w:divBdr>
        <w:top w:val="none" w:sz="0" w:space="0" w:color="auto"/>
        <w:left w:val="none" w:sz="0" w:space="0" w:color="auto"/>
        <w:bottom w:val="none" w:sz="0" w:space="0" w:color="auto"/>
        <w:right w:val="none" w:sz="0" w:space="0" w:color="auto"/>
      </w:divBdr>
    </w:div>
    <w:div w:id="325204887">
      <w:bodyDiv w:val="1"/>
      <w:marLeft w:val="0"/>
      <w:marRight w:val="0"/>
      <w:marTop w:val="0"/>
      <w:marBottom w:val="0"/>
      <w:divBdr>
        <w:top w:val="none" w:sz="0" w:space="0" w:color="auto"/>
        <w:left w:val="none" w:sz="0" w:space="0" w:color="auto"/>
        <w:bottom w:val="none" w:sz="0" w:space="0" w:color="auto"/>
        <w:right w:val="none" w:sz="0" w:space="0" w:color="auto"/>
      </w:divBdr>
      <w:divsChild>
        <w:div w:id="461390059">
          <w:marLeft w:val="0"/>
          <w:marRight w:val="0"/>
          <w:marTop w:val="0"/>
          <w:marBottom w:val="0"/>
          <w:divBdr>
            <w:top w:val="none" w:sz="0" w:space="0" w:color="auto"/>
            <w:left w:val="none" w:sz="0" w:space="0" w:color="auto"/>
            <w:bottom w:val="none" w:sz="0" w:space="0" w:color="auto"/>
            <w:right w:val="none" w:sz="0" w:space="0" w:color="auto"/>
          </w:divBdr>
          <w:divsChild>
            <w:div w:id="83693696">
              <w:marLeft w:val="3075"/>
              <w:marRight w:val="0"/>
              <w:marTop w:val="0"/>
              <w:marBottom w:val="0"/>
              <w:divBdr>
                <w:top w:val="none" w:sz="0" w:space="0" w:color="auto"/>
                <w:left w:val="none" w:sz="0" w:space="0" w:color="auto"/>
                <w:bottom w:val="none" w:sz="0" w:space="0" w:color="auto"/>
                <w:right w:val="none" w:sz="0" w:space="0" w:color="auto"/>
              </w:divBdr>
              <w:divsChild>
                <w:div w:id="185494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283363">
      <w:bodyDiv w:val="1"/>
      <w:marLeft w:val="750"/>
      <w:marRight w:val="750"/>
      <w:marTop w:val="0"/>
      <w:marBottom w:val="0"/>
      <w:divBdr>
        <w:top w:val="none" w:sz="0" w:space="0" w:color="auto"/>
        <w:left w:val="none" w:sz="0" w:space="0" w:color="auto"/>
        <w:bottom w:val="none" w:sz="0" w:space="0" w:color="auto"/>
        <w:right w:val="none" w:sz="0" w:space="0" w:color="auto"/>
      </w:divBdr>
      <w:divsChild>
        <w:div w:id="1953171287">
          <w:marLeft w:val="0"/>
          <w:marRight w:val="0"/>
          <w:marTop w:val="0"/>
          <w:marBottom w:val="0"/>
          <w:divBdr>
            <w:top w:val="none" w:sz="0" w:space="0" w:color="auto"/>
            <w:left w:val="none" w:sz="0" w:space="0" w:color="auto"/>
            <w:bottom w:val="none" w:sz="0" w:space="0" w:color="auto"/>
            <w:right w:val="none" w:sz="0" w:space="0" w:color="auto"/>
          </w:divBdr>
        </w:div>
      </w:divsChild>
    </w:div>
    <w:div w:id="1238245535">
      <w:bodyDiv w:val="1"/>
      <w:marLeft w:val="0"/>
      <w:marRight w:val="0"/>
      <w:marTop w:val="0"/>
      <w:marBottom w:val="0"/>
      <w:divBdr>
        <w:top w:val="none" w:sz="0" w:space="0" w:color="auto"/>
        <w:left w:val="none" w:sz="0" w:space="0" w:color="auto"/>
        <w:bottom w:val="none" w:sz="0" w:space="0" w:color="auto"/>
        <w:right w:val="none" w:sz="0" w:space="0" w:color="auto"/>
      </w:divBdr>
    </w:div>
    <w:div w:id="1349987787">
      <w:bodyDiv w:val="1"/>
      <w:marLeft w:val="0"/>
      <w:marRight w:val="0"/>
      <w:marTop w:val="0"/>
      <w:marBottom w:val="0"/>
      <w:divBdr>
        <w:top w:val="none" w:sz="0" w:space="0" w:color="auto"/>
        <w:left w:val="none" w:sz="0" w:space="0" w:color="auto"/>
        <w:bottom w:val="none" w:sz="0" w:space="0" w:color="auto"/>
        <w:right w:val="none" w:sz="0" w:space="0" w:color="auto"/>
      </w:divBdr>
      <w:divsChild>
        <w:div w:id="1529218307">
          <w:marLeft w:val="0"/>
          <w:marRight w:val="0"/>
          <w:marTop w:val="0"/>
          <w:marBottom w:val="0"/>
          <w:divBdr>
            <w:top w:val="none" w:sz="0" w:space="0" w:color="auto"/>
            <w:left w:val="none" w:sz="0" w:space="0" w:color="auto"/>
            <w:bottom w:val="none" w:sz="0" w:space="0" w:color="auto"/>
            <w:right w:val="none" w:sz="0" w:space="0" w:color="auto"/>
          </w:divBdr>
          <w:divsChild>
            <w:div w:id="1039473888">
              <w:marLeft w:val="3075"/>
              <w:marRight w:val="0"/>
              <w:marTop w:val="0"/>
              <w:marBottom w:val="0"/>
              <w:divBdr>
                <w:top w:val="none" w:sz="0" w:space="0" w:color="auto"/>
                <w:left w:val="none" w:sz="0" w:space="0" w:color="auto"/>
                <w:bottom w:val="none" w:sz="0" w:space="0" w:color="auto"/>
                <w:right w:val="none" w:sz="0" w:space="0" w:color="auto"/>
              </w:divBdr>
              <w:divsChild>
                <w:div w:id="122941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497556">
      <w:bodyDiv w:val="1"/>
      <w:marLeft w:val="0"/>
      <w:marRight w:val="0"/>
      <w:marTop w:val="0"/>
      <w:marBottom w:val="0"/>
      <w:divBdr>
        <w:top w:val="none" w:sz="0" w:space="0" w:color="auto"/>
        <w:left w:val="none" w:sz="0" w:space="0" w:color="auto"/>
        <w:bottom w:val="none" w:sz="0" w:space="0" w:color="auto"/>
        <w:right w:val="none" w:sz="0" w:space="0" w:color="auto"/>
      </w:divBdr>
      <w:divsChild>
        <w:div w:id="1004548288">
          <w:marLeft w:val="0"/>
          <w:marRight w:val="0"/>
          <w:marTop w:val="0"/>
          <w:marBottom w:val="0"/>
          <w:divBdr>
            <w:top w:val="none" w:sz="0" w:space="0" w:color="auto"/>
            <w:left w:val="none" w:sz="0" w:space="0" w:color="auto"/>
            <w:bottom w:val="none" w:sz="0" w:space="0" w:color="auto"/>
            <w:right w:val="none" w:sz="0" w:space="0" w:color="auto"/>
          </w:divBdr>
          <w:divsChild>
            <w:div w:id="839664329">
              <w:marLeft w:val="3075"/>
              <w:marRight w:val="0"/>
              <w:marTop w:val="0"/>
              <w:marBottom w:val="0"/>
              <w:divBdr>
                <w:top w:val="none" w:sz="0" w:space="0" w:color="auto"/>
                <w:left w:val="none" w:sz="0" w:space="0" w:color="auto"/>
                <w:bottom w:val="none" w:sz="0" w:space="0" w:color="auto"/>
                <w:right w:val="none" w:sz="0" w:space="0" w:color="auto"/>
              </w:divBdr>
              <w:divsChild>
                <w:div w:id="97433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199001">
      <w:bodyDiv w:val="1"/>
      <w:marLeft w:val="0"/>
      <w:marRight w:val="0"/>
      <w:marTop w:val="0"/>
      <w:marBottom w:val="0"/>
      <w:divBdr>
        <w:top w:val="none" w:sz="0" w:space="0" w:color="auto"/>
        <w:left w:val="none" w:sz="0" w:space="0" w:color="auto"/>
        <w:bottom w:val="none" w:sz="0" w:space="0" w:color="auto"/>
        <w:right w:val="none" w:sz="0" w:space="0" w:color="auto"/>
      </w:divBdr>
    </w:div>
    <w:div w:id="1948808604">
      <w:bodyDiv w:val="1"/>
      <w:marLeft w:val="750"/>
      <w:marRight w:val="750"/>
      <w:marTop w:val="0"/>
      <w:marBottom w:val="0"/>
      <w:divBdr>
        <w:top w:val="none" w:sz="0" w:space="0" w:color="auto"/>
        <w:left w:val="none" w:sz="0" w:space="0" w:color="auto"/>
        <w:bottom w:val="none" w:sz="0" w:space="0" w:color="auto"/>
        <w:right w:val="none" w:sz="0" w:space="0" w:color="auto"/>
      </w:divBdr>
      <w:divsChild>
        <w:div w:id="784230790">
          <w:marLeft w:val="0"/>
          <w:marRight w:val="0"/>
          <w:marTop w:val="0"/>
          <w:marBottom w:val="0"/>
          <w:divBdr>
            <w:top w:val="none" w:sz="0" w:space="0" w:color="auto"/>
            <w:left w:val="none" w:sz="0" w:space="0" w:color="auto"/>
            <w:bottom w:val="none" w:sz="0" w:space="0" w:color="auto"/>
            <w:right w:val="none" w:sz="0" w:space="0" w:color="auto"/>
          </w:divBdr>
        </w:div>
      </w:divsChild>
    </w:div>
    <w:div w:id="2050688893">
      <w:bodyDiv w:val="1"/>
      <w:marLeft w:val="0"/>
      <w:marRight w:val="0"/>
      <w:marTop w:val="0"/>
      <w:marBottom w:val="0"/>
      <w:divBdr>
        <w:top w:val="none" w:sz="0" w:space="0" w:color="auto"/>
        <w:left w:val="none" w:sz="0" w:space="0" w:color="auto"/>
        <w:bottom w:val="none" w:sz="0" w:space="0" w:color="auto"/>
        <w:right w:val="none" w:sz="0" w:space="0" w:color="auto"/>
      </w:divBdr>
      <w:divsChild>
        <w:div w:id="1069814008">
          <w:marLeft w:val="0"/>
          <w:marRight w:val="0"/>
          <w:marTop w:val="0"/>
          <w:marBottom w:val="0"/>
          <w:divBdr>
            <w:top w:val="none" w:sz="0" w:space="0" w:color="auto"/>
            <w:left w:val="none" w:sz="0" w:space="0" w:color="auto"/>
            <w:bottom w:val="none" w:sz="0" w:space="0" w:color="auto"/>
            <w:right w:val="none" w:sz="0" w:space="0" w:color="auto"/>
          </w:divBdr>
          <w:divsChild>
            <w:div w:id="1861427260">
              <w:marLeft w:val="3075"/>
              <w:marRight w:val="0"/>
              <w:marTop w:val="0"/>
              <w:marBottom w:val="0"/>
              <w:divBdr>
                <w:top w:val="none" w:sz="0" w:space="0" w:color="auto"/>
                <w:left w:val="none" w:sz="0" w:space="0" w:color="auto"/>
                <w:bottom w:val="none" w:sz="0" w:space="0" w:color="auto"/>
                <w:right w:val="none" w:sz="0" w:space="0" w:color="auto"/>
              </w:divBdr>
              <w:divsChild>
                <w:div w:id="153160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texportal.org/home/documentationPage#staticTextPublicationPolicy" TargetMode="External"/><Relationship Id="rId13" Type="http://schemas.openxmlformats.org/officeDocument/2006/relationships/hyperlink" Target="http://grants.nih.gov/grants/guide/notice-files/NOT-HG-10-006.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oadinstitute.org/gte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sites/entrez?db=ga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grants.nih.gov/grants/guide/rfa-files/rfa-rm-12-009.html" TargetMode="External"/><Relationship Id="rId4" Type="http://schemas.openxmlformats.org/officeDocument/2006/relationships/settings" Target="settings.xml"/><Relationship Id="rId9" Type="http://schemas.openxmlformats.org/officeDocument/2006/relationships/hyperlink" Target="http://grants.nih.gov/grants/guide/rfa-files/rfa-rm-12-009.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77153-C365-4910-BB2A-3B22C496A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2312</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NHGRI</Company>
  <LinksUpToDate>false</LinksUpToDate>
  <CharactersWithSpaces>15467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NIH GTEx Material Transfer Agreement v /</dc:creator>
  <cp:lastModifiedBy>Rao, Abhi (NIH/NCI) [E]</cp:lastModifiedBy>
  <cp:revision>6</cp:revision>
  <cp:lastPrinted>2013-08-07T13:07:00Z</cp:lastPrinted>
  <dcterms:created xsi:type="dcterms:W3CDTF">2017-09-15T15:24:00Z</dcterms:created>
  <dcterms:modified xsi:type="dcterms:W3CDTF">2017-09-15T16:23:00Z</dcterms:modified>
</cp:coreProperties>
</file>