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LK 7a. Menetapkan  Program Pengelolaan Pembelajaran Mendalam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Petunjuk</w:t>
      </w:r>
      <w:r w:rsidDel="00000000" w:rsidR="00000000" w:rsidRPr="00000000">
        <w:rPr>
          <w:rtl w:val="0"/>
        </w:rPr>
        <w:t xml:space="preserve">: 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tabs>
          <w:tab w:val="left" w:leader="none" w:pos="1080"/>
        </w:tabs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Silahkan Anda lakukan telaah  hasil identifikasi kondisi Satuan Pendidikan  masing-masing berdasarkan Rubrik Kondisi Sekolah pada pembelajaran sebelumnya;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tabs>
          <w:tab w:val="left" w:leader="none" w:pos="1080"/>
        </w:tabs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Kelompokkan setiap komponen bukti dukung ke dalam 4 elemen desain Pembelajaran Mendalam  mulai dari praktik pedagogis, penciptaan lingkungan belajar, kemitraan pembelajaran dan pemanfaatan digital;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tabs>
          <w:tab w:val="left" w:leader="none" w:pos="1080"/>
        </w:tabs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Identifikasi sumber daya/potensi  apa saja  yang menjadi  kekuatan (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Strength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dan peluang (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Opportunity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Satuan Pendidikan yang mendukung implementasi Pembelajaran Mendalam di Satuan Pendidikan Anda. Kemudian Anda masukkan hasil identifikasi kekuatan di kolom S dan peluang di kolom O pada LK 7;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1080"/>
        </w:tabs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Tuliskan  jenis kebutuhan program kegiatan  apa saja yang diperlukan  untuk mendukung implementasi Pembelajaran Mendalam pada 4 elemen desain pembelajaran Mendalam. Silahkan Anda t tulis pada  kolom A (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Aspirations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)!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1080"/>
        </w:tabs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Tuliskan pada kolom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Ide Kegiatan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 alternatif program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yang bisa Anda lakukan dalam pengembangan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  elemen desain  Pembelajaran Mendalam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yang  selaras dengan Visi dan Tujuan Satuan Pendidikan  Anda   dan hasil diskusi dengan teman dalam kelompok.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1080"/>
        </w:tabs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Berdasarkan analisis kondisi satuan Satuan Pendidikan, refleksi praktik, pemetaan sumber daya, lakukan identifikasi prioritas area program Pembelajaran Mendalam yang paling  mendesak dan realistik untuk diimplementasikan dalam RTL.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1080"/>
        </w:tabs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Pilihlah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satu program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untuk mendukung implementasi program Pembelajaran Mendalam yang mensinergikan 4 kerangka Pembelajaran Mendalam (praktik pedagogis, penciptaan lingkungan belajar, kemitraan pembelajaran dan pemanfaatan digital).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Layout w:type="fixed"/>
        <w:tblLook w:val="0400"/>
      </w:tblPr>
      <w:tblGrid>
        <w:gridCol w:w="330"/>
        <w:gridCol w:w="2475"/>
        <w:gridCol w:w="1275"/>
        <w:gridCol w:w="1575"/>
        <w:gridCol w:w="1485"/>
        <w:gridCol w:w="915"/>
        <w:gridCol w:w="960"/>
        <w:tblGridChange w:id="0">
          <w:tblGrid>
            <w:gridCol w:w="330"/>
            <w:gridCol w:w="2475"/>
            <w:gridCol w:w="1275"/>
            <w:gridCol w:w="1575"/>
            <w:gridCol w:w="1485"/>
            <w:gridCol w:w="915"/>
            <w:gridCol w:w="960"/>
          </w:tblGrid>
        </w:tblGridChange>
      </w:tblGrid>
      <w:tr>
        <w:trPr>
          <w:cantSplit w:val="0"/>
          <w:trHeight w:val="58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c9daf8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Komponen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Kekuatan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Strength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Peluang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Opportunity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Aspirasi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Aspirations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Hasil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Result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Ide Program</w:t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Visi dan Tujuan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Vision and Goals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Kepemimpinan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Leadership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Budaya Kolaboratif(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Collaborative Culture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Kedalaman Pembelajaran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Deepening the Learning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Pengukuran dan Evaluasi Baru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New Measures and Evaluation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ID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EA7024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EA7024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EA7024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EA7024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EA7024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EA7024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A702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A702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A702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A7024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A702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A7024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A7024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A7024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A702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A702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A702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A7024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EA7024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A702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EA7024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A702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A702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A702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A702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A7024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A7024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A7024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A7024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4qJ9FfoNoj/IutU5tIgJM5+cFQ==">CgMxLjA4AHIhMXBCSmcwODJyajhESjNHTWRIQXl5bkZsRjVaUzNVR1JG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2025-04-10T02:26:00Z</dcterms:created>
  <dc:creator>DIAN RAHMAWATI</dc:creator>
</cp:coreProperties>
</file>