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950D8" w14:textId="77777777" w:rsidR="00D0743F" w:rsidRPr="0008648F" w:rsidRDefault="00D0743F" w:rsidP="00D0743F">
      <w:pPr>
        <w:widowControl w:val="0"/>
        <w:rPr>
          <w:rFonts w:cs="Arial"/>
          <w:i/>
          <w:lang w:eastAsia="en-US"/>
        </w:rPr>
      </w:pPr>
      <w:r w:rsidRPr="0008648F">
        <w:rPr>
          <w:rFonts w:cs="Arial"/>
          <w:b/>
          <w:lang w:eastAsia="en-US"/>
        </w:rPr>
        <w:t xml:space="preserve">A Standard Operating Procedure </w:t>
      </w:r>
      <w:r w:rsidR="004563CC">
        <w:rPr>
          <w:rFonts w:cs="Arial"/>
          <w:b/>
          <w:lang w:eastAsia="en-US"/>
        </w:rPr>
        <w:t>for volunteer Settle In Service</w:t>
      </w:r>
    </w:p>
    <w:p w14:paraId="61DF6800" w14:textId="77777777" w:rsidR="00D0743F" w:rsidRPr="00D90A67" w:rsidRDefault="00D0743F" w:rsidP="00D0743F">
      <w:pPr>
        <w:keepNext/>
        <w:widowControl w:val="0"/>
        <w:outlineLvl w:val="0"/>
        <w:rPr>
          <w:rFonts w:cs="Arial"/>
          <w:b/>
          <w:sz w:val="12"/>
          <w:szCs w:val="12"/>
          <w:lang w:eastAsia="en-US"/>
        </w:rPr>
      </w:pPr>
      <w:r>
        <w:rPr>
          <w:rFonts w:cs="Arial"/>
          <w:b/>
          <w:lang w:eastAsia="en-US"/>
        </w:rPr>
        <w:t xml:space="preserve"> </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9"/>
        <w:gridCol w:w="5386"/>
      </w:tblGrid>
      <w:tr w:rsidR="00D0743F" w14:paraId="71729DAF" w14:textId="77777777" w:rsidTr="006D1624">
        <w:trPr>
          <w:trHeight w:val="508"/>
        </w:trPr>
        <w:tc>
          <w:tcPr>
            <w:tcW w:w="4679" w:type="dxa"/>
            <w:vAlign w:val="center"/>
          </w:tcPr>
          <w:p w14:paraId="52A5B9D1" w14:textId="77777777" w:rsidR="00D0743F" w:rsidRDefault="00D0743F" w:rsidP="00AF6637">
            <w:pPr>
              <w:widowControl w:val="0"/>
              <w:tabs>
                <w:tab w:val="left" w:pos="1985"/>
              </w:tabs>
              <w:ind w:left="33"/>
              <w:rPr>
                <w:rFonts w:cs="Arial"/>
                <w:b/>
                <w:u w:val="single"/>
                <w:lang w:eastAsia="en-US"/>
              </w:rPr>
            </w:pPr>
            <w:r>
              <w:rPr>
                <w:rFonts w:cs="Arial"/>
                <w:b/>
                <w:lang w:eastAsia="en-US"/>
              </w:rPr>
              <w:t xml:space="preserve">For Use in: </w:t>
            </w:r>
          </w:p>
        </w:tc>
        <w:tc>
          <w:tcPr>
            <w:tcW w:w="5386" w:type="dxa"/>
            <w:vAlign w:val="center"/>
          </w:tcPr>
          <w:p w14:paraId="3AD65D65" w14:textId="77777777" w:rsidR="00AF6637" w:rsidRPr="00AF6637" w:rsidRDefault="00AF6637" w:rsidP="006D1624">
            <w:pPr>
              <w:widowControl w:val="0"/>
              <w:tabs>
                <w:tab w:val="left" w:pos="1985"/>
                <w:tab w:val="center" w:pos="4320"/>
                <w:tab w:val="right" w:pos="8640"/>
              </w:tabs>
              <w:rPr>
                <w:rFonts w:cs="Arial"/>
                <w:i/>
                <w:sz w:val="22"/>
                <w:szCs w:val="22"/>
                <w:lang w:eastAsia="en-US"/>
              </w:rPr>
            </w:pPr>
          </w:p>
          <w:p w14:paraId="4CC9B6B2" w14:textId="77777777" w:rsidR="00AF6637" w:rsidRPr="0046770C" w:rsidRDefault="0046770C" w:rsidP="00AF6637">
            <w:pPr>
              <w:widowControl w:val="0"/>
              <w:tabs>
                <w:tab w:val="left" w:pos="1985"/>
                <w:tab w:val="center" w:pos="4320"/>
                <w:tab w:val="right" w:pos="8640"/>
              </w:tabs>
              <w:rPr>
                <w:rFonts w:cs="Arial"/>
                <w:sz w:val="22"/>
                <w:szCs w:val="22"/>
                <w:lang w:eastAsia="en-US"/>
              </w:rPr>
            </w:pPr>
            <w:r w:rsidRPr="0046770C">
              <w:rPr>
                <w:rFonts w:cs="Arial"/>
                <w:sz w:val="22"/>
                <w:szCs w:val="22"/>
                <w:lang w:eastAsia="en-US"/>
              </w:rPr>
              <w:t>Trust Wide</w:t>
            </w:r>
          </w:p>
        </w:tc>
      </w:tr>
      <w:tr w:rsidR="00D0743F" w14:paraId="6CED8425" w14:textId="77777777" w:rsidTr="006D1624">
        <w:trPr>
          <w:trHeight w:val="340"/>
        </w:trPr>
        <w:tc>
          <w:tcPr>
            <w:tcW w:w="4679" w:type="dxa"/>
            <w:vAlign w:val="center"/>
          </w:tcPr>
          <w:p w14:paraId="5518264E" w14:textId="77777777" w:rsidR="00D0743F" w:rsidRDefault="00D0743F" w:rsidP="00AF6637">
            <w:pPr>
              <w:widowControl w:val="0"/>
              <w:tabs>
                <w:tab w:val="left" w:pos="1276"/>
                <w:tab w:val="left" w:pos="1985"/>
              </w:tabs>
              <w:rPr>
                <w:rFonts w:cs="Arial"/>
                <w:b/>
                <w:lang w:eastAsia="en-US"/>
              </w:rPr>
            </w:pPr>
            <w:r>
              <w:rPr>
                <w:rFonts w:cs="Arial"/>
                <w:b/>
                <w:lang w:eastAsia="en-US"/>
              </w:rPr>
              <w:t xml:space="preserve">By: </w:t>
            </w:r>
          </w:p>
        </w:tc>
        <w:tc>
          <w:tcPr>
            <w:tcW w:w="5386" w:type="dxa"/>
            <w:vAlign w:val="center"/>
          </w:tcPr>
          <w:p w14:paraId="1A824F30" w14:textId="77777777" w:rsidR="00BF4F74" w:rsidRDefault="00BF4F74" w:rsidP="006D1624">
            <w:pPr>
              <w:widowControl w:val="0"/>
              <w:tabs>
                <w:tab w:val="left" w:pos="1276"/>
                <w:tab w:val="left" w:pos="1985"/>
                <w:tab w:val="center" w:pos="4320"/>
                <w:tab w:val="right" w:pos="8640"/>
              </w:tabs>
              <w:rPr>
                <w:rFonts w:cs="Arial"/>
                <w:bCs/>
                <w:i/>
                <w:sz w:val="22"/>
                <w:szCs w:val="22"/>
                <w:lang w:bidi="hi-IN"/>
              </w:rPr>
            </w:pPr>
          </w:p>
          <w:p w14:paraId="1424978B" w14:textId="77777777" w:rsidR="00AF6637" w:rsidRPr="00BF4F74" w:rsidRDefault="00BF4F74" w:rsidP="006D1624">
            <w:pPr>
              <w:widowControl w:val="0"/>
              <w:tabs>
                <w:tab w:val="left" w:pos="1276"/>
                <w:tab w:val="left" w:pos="1985"/>
                <w:tab w:val="center" w:pos="4320"/>
                <w:tab w:val="right" w:pos="8640"/>
              </w:tabs>
              <w:rPr>
                <w:rFonts w:cs="Arial"/>
                <w:bCs/>
                <w:sz w:val="22"/>
                <w:szCs w:val="22"/>
                <w:lang w:bidi="hi-IN"/>
              </w:rPr>
            </w:pPr>
            <w:r>
              <w:rPr>
                <w:rFonts w:cs="Arial"/>
                <w:bCs/>
                <w:sz w:val="22"/>
                <w:szCs w:val="22"/>
                <w:lang w:bidi="hi-IN"/>
              </w:rPr>
              <w:t>Voluntary Services</w:t>
            </w:r>
          </w:p>
          <w:p w14:paraId="5AD65E53" w14:textId="77777777" w:rsidR="00AF6637" w:rsidRPr="00AF6637" w:rsidRDefault="00AF6637" w:rsidP="00AF6637">
            <w:pPr>
              <w:widowControl w:val="0"/>
              <w:tabs>
                <w:tab w:val="left" w:pos="1276"/>
                <w:tab w:val="left" w:pos="1985"/>
                <w:tab w:val="center" w:pos="4320"/>
                <w:tab w:val="right" w:pos="8640"/>
              </w:tabs>
              <w:rPr>
                <w:rFonts w:cs="Arial"/>
                <w:b/>
                <w:sz w:val="22"/>
                <w:szCs w:val="22"/>
                <w:lang w:eastAsia="en-US"/>
              </w:rPr>
            </w:pPr>
          </w:p>
        </w:tc>
      </w:tr>
      <w:tr w:rsidR="00D0743F" w14:paraId="23DC020E" w14:textId="77777777" w:rsidTr="006D1624">
        <w:trPr>
          <w:trHeight w:val="508"/>
        </w:trPr>
        <w:tc>
          <w:tcPr>
            <w:tcW w:w="4679" w:type="dxa"/>
            <w:vAlign w:val="center"/>
          </w:tcPr>
          <w:p w14:paraId="6EF37227" w14:textId="77777777" w:rsidR="00D0743F" w:rsidRDefault="00D0743F" w:rsidP="00AF6637">
            <w:pPr>
              <w:widowControl w:val="0"/>
              <w:tabs>
                <w:tab w:val="left" w:pos="-5529"/>
                <w:tab w:val="left" w:pos="1985"/>
              </w:tabs>
              <w:rPr>
                <w:rFonts w:cs="Arial"/>
                <w:bCs/>
                <w:lang w:eastAsia="en-US"/>
              </w:rPr>
            </w:pPr>
            <w:r>
              <w:rPr>
                <w:rFonts w:cs="Arial"/>
                <w:b/>
                <w:lang w:eastAsia="en-US"/>
              </w:rPr>
              <w:t xml:space="preserve">For: </w:t>
            </w:r>
          </w:p>
        </w:tc>
        <w:tc>
          <w:tcPr>
            <w:tcW w:w="5386" w:type="dxa"/>
            <w:vAlign w:val="center"/>
          </w:tcPr>
          <w:p w14:paraId="0C6F45F8" w14:textId="77777777" w:rsidR="00D0743F" w:rsidRPr="00D02A10" w:rsidRDefault="00D02A10" w:rsidP="00D02A10">
            <w:pPr>
              <w:widowControl w:val="0"/>
              <w:tabs>
                <w:tab w:val="left" w:pos="-5529"/>
                <w:tab w:val="left" w:pos="1985"/>
                <w:tab w:val="center" w:pos="4320"/>
                <w:tab w:val="right" w:pos="8640"/>
              </w:tabs>
              <w:rPr>
                <w:rFonts w:cs="Arial"/>
                <w:bCs/>
                <w:sz w:val="22"/>
                <w:szCs w:val="22"/>
                <w:lang w:eastAsia="en-US"/>
              </w:rPr>
            </w:pPr>
            <w:r w:rsidRPr="00D02A10">
              <w:rPr>
                <w:rFonts w:cs="Arial"/>
                <w:sz w:val="22"/>
                <w:szCs w:val="22"/>
                <w:lang w:eastAsia="en-US"/>
              </w:rPr>
              <w:t>Staff, Volunteers &amp; Patients</w:t>
            </w:r>
          </w:p>
        </w:tc>
      </w:tr>
      <w:tr w:rsidR="00D0743F" w14:paraId="5442FDD8" w14:textId="77777777" w:rsidTr="006D1624">
        <w:trPr>
          <w:trHeight w:val="509"/>
        </w:trPr>
        <w:tc>
          <w:tcPr>
            <w:tcW w:w="4679" w:type="dxa"/>
            <w:vAlign w:val="center"/>
          </w:tcPr>
          <w:p w14:paraId="4A478716" w14:textId="77777777" w:rsidR="00D0743F" w:rsidRPr="00F22272" w:rsidRDefault="00D0743F" w:rsidP="006D1624">
            <w:pPr>
              <w:rPr>
                <w:rFonts w:cs="Arial"/>
                <w:b/>
                <w:bCs/>
                <w:lang w:bidi="hi-IN"/>
              </w:rPr>
            </w:pPr>
            <w:r w:rsidRPr="00F22272">
              <w:rPr>
                <w:rFonts w:cs="Arial"/>
                <w:b/>
                <w:bCs/>
                <w:lang w:bidi="hi-IN"/>
              </w:rPr>
              <w:t>Division responsible for document:</w:t>
            </w:r>
          </w:p>
          <w:p w14:paraId="35163314" w14:textId="77777777" w:rsidR="00D0743F" w:rsidRPr="00C10D75" w:rsidRDefault="00D0743F" w:rsidP="006D1624">
            <w:pPr>
              <w:rPr>
                <w:rFonts w:cs="Arial"/>
                <w:bCs/>
                <w:i/>
                <w:sz w:val="20"/>
                <w:szCs w:val="20"/>
                <w:lang w:bidi="hi-IN"/>
              </w:rPr>
            </w:pPr>
          </w:p>
        </w:tc>
        <w:tc>
          <w:tcPr>
            <w:tcW w:w="5386" w:type="dxa"/>
          </w:tcPr>
          <w:p w14:paraId="2FB2692C" w14:textId="77777777" w:rsidR="00AF6637" w:rsidRPr="00AF6637" w:rsidRDefault="00AF6637" w:rsidP="006D1624">
            <w:pPr>
              <w:rPr>
                <w:rFonts w:cs="Arial"/>
                <w:sz w:val="22"/>
                <w:szCs w:val="22"/>
                <w:lang w:bidi="hi-IN"/>
              </w:rPr>
            </w:pPr>
          </w:p>
          <w:p w14:paraId="6A798DD4" w14:textId="77777777" w:rsidR="00D0743F" w:rsidRPr="00EA2F5D" w:rsidRDefault="00EA2F5D" w:rsidP="00AF6637">
            <w:pPr>
              <w:rPr>
                <w:rFonts w:cs="Arial"/>
                <w:sz w:val="22"/>
                <w:szCs w:val="22"/>
                <w:lang w:bidi="hi-IN"/>
              </w:rPr>
            </w:pPr>
            <w:r w:rsidRPr="00EA2F5D">
              <w:rPr>
                <w:rFonts w:cs="Arial"/>
                <w:sz w:val="22"/>
                <w:szCs w:val="22"/>
                <w:lang w:bidi="hi-IN"/>
              </w:rPr>
              <w:t>Nursing</w:t>
            </w:r>
          </w:p>
        </w:tc>
      </w:tr>
      <w:tr w:rsidR="00D0743F" w14:paraId="612A2D92" w14:textId="77777777" w:rsidTr="006D1624">
        <w:trPr>
          <w:trHeight w:val="509"/>
        </w:trPr>
        <w:tc>
          <w:tcPr>
            <w:tcW w:w="4679" w:type="dxa"/>
            <w:vAlign w:val="center"/>
          </w:tcPr>
          <w:p w14:paraId="29111CAA" w14:textId="77777777" w:rsidR="00D0743F" w:rsidRDefault="00D0743F" w:rsidP="00AF6637">
            <w:pPr>
              <w:widowControl w:val="0"/>
              <w:tabs>
                <w:tab w:val="left" w:pos="-5529"/>
                <w:tab w:val="left" w:pos="2019"/>
              </w:tabs>
              <w:rPr>
                <w:rFonts w:cs="Arial"/>
                <w:bCs/>
                <w:lang w:eastAsia="en-US"/>
              </w:rPr>
            </w:pPr>
            <w:r>
              <w:rPr>
                <w:rFonts w:cs="Arial"/>
                <w:b/>
                <w:lang w:eastAsia="en-US"/>
              </w:rPr>
              <w:t xml:space="preserve">Key words: </w:t>
            </w:r>
          </w:p>
        </w:tc>
        <w:tc>
          <w:tcPr>
            <w:tcW w:w="5386" w:type="dxa"/>
            <w:vAlign w:val="center"/>
          </w:tcPr>
          <w:p w14:paraId="10856D64" w14:textId="77777777" w:rsidR="00D0743F" w:rsidRDefault="004563CC" w:rsidP="003916DC">
            <w:pPr>
              <w:widowControl w:val="0"/>
              <w:tabs>
                <w:tab w:val="left" w:pos="-5529"/>
                <w:tab w:val="left" w:pos="2019"/>
                <w:tab w:val="center" w:pos="4320"/>
                <w:tab w:val="right" w:pos="8640"/>
              </w:tabs>
              <w:rPr>
                <w:rFonts w:cs="Arial"/>
                <w:bCs/>
                <w:sz w:val="22"/>
                <w:szCs w:val="22"/>
                <w:lang w:bidi="hi-IN"/>
              </w:rPr>
            </w:pPr>
            <w:r>
              <w:rPr>
                <w:rFonts w:cs="Arial"/>
                <w:bCs/>
                <w:sz w:val="22"/>
                <w:szCs w:val="22"/>
                <w:lang w:bidi="hi-IN"/>
              </w:rPr>
              <w:t xml:space="preserve">Settle In/ </w:t>
            </w:r>
          </w:p>
          <w:p w14:paraId="69C261AE" w14:textId="77777777" w:rsidR="004563CC" w:rsidRPr="00EA2F5D" w:rsidRDefault="004563CC" w:rsidP="003916DC">
            <w:pPr>
              <w:widowControl w:val="0"/>
              <w:tabs>
                <w:tab w:val="left" w:pos="-5529"/>
                <w:tab w:val="left" w:pos="2019"/>
                <w:tab w:val="center" w:pos="4320"/>
                <w:tab w:val="right" w:pos="8640"/>
              </w:tabs>
              <w:rPr>
                <w:rFonts w:cs="Arial"/>
                <w:bCs/>
                <w:sz w:val="22"/>
                <w:szCs w:val="22"/>
                <w:lang w:eastAsia="en-US"/>
              </w:rPr>
            </w:pPr>
            <w:r>
              <w:rPr>
                <w:rFonts w:cs="Arial"/>
                <w:bCs/>
                <w:sz w:val="22"/>
                <w:szCs w:val="22"/>
                <w:lang w:bidi="hi-IN"/>
              </w:rPr>
              <w:t>Discharging patients</w:t>
            </w:r>
          </w:p>
        </w:tc>
      </w:tr>
      <w:tr w:rsidR="00D0743F" w14:paraId="0C93EF63" w14:textId="77777777" w:rsidTr="006D1624">
        <w:trPr>
          <w:trHeight w:val="340"/>
        </w:trPr>
        <w:tc>
          <w:tcPr>
            <w:tcW w:w="4679" w:type="dxa"/>
            <w:vAlign w:val="center"/>
          </w:tcPr>
          <w:p w14:paraId="2A232051" w14:textId="77777777" w:rsidR="00D0743F" w:rsidRDefault="00D0743F" w:rsidP="006D1624">
            <w:pPr>
              <w:rPr>
                <w:rFonts w:cs="Arial"/>
                <w:b/>
                <w:bCs/>
                <w:lang w:bidi="hi-IN"/>
              </w:rPr>
            </w:pPr>
            <w:r>
              <w:rPr>
                <w:rFonts w:cs="Arial"/>
                <w:b/>
                <w:bCs/>
                <w:lang w:bidi="hi-IN"/>
              </w:rPr>
              <w:t>Name of document author:</w:t>
            </w:r>
          </w:p>
        </w:tc>
        <w:tc>
          <w:tcPr>
            <w:tcW w:w="5386" w:type="dxa"/>
            <w:vAlign w:val="center"/>
          </w:tcPr>
          <w:p w14:paraId="209B9AF2" w14:textId="7C9DB5A3" w:rsidR="00D0743F" w:rsidRPr="00EA2F5D" w:rsidRDefault="00055824" w:rsidP="006D1624">
            <w:pPr>
              <w:widowControl w:val="0"/>
              <w:tabs>
                <w:tab w:val="left" w:pos="2552"/>
                <w:tab w:val="right" w:pos="9072"/>
              </w:tabs>
              <w:rPr>
                <w:rFonts w:cs="Arial"/>
                <w:sz w:val="22"/>
                <w:szCs w:val="22"/>
                <w:lang w:eastAsia="en-US"/>
              </w:rPr>
            </w:pPr>
            <w:r>
              <w:rPr>
                <w:rFonts w:cs="Arial"/>
                <w:sz w:val="22"/>
                <w:szCs w:val="22"/>
                <w:lang w:eastAsia="en-US"/>
              </w:rPr>
              <w:t>XXXX</w:t>
            </w:r>
          </w:p>
        </w:tc>
      </w:tr>
      <w:tr w:rsidR="00D0743F" w14:paraId="38ABFAC6" w14:textId="77777777" w:rsidTr="006D1624">
        <w:trPr>
          <w:trHeight w:val="340"/>
        </w:trPr>
        <w:tc>
          <w:tcPr>
            <w:tcW w:w="4679" w:type="dxa"/>
            <w:vAlign w:val="center"/>
          </w:tcPr>
          <w:p w14:paraId="225368A8" w14:textId="77777777" w:rsidR="00D0743F" w:rsidRPr="00505C31" w:rsidRDefault="00D0743F" w:rsidP="006D1624">
            <w:pPr>
              <w:rPr>
                <w:rFonts w:cs="Arial"/>
                <w:b/>
                <w:bCs/>
                <w:color w:val="FF0000"/>
                <w:lang w:bidi="hi-IN"/>
              </w:rPr>
            </w:pPr>
            <w:r>
              <w:rPr>
                <w:rFonts w:cs="Arial"/>
                <w:b/>
                <w:bCs/>
                <w:lang w:bidi="hi-IN"/>
              </w:rPr>
              <w:t>Job title of document author:</w:t>
            </w:r>
          </w:p>
        </w:tc>
        <w:tc>
          <w:tcPr>
            <w:tcW w:w="5386" w:type="dxa"/>
            <w:vAlign w:val="center"/>
          </w:tcPr>
          <w:p w14:paraId="74E2B7A4" w14:textId="77777777" w:rsidR="00D0743F" w:rsidRPr="00EA2F5D" w:rsidRDefault="00EA2F5D" w:rsidP="00EA2F5D">
            <w:pPr>
              <w:widowControl w:val="0"/>
              <w:tabs>
                <w:tab w:val="left" w:pos="2552"/>
                <w:tab w:val="right" w:pos="9072"/>
              </w:tabs>
              <w:rPr>
                <w:rFonts w:cs="Arial"/>
                <w:sz w:val="22"/>
                <w:szCs w:val="22"/>
                <w:lang w:eastAsia="en-US"/>
              </w:rPr>
            </w:pPr>
            <w:r w:rsidRPr="00EA2F5D">
              <w:rPr>
                <w:rFonts w:cs="Arial"/>
                <w:sz w:val="22"/>
                <w:szCs w:val="22"/>
                <w:lang w:eastAsia="en-US"/>
              </w:rPr>
              <w:t>Voluntary Services Manager</w:t>
            </w:r>
          </w:p>
        </w:tc>
      </w:tr>
      <w:tr w:rsidR="00D0743F" w14:paraId="7B561F5D" w14:textId="77777777" w:rsidTr="006D1624">
        <w:trPr>
          <w:trHeight w:val="567"/>
        </w:trPr>
        <w:tc>
          <w:tcPr>
            <w:tcW w:w="4679" w:type="dxa"/>
            <w:vAlign w:val="center"/>
          </w:tcPr>
          <w:p w14:paraId="38C062DC" w14:textId="77777777" w:rsidR="00D0743F" w:rsidRPr="00C01839" w:rsidRDefault="00D0743F" w:rsidP="006D1624">
            <w:pPr>
              <w:rPr>
                <w:rFonts w:cs="Arial"/>
                <w:b/>
                <w:bCs/>
                <w:lang w:bidi="hi-IN"/>
              </w:rPr>
            </w:pPr>
            <w:r w:rsidRPr="00C01839">
              <w:rPr>
                <w:rFonts w:cs="Arial"/>
                <w:b/>
                <w:bCs/>
                <w:lang w:bidi="hi-IN"/>
              </w:rPr>
              <w:t xml:space="preserve">Name </w:t>
            </w:r>
            <w:r>
              <w:rPr>
                <w:rFonts w:cs="Arial"/>
                <w:b/>
                <w:bCs/>
                <w:lang w:bidi="hi-IN"/>
              </w:rPr>
              <w:t>of document a</w:t>
            </w:r>
            <w:r w:rsidRPr="00C01839">
              <w:rPr>
                <w:rFonts w:cs="Arial"/>
                <w:b/>
                <w:bCs/>
                <w:lang w:bidi="hi-IN"/>
              </w:rPr>
              <w:t>uthor’s Line Manager:</w:t>
            </w:r>
          </w:p>
        </w:tc>
        <w:tc>
          <w:tcPr>
            <w:tcW w:w="5386" w:type="dxa"/>
            <w:vAlign w:val="center"/>
          </w:tcPr>
          <w:p w14:paraId="479D5F19" w14:textId="07F52561" w:rsidR="00D0743F" w:rsidRPr="00EA2F5D" w:rsidRDefault="00055824" w:rsidP="006D1624">
            <w:pPr>
              <w:widowControl w:val="0"/>
              <w:tabs>
                <w:tab w:val="left" w:pos="2552"/>
                <w:tab w:val="right" w:pos="9072"/>
              </w:tabs>
              <w:rPr>
                <w:rFonts w:cs="Arial"/>
                <w:sz w:val="22"/>
                <w:szCs w:val="22"/>
                <w:lang w:eastAsia="en-US"/>
              </w:rPr>
            </w:pPr>
            <w:r>
              <w:rPr>
                <w:rFonts w:cs="Arial"/>
                <w:sz w:val="22"/>
                <w:szCs w:val="22"/>
                <w:lang w:eastAsia="en-US"/>
              </w:rPr>
              <w:t>XXXX</w:t>
            </w:r>
          </w:p>
        </w:tc>
      </w:tr>
      <w:tr w:rsidR="00D0743F" w14:paraId="2FE6908A" w14:textId="77777777" w:rsidTr="006D1624">
        <w:trPr>
          <w:trHeight w:val="340"/>
        </w:trPr>
        <w:tc>
          <w:tcPr>
            <w:tcW w:w="4679" w:type="dxa"/>
            <w:vAlign w:val="center"/>
          </w:tcPr>
          <w:p w14:paraId="31FE3875" w14:textId="77777777" w:rsidR="00D0743F" w:rsidRPr="00C01839" w:rsidRDefault="00D0743F" w:rsidP="006D1624">
            <w:pPr>
              <w:rPr>
                <w:rFonts w:cs="Arial"/>
                <w:b/>
                <w:bCs/>
                <w:lang w:bidi="hi-IN"/>
              </w:rPr>
            </w:pPr>
            <w:r>
              <w:rPr>
                <w:rFonts w:cs="Arial"/>
                <w:b/>
                <w:bCs/>
                <w:lang w:bidi="hi-IN"/>
              </w:rPr>
              <w:t>Job title of a</w:t>
            </w:r>
            <w:r w:rsidRPr="00C01839">
              <w:rPr>
                <w:rFonts w:cs="Arial"/>
                <w:b/>
                <w:bCs/>
                <w:lang w:bidi="hi-IN"/>
              </w:rPr>
              <w:t>uthor’s Line Manager:</w:t>
            </w:r>
          </w:p>
        </w:tc>
        <w:tc>
          <w:tcPr>
            <w:tcW w:w="5386" w:type="dxa"/>
            <w:vAlign w:val="center"/>
          </w:tcPr>
          <w:p w14:paraId="00C8BC25" w14:textId="77777777" w:rsidR="00D0743F" w:rsidRPr="00EA2F5D" w:rsidRDefault="00EA2F5D" w:rsidP="006D1624">
            <w:pPr>
              <w:widowControl w:val="0"/>
              <w:tabs>
                <w:tab w:val="left" w:pos="2552"/>
                <w:tab w:val="right" w:pos="9072"/>
              </w:tabs>
              <w:rPr>
                <w:rFonts w:cs="Arial"/>
                <w:sz w:val="22"/>
                <w:szCs w:val="22"/>
                <w:lang w:eastAsia="en-US"/>
              </w:rPr>
            </w:pPr>
            <w:r w:rsidRPr="00EA2F5D">
              <w:rPr>
                <w:rFonts w:cs="Arial"/>
                <w:sz w:val="22"/>
                <w:szCs w:val="22"/>
                <w:lang w:eastAsia="en-US"/>
              </w:rPr>
              <w:t>Director of Nursing</w:t>
            </w:r>
          </w:p>
        </w:tc>
      </w:tr>
      <w:tr w:rsidR="00D0743F" w14:paraId="68A66C82" w14:textId="77777777" w:rsidTr="006D1624">
        <w:trPr>
          <w:trHeight w:val="624"/>
        </w:trPr>
        <w:tc>
          <w:tcPr>
            <w:tcW w:w="4679" w:type="dxa"/>
            <w:vAlign w:val="center"/>
          </w:tcPr>
          <w:p w14:paraId="3B43C158" w14:textId="77777777" w:rsidR="00D0743F" w:rsidRDefault="00D0743F" w:rsidP="006D1624">
            <w:pPr>
              <w:widowControl w:val="0"/>
              <w:tabs>
                <w:tab w:val="left" w:pos="-5529"/>
                <w:tab w:val="right" w:pos="-5387"/>
                <w:tab w:val="left" w:pos="2019"/>
                <w:tab w:val="left" w:pos="2268"/>
              </w:tabs>
              <w:ind w:right="-144"/>
              <w:rPr>
                <w:rFonts w:cs="Arial"/>
                <w:b/>
                <w:lang w:eastAsia="en-US"/>
              </w:rPr>
            </w:pPr>
            <w:r>
              <w:rPr>
                <w:rFonts w:cs="Arial"/>
                <w:b/>
                <w:lang w:eastAsia="en-US"/>
              </w:rPr>
              <w:t>Supported by:</w:t>
            </w:r>
          </w:p>
        </w:tc>
        <w:tc>
          <w:tcPr>
            <w:tcW w:w="5386" w:type="dxa"/>
            <w:vAlign w:val="center"/>
          </w:tcPr>
          <w:p w14:paraId="315D2FB0" w14:textId="77777777" w:rsidR="00EA2F5D" w:rsidRPr="00BF4F74" w:rsidRDefault="00BF4F74" w:rsidP="00EA2F5D">
            <w:pPr>
              <w:widowControl w:val="0"/>
              <w:tabs>
                <w:tab w:val="left" w:pos="2552"/>
                <w:tab w:val="right" w:pos="9072"/>
              </w:tabs>
              <w:rPr>
                <w:rFonts w:cs="Arial"/>
                <w:sz w:val="22"/>
                <w:szCs w:val="22"/>
                <w:lang w:eastAsia="en-US"/>
              </w:rPr>
            </w:pPr>
            <w:r w:rsidRPr="00BF4F74">
              <w:rPr>
                <w:rFonts w:cs="Arial"/>
                <w:sz w:val="22"/>
                <w:szCs w:val="22"/>
                <w:lang w:eastAsia="en-US"/>
              </w:rPr>
              <w:t>Director of Nursing</w:t>
            </w:r>
          </w:p>
          <w:p w14:paraId="5EFB4582" w14:textId="77777777" w:rsidR="00D0743F" w:rsidRPr="00AF6637" w:rsidRDefault="00D0743F" w:rsidP="006D1624">
            <w:pPr>
              <w:widowControl w:val="0"/>
              <w:tabs>
                <w:tab w:val="left" w:pos="2552"/>
                <w:tab w:val="right" w:pos="9072"/>
              </w:tabs>
              <w:rPr>
                <w:rFonts w:cs="Arial"/>
                <w:b/>
                <w:sz w:val="22"/>
                <w:szCs w:val="22"/>
                <w:lang w:eastAsia="en-US"/>
              </w:rPr>
            </w:pPr>
          </w:p>
        </w:tc>
      </w:tr>
      <w:tr w:rsidR="00D0743F" w14:paraId="68D0735E" w14:textId="77777777" w:rsidTr="006D1624">
        <w:trPr>
          <w:trHeight w:val="1347"/>
        </w:trPr>
        <w:tc>
          <w:tcPr>
            <w:tcW w:w="4679" w:type="dxa"/>
            <w:vAlign w:val="center"/>
          </w:tcPr>
          <w:p w14:paraId="539DA0BA" w14:textId="77777777" w:rsidR="00D0743F" w:rsidRDefault="00D0743F" w:rsidP="006D1624">
            <w:pPr>
              <w:widowControl w:val="0"/>
              <w:tabs>
                <w:tab w:val="right" w:pos="8505"/>
              </w:tabs>
              <w:ind w:right="-144"/>
              <w:rPr>
                <w:rFonts w:cs="Arial"/>
                <w:b/>
                <w:lang w:eastAsia="en-US"/>
              </w:rPr>
            </w:pPr>
            <w:r>
              <w:rPr>
                <w:rFonts w:cs="Arial"/>
                <w:b/>
                <w:lang w:eastAsia="en-US"/>
              </w:rPr>
              <w:t>Assessed and approved by the:</w:t>
            </w:r>
          </w:p>
        </w:tc>
        <w:tc>
          <w:tcPr>
            <w:tcW w:w="5386" w:type="dxa"/>
            <w:vAlign w:val="center"/>
          </w:tcPr>
          <w:p w14:paraId="612BCFD1" w14:textId="77777777" w:rsidR="00D0743F" w:rsidRDefault="00407550" w:rsidP="00407550">
            <w:pPr>
              <w:widowControl w:val="0"/>
              <w:tabs>
                <w:tab w:val="right" w:pos="8505"/>
              </w:tabs>
              <w:rPr>
                <w:rFonts w:cs="Arial"/>
                <w:b/>
                <w:lang w:eastAsia="en-US"/>
              </w:rPr>
            </w:pPr>
            <w:r>
              <w:rPr>
                <w:rFonts w:cs="Arial"/>
                <w:lang w:eastAsia="en-US"/>
              </w:rPr>
              <w:t>Care and Patient Experience governance meeting</w:t>
            </w:r>
            <w:r w:rsidR="00D0743F">
              <w:rPr>
                <w:rFonts w:cs="Arial"/>
                <w:b/>
                <w:lang w:eastAsia="en-US"/>
              </w:rPr>
              <w:t xml:space="preserve"> </w:t>
            </w:r>
            <w:r w:rsidR="00D0743F">
              <w:rPr>
                <w:rFonts w:cs="Arial"/>
                <w:b/>
                <w:lang w:eastAsia="en-US"/>
              </w:rPr>
              <w:tab/>
              <w:t xml:space="preserve">                        </w:t>
            </w:r>
          </w:p>
        </w:tc>
      </w:tr>
      <w:tr w:rsidR="00D0743F" w14:paraId="02CE5D31" w14:textId="77777777" w:rsidTr="006D1624">
        <w:trPr>
          <w:trHeight w:val="340"/>
        </w:trPr>
        <w:tc>
          <w:tcPr>
            <w:tcW w:w="4679" w:type="dxa"/>
            <w:vAlign w:val="center"/>
          </w:tcPr>
          <w:p w14:paraId="1FE6D350" w14:textId="77777777" w:rsidR="00D0743F" w:rsidRDefault="00D0743F" w:rsidP="006D1624">
            <w:pPr>
              <w:widowControl w:val="0"/>
              <w:tabs>
                <w:tab w:val="right" w:pos="8505"/>
              </w:tabs>
              <w:ind w:right="-144"/>
              <w:rPr>
                <w:rFonts w:cs="Arial"/>
                <w:b/>
                <w:lang w:eastAsia="en-US"/>
              </w:rPr>
            </w:pPr>
            <w:r>
              <w:rPr>
                <w:rFonts w:cs="Arial"/>
                <w:b/>
                <w:lang w:eastAsia="en-US"/>
              </w:rPr>
              <w:t>Date of approval:</w:t>
            </w:r>
          </w:p>
        </w:tc>
        <w:tc>
          <w:tcPr>
            <w:tcW w:w="5386" w:type="dxa"/>
            <w:vAlign w:val="center"/>
          </w:tcPr>
          <w:p w14:paraId="754568B2" w14:textId="77777777" w:rsidR="00D0743F" w:rsidRPr="00695E96" w:rsidRDefault="00D0743F" w:rsidP="006D1624">
            <w:pPr>
              <w:widowControl w:val="0"/>
              <w:tabs>
                <w:tab w:val="right" w:pos="8505"/>
              </w:tabs>
              <w:ind w:right="-144"/>
              <w:rPr>
                <w:rFonts w:cs="Arial"/>
                <w:i/>
                <w:lang w:eastAsia="en-US"/>
              </w:rPr>
            </w:pPr>
          </w:p>
        </w:tc>
      </w:tr>
      <w:tr w:rsidR="00D0743F" w14:paraId="469074C1" w14:textId="77777777" w:rsidTr="006D1624">
        <w:trPr>
          <w:trHeight w:val="680"/>
        </w:trPr>
        <w:tc>
          <w:tcPr>
            <w:tcW w:w="4679" w:type="dxa"/>
            <w:vAlign w:val="center"/>
          </w:tcPr>
          <w:p w14:paraId="41D9E343" w14:textId="77777777" w:rsidR="00D0743F" w:rsidRDefault="00D0743F" w:rsidP="006D1624">
            <w:pPr>
              <w:widowControl w:val="0"/>
              <w:tabs>
                <w:tab w:val="left" w:pos="-2660"/>
                <w:tab w:val="center" w:pos="4153"/>
                <w:tab w:val="right" w:pos="8306"/>
                <w:tab w:val="right" w:pos="8505"/>
              </w:tabs>
              <w:ind w:right="178"/>
              <w:rPr>
                <w:rFonts w:cs="Arial"/>
                <w:b/>
                <w:lang w:eastAsia="en-US"/>
              </w:rPr>
            </w:pPr>
            <w:r>
              <w:rPr>
                <w:rFonts w:cs="Arial"/>
                <w:b/>
                <w:bCs/>
                <w:lang w:bidi="hi-IN"/>
              </w:rPr>
              <w:t xml:space="preserve">Ratified by or reported as approved to </w:t>
            </w:r>
            <w:r w:rsidRPr="004E0000">
              <w:rPr>
                <w:rFonts w:cs="Arial"/>
                <w:bCs/>
                <w:lang w:bidi="hi-IN"/>
              </w:rPr>
              <w:t>(if applicable)</w:t>
            </w:r>
            <w:r>
              <w:rPr>
                <w:rFonts w:cs="Arial"/>
                <w:b/>
                <w:bCs/>
                <w:lang w:bidi="hi-IN"/>
              </w:rPr>
              <w:t>:</w:t>
            </w:r>
          </w:p>
        </w:tc>
        <w:tc>
          <w:tcPr>
            <w:tcW w:w="5386" w:type="dxa"/>
            <w:vAlign w:val="center"/>
          </w:tcPr>
          <w:p w14:paraId="5EF05F9A" w14:textId="77777777" w:rsidR="00D0743F" w:rsidRDefault="00407550" w:rsidP="00407550">
            <w:pPr>
              <w:widowControl w:val="0"/>
              <w:tabs>
                <w:tab w:val="right" w:pos="8505"/>
              </w:tabs>
              <w:ind w:right="-144"/>
              <w:rPr>
                <w:rFonts w:cs="Arial"/>
                <w:b/>
                <w:lang w:eastAsia="en-US"/>
              </w:rPr>
            </w:pPr>
            <w:r>
              <w:rPr>
                <w:rFonts w:cs="Arial"/>
                <w:lang w:eastAsia="en-US"/>
              </w:rPr>
              <w:t>Care and Patient Experience Board</w:t>
            </w:r>
            <w:r w:rsidR="00D0743F">
              <w:rPr>
                <w:rFonts w:cs="Arial"/>
                <w:b/>
                <w:lang w:eastAsia="en-US"/>
              </w:rPr>
              <w:t xml:space="preserve">                                                                                             </w:t>
            </w:r>
          </w:p>
        </w:tc>
      </w:tr>
      <w:tr w:rsidR="00D0743F" w14:paraId="0E8DD85B" w14:textId="77777777" w:rsidTr="006D1624">
        <w:trPr>
          <w:trHeight w:val="688"/>
        </w:trPr>
        <w:tc>
          <w:tcPr>
            <w:tcW w:w="4679" w:type="dxa"/>
            <w:vAlign w:val="center"/>
          </w:tcPr>
          <w:p w14:paraId="2EDBF9D7" w14:textId="77777777" w:rsidR="00D0743F" w:rsidRDefault="00D0743F" w:rsidP="006D1624">
            <w:r>
              <w:rPr>
                <w:rFonts w:cs="Arial"/>
                <w:b/>
                <w:lang w:eastAsia="en-US"/>
              </w:rPr>
              <w:t>To be reviewed before:</w:t>
            </w:r>
            <w:r>
              <w:rPr>
                <w:i/>
              </w:rPr>
              <w:t xml:space="preserve"> </w:t>
            </w:r>
          </w:p>
          <w:p w14:paraId="480C6BE5" w14:textId="77777777" w:rsidR="00D0743F" w:rsidRPr="004E0000" w:rsidRDefault="00D0743F" w:rsidP="006D1624">
            <w:pPr>
              <w:widowControl w:val="0"/>
              <w:tabs>
                <w:tab w:val="left" w:pos="-2660"/>
                <w:tab w:val="center" w:pos="4153"/>
                <w:tab w:val="right" w:pos="8306"/>
                <w:tab w:val="right" w:pos="8505"/>
              </w:tabs>
              <w:ind w:right="-144"/>
              <w:rPr>
                <w:rFonts w:cs="Arial"/>
                <w:b/>
                <w:lang w:eastAsia="en-US"/>
              </w:rPr>
            </w:pPr>
            <w:r w:rsidRPr="00C01839">
              <w:t>This document remains current after this date but will be under review</w:t>
            </w:r>
          </w:p>
        </w:tc>
        <w:tc>
          <w:tcPr>
            <w:tcW w:w="5386" w:type="dxa"/>
            <w:vAlign w:val="center"/>
          </w:tcPr>
          <w:p w14:paraId="1F941246" w14:textId="77777777" w:rsidR="00D0743F" w:rsidRPr="00EA2F5D" w:rsidRDefault="00EA2F5D" w:rsidP="00AF6637">
            <w:pPr>
              <w:widowControl w:val="0"/>
              <w:tabs>
                <w:tab w:val="center" w:pos="4320"/>
                <w:tab w:val="right" w:pos="8505"/>
                <w:tab w:val="right" w:pos="8640"/>
              </w:tabs>
              <w:ind w:right="-144"/>
              <w:rPr>
                <w:rFonts w:cs="Arial"/>
                <w:sz w:val="22"/>
                <w:szCs w:val="22"/>
                <w:lang w:eastAsia="en-US"/>
              </w:rPr>
            </w:pPr>
            <w:r w:rsidRPr="00EA2F5D">
              <w:rPr>
                <w:rFonts w:cs="Arial"/>
                <w:sz w:val="22"/>
                <w:szCs w:val="22"/>
                <w:lang w:eastAsia="en-US"/>
              </w:rPr>
              <w:t>3 Years</w:t>
            </w:r>
          </w:p>
        </w:tc>
      </w:tr>
      <w:tr w:rsidR="00D0743F" w14:paraId="565641F8" w14:textId="77777777" w:rsidTr="006D1624">
        <w:trPr>
          <w:trHeight w:val="340"/>
        </w:trPr>
        <w:tc>
          <w:tcPr>
            <w:tcW w:w="4679" w:type="dxa"/>
            <w:vAlign w:val="center"/>
          </w:tcPr>
          <w:p w14:paraId="72B1D520" w14:textId="77777777" w:rsidR="00D0743F" w:rsidRDefault="00D0743F" w:rsidP="006D1624">
            <w:pPr>
              <w:widowControl w:val="0"/>
              <w:tabs>
                <w:tab w:val="left" w:pos="-2660"/>
                <w:tab w:val="center" w:pos="4153"/>
                <w:tab w:val="right" w:pos="8306"/>
                <w:tab w:val="right" w:pos="8505"/>
              </w:tabs>
              <w:ind w:right="-144"/>
              <w:rPr>
                <w:rFonts w:cs="Arial"/>
                <w:b/>
                <w:lang w:eastAsia="en-US"/>
              </w:rPr>
            </w:pPr>
            <w:r>
              <w:rPr>
                <w:rFonts w:cs="Arial"/>
                <w:b/>
                <w:lang w:eastAsia="en-US"/>
              </w:rPr>
              <w:t>To be reviewed by:</w:t>
            </w:r>
          </w:p>
        </w:tc>
        <w:tc>
          <w:tcPr>
            <w:tcW w:w="5386" w:type="dxa"/>
            <w:vAlign w:val="center"/>
          </w:tcPr>
          <w:p w14:paraId="2B4A2410" w14:textId="04A690E4" w:rsidR="00D0743F" w:rsidRPr="00EA2F5D" w:rsidRDefault="00055824" w:rsidP="00B83B31">
            <w:pPr>
              <w:widowControl w:val="0"/>
              <w:tabs>
                <w:tab w:val="center" w:pos="4320"/>
                <w:tab w:val="right" w:pos="8505"/>
                <w:tab w:val="right" w:pos="8640"/>
              </w:tabs>
              <w:ind w:right="-144"/>
              <w:rPr>
                <w:rFonts w:cs="Arial"/>
                <w:sz w:val="22"/>
                <w:szCs w:val="22"/>
                <w:lang w:eastAsia="en-US"/>
              </w:rPr>
            </w:pPr>
            <w:r>
              <w:rPr>
                <w:rFonts w:cs="Arial"/>
                <w:sz w:val="22"/>
                <w:szCs w:val="22"/>
                <w:lang w:eastAsia="en-US"/>
              </w:rPr>
              <w:t>XXXX</w:t>
            </w:r>
          </w:p>
        </w:tc>
      </w:tr>
      <w:tr w:rsidR="00D0743F" w14:paraId="33826603" w14:textId="77777777" w:rsidTr="006D1624">
        <w:trPr>
          <w:trHeight w:val="340"/>
        </w:trPr>
        <w:tc>
          <w:tcPr>
            <w:tcW w:w="4679" w:type="dxa"/>
            <w:vAlign w:val="center"/>
          </w:tcPr>
          <w:p w14:paraId="462D9DDC" w14:textId="77777777" w:rsidR="00D0743F" w:rsidRDefault="00D0743F" w:rsidP="006D1624">
            <w:pPr>
              <w:autoSpaceDE w:val="0"/>
              <w:autoSpaceDN w:val="0"/>
              <w:adjustRightInd w:val="0"/>
              <w:rPr>
                <w:rFonts w:cs="Arial"/>
                <w:b/>
                <w:bCs/>
                <w:lang w:bidi="hi-IN"/>
              </w:rPr>
            </w:pPr>
            <w:r>
              <w:rPr>
                <w:rFonts w:cs="Arial"/>
                <w:b/>
                <w:bCs/>
                <w:lang w:bidi="hi-IN"/>
              </w:rPr>
              <w:t>Reference and / or Trust Docs ID No:</w:t>
            </w:r>
          </w:p>
        </w:tc>
        <w:tc>
          <w:tcPr>
            <w:tcW w:w="5386" w:type="dxa"/>
            <w:vAlign w:val="center"/>
          </w:tcPr>
          <w:p w14:paraId="5F0DE7CC" w14:textId="77777777" w:rsidR="00D0743F" w:rsidRPr="00AF6637" w:rsidRDefault="00D0743F" w:rsidP="006D1624">
            <w:pPr>
              <w:widowControl w:val="0"/>
              <w:tabs>
                <w:tab w:val="center" w:pos="4320"/>
                <w:tab w:val="right" w:pos="8505"/>
                <w:tab w:val="right" w:pos="8640"/>
              </w:tabs>
              <w:ind w:right="-144"/>
              <w:rPr>
                <w:rFonts w:cs="Arial"/>
                <w:b/>
                <w:sz w:val="22"/>
                <w:szCs w:val="22"/>
                <w:lang w:eastAsia="en-US"/>
              </w:rPr>
            </w:pPr>
          </w:p>
        </w:tc>
      </w:tr>
      <w:tr w:rsidR="00D0743F" w14:paraId="50DABF1A" w14:textId="77777777" w:rsidTr="006D1624">
        <w:trPr>
          <w:trHeight w:val="340"/>
        </w:trPr>
        <w:tc>
          <w:tcPr>
            <w:tcW w:w="4679" w:type="dxa"/>
            <w:vAlign w:val="center"/>
          </w:tcPr>
          <w:p w14:paraId="2C903FF5" w14:textId="77777777" w:rsidR="00D0743F" w:rsidRDefault="00D0743F" w:rsidP="006D1624">
            <w:pPr>
              <w:autoSpaceDE w:val="0"/>
              <w:autoSpaceDN w:val="0"/>
              <w:adjustRightInd w:val="0"/>
              <w:rPr>
                <w:rFonts w:cs="Arial"/>
                <w:b/>
                <w:bCs/>
                <w:lang w:bidi="hi-IN"/>
              </w:rPr>
            </w:pPr>
            <w:r>
              <w:rPr>
                <w:rFonts w:cs="Arial"/>
                <w:b/>
                <w:bCs/>
                <w:lang w:bidi="hi-IN"/>
              </w:rPr>
              <w:t>Version No:</w:t>
            </w:r>
          </w:p>
        </w:tc>
        <w:tc>
          <w:tcPr>
            <w:tcW w:w="5386" w:type="dxa"/>
            <w:vAlign w:val="center"/>
          </w:tcPr>
          <w:p w14:paraId="34F25CB1" w14:textId="77777777" w:rsidR="00D0743F" w:rsidRPr="00EA2F5D" w:rsidRDefault="00EA2F5D" w:rsidP="006D1624">
            <w:pPr>
              <w:widowControl w:val="0"/>
              <w:tabs>
                <w:tab w:val="center" w:pos="4320"/>
                <w:tab w:val="right" w:pos="8505"/>
                <w:tab w:val="right" w:pos="8640"/>
              </w:tabs>
              <w:ind w:right="-144"/>
              <w:rPr>
                <w:rFonts w:cs="Arial"/>
                <w:sz w:val="22"/>
                <w:szCs w:val="22"/>
                <w:lang w:eastAsia="en-US"/>
              </w:rPr>
            </w:pPr>
            <w:r w:rsidRPr="00EA2F5D">
              <w:rPr>
                <w:rFonts w:cs="Arial"/>
                <w:sz w:val="22"/>
                <w:szCs w:val="22"/>
                <w:lang w:eastAsia="en-US"/>
              </w:rPr>
              <w:t>1</w:t>
            </w:r>
          </w:p>
        </w:tc>
      </w:tr>
      <w:tr w:rsidR="00D0743F" w14:paraId="0DBCD51A" w14:textId="77777777" w:rsidTr="006D1624">
        <w:trPr>
          <w:trHeight w:val="567"/>
        </w:trPr>
        <w:tc>
          <w:tcPr>
            <w:tcW w:w="4679" w:type="dxa"/>
            <w:vAlign w:val="center"/>
          </w:tcPr>
          <w:p w14:paraId="72E22940" w14:textId="77777777" w:rsidR="00D0743F" w:rsidRDefault="00D0743F" w:rsidP="00AF6637">
            <w:pPr>
              <w:autoSpaceDE w:val="0"/>
              <w:autoSpaceDN w:val="0"/>
              <w:adjustRightInd w:val="0"/>
              <w:rPr>
                <w:rFonts w:cs="Arial"/>
                <w:b/>
                <w:bCs/>
                <w:lang w:bidi="hi-IN"/>
              </w:rPr>
            </w:pPr>
            <w:r>
              <w:rPr>
                <w:rFonts w:cs="Arial"/>
                <w:b/>
                <w:bCs/>
                <w:lang w:bidi="hi-IN"/>
              </w:rPr>
              <w:t>Description of changes</w:t>
            </w:r>
            <w:r w:rsidR="00AF6637">
              <w:rPr>
                <w:rFonts w:cs="Arial"/>
                <w:b/>
                <w:bCs/>
                <w:lang w:bidi="hi-IN"/>
              </w:rPr>
              <w:t>:</w:t>
            </w:r>
            <w:r>
              <w:rPr>
                <w:rFonts w:cs="Arial"/>
                <w:b/>
                <w:bCs/>
                <w:lang w:bidi="hi-IN"/>
              </w:rPr>
              <w:t xml:space="preserve"> </w:t>
            </w:r>
          </w:p>
        </w:tc>
        <w:tc>
          <w:tcPr>
            <w:tcW w:w="5386" w:type="dxa"/>
            <w:vAlign w:val="center"/>
          </w:tcPr>
          <w:p w14:paraId="69557029" w14:textId="77777777" w:rsidR="00D0743F" w:rsidRPr="00AF6637" w:rsidRDefault="00D0743F" w:rsidP="00AF6637">
            <w:pPr>
              <w:widowControl w:val="0"/>
              <w:tabs>
                <w:tab w:val="center" w:pos="4320"/>
                <w:tab w:val="right" w:pos="8505"/>
                <w:tab w:val="right" w:pos="8640"/>
              </w:tabs>
              <w:ind w:right="-144"/>
              <w:rPr>
                <w:rFonts w:cs="Arial"/>
                <w:b/>
                <w:sz w:val="22"/>
                <w:szCs w:val="22"/>
                <w:lang w:eastAsia="en-US"/>
              </w:rPr>
            </w:pPr>
          </w:p>
        </w:tc>
      </w:tr>
      <w:tr w:rsidR="00D0743F" w14:paraId="70F3ED16" w14:textId="77777777" w:rsidTr="006D1624">
        <w:trPr>
          <w:trHeight w:val="340"/>
        </w:trPr>
        <w:tc>
          <w:tcPr>
            <w:tcW w:w="4679" w:type="dxa"/>
            <w:vAlign w:val="center"/>
          </w:tcPr>
          <w:p w14:paraId="2047F1C2" w14:textId="77777777" w:rsidR="00D0743F" w:rsidRDefault="00D0743F" w:rsidP="00AF6637">
            <w:pPr>
              <w:autoSpaceDE w:val="0"/>
              <w:autoSpaceDN w:val="0"/>
              <w:adjustRightInd w:val="0"/>
              <w:rPr>
                <w:rFonts w:cs="Arial"/>
                <w:b/>
                <w:bCs/>
                <w:lang w:bidi="hi-IN"/>
              </w:rPr>
            </w:pPr>
            <w:r>
              <w:rPr>
                <w:rFonts w:cs="Arial"/>
                <w:b/>
                <w:bCs/>
                <w:lang w:bidi="hi-IN"/>
              </w:rPr>
              <w:t xml:space="preserve">Compliance links: </w:t>
            </w:r>
            <w:r w:rsidR="00687498" w:rsidRPr="00687498">
              <w:rPr>
                <w:rFonts w:cs="Arial"/>
                <w:bCs/>
                <w:i/>
                <w:sz w:val="22"/>
                <w:szCs w:val="22"/>
                <w:lang w:bidi="hi-IN"/>
              </w:rPr>
              <w:t>(is there any NICE related to guidance)</w:t>
            </w:r>
          </w:p>
        </w:tc>
        <w:tc>
          <w:tcPr>
            <w:tcW w:w="5386" w:type="dxa"/>
            <w:vAlign w:val="center"/>
          </w:tcPr>
          <w:p w14:paraId="03125282" w14:textId="77777777" w:rsidR="00D0743F" w:rsidRPr="00407550" w:rsidRDefault="00407550" w:rsidP="006D1624">
            <w:pPr>
              <w:autoSpaceDE w:val="0"/>
              <w:autoSpaceDN w:val="0"/>
              <w:adjustRightInd w:val="0"/>
              <w:rPr>
                <w:rFonts w:cs="Arial"/>
                <w:sz w:val="22"/>
                <w:szCs w:val="22"/>
                <w:lang w:bidi="hi-IN"/>
              </w:rPr>
            </w:pPr>
            <w:r w:rsidRPr="00407550">
              <w:rPr>
                <w:rFonts w:cs="Arial"/>
                <w:sz w:val="22"/>
                <w:szCs w:val="22"/>
                <w:lang w:bidi="hi-IN"/>
              </w:rPr>
              <w:t>No</w:t>
            </w:r>
          </w:p>
        </w:tc>
      </w:tr>
      <w:tr w:rsidR="00687498" w14:paraId="0C215BE5" w14:textId="77777777" w:rsidTr="006D1624">
        <w:trPr>
          <w:trHeight w:val="340"/>
        </w:trPr>
        <w:tc>
          <w:tcPr>
            <w:tcW w:w="4679" w:type="dxa"/>
            <w:vAlign w:val="center"/>
          </w:tcPr>
          <w:p w14:paraId="58DB571C" w14:textId="77777777" w:rsidR="00687498" w:rsidRPr="00687498" w:rsidRDefault="00687498" w:rsidP="00687498">
            <w:pPr>
              <w:autoSpaceDE w:val="0"/>
              <w:autoSpaceDN w:val="0"/>
              <w:adjustRightInd w:val="0"/>
              <w:rPr>
                <w:rFonts w:cs="Arial"/>
                <w:b/>
                <w:bCs/>
                <w:lang w:bidi="hi-IN"/>
              </w:rPr>
            </w:pPr>
            <w:r w:rsidRPr="00687498">
              <w:rPr>
                <w:rFonts w:cs="Arial"/>
                <w:b/>
                <w:bCs/>
                <w:lang w:bidi="hi-IN"/>
              </w:rPr>
              <w:t>If Yes - does the strategy/policy deviate from the recommendations of NICE?</w:t>
            </w:r>
          </w:p>
          <w:p w14:paraId="71A9B026" w14:textId="77777777" w:rsidR="00687498" w:rsidRDefault="00687498" w:rsidP="00687498">
            <w:pPr>
              <w:autoSpaceDE w:val="0"/>
              <w:autoSpaceDN w:val="0"/>
              <w:adjustRightInd w:val="0"/>
              <w:rPr>
                <w:rFonts w:cs="Arial"/>
                <w:b/>
                <w:bCs/>
                <w:lang w:bidi="hi-IN"/>
              </w:rPr>
            </w:pPr>
            <w:r w:rsidRPr="00687498">
              <w:rPr>
                <w:rFonts w:cs="Arial"/>
                <w:b/>
                <w:bCs/>
                <w:lang w:bidi="hi-IN"/>
              </w:rPr>
              <w:t>If so why?</w:t>
            </w:r>
          </w:p>
        </w:tc>
        <w:tc>
          <w:tcPr>
            <w:tcW w:w="5386" w:type="dxa"/>
            <w:vAlign w:val="center"/>
          </w:tcPr>
          <w:p w14:paraId="15D79FFD" w14:textId="77777777" w:rsidR="00687498" w:rsidRPr="00AF6637" w:rsidRDefault="0083234B" w:rsidP="006D1624">
            <w:pPr>
              <w:autoSpaceDE w:val="0"/>
              <w:autoSpaceDN w:val="0"/>
              <w:adjustRightInd w:val="0"/>
              <w:rPr>
                <w:rFonts w:cs="Arial"/>
                <w:bCs/>
                <w:i/>
                <w:sz w:val="22"/>
                <w:szCs w:val="22"/>
                <w:lang w:bidi="hi-IN"/>
              </w:rPr>
            </w:pPr>
            <w:r>
              <w:rPr>
                <w:rFonts w:cs="Arial"/>
                <w:bCs/>
                <w:i/>
                <w:sz w:val="22"/>
                <w:szCs w:val="22"/>
                <w:lang w:bidi="hi-IN"/>
              </w:rPr>
              <w:t>N/A</w:t>
            </w:r>
          </w:p>
        </w:tc>
      </w:tr>
    </w:tbl>
    <w:p w14:paraId="76CF0F65" w14:textId="77777777" w:rsidR="00687498" w:rsidRDefault="00687498" w:rsidP="00D0743F">
      <w:pPr>
        <w:ind w:right="-508"/>
        <w:rPr>
          <w:rFonts w:cs="Arial"/>
          <w:b/>
          <w:bCs/>
          <w:lang w:val="en-US"/>
        </w:rPr>
      </w:pPr>
    </w:p>
    <w:p w14:paraId="008E802B" w14:textId="77777777" w:rsidR="00D0743F" w:rsidRDefault="00D0743F" w:rsidP="00D0743F">
      <w:pPr>
        <w:rPr>
          <w:rFonts w:cs="Arial"/>
          <w:i/>
          <w:lang w:eastAsia="en-US"/>
        </w:rPr>
      </w:pPr>
    </w:p>
    <w:p w14:paraId="75D7A971" w14:textId="77777777" w:rsidR="008C07EF" w:rsidRDefault="008C07EF" w:rsidP="00D0743F">
      <w:pPr>
        <w:keepNext/>
        <w:widowControl w:val="0"/>
        <w:outlineLvl w:val="0"/>
        <w:rPr>
          <w:rFonts w:cs="Arial"/>
          <w:b/>
          <w:lang w:eastAsia="en-US"/>
        </w:rPr>
      </w:pPr>
    </w:p>
    <w:p w14:paraId="6D8C3A40" w14:textId="77777777" w:rsidR="008C07EF" w:rsidRDefault="008C07EF" w:rsidP="00D0743F">
      <w:pPr>
        <w:keepNext/>
        <w:widowControl w:val="0"/>
        <w:outlineLvl w:val="0"/>
        <w:rPr>
          <w:rFonts w:cs="Arial"/>
          <w:b/>
          <w:lang w:eastAsia="en-US"/>
        </w:rPr>
      </w:pPr>
    </w:p>
    <w:p w14:paraId="37A3ABB3" w14:textId="77777777" w:rsidR="00D0743F" w:rsidRDefault="001A2DA2" w:rsidP="00D0743F">
      <w:pPr>
        <w:keepNext/>
        <w:widowControl w:val="0"/>
        <w:outlineLvl w:val="0"/>
        <w:rPr>
          <w:rFonts w:cs="Arial"/>
          <w:b/>
          <w:lang w:eastAsia="en-US"/>
        </w:rPr>
      </w:pPr>
      <w:r>
        <w:rPr>
          <w:rFonts w:cs="Arial"/>
          <w:b/>
          <w:lang w:eastAsia="en-US"/>
        </w:rPr>
        <w:t>1</w:t>
      </w:r>
      <w:r w:rsidR="00D0743F">
        <w:rPr>
          <w:rFonts w:cs="Arial"/>
          <w:b/>
          <w:lang w:eastAsia="en-US"/>
        </w:rPr>
        <w:t xml:space="preserve">. Quick reference </w:t>
      </w:r>
    </w:p>
    <w:p w14:paraId="1CFED503" w14:textId="77777777" w:rsidR="002279B6" w:rsidRPr="002279B6" w:rsidRDefault="002279B6" w:rsidP="002279B6">
      <w:pPr>
        <w:jc w:val="both"/>
        <w:rPr>
          <w:rFonts w:cs="Arial"/>
          <w:sz w:val="22"/>
          <w:szCs w:val="22"/>
          <w:lang w:val="en-US" w:eastAsia="en-US"/>
        </w:rPr>
      </w:pPr>
    </w:p>
    <w:p w14:paraId="773E858A" w14:textId="77777777" w:rsidR="002279B6" w:rsidRPr="002279B6" w:rsidRDefault="002279B6" w:rsidP="002279B6">
      <w:pPr>
        <w:jc w:val="both"/>
        <w:rPr>
          <w:rFonts w:cs="Arial"/>
          <w:sz w:val="22"/>
          <w:szCs w:val="22"/>
          <w:lang w:val="en-US" w:eastAsia="en-US"/>
        </w:rPr>
      </w:pPr>
      <w:r w:rsidRPr="002279B6">
        <w:rPr>
          <w:rFonts w:cs="Arial"/>
          <w:sz w:val="22"/>
          <w:szCs w:val="22"/>
          <w:lang w:val="en-US" w:eastAsia="en-US"/>
        </w:rPr>
        <w:t xml:space="preserve">For quick reference the guide below is a summary of actions required. This does not negate the need for the document author and others involved in the process to be aware of and follow the detail of this </w:t>
      </w:r>
      <w:r w:rsidR="00C55372">
        <w:rPr>
          <w:rFonts w:cs="Arial"/>
          <w:sz w:val="22"/>
          <w:szCs w:val="22"/>
          <w:lang w:val="en-US" w:eastAsia="en-US"/>
        </w:rPr>
        <w:t>standard operating procedure (SOP)</w:t>
      </w:r>
    </w:p>
    <w:p w14:paraId="3495FAD7" w14:textId="77777777" w:rsidR="002279B6" w:rsidRPr="002279B6" w:rsidRDefault="002279B6" w:rsidP="002279B6">
      <w:pPr>
        <w:jc w:val="both"/>
        <w:rPr>
          <w:rFonts w:cs="Arial"/>
          <w:sz w:val="22"/>
          <w:szCs w:val="22"/>
          <w:lang w:val="en-US" w:eastAsia="en-US"/>
        </w:rPr>
      </w:pPr>
    </w:p>
    <w:p w14:paraId="78C4DFBF" w14:textId="77777777" w:rsidR="002279B6" w:rsidRPr="002279B6" w:rsidRDefault="002279B6" w:rsidP="00081BA6">
      <w:pPr>
        <w:numPr>
          <w:ilvl w:val="0"/>
          <w:numId w:val="9"/>
        </w:numPr>
        <w:jc w:val="both"/>
        <w:rPr>
          <w:rFonts w:cs="Arial"/>
          <w:sz w:val="22"/>
          <w:szCs w:val="22"/>
          <w:lang w:val="en-US" w:eastAsia="en-US"/>
        </w:rPr>
      </w:pPr>
      <w:r w:rsidRPr="002279B6">
        <w:rPr>
          <w:rFonts w:cs="Arial"/>
          <w:bCs/>
          <w:color w:val="000000"/>
          <w:sz w:val="22"/>
          <w:szCs w:val="22"/>
          <w:lang w:val="en-US" w:eastAsia="en-US"/>
        </w:rPr>
        <w:t>The purpose of th</w:t>
      </w:r>
      <w:r w:rsidR="008903FF">
        <w:rPr>
          <w:rFonts w:cs="Arial"/>
          <w:bCs/>
          <w:color w:val="000000"/>
          <w:sz w:val="22"/>
          <w:szCs w:val="22"/>
          <w:lang w:val="en-US" w:eastAsia="en-US"/>
        </w:rPr>
        <w:t>is</w:t>
      </w:r>
      <w:r w:rsidRPr="002279B6">
        <w:rPr>
          <w:rFonts w:cs="Arial"/>
          <w:bCs/>
          <w:color w:val="000000"/>
          <w:sz w:val="22"/>
          <w:szCs w:val="22"/>
          <w:lang w:val="en-US" w:eastAsia="en-US"/>
        </w:rPr>
        <w:t xml:space="preserve"> guidance is to ensure that </w:t>
      </w:r>
      <w:r w:rsidR="004563CC">
        <w:rPr>
          <w:rFonts w:cs="Arial"/>
          <w:bCs/>
          <w:color w:val="000000"/>
          <w:sz w:val="22"/>
          <w:szCs w:val="22"/>
          <w:lang w:val="en-US" w:eastAsia="en-US"/>
        </w:rPr>
        <w:t>the Volunteer Settle In Service provides a safe service for both volunteer and patient.</w:t>
      </w:r>
    </w:p>
    <w:p w14:paraId="33C893D4" w14:textId="77777777" w:rsidR="002279B6" w:rsidRPr="002279B6" w:rsidRDefault="002279B6" w:rsidP="002279B6">
      <w:pPr>
        <w:jc w:val="both"/>
        <w:rPr>
          <w:rFonts w:cs="Arial"/>
          <w:sz w:val="22"/>
          <w:szCs w:val="22"/>
          <w:lang w:val="en-US" w:eastAsia="en-US"/>
        </w:rPr>
      </w:pPr>
    </w:p>
    <w:p w14:paraId="30DC0628" w14:textId="77777777" w:rsidR="002279B6" w:rsidRPr="002279B6" w:rsidRDefault="002279B6" w:rsidP="00081BA6">
      <w:pPr>
        <w:numPr>
          <w:ilvl w:val="0"/>
          <w:numId w:val="9"/>
        </w:numPr>
        <w:jc w:val="both"/>
        <w:rPr>
          <w:rFonts w:cs="Arial"/>
          <w:sz w:val="22"/>
          <w:szCs w:val="22"/>
          <w:lang w:val="en-US" w:eastAsia="en-US"/>
        </w:rPr>
      </w:pPr>
      <w:r w:rsidRPr="002279B6">
        <w:rPr>
          <w:rFonts w:cs="Arial"/>
          <w:sz w:val="22"/>
          <w:szCs w:val="22"/>
          <w:lang w:val="en-US" w:eastAsia="en-US"/>
        </w:rPr>
        <w:t>It aims to m</w:t>
      </w:r>
      <w:r w:rsidR="004563CC">
        <w:rPr>
          <w:rFonts w:cs="Arial"/>
          <w:sz w:val="22"/>
          <w:szCs w:val="22"/>
          <w:lang w:val="en-US" w:eastAsia="en-US"/>
        </w:rPr>
        <w:t>inimize any risks involving volunteers working within the patients home environment</w:t>
      </w:r>
    </w:p>
    <w:p w14:paraId="03E4F3B8" w14:textId="77777777" w:rsidR="002279B6" w:rsidRPr="002279B6" w:rsidRDefault="002279B6" w:rsidP="002279B6">
      <w:pPr>
        <w:jc w:val="both"/>
        <w:rPr>
          <w:rFonts w:cs="Arial"/>
          <w:sz w:val="22"/>
          <w:szCs w:val="22"/>
          <w:lang w:val="en-US" w:eastAsia="en-US"/>
        </w:rPr>
      </w:pPr>
    </w:p>
    <w:p w14:paraId="01667C64" w14:textId="77777777" w:rsidR="002279B6" w:rsidRPr="002279B6" w:rsidRDefault="008903FF" w:rsidP="00081BA6">
      <w:pPr>
        <w:numPr>
          <w:ilvl w:val="0"/>
          <w:numId w:val="9"/>
        </w:numPr>
        <w:jc w:val="both"/>
        <w:rPr>
          <w:rFonts w:cs="Arial"/>
          <w:sz w:val="22"/>
          <w:szCs w:val="22"/>
          <w:lang w:val="en-US" w:eastAsia="en-US"/>
        </w:rPr>
      </w:pPr>
      <w:r>
        <w:rPr>
          <w:rFonts w:cs="Arial"/>
          <w:sz w:val="22"/>
          <w:szCs w:val="22"/>
          <w:lang w:val="en-US" w:eastAsia="en-US"/>
        </w:rPr>
        <w:t>The guidance applies to staff, pat</w:t>
      </w:r>
      <w:r w:rsidR="004563CC">
        <w:rPr>
          <w:rFonts w:cs="Arial"/>
          <w:sz w:val="22"/>
          <w:szCs w:val="22"/>
          <w:lang w:val="en-US" w:eastAsia="en-US"/>
        </w:rPr>
        <w:t>ients and volunteers</w:t>
      </w:r>
      <w:r>
        <w:rPr>
          <w:rFonts w:cs="Arial"/>
          <w:sz w:val="22"/>
          <w:szCs w:val="22"/>
          <w:lang w:val="en-US" w:eastAsia="en-US"/>
        </w:rPr>
        <w:t>.</w:t>
      </w:r>
    </w:p>
    <w:p w14:paraId="53BEB1B0" w14:textId="77777777" w:rsidR="002279B6" w:rsidRPr="002279B6" w:rsidRDefault="002279B6" w:rsidP="002279B6">
      <w:pPr>
        <w:jc w:val="both"/>
        <w:rPr>
          <w:rFonts w:cs="Arial"/>
          <w:sz w:val="22"/>
          <w:szCs w:val="22"/>
          <w:lang w:val="en-US" w:eastAsia="en-US"/>
        </w:rPr>
      </w:pPr>
    </w:p>
    <w:p w14:paraId="55B390F8" w14:textId="77777777" w:rsidR="002279B6" w:rsidRPr="002645B5" w:rsidRDefault="004563CC" w:rsidP="00081BA6">
      <w:pPr>
        <w:numPr>
          <w:ilvl w:val="0"/>
          <w:numId w:val="9"/>
        </w:numPr>
        <w:jc w:val="both"/>
        <w:rPr>
          <w:rFonts w:cs="Arial"/>
          <w:color w:val="000000"/>
          <w:sz w:val="22"/>
          <w:szCs w:val="22"/>
          <w:lang w:val="en-US" w:eastAsia="en-US"/>
        </w:rPr>
      </w:pPr>
      <w:r>
        <w:rPr>
          <w:color w:val="000000"/>
          <w:sz w:val="22"/>
          <w:szCs w:val="22"/>
          <w:lang w:val="en-US" w:eastAsia="en-US"/>
        </w:rPr>
        <w:t>Provides guidance to staff when referring appropriate patients to the service.</w:t>
      </w:r>
    </w:p>
    <w:p w14:paraId="64CD4BD7" w14:textId="77777777" w:rsidR="002645B5" w:rsidRDefault="002645B5" w:rsidP="002645B5">
      <w:pPr>
        <w:pStyle w:val="ListParagraph"/>
        <w:rPr>
          <w:rFonts w:cs="Arial"/>
          <w:color w:val="000000"/>
          <w:sz w:val="22"/>
          <w:szCs w:val="22"/>
          <w:lang w:val="en-US" w:eastAsia="en-US"/>
        </w:rPr>
      </w:pPr>
    </w:p>
    <w:p w14:paraId="32E35777" w14:textId="77777777" w:rsidR="002279B6" w:rsidRDefault="002279B6" w:rsidP="00081BA6">
      <w:pPr>
        <w:numPr>
          <w:ilvl w:val="0"/>
          <w:numId w:val="9"/>
        </w:numPr>
        <w:jc w:val="both"/>
        <w:rPr>
          <w:rFonts w:cs="Arial"/>
          <w:sz w:val="22"/>
          <w:szCs w:val="22"/>
          <w:lang w:val="en-US" w:eastAsia="en-US"/>
        </w:rPr>
      </w:pPr>
      <w:r w:rsidRPr="002279B6">
        <w:rPr>
          <w:rFonts w:cs="Arial"/>
          <w:sz w:val="22"/>
          <w:szCs w:val="22"/>
          <w:lang w:val="en-US" w:eastAsia="en-US"/>
        </w:rPr>
        <w:t xml:space="preserve">It is the responsibility of all staff to be aware of </w:t>
      </w:r>
      <w:r w:rsidR="004563CC">
        <w:rPr>
          <w:rFonts w:cs="Arial"/>
          <w:sz w:val="22"/>
          <w:szCs w:val="22"/>
          <w:lang w:val="en-US" w:eastAsia="en-US"/>
        </w:rPr>
        <w:t xml:space="preserve">and to adhere to </w:t>
      </w:r>
      <w:r w:rsidRPr="002279B6">
        <w:rPr>
          <w:rFonts w:cs="Arial"/>
          <w:sz w:val="22"/>
          <w:szCs w:val="22"/>
          <w:lang w:val="en-US" w:eastAsia="en-US"/>
        </w:rPr>
        <w:t xml:space="preserve">the </w:t>
      </w:r>
      <w:r w:rsidR="004563CC">
        <w:rPr>
          <w:rFonts w:cs="Arial"/>
          <w:sz w:val="22"/>
          <w:szCs w:val="22"/>
          <w:lang w:val="en-US" w:eastAsia="en-US"/>
        </w:rPr>
        <w:t>guidance.</w:t>
      </w:r>
    </w:p>
    <w:p w14:paraId="569F3A55" w14:textId="77777777" w:rsidR="008903FF" w:rsidRDefault="008903FF" w:rsidP="008903FF">
      <w:pPr>
        <w:pStyle w:val="ListParagraph"/>
        <w:rPr>
          <w:rFonts w:cs="Arial"/>
          <w:sz w:val="22"/>
          <w:szCs w:val="22"/>
          <w:lang w:val="en-US" w:eastAsia="en-US"/>
        </w:rPr>
      </w:pPr>
    </w:p>
    <w:p w14:paraId="358DC15F" w14:textId="77777777" w:rsidR="002307A8" w:rsidRDefault="002307A8" w:rsidP="00081BA6">
      <w:pPr>
        <w:numPr>
          <w:ilvl w:val="0"/>
          <w:numId w:val="9"/>
        </w:numPr>
        <w:jc w:val="both"/>
        <w:rPr>
          <w:rFonts w:cs="Arial"/>
          <w:sz w:val="22"/>
          <w:szCs w:val="22"/>
          <w:lang w:val="en-US" w:eastAsia="en-US"/>
        </w:rPr>
      </w:pPr>
      <w:r>
        <w:rPr>
          <w:rFonts w:cs="Arial"/>
          <w:sz w:val="22"/>
          <w:szCs w:val="22"/>
          <w:lang w:val="en-US" w:eastAsia="en-US"/>
        </w:rPr>
        <w:t>Patient consent must also be sought prior to a</w:t>
      </w:r>
      <w:r w:rsidR="004563CC">
        <w:rPr>
          <w:rFonts w:cs="Arial"/>
          <w:sz w:val="22"/>
          <w:szCs w:val="22"/>
          <w:lang w:val="en-US" w:eastAsia="en-US"/>
        </w:rPr>
        <w:t xml:space="preserve"> volunteers</w:t>
      </w:r>
      <w:r>
        <w:rPr>
          <w:rFonts w:cs="Arial"/>
          <w:sz w:val="22"/>
          <w:szCs w:val="22"/>
          <w:lang w:val="en-US" w:eastAsia="en-US"/>
        </w:rPr>
        <w:t xml:space="preserve"> visit.</w:t>
      </w:r>
    </w:p>
    <w:p w14:paraId="1A4021F8" w14:textId="77777777" w:rsidR="002645B5" w:rsidRDefault="002645B5" w:rsidP="002645B5">
      <w:pPr>
        <w:pStyle w:val="ListParagraph"/>
        <w:rPr>
          <w:rFonts w:cs="Arial"/>
          <w:sz w:val="22"/>
          <w:szCs w:val="22"/>
          <w:lang w:val="en-US" w:eastAsia="en-US"/>
        </w:rPr>
      </w:pPr>
    </w:p>
    <w:p w14:paraId="2963F35F" w14:textId="77777777" w:rsidR="002645B5" w:rsidRPr="002279B6" w:rsidRDefault="004563CC" w:rsidP="00081BA6">
      <w:pPr>
        <w:numPr>
          <w:ilvl w:val="0"/>
          <w:numId w:val="9"/>
        </w:numPr>
        <w:jc w:val="both"/>
        <w:rPr>
          <w:rFonts w:cs="Arial"/>
          <w:sz w:val="22"/>
          <w:szCs w:val="22"/>
          <w:lang w:val="en-US" w:eastAsia="en-US"/>
        </w:rPr>
      </w:pPr>
      <w:r>
        <w:rPr>
          <w:rFonts w:cs="Arial"/>
          <w:sz w:val="22"/>
          <w:szCs w:val="22"/>
          <w:lang w:val="en-US" w:eastAsia="en-US"/>
        </w:rPr>
        <w:t>All patients will be assessed for suitability by the Settle In Service Coordinator</w:t>
      </w:r>
    </w:p>
    <w:p w14:paraId="7A7C59E7" w14:textId="77777777" w:rsidR="008903FF" w:rsidRDefault="008903FF" w:rsidP="002645B5">
      <w:pPr>
        <w:pStyle w:val="ListParagraph"/>
        <w:ind w:left="0"/>
        <w:rPr>
          <w:rFonts w:cs="Arial"/>
          <w:color w:val="000000"/>
          <w:sz w:val="22"/>
          <w:szCs w:val="22"/>
          <w:lang w:val="en-US" w:eastAsia="en-US"/>
        </w:rPr>
      </w:pPr>
    </w:p>
    <w:p w14:paraId="0F91DD52" w14:textId="77777777" w:rsidR="00DC5BCC" w:rsidRDefault="00DC5BCC" w:rsidP="00DC5BCC">
      <w:pPr>
        <w:pStyle w:val="ListParagraph"/>
        <w:rPr>
          <w:rFonts w:cs="Arial"/>
          <w:color w:val="000000"/>
          <w:sz w:val="22"/>
          <w:szCs w:val="22"/>
          <w:lang w:val="en-US" w:eastAsia="en-US"/>
        </w:rPr>
      </w:pPr>
    </w:p>
    <w:p w14:paraId="69E44391" w14:textId="77777777" w:rsidR="002645B5" w:rsidRPr="00952F09" w:rsidRDefault="004563CC" w:rsidP="00952F09">
      <w:pPr>
        <w:numPr>
          <w:ilvl w:val="0"/>
          <w:numId w:val="9"/>
        </w:numPr>
        <w:jc w:val="both"/>
        <w:rPr>
          <w:rFonts w:cs="Arial"/>
          <w:color w:val="000000"/>
          <w:sz w:val="22"/>
          <w:szCs w:val="22"/>
          <w:lang w:val="en-US" w:eastAsia="en-US"/>
        </w:rPr>
      </w:pPr>
      <w:r>
        <w:rPr>
          <w:rFonts w:cs="Arial"/>
          <w:color w:val="000000"/>
          <w:sz w:val="22"/>
          <w:szCs w:val="22"/>
          <w:lang w:val="en-US" w:eastAsia="en-US"/>
        </w:rPr>
        <w:t>Settle In Service will only operate up to 6pm, Monday to Friday, although a visit can be made the day after discharge if this is not possible.</w:t>
      </w:r>
    </w:p>
    <w:p w14:paraId="7500F507" w14:textId="77777777" w:rsidR="002279B6" w:rsidRPr="002279B6" w:rsidRDefault="002279B6" w:rsidP="002279B6">
      <w:pPr>
        <w:jc w:val="both"/>
        <w:rPr>
          <w:rFonts w:cs="Arial"/>
          <w:color w:val="000000"/>
          <w:sz w:val="22"/>
          <w:szCs w:val="22"/>
          <w:lang w:val="en-US" w:eastAsia="en-US"/>
        </w:rPr>
      </w:pPr>
    </w:p>
    <w:p w14:paraId="40C50833" w14:textId="77777777" w:rsidR="000A013B" w:rsidRPr="000A013B" w:rsidRDefault="000A013B" w:rsidP="000A013B">
      <w:pPr>
        <w:numPr>
          <w:ilvl w:val="0"/>
          <w:numId w:val="9"/>
        </w:numPr>
        <w:jc w:val="both"/>
        <w:rPr>
          <w:rFonts w:cs="Arial"/>
          <w:color w:val="000000"/>
          <w:sz w:val="22"/>
          <w:szCs w:val="22"/>
          <w:lang w:val="en-US" w:eastAsia="en-US"/>
        </w:rPr>
      </w:pPr>
      <w:r w:rsidRPr="002279B6">
        <w:rPr>
          <w:rFonts w:cs="Arial"/>
          <w:color w:val="000000"/>
          <w:sz w:val="22"/>
          <w:szCs w:val="22"/>
          <w:lang w:val="en-US" w:eastAsia="en-US"/>
        </w:rPr>
        <w:t>The guidance will be made available from the Trust’s intranet</w:t>
      </w:r>
      <w:r>
        <w:rPr>
          <w:rFonts w:cs="Arial"/>
          <w:color w:val="000000"/>
          <w:sz w:val="22"/>
          <w:szCs w:val="22"/>
          <w:lang w:val="en-US" w:eastAsia="en-US"/>
        </w:rPr>
        <w:t>.</w:t>
      </w:r>
    </w:p>
    <w:p w14:paraId="61D873B4" w14:textId="77777777" w:rsidR="000A013B" w:rsidRDefault="000A013B" w:rsidP="000A013B">
      <w:pPr>
        <w:ind w:left="360"/>
        <w:jc w:val="both"/>
        <w:rPr>
          <w:rFonts w:cs="Arial"/>
          <w:color w:val="000000"/>
          <w:sz w:val="22"/>
          <w:szCs w:val="22"/>
          <w:lang w:val="en-US" w:eastAsia="en-US"/>
        </w:rPr>
      </w:pPr>
    </w:p>
    <w:p w14:paraId="47DB9ECD" w14:textId="77777777" w:rsidR="00D0743F" w:rsidRDefault="00D0743F" w:rsidP="00D0743F">
      <w:pPr>
        <w:rPr>
          <w:rFonts w:cs="Arial"/>
          <w:b/>
          <w:lang w:eastAsia="en-US"/>
        </w:rPr>
      </w:pPr>
    </w:p>
    <w:p w14:paraId="4F67F337" w14:textId="77777777" w:rsidR="00D0743F" w:rsidRDefault="003676E6" w:rsidP="00D0743F">
      <w:pPr>
        <w:rPr>
          <w:rFonts w:cs="Arial"/>
          <w:b/>
          <w:lang w:eastAsia="en-US"/>
        </w:rPr>
      </w:pPr>
      <w:r>
        <w:rPr>
          <w:rFonts w:cs="Arial"/>
          <w:b/>
          <w:lang w:eastAsia="en-US"/>
        </w:rPr>
        <w:t>2</w:t>
      </w:r>
      <w:r w:rsidR="00126C3A">
        <w:rPr>
          <w:rFonts w:cs="Arial"/>
          <w:b/>
          <w:lang w:eastAsia="en-US"/>
        </w:rPr>
        <w:t>. Objective</w:t>
      </w:r>
    </w:p>
    <w:p w14:paraId="61EA6F87" w14:textId="77777777" w:rsidR="00EE2637" w:rsidRDefault="00EE2637" w:rsidP="00D0743F">
      <w:pPr>
        <w:rPr>
          <w:rFonts w:cs="Arial"/>
          <w:b/>
          <w:lang w:eastAsia="en-US"/>
        </w:rPr>
      </w:pPr>
    </w:p>
    <w:p w14:paraId="79C5731E" w14:textId="77777777" w:rsidR="00126C3A" w:rsidRDefault="00EE2637" w:rsidP="00544BA0">
      <w:pPr>
        <w:jc w:val="both"/>
        <w:rPr>
          <w:rFonts w:cs="Arial"/>
          <w:i/>
          <w:lang w:eastAsia="en-US"/>
        </w:rPr>
      </w:pPr>
      <w:r w:rsidRPr="00EE2637">
        <w:rPr>
          <w:rFonts w:cs="Arial"/>
          <w:sz w:val="22"/>
          <w:szCs w:val="22"/>
          <w:lang w:eastAsia="en-US"/>
        </w:rPr>
        <w:t xml:space="preserve">This SOP details the processes which should be followed </w:t>
      </w:r>
      <w:r w:rsidR="00544BA0">
        <w:rPr>
          <w:rFonts w:cs="Arial"/>
          <w:sz w:val="22"/>
          <w:szCs w:val="22"/>
          <w:lang w:eastAsia="en-US"/>
        </w:rPr>
        <w:t>when referring patients to the Settle In Service and during the home visit.</w:t>
      </w:r>
    </w:p>
    <w:p w14:paraId="26DE4760" w14:textId="77777777" w:rsidR="00FA1983" w:rsidRDefault="00FA1983" w:rsidP="00D0743F">
      <w:pPr>
        <w:rPr>
          <w:rFonts w:cs="Arial"/>
          <w:i/>
          <w:lang w:eastAsia="en-US"/>
        </w:rPr>
      </w:pPr>
    </w:p>
    <w:p w14:paraId="386502EB" w14:textId="77777777" w:rsidR="00FA1983" w:rsidRDefault="00FA1983" w:rsidP="00D0743F">
      <w:pPr>
        <w:rPr>
          <w:rFonts w:cs="Arial"/>
          <w:b/>
          <w:lang w:eastAsia="en-US"/>
        </w:rPr>
      </w:pPr>
    </w:p>
    <w:p w14:paraId="162DD16F" w14:textId="77777777" w:rsidR="00D0743F" w:rsidRDefault="003676E6" w:rsidP="00D0743F">
      <w:pPr>
        <w:rPr>
          <w:rFonts w:cs="Arial"/>
          <w:b/>
          <w:lang w:eastAsia="en-US"/>
        </w:rPr>
      </w:pPr>
      <w:r>
        <w:rPr>
          <w:rFonts w:cs="Arial"/>
          <w:b/>
          <w:lang w:eastAsia="en-US"/>
        </w:rPr>
        <w:t>3</w:t>
      </w:r>
      <w:r w:rsidR="00F76123">
        <w:rPr>
          <w:rFonts w:cs="Arial"/>
          <w:b/>
          <w:lang w:eastAsia="en-US"/>
        </w:rPr>
        <w:t>. Rationale</w:t>
      </w:r>
    </w:p>
    <w:p w14:paraId="76C83D8D" w14:textId="77777777" w:rsidR="00F76123" w:rsidRDefault="00F76123" w:rsidP="00D0743F">
      <w:pPr>
        <w:rPr>
          <w:rFonts w:cs="Arial"/>
          <w:b/>
          <w:lang w:eastAsia="en-US"/>
        </w:rPr>
      </w:pPr>
    </w:p>
    <w:p w14:paraId="7AEE4D32" w14:textId="77777777" w:rsidR="00544BA0" w:rsidRPr="001A0804" w:rsidRDefault="00F76123" w:rsidP="00544BA0">
      <w:pPr>
        <w:keepNext/>
        <w:jc w:val="both"/>
        <w:outlineLvl w:val="2"/>
        <w:rPr>
          <w:rFonts w:cs="Arial"/>
          <w:sz w:val="22"/>
          <w:szCs w:val="22"/>
        </w:rPr>
      </w:pPr>
      <w:r w:rsidRPr="001A0804">
        <w:rPr>
          <w:rFonts w:cs="Arial"/>
          <w:iCs/>
          <w:color w:val="000000"/>
          <w:sz w:val="22"/>
          <w:szCs w:val="22"/>
          <w:lang w:val="en-US" w:eastAsia="en-US"/>
        </w:rPr>
        <w:t>The Norfolk &amp; Norwich University Hospitals NHS Foundation Trust</w:t>
      </w:r>
      <w:r w:rsidRPr="00F76123">
        <w:rPr>
          <w:rFonts w:cs="Arial"/>
          <w:iCs/>
          <w:color w:val="000000"/>
          <w:sz w:val="22"/>
          <w:szCs w:val="22"/>
          <w:lang w:val="en-US" w:eastAsia="en-US"/>
        </w:rPr>
        <w:t xml:space="preserve"> </w:t>
      </w:r>
      <w:r w:rsidR="00544BA0">
        <w:rPr>
          <w:rFonts w:cs="Arial"/>
          <w:iCs/>
          <w:color w:val="000000"/>
          <w:sz w:val="22"/>
          <w:szCs w:val="22"/>
          <w:lang w:val="en-US" w:eastAsia="en-US"/>
        </w:rPr>
        <w:t xml:space="preserve">believes in providing a timely and efficient discharge for each patient.  The Settle In Service can provide a supported service for suitable patients at or just after the time of discharge.  The aim of the service is to build the confidence of the patient upon going home after their hospital stay, to help prevent the risk of re-admittance.  </w:t>
      </w:r>
    </w:p>
    <w:p w14:paraId="2314647D" w14:textId="77777777" w:rsidR="00FA1983" w:rsidRDefault="00FA1983" w:rsidP="001A0804">
      <w:pPr>
        <w:rPr>
          <w:rFonts w:cs="Arial"/>
        </w:rPr>
      </w:pPr>
    </w:p>
    <w:p w14:paraId="605FC37C" w14:textId="77777777" w:rsidR="008C07EF" w:rsidRDefault="008C07EF" w:rsidP="001A0804">
      <w:pPr>
        <w:rPr>
          <w:rFonts w:cs="Arial"/>
        </w:rPr>
      </w:pPr>
    </w:p>
    <w:p w14:paraId="54DB4F1A" w14:textId="77777777" w:rsidR="008C07EF" w:rsidRDefault="008C07EF" w:rsidP="001A0804">
      <w:pPr>
        <w:rPr>
          <w:rFonts w:cs="Arial"/>
        </w:rPr>
      </w:pPr>
    </w:p>
    <w:p w14:paraId="7C76773A" w14:textId="77777777" w:rsidR="008C07EF" w:rsidRPr="001A0804" w:rsidRDefault="008C07EF" w:rsidP="001A0804">
      <w:pPr>
        <w:rPr>
          <w:rFonts w:cs="Arial"/>
        </w:rPr>
      </w:pPr>
    </w:p>
    <w:p w14:paraId="67C8E3A7" w14:textId="77777777" w:rsidR="00D0743F" w:rsidRDefault="00D0743F" w:rsidP="00D0743F">
      <w:pPr>
        <w:rPr>
          <w:rFonts w:cs="Arial"/>
          <w:i/>
          <w:lang w:eastAsia="en-US"/>
        </w:rPr>
      </w:pPr>
    </w:p>
    <w:p w14:paraId="20D279FA" w14:textId="77777777" w:rsidR="008C07EF" w:rsidRDefault="008C07EF" w:rsidP="00A1013C">
      <w:pPr>
        <w:rPr>
          <w:rFonts w:cs="Arial"/>
          <w:b/>
        </w:rPr>
      </w:pPr>
    </w:p>
    <w:p w14:paraId="459E2C69" w14:textId="77777777" w:rsidR="00A1013C" w:rsidRDefault="00ED29BA" w:rsidP="00A1013C">
      <w:pPr>
        <w:rPr>
          <w:rFonts w:cs="Arial"/>
          <w:b/>
        </w:rPr>
      </w:pPr>
      <w:r>
        <w:rPr>
          <w:rFonts w:cs="Arial"/>
          <w:b/>
        </w:rPr>
        <w:t>4</w:t>
      </w:r>
      <w:r w:rsidR="00D0743F" w:rsidRPr="002F5BD0">
        <w:rPr>
          <w:rFonts w:cs="Arial"/>
          <w:b/>
        </w:rPr>
        <w:t>. Scope</w:t>
      </w:r>
      <w:r w:rsidR="00D0743F">
        <w:rPr>
          <w:rFonts w:cs="Arial"/>
          <w:b/>
        </w:rPr>
        <w:t xml:space="preserve"> </w:t>
      </w:r>
    </w:p>
    <w:p w14:paraId="601A81A6" w14:textId="77777777" w:rsidR="001A0804" w:rsidRDefault="001A0804" w:rsidP="00A1013C">
      <w:pPr>
        <w:rPr>
          <w:rFonts w:cs="Arial"/>
          <w:b/>
        </w:rPr>
      </w:pPr>
    </w:p>
    <w:p w14:paraId="73EC9E69" w14:textId="77777777" w:rsidR="00544BA0" w:rsidRDefault="00544BA0" w:rsidP="002F157A">
      <w:pPr>
        <w:numPr>
          <w:ilvl w:val="0"/>
          <w:numId w:val="7"/>
        </w:numPr>
        <w:rPr>
          <w:rFonts w:cs="Arial"/>
          <w:sz w:val="22"/>
          <w:szCs w:val="22"/>
        </w:rPr>
      </w:pPr>
      <w:r>
        <w:rPr>
          <w:rFonts w:cs="Arial"/>
          <w:sz w:val="22"/>
          <w:szCs w:val="22"/>
        </w:rPr>
        <w:t>To support the</w:t>
      </w:r>
      <w:r w:rsidR="00F13686">
        <w:rPr>
          <w:rFonts w:cs="Arial"/>
          <w:sz w:val="22"/>
          <w:szCs w:val="22"/>
        </w:rPr>
        <w:t xml:space="preserve"> discharge process on the wards either with a Settle In referral or shopping service.</w:t>
      </w:r>
    </w:p>
    <w:p w14:paraId="57860B91" w14:textId="77777777" w:rsidR="008C07EF" w:rsidRDefault="008C07EF" w:rsidP="008C07EF">
      <w:pPr>
        <w:ind w:left="720"/>
        <w:rPr>
          <w:rFonts w:cs="Arial"/>
          <w:sz w:val="22"/>
          <w:szCs w:val="22"/>
        </w:rPr>
      </w:pPr>
    </w:p>
    <w:p w14:paraId="4C76A965" w14:textId="77777777" w:rsidR="00F13686" w:rsidRDefault="00F13686" w:rsidP="002F157A">
      <w:pPr>
        <w:numPr>
          <w:ilvl w:val="0"/>
          <w:numId w:val="7"/>
        </w:numPr>
        <w:rPr>
          <w:rFonts w:cs="Arial"/>
          <w:sz w:val="22"/>
          <w:szCs w:val="22"/>
        </w:rPr>
      </w:pPr>
      <w:r>
        <w:rPr>
          <w:rFonts w:cs="Arial"/>
          <w:sz w:val="22"/>
          <w:szCs w:val="22"/>
        </w:rPr>
        <w:t>To take into consideration of delivery of relevant equipment when supported by a volunteer.</w:t>
      </w:r>
    </w:p>
    <w:p w14:paraId="7F4D5ADC" w14:textId="77777777" w:rsidR="00F13686" w:rsidRDefault="00F13686" w:rsidP="00F13686">
      <w:pPr>
        <w:ind w:left="720"/>
        <w:rPr>
          <w:rFonts w:cs="Arial"/>
          <w:sz w:val="22"/>
          <w:szCs w:val="22"/>
        </w:rPr>
      </w:pPr>
    </w:p>
    <w:p w14:paraId="55A39B96" w14:textId="77777777" w:rsidR="00ED7E72" w:rsidRDefault="00544BA0" w:rsidP="002F157A">
      <w:pPr>
        <w:numPr>
          <w:ilvl w:val="0"/>
          <w:numId w:val="7"/>
        </w:numPr>
        <w:rPr>
          <w:rFonts w:cs="Arial"/>
          <w:sz w:val="22"/>
          <w:szCs w:val="22"/>
        </w:rPr>
      </w:pPr>
      <w:r>
        <w:rPr>
          <w:rFonts w:cs="Arial"/>
          <w:sz w:val="22"/>
          <w:szCs w:val="22"/>
        </w:rPr>
        <w:t>To support patients in their own homes on day or following day of discharge</w:t>
      </w:r>
      <w:r w:rsidR="00F13686">
        <w:rPr>
          <w:rFonts w:cs="Arial"/>
          <w:sz w:val="22"/>
          <w:szCs w:val="22"/>
        </w:rPr>
        <w:t xml:space="preserve"> by providing services such as companionship, light shopping, meal preparation, fall risk assessment, signposting to other services</w:t>
      </w:r>
    </w:p>
    <w:p w14:paraId="0094B877" w14:textId="77777777" w:rsidR="00F13686" w:rsidRDefault="00F13686" w:rsidP="00F13686">
      <w:pPr>
        <w:pStyle w:val="ListParagraph"/>
        <w:rPr>
          <w:rFonts w:cs="Arial"/>
          <w:sz w:val="22"/>
          <w:szCs w:val="22"/>
        </w:rPr>
      </w:pPr>
    </w:p>
    <w:p w14:paraId="64756114" w14:textId="77777777" w:rsidR="00F13686" w:rsidRDefault="00F13686" w:rsidP="002F157A">
      <w:pPr>
        <w:numPr>
          <w:ilvl w:val="0"/>
          <w:numId w:val="7"/>
        </w:numPr>
        <w:rPr>
          <w:rFonts w:cs="Arial"/>
          <w:sz w:val="22"/>
          <w:szCs w:val="22"/>
        </w:rPr>
      </w:pPr>
      <w:r>
        <w:rPr>
          <w:rFonts w:cs="Arial"/>
          <w:sz w:val="22"/>
          <w:szCs w:val="22"/>
        </w:rPr>
        <w:t>Volunteers will follow up with patient the next day</w:t>
      </w:r>
    </w:p>
    <w:p w14:paraId="061A30C9" w14:textId="77777777" w:rsidR="00ED7E72" w:rsidRDefault="00ED7E72" w:rsidP="00ED7E72">
      <w:pPr>
        <w:pStyle w:val="ListParagraph"/>
        <w:rPr>
          <w:rFonts w:cs="Arial"/>
          <w:color w:val="000000"/>
          <w:sz w:val="22"/>
          <w:szCs w:val="22"/>
          <w:lang w:val="en-US" w:eastAsia="en-US"/>
        </w:rPr>
      </w:pPr>
    </w:p>
    <w:p w14:paraId="35CE38E8" w14:textId="77777777" w:rsidR="00ED7E72" w:rsidRDefault="00ED7E72" w:rsidP="00081BA6">
      <w:pPr>
        <w:numPr>
          <w:ilvl w:val="0"/>
          <w:numId w:val="7"/>
        </w:numPr>
        <w:jc w:val="both"/>
        <w:rPr>
          <w:rFonts w:cs="Arial"/>
          <w:color w:val="000000"/>
          <w:sz w:val="22"/>
          <w:szCs w:val="22"/>
          <w:lang w:val="en-US" w:eastAsia="en-US"/>
        </w:rPr>
      </w:pPr>
      <w:r>
        <w:rPr>
          <w:rFonts w:cs="Arial"/>
          <w:color w:val="000000"/>
          <w:sz w:val="22"/>
          <w:szCs w:val="22"/>
          <w:lang w:val="en-US" w:eastAsia="en-US"/>
        </w:rPr>
        <w:t xml:space="preserve">To ensure compliance to the Disability Discrimination Act (2005) </w:t>
      </w:r>
    </w:p>
    <w:p w14:paraId="4369E45D" w14:textId="77777777" w:rsidR="00ED7E72" w:rsidRDefault="00ED7E72" w:rsidP="00ED7E72">
      <w:pPr>
        <w:pStyle w:val="ListParagraph"/>
        <w:rPr>
          <w:rFonts w:cs="Arial"/>
          <w:color w:val="000000"/>
          <w:sz w:val="22"/>
          <w:szCs w:val="22"/>
          <w:lang w:val="en-US" w:eastAsia="en-US"/>
        </w:rPr>
      </w:pPr>
    </w:p>
    <w:p w14:paraId="506A9395" w14:textId="77777777" w:rsidR="00ED7E72" w:rsidRDefault="00F13686" w:rsidP="00081BA6">
      <w:pPr>
        <w:numPr>
          <w:ilvl w:val="0"/>
          <w:numId w:val="7"/>
        </w:numPr>
        <w:jc w:val="both"/>
        <w:rPr>
          <w:rFonts w:cs="Arial"/>
          <w:color w:val="000000"/>
          <w:sz w:val="22"/>
          <w:szCs w:val="22"/>
          <w:lang w:val="en-US" w:eastAsia="en-US"/>
        </w:rPr>
      </w:pPr>
      <w:r>
        <w:rPr>
          <w:rFonts w:cs="Arial"/>
          <w:color w:val="000000"/>
          <w:sz w:val="22"/>
          <w:szCs w:val="22"/>
          <w:lang w:val="en-US" w:eastAsia="en-US"/>
        </w:rPr>
        <w:t>To ensure that relevant guidelines and procedures are in place to ensure safety of both patient and volunteer.</w:t>
      </w:r>
    </w:p>
    <w:p w14:paraId="23ACA621" w14:textId="77777777" w:rsidR="00ED7E72" w:rsidRDefault="00ED7E72" w:rsidP="00ED7E72">
      <w:pPr>
        <w:pStyle w:val="ListParagraph"/>
        <w:rPr>
          <w:rFonts w:cs="Arial"/>
          <w:color w:val="000000"/>
          <w:sz w:val="22"/>
          <w:szCs w:val="22"/>
          <w:lang w:val="en-US" w:eastAsia="en-US"/>
        </w:rPr>
      </w:pPr>
    </w:p>
    <w:p w14:paraId="316E0227" w14:textId="77777777" w:rsidR="00ED7E72" w:rsidRDefault="00ED7E72" w:rsidP="00081BA6">
      <w:pPr>
        <w:numPr>
          <w:ilvl w:val="0"/>
          <w:numId w:val="7"/>
        </w:numPr>
        <w:jc w:val="both"/>
        <w:rPr>
          <w:rFonts w:cs="Arial"/>
          <w:color w:val="000000"/>
          <w:sz w:val="22"/>
          <w:szCs w:val="22"/>
          <w:lang w:val="en-US" w:eastAsia="en-US"/>
        </w:rPr>
      </w:pPr>
      <w:r>
        <w:rPr>
          <w:rFonts w:cs="Arial"/>
          <w:color w:val="000000"/>
          <w:sz w:val="22"/>
          <w:szCs w:val="22"/>
          <w:lang w:val="en-US" w:eastAsia="en-US"/>
        </w:rPr>
        <w:t>This guidance applies to all staff, volunteers and patients</w:t>
      </w:r>
      <w:r w:rsidR="00275205">
        <w:rPr>
          <w:rFonts w:cs="Arial"/>
          <w:color w:val="000000"/>
          <w:sz w:val="22"/>
          <w:szCs w:val="22"/>
          <w:lang w:val="en-US" w:eastAsia="en-US"/>
        </w:rPr>
        <w:t xml:space="preserve"> and ensures they are fully aware of the measures requ</w:t>
      </w:r>
      <w:r w:rsidR="00F13686">
        <w:rPr>
          <w:rFonts w:cs="Arial"/>
          <w:color w:val="000000"/>
          <w:sz w:val="22"/>
          <w:szCs w:val="22"/>
          <w:lang w:val="en-US" w:eastAsia="en-US"/>
        </w:rPr>
        <w:t>ired to minimize risk</w:t>
      </w:r>
      <w:r w:rsidR="00275205">
        <w:rPr>
          <w:rFonts w:cs="Arial"/>
          <w:color w:val="000000"/>
          <w:sz w:val="22"/>
          <w:szCs w:val="22"/>
          <w:lang w:val="en-US" w:eastAsia="en-US"/>
        </w:rPr>
        <w:t>.</w:t>
      </w:r>
    </w:p>
    <w:p w14:paraId="6455548D" w14:textId="77777777" w:rsidR="00AC2B5B" w:rsidRDefault="00AC2B5B" w:rsidP="00A1013C">
      <w:pPr>
        <w:rPr>
          <w:rFonts w:cs="Arial"/>
          <w:sz w:val="22"/>
          <w:szCs w:val="22"/>
        </w:rPr>
      </w:pPr>
    </w:p>
    <w:p w14:paraId="3899A2E1" w14:textId="77777777" w:rsidR="00AC2B5B" w:rsidRDefault="00AC2B5B" w:rsidP="00A1013C">
      <w:pPr>
        <w:rPr>
          <w:rFonts w:cs="Arial"/>
          <w:sz w:val="22"/>
          <w:szCs w:val="22"/>
        </w:rPr>
      </w:pPr>
    </w:p>
    <w:p w14:paraId="790A5CAA" w14:textId="77777777" w:rsidR="00D0743F" w:rsidRDefault="00760787" w:rsidP="00D0743F">
      <w:pPr>
        <w:rPr>
          <w:rFonts w:cs="Arial"/>
          <w:b/>
          <w:lang w:eastAsia="en-US"/>
        </w:rPr>
      </w:pPr>
      <w:r>
        <w:rPr>
          <w:rFonts w:cs="Arial"/>
          <w:b/>
          <w:lang w:eastAsia="en-US"/>
        </w:rPr>
        <w:t>5</w:t>
      </w:r>
      <w:r w:rsidR="00275205">
        <w:rPr>
          <w:rFonts w:cs="Arial"/>
          <w:b/>
          <w:lang w:eastAsia="en-US"/>
        </w:rPr>
        <w:t>. Processes to be followed</w:t>
      </w:r>
    </w:p>
    <w:p w14:paraId="1D91D82D" w14:textId="77777777" w:rsidR="005E0339" w:rsidRDefault="005E0339" w:rsidP="00D0743F">
      <w:pPr>
        <w:rPr>
          <w:rFonts w:cs="Arial"/>
          <w:b/>
          <w:lang w:eastAsia="en-US"/>
        </w:rPr>
      </w:pPr>
    </w:p>
    <w:p w14:paraId="7F1EF7E8" w14:textId="77777777" w:rsidR="008876D1" w:rsidRDefault="00F13686" w:rsidP="00F13686">
      <w:pPr>
        <w:keepNext/>
        <w:numPr>
          <w:ilvl w:val="0"/>
          <w:numId w:val="13"/>
        </w:numPr>
        <w:rPr>
          <w:rFonts w:cs="Arial"/>
          <w:sz w:val="22"/>
          <w:szCs w:val="22"/>
          <w:lang w:eastAsia="en-US"/>
        </w:rPr>
      </w:pPr>
      <w:r>
        <w:rPr>
          <w:rFonts w:cs="Arial"/>
          <w:sz w:val="22"/>
          <w:szCs w:val="22"/>
          <w:lang w:eastAsia="en-US"/>
        </w:rPr>
        <w:t xml:space="preserve">All volunteers have to have attended an awareness and training day and completed </w:t>
      </w:r>
      <w:r w:rsidR="00820383">
        <w:rPr>
          <w:rFonts w:cs="Arial"/>
          <w:sz w:val="22"/>
          <w:szCs w:val="22"/>
          <w:lang w:eastAsia="en-US"/>
        </w:rPr>
        <w:t xml:space="preserve">NHS </w:t>
      </w:r>
      <w:r>
        <w:rPr>
          <w:rFonts w:cs="Arial"/>
          <w:sz w:val="22"/>
          <w:szCs w:val="22"/>
          <w:lang w:eastAsia="en-US"/>
        </w:rPr>
        <w:t>recruitment checks.</w:t>
      </w:r>
    </w:p>
    <w:p w14:paraId="62197D02" w14:textId="77777777" w:rsidR="00F13686" w:rsidRDefault="00F13686" w:rsidP="008876D1">
      <w:pPr>
        <w:keepNext/>
        <w:ind w:left="717"/>
        <w:rPr>
          <w:rFonts w:cs="Arial"/>
          <w:sz w:val="22"/>
          <w:szCs w:val="22"/>
          <w:lang w:eastAsia="en-US"/>
        </w:rPr>
      </w:pPr>
    </w:p>
    <w:p w14:paraId="06DDAE24" w14:textId="77777777" w:rsidR="008876D1" w:rsidRDefault="00F13686" w:rsidP="00081BA6">
      <w:pPr>
        <w:keepNext/>
        <w:numPr>
          <w:ilvl w:val="0"/>
          <w:numId w:val="8"/>
        </w:numPr>
        <w:rPr>
          <w:rFonts w:cs="Arial"/>
          <w:sz w:val="22"/>
          <w:szCs w:val="22"/>
          <w:lang w:eastAsia="en-US"/>
        </w:rPr>
      </w:pPr>
      <w:r>
        <w:rPr>
          <w:rFonts w:cs="Arial"/>
          <w:sz w:val="22"/>
          <w:szCs w:val="22"/>
          <w:lang w:eastAsia="en-US"/>
        </w:rPr>
        <w:t>All patient referrals should be directed through the Settle In Service Coordinator who will assess patient</w:t>
      </w:r>
      <w:r w:rsidR="00820383">
        <w:rPr>
          <w:rFonts w:cs="Arial"/>
          <w:sz w:val="22"/>
          <w:szCs w:val="22"/>
          <w:lang w:eastAsia="en-US"/>
        </w:rPr>
        <w:t>s notes for suitability and seek patient/family consent</w:t>
      </w:r>
      <w:r>
        <w:rPr>
          <w:rFonts w:cs="Arial"/>
          <w:sz w:val="22"/>
          <w:szCs w:val="22"/>
          <w:lang w:eastAsia="en-US"/>
        </w:rPr>
        <w:t>.</w:t>
      </w:r>
    </w:p>
    <w:p w14:paraId="016E4A96" w14:textId="77777777" w:rsidR="00694015" w:rsidRDefault="00694015" w:rsidP="00694015">
      <w:pPr>
        <w:pStyle w:val="ListParagraph"/>
        <w:rPr>
          <w:rFonts w:cs="Arial"/>
          <w:sz w:val="22"/>
          <w:szCs w:val="22"/>
          <w:lang w:eastAsia="en-US"/>
        </w:rPr>
      </w:pPr>
    </w:p>
    <w:p w14:paraId="7F30161C" w14:textId="77777777" w:rsidR="00694015" w:rsidRDefault="00F13686" w:rsidP="00081BA6">
      <w:pPr>
        <w:keepNext/>
        <w:numPr>
          <w:ilvl w:val="0"/>
          <w:numId w:val="8"/>
        </w:numPr>
        <w:rPr>
          <w:rFonts w:cs="Arial"/>
          <w:sz w:val="22"/>
          <w:szCs w:val="22"/>
          <w:lang w:eastAsia="en-US"/>
        </w:rPr>
      </w:pPr>
      <w:r>
        <w:rPr>
          <w:rFonts w:cs="Arial"/>
          <w:sz w:val="22"/>
          <w:szCs w:val="22"/>
          <w:lang w:eastAsia="en-US"/>
        </w:rPr>
        <w:t>Referrals can only be supported before 6pm Monday to Friday</w:t>
      </w:r>
    </w:p>
    <w:p w14:paraId="72CD2429" w14:textId="77777777" w:rsidR="00694015" w:rsidRDefault="00694015" w:rsidP="00694015">
      <w:pPr>
        <w:pStyle w:val="ListParagraph"/>
        <w:rPr>
          <w:rFonts w:cs="Arial"/>
          <w:sz w:val="22"/>
          <w:szCs w:val="22"/>
          <w:lang w:eastAsia="en-US"/>
        </w:rPr>
      </w:pPr>
    </w:p>
    <w:p w14:paraId="42F1252B" w14:textId="77777777" w:rsidR="00694015" w:rsidRDefault="00F13686" w:rsidP="00081BA6">
      <w:pPr>
        <w:keepNext/>
        <w:numPr>
          <w:ilvl w:val="0"/>
          <w:numId w:val="8"/>
        </w:numPr>
        <w:rPr>
          <w:rFonts w:cs="Arial"/>
          <w:sz w:val="22"/>
          <w:szCs w:val="22"/>
          <w:lang w:eastAsia="en-US"/>
        </w:rPr>
      </w:pPr>
      <w:r>
        <w:rPr>
          <w:rFonts w:cs="Arial"/>
          <w:sz w:val="22"/>
          <w:szCs w:val="22"/>
          <w:lang w:eastAsia="en-US"/>
        </w:rPr>
        <w:t>Volunteers will only visit the patient twice within a 48 hour period following discharge.</w:t>
      </w:r>
    </w:p>
    <w:p w14:paraId="382BA83B" w14:textId="77777777" w:rsidR="00694015" w:rsidRDefault="00694015" w:rsidP="00694015">
      <w:pPr>
        <w:pStyle w:val="ListParagraph"/>
        <w:rPr>
          <w:rFonts w:cs="Arial"/>
          <w:sz w:val="22"/>
          <w:szCs w:val="22"/>
          <w:lang w:eastAsia="en-US"/>
        </w:rPr>
      </w:pPr>
    </w:p>
    <w:p w14:paraId="7DE1AF74" w14:textId="77777777" w:rsidR="00B20133" w:rsidRDefault="00641E1F" w:rsidP="00081BA6">
      <w:pPr>
        <w:keepNext/>
        <w:numPr>
          <w:ilvl w:val="0"/>
          <w:numId w:val="8"/>
        </w:numPr>
        <w:rPr>
          <w:rFonts w:cs="Arial"/>
          <w:sz w:val="22"/>
          <w:szCs w:val="22"/>
          <w:lang w:eastAsia="en-US"/>
        </w:rPr>
      </w:pPr>
      <w:r>
        <w:rPr>
          <w:rFonts w:cs="Arial"/>
          <w:sz w:val="22"/>
          <w:szCs w:val="22"/>
          <w:lang w:eastAsia="en-US"/>
        </w:rPr>
        <w:t>If there is any risk to the patient upon entering the home, volunteer will feed back to coordinator who will take advice from Operations Centre.</w:t>
      </w:r>
    </w:p>
    <w:p w14:paraId="5614F50B" w14:textId="77777777" w:rsidR="00641E1F" w:rsidRDefault="00641E1F" w:rsidP="00641E1F">
      <w:pPr>
        <w:pStyle w:val="ListParagraph"/>
        <w:rPr>
          <w:rFonts w:cs="Arial"/>
          <w:sz w:val="22"/>
          <w:szCs w:val="22"/>
          <w:lang w:eastAsia="en-US"/>
        </w:rPr>
      </w:pPr>
    </w:p>
    <w:p w14:paraId="7D09833B" w14:textId="77777777" w:rsidR="00641E1F" w:rsidRDefault="00641E1F" w:rsidP="00081BA6">
      <w:pPr>
        <w:keepNext/>
        <w:numPr>
          <w:ilvl w:val="0"/>
          <w:numId w:val="8"/>
        </w:numPr>
        <w:rPr>
          <w:rFonts w:cs="Arial"/>
          <w:sz w:val="22"/>
          <w:szCs w:val="22"/>
          <w:lang w:eastAsia="en-US"/>
        </w:rPr>
      </w:pPr>
      <w:r>
        <w:rPr>
          <w:rFonts w:cs="Arial"/>
          <w:sz w:val="22"/>
          <w:szCs w:val="22"/>
          <w:lang w:eastAsia="en-US"/>
        </w:rPr>
        <w:t xml:space="preserve">Volunteer will report to Coordinator at start and end of </w:t>
      </w:r>
      <w:r w:rsidR="00820383">
        <w:rPr>
          <w:rFonts w:cs="Arial"/>
          <w:sz w:val="22"/>
          <w:szCs w:val="22"/>
          <w:lang w:eastAsia="en-US"/>
        </w:rPr>
        <w:t xml:space="preserve">each </w:t>
      </w:r>
      <w:r>
        <w:rPr>
          <w:rFonts w:cs="Arial"/>
          <w:sz w:val="22"/>
          <w:szCs w:val="22"/>
          <w:lang w:eastAsia="en-US"/>
        </w:rPr>
        <w:t>visit adhering to lone working policy.</w:t>
      </w:r>
    </w:p>
    <w:p w14:paraId="70FC5F46" w14:textId="77777777" w:rsidR="00641E1F" w:rsidRDefault="00641E1F" w:rsidP="00641E1F">
      <w:pPr>
        <w:pStyle w:val="ListParagraph"/>
        <w:rPr>
          <w:rFonts w:cs="Arial"/>
          <w:sz w:val="22"/>
          <w:szCs w:val="22"/>
          <w:lang w:eastAsia="en-US"/>
        </w:rPr>
      </w:pPr>
    </w:p>
    <w:p w14:paraId="1CDFEF8D" w14:textId="77777777" w:rsidR="008876D1" w:rsidRDefault="008876D1" w:rsidP="008876D1">
      <w:pPr>
        <w:keepNext/>
        <w:ind w:left="357"/>
        <w:rPr>
          <w:rFonts w:cs="Arial"/>
          <w:sz w:val="22"/>
          <w:szCs w:val="22"/>
          <w:lang w:eastAsia="en-US"/>
        </w:rPr>
      </w:pPr>
    </w:p>
    <w:p w14:paraId="55F5B615" w14:textId="77777777" w:rsidR="00B20133" w:rsidRDefault="00B20133" w:rsidP="00081BA6">
      <w:pPr>
        <w:keepNext/>
        <w:rPr>
          <w:rFonts w:cs="Arial"/>
          <w:b/>
          <w:sz w:val="22"/>
          <w:szCs w:val="22"/>
          <w:lang w:eastAsia="en-US"/>
        </w:rPr>
      </w:pPr>
    </w:p>
    <w:p w14:paraId="4E5736DE" w14:textId="77777777" w:rsidR="00081BA6" w:rsidRDefault="00081BA6" w:rsidP="005E0339">
      <w:pPr>
        <w:keepNext/>
        <w:ind w:left="357"/>
        <w:rPr>
          <w:rFonts w:cs="Arial"/>
          <w:b/>
          <w:sz w:val="22"/>
          <w:szCs w:val="22"/>
          <w:lang w:eastAsia="en-US"/>
        </w:rPr>
      </w:pPr>
    </w:p>
    <w:p w14:paraId="02E0CA6E" w14:textId="77777777" w:rsidR="005E0339" w:rsidRDefault="005E0339" w:rsidP="00081BA6">
      <w:pPr>
        <w:keepNext/>
        <w:rPr>
          <w:rFonts w:cs="Arial"/>
          <w:b/>
          <w:sz w:val="22"/>
          <w:szCs w:val="22"/>
          <w:lang w:eastAsia="en-US"/>
        </w:rPr>
      </w:pPr>
      <w:r w:rsidRPr="005E0339">
        <w:rPr>
          <w:rFonts w:cs="Arial"/>
          <w:b/>
          <w:sz w:val="22"/>
          <w:szCs w:val="22"/>
          <w:lang w:eastAsia="en-US"/>
        </w:rPr>
        <w:t>VOLUNTEER SELECTION PROCEDURES</w:t>
      </w:r>
    </w:p>
    <w:p w14:paraId="04C28108" w14:textId="77777777" w:rsidR="00AC2B5B" w:rsidRDefault="00AC2B5B" w:rsidP="005E0339">
      <w:pPr>
        <w:keepNext/>
        <w:ind w:left="357"/>
        <w:rPr>
          <w:rFonts w:cs="Arial"/>
          <w:b/>
          <w:sz w:val="22"/>
          <w:szCs w:val="22"/>
          <w:lang w:eastAsia="en-US"/>
        </w:rPr>
      </w:pPr>
    </w:p>
    <w:p w14:paraId="34DCC3AF" w14:textId="77777777" w:rsidR="00AC2B5B" w:rsidRDefault="00AC2B5B" w:rsidP="00E0289F">
      <w:pPr>
        <w:numPr>
          <w:ilvl w:val="0"/>
          <w:numId w:val="11"/>
        </w:numPr>
        <w:rPr>
          <w:rFonts w:cs="Arial"/>
          <w:sz w:val="22"/>
          <w:szCs w:val="22"/>
          <w:lang w:eastAsia="en-US"/>
        </w:rPr>
      </w:pPr>
      <w:r w:rsidRPr="00E0289F">
        <w:rPr>
          <w:rFonts w:cs="Arial"/>
          <w:sz w:val="22"/>
          <w:szCs w:val="22"/>
          <w:lang w:eastAsia="en-US"/>
        </w:rPr>
        <w:t>All</w:t>
      </w:r>
      <w:r w:rsidRPr="005E0339">
        <w:rPr>
          <w:rFonts w:cs="Arial"/>
          <w:sz w:val="22"/>
          <w:szCs w:val="22"/>
          <w:lang w:eastAsia="en-US"/>
        </w:rPr>
        <w:t xml:space="preserve"> prospective volunteers</w:t>
      </w:r>
      <w:r w:rsidRPr="00E0289F">
        <w:rPr>
          <w:rFonts w:cs="Arial"/>
          <w:sz w:val="22"/>
          <w:szCs w:val="22"/>
          <w:lang w:eastAsia="en-US"/>
        </w:rPr>
        <w:t xml:space="preserve"> will undergo Trust recruitment procedures. They will be </w:t>
      </w:r>
      <w:r w:rsidRPr="005E0339">
        <w:rPr>
          <w:rFonts w:cs="Arial"/>
          <w:sz w:val="22"/>
          <w:szCs w:val="22"/>
          <w:lang w:eastAsia="en-US"/>
        </w:rPr>
        <w:t>required to pro</w:t>
      </w:r>
      <w:r w:rsidRPr="00E0289F">
        <w:rPr>
          <w:rFonts w:cs="Arial"/>
          <w:sz w:val="22"/>
          <w:szCs w:val="22"/>
          <w:lang w:eastAsia="en-US"/>
        </w:rPr>
        <w:t>vide</w:t>
      </w:r>
      <w:r w:rsidRPr="005E0339">
        <w:rPr>
          <w:rFonts w:cs="Arial"/>
          <w:sz w:val="22"/>
          <w:szCs w:val="22"/>
          <w:lang w:eastAsia="en-US"/>
        </w:rPr>
        <w:t xml:space="preserve"> 2 references</w:t>
      </w:r>
      <w:r w:rsidRPr="00E0289F">
        <w:rPr>
          <w:rFonts w:cs="Arial"/>
          <w:sz w:val="22"/>
          <w:szCs w:val="22"/>
          <w:lang w:eastAsia="en-US"/>
        </w:rPr>
        <w:t xml:space="preserve"> and complete a DBS check, a</w:t>
      </w:r>
      <w:r w:rsidR="00D311C3">
        <w:rPr>
          <w:rFonts w:cs="Arial"/>
          <w:sz w:val="22"/>
          <w:szCs w:val="22"/>
          <w:lang w:eastAsia="en-US"/>
        </w:rPr>
        <w:t>n o</w:t>
      </w:r>
      <w:r w:rsidR="00413C26" w:rsidRPr="00E0289F">
        <w:rPr>
          <w:rFonts w:cs="Arial"/>
          <w:sz w:val="22"/>
          <w:szCs w:val="22"/>
          <w:lang w:eastAsia="en-US"/>
        </w:rPr>
        <w:t xml:space="preserve">ccupational </w:t>
      </w:r>
      <w:r w:rsidR="00D311C3">
        <w:rPr>
          <w:rFonts w:cs="Arial"/>
          <w:sz w:val="22"/>
          <w:szCs w:val="22"/>
          <w:lang w:eastAsia="en-US"/>
        </w:rPr>
        <w:t>health c</w:t>
      </w:r>
      <w:r w:rsidRPr="00E0289F">
        <w:rPr>
          <w:rFonts w:cs="Arial"/>
          <w:sz w:val="22"/>
          <w:szCs w:val="22"/>
          <w:lang w:eastAsia="en-US"/>
        </w:rPr>
        <w:t xml:space="preserve">heck and </w:t>
      </w:r>
      <w:r w:rsidR="00D311C3">
        <w:rPr>
          <w:rFonts w:cs="Arial"/>
          <w:sz w:val="22"/>
          <w:szCs w:val="22"/>
          <w:lang w:eastAsia="en-US"/>
        </w:rPr>
        <w:t xml:space="preserve">attend </w:t>
      </w:r>
      <w:r w:rsidR="008876D1">
        <w:rPr>
          <w:rFonts w:cs="Arial"/>
          <w:sz w:val="22"/>
          <w:szCs w:val="22"/>
          <w:lang w:eastAsia="en-US"/>
        </w:rPr>
        <w:t>a</w:t>
      </w:r>
      <w:r w:rsidR="00641E1F">
        <w:rPr>
          <w:rFonts w:cs="Arial"/>
          <w:sz w:val="22"/>
          <w:szCs w:val="22"/>
          <w:lang w:eastAsia="en-US"/>
        </w:rPr>
        <w:t>n awareness day and</w:t>
      </w:r>
      <w:r w:rsidR="008876D1">
        <w:rPr>
          <w:rFonts w:cs="Arial"/>
          <w:sz w:val="22"/>
          <w:szCs w:val="22"/>
          <w:lang w:eastAsia="en-US"/>
        </w:rPr>
        <w:t xml:space="preserve"> </w:t>
      </w:r>
      <w:r w:rsidRPr="00E0289F">
        <w:rPr>
          <w:rFonts w:cs="Arial"/>
          <w:sz w:val="22"/>
          <w:szCs w:val="22"/>
          <w:lang w:eastAsia="en-US"/>
        </w:rPr>
        <w:t xml:space="preserve">full </w:t>
      </w:r>
      <w:r w:rsidR="00D311C3">
        <w:rPr>
          <w:rFonts w:cs="Arial"/>
          <w:sz w:val="22"/>
          <w:szCs w:val="22"/>
          <w:lang w:eastAsia="en-US"/>
        </w:rPr>
        <w:t>volunteer mandatory t</w:t>
      </w:r>
      <w:r w:rsidRPr="00E0289F">
        <w:rPr>
          <w:rFonts w:cs="Arial"/>
          <w:sz w:val="22"/>
          <w:szCs w:val="22"/>
          <w:lang w:eastAsia="en-US"/>
        </w:rPr>
        <w:t>raining</w:t>
      </w:r>
      <w:r w:rsidR="00D311C3">
        <w:rPr>
          <w:rFonts w:cs="Arial"/>
          <w:sz w:val="22"/>
          <w:szCs w:val="22"/>
          <w:lang w:eastAsia="en-US"/>
        </w:rPr>
        <w:t xml:space="preserve"> programme</w:t>
      </w:r>
      <w:r w:rsidRPr="00E0289F">
        <w:rPr>
          <w:rFonts w:cs="Arial"/>
          <w:sz w:val="22"/>
          <w:szCs w:val="22"/>
          <w:lang w:eastAsia="en-US"/>
        </w:rPr>
        <w:t>.</w:t>
      </w:r>
    </w:p>
    <w:p w14:paraId="144BEEC1" w14:textId="77777777" w:rsidR="00641E1F" w:rsidRDefault="00641E1F" w:rsidP="008C07EF">
      <w:pPr>
        <w:ind w:left="720"/>
        <w:rPr>
          <w:rFonts w:cs="Arial"/>
          <w:sz w:val="22"/>
          <w:szCs w:val="22"/>
          <w:lang w:eastAsia="en-US"/>
        </w:rPr>
      </w:pPr>
    </w:p>
    <w:p w14:paraId="401312B4" w14:textId="77777777" w:rsidR="00641E1F" w:rsidRPr="005E0339" w:rsidRDefault="00641E1F" w:rsidP="00E0289F">
      <w:pPr>
        <w:numPr>
          <w:ilvl w:val="0"/>
          <w:numId w:val="11"/>
        </w:numPr>
        <w:rPr>
          <w:rFonts w:cs="Arial"/>
          <w:sz w:val="22"/>
          <w:szCs w:val="22"/>
          <w:lang w:eastAsia="en-US"/>
        </w:rPr>
      </w:pPr>
      <w:r>
        <w:rPr>
          <w:rFonts w:cs="Arial"/>
          <w:sz w:val="22"/>
          <w:szCs w:val="22"/>
          <w:lang w:eastAsia="en-US"/>
        </w:rPr>
        <w:t>All volunteers will attend annual update training.</w:t>
      </w:r>
    </w:p>
    <w:p w14:paraId="36C16882" w14:textId="77777777" w:rsidR="005E0339" w:rsidRPr="00E0289F" w:rsidRDefault="005E0339" w:rsidP="005E0339">
      <w:pPr>
        <w:ind w:left="360"/>
        <w:rPr>
          <w:rFonts w:cs="Arial"/>
          <w:sz w:val="22"/>
          <w:szCs w:val="22"/>
          <w:lang w:eastAsia="en-US"/>
        </w:rPr>
      </w:pPr>
    </w:p>
    <w:p w14:paraId="34D30E9B" w14:textId="77777777" w:rsidR="008C07EF" w:rsidRDefault="00641E1F" w:rsidP="00E0289F">
      <w:pPr>
        <w:numPr>
          <w:ilvl w:val="0"/>
          <w:numId w:val="11"/>
        </w:numPr>
        <w:rPr>
          <w:rFonts w:cs="Arial"/>
          <w:sz w:val="22"/>
          <w:szCs w:val="22"/>
          <w:lang w:eastAsia="en-US"/>
        </w:rPr>
      </w:pPr>
      <w:r>
        <w:rPr>
          <w:rFonts w:cs="Arial"/>
          <w:sz w:val="22"/>
          <w:szCs w:val="22"/>
          <w:lang w:eastAsia="en-US"/>
        </w:rPr>
        <w:t>Each succ</w:t>
      </w:r>
      <w:r w:rsidR="00820383">
        <w:rPr>
          <w:rFonts w:cs="Arial"/>
          <w:sz w:val="22"/>
          <w:szCs w:val="22"/>
          <w:lang w:eastAsia="en-US"/>
        </w:rPr>
        <w:t>essful volunteer will complete</w:t>
      </w:r>
      <w:r>
        <w:rPr>
          <w:rFonts w:cs="Arial"/>
          <w:sz w:val="22"/>
          <w:szCs w:val="22"/>
          <w:lang w:eastAsia="en-US"/>
        </w:rPr>
        <w:t xml:space="preserve"> </w:t>
      </w:r>
      <w:r w:rsidR="008C07EF">
        <w:rPr>
          <w:rFonts w:cs="Arial"/>
          <w:sz w:val="22"/>
          <w:szCs w:val="22"/>
          <w:lang w:eastAsia="en-US"/>
        </w:rPr>
        <w:t xml:space="preserve">bespoke </w:t>
      </w:r>
      <w:r w:rsidR="00820383">
        <w:rPr>
          <w:rFonts w:cs="Arial"/>
          <w:sz w:val="22"/>
          <w:szCs w:val="22"/>
          <w:lang w:eastAsia="en-US"/>
        </w:rPr>
        <w:t xml:space="preserve">settle in service </w:t>
      </w:r>
      <w:r w:rsidR="008C07EF">
        <w:rPr>
          <w:rFonts w:cs="Arial"/>
          <w:sz w:val="22"/>
          <w:szCs w:val="22"/>
          <w:lang w:eastAsia="en-US"/>
        </w:rPr>
        <w:t>training</w:t>
      </w:r>
    </w:p>
    <w:p w14:paraId="1FE41FCF" w14:textId="77777777" w:rsidR="008C07EF" w:rsidRDefault="008C07EF" w:rsidP="008C07EF">
      <w:pPr>
        <w:pStyle w:val="ListParagraph"/>
        <w:rPr>
          <w:rFonts w:cs="Arial"/>
          <w:sz w:val="22"/>
          <w:szCs w:val="22"/>
          <w:lang w:eastAsia="en-US"/>
        </w:rPr>
      </w:pPr>
    </w:p>
    <w:p w14:paraId="0DA51754" w14:textId="77777777" w:rsidR="005E0339" w:rsidRDefault="008C07EF" w:rsidP="00E0289F">
      <w:pPr>
        <w:numPr>
          <w:ilvl w:val="0"/>
          <w:numId w:val="11"/>
        </w:numPr>
        <w:rPr>
          <w:rFonts w:cs="Arial"/>
          <w:sz w:val="22"/>
          <w:szCs w:val="22"/>
          <w:lang w:eastAsia="en-US"/>
        </w:rPr>
      </w:pPr>
      <w:r>
        <w:rPr>
          <w:rFonts w:cs="Arial"/>
          <w:sz w:val="22"/>
          <w:szCs w:val="22"/>
          <w:lang w:eastAsia="en-US"/>
        </w:rPr>
        <w:t xml:space="preserve">Each successful volunteer will complete a </w:t>
      </w:r>
      <w:r w:rsidR="00641E1F">
        <w:rPr>
          <w:rFonts w:cs="Arial"/>
          <w:sz w:val="22"/>
          <w:szCs w:val="22"/>
          <w:lang w:eastAsia="en-US"/>
        </w:rPr>
        <w:t>minimum of one competency check by the Settle In Coordinator</w:t>
      </w:r>
      <w:r w:rsidR="00820383">
        <w:rPr>
          <w:rFonts w:cs="Arial"/>
          <w:sz w:val="22"/>
          <w:szCs w:val="22"/>
          <w:lang w:eastAsia="en-US"/>
        </w:rPr>
        <w:t xml:space="preserve"> in the patients home.</w:t>
      </w:r>
    </w:p>
    <w:p w14:paraId="117C9DCD" w14:textId="77777777" w:rsidR="008C07EF" w:rsidRDefault="008C07EF" w:rsidP="008C07EF">
      <w:pPr>
        <w:pStyle w:val="ListParagraph"/>
        <w:rPr>
          <w:rFonts w:cs="Arial"/>
          <w:sz w:val="22"/>
          <w:szCs w:val="22"/>
          <w:lang w:eastAsia="en-US"/>
        </w:rPr>
      </w:pPr>
    </w:p>
    <w:p w14:paraId="74BE825C" w14:textId="77777777" w:rsidR="008C07EF" w:rsidRPr="005E0339" w:rsidRDefault="008C07EF" w:rsidP="008C07EF">
      <w:pPr>
        <w:ind w:left="720"/>
        <w:rPr>
          <w:rFonts w:cs="Arial"/>
          <w:sz w:val="22"/>
          <w:szCs w:val="22"/>
          <w:lang w:eastAsia="en-US"/>
        </w:rPr>
      </w:pPr>
    </w:p>
    <w:p w14:paraId="4B9BE8CD" w14:textId="77777777" w:rsidR="005E0339" w:rsidRPr="005E0339" w:rsidRDefault="005E0339" w:rsidP="005E0339">
      <w:pPr>
        <w:ind w:left="360"/>
        <w:rPr>
          <w:rFonts w:cs="Arial"/>
          <w:sz w:val="22"/>
          <w:szCs w:val="22"/>
          <w:lang w:eastAsia="en-US"/>
        </w:rPr>
      </w:pPr>
    </w:p>
    <w:p w14:paraId="373ED12C" w14:textId="77777777" w:rsidR="00D0743F" w:rsidRDefault="00DA2FE5" w:rsidP="00D0743F">
      <w:pPr>
        <w:rPr>
          <w:rFonts w:cs="Arial"/>
          <w:b/>
          <w:lang w:eastAsia="en-US"/>
        </w:rPr>
      </w:pPr>
      <w:r>
        <w:rPr>
          <w:rFonts w:cs="Arial"/>
          <w:b/>
          <w:lang w:eastAsia="en-US"/>
        </w:rPr>
        <w:t>6</w:t>
      </w:r>
      <w:r w:rsidR="00D0743F">
        <w:rPr>
          <w:rFonts w:cs="Arial"/>
          <w:b/>
          <w:lang w:eastAsia="en-US"/>
        </w:rPr>
        <w:t xml:space="preserve">. Clinical audit </w:t>
      </w:r>
      <w:r w:rsidR="00D0743F" w:rsidRPr="0010403C">
        <w:rPr>
          <w:rFonts w:cs="Arial"/>
          <w:b/>
          <w:lang w:eastAsia="en-US"/>
        </w:rPr>
        <w:t xml:space="preserve">standards / </w:t>
      </w:r>
      <w:r w:rsidR="00D0743F">
        <w:rPr>
          <w:rFonts w:cs="Arial"/>
          <w:b/>
          <w:lang w:eastAsia="en-US"/>
        </w:rPr>
        <w:t xml:space="preserve">audit standards / </w:t>
      </w:r>
      <w:r w:rsidR="00D0743F" w:rsidRPr="0010403C">
        <w:rPr>
          <w:rFonts w:cs="Arial"/>
          <w:b/>
          <w:lang w:eastAsia="en-US"/>
        </w:rPr>
        <w:t>monitoring compliance</w:t>
      </w:r>
    </w:p>
    <w:p w14:paraId="7FEB5082" w14:textId="77777777" w:rsidR="00D0743F" w:rsidRDefault="00D0743F" w:rsidP="00D0743F">
      <w:pPr>
        <w:rPr>
          <w:rFonts w:cs="Arial"/>
          <w:lang w:eastAsia="en-US"/>
        </w:rPr>
      </w:pPr>
    </w:p>
    <w:p w14:paraId="017C8F08" w14:textId="77777777" w:rsidR="00D0743F" w:rsidRPr="00145830" w:rsidRDefault="00D0743F" w:rsidP="00D0743F">
      <w:pPr>
        <w:rPr>
          <w:rFonts w:cs="Arial"/>
          <w:sz w:val="22"/>
          <w:szCs w:val="22"/>
          <w:lang w:eastAsia="en-US"/>
        </w:rPr>
      </w:pPr>
      <w:r w:rsidRPr="00145830">
        <w:rPr>
          <w:rFonts w:cs="Arial"/>
          <w:sz w:val="22"/>
          <w:szCs w:val="22"/>
          <w:lang w:eastAsia="en-US"/>
        </w:rPr>
        <w:t>To ensure that this document is compliant with the above standards, the following monitoring processes will be undertaken:</w:t>
      </w:r>
    </w:p>
    <w:p w14:paraId="2287C681" w14:textId="77777777" w:rsidR="00D0743F" w:rsidRDefault="00D0743F" w:rsidP="00D0743F">
      <w:pPr>
        <w:rPr>
          <w:rFonts w:cs="Arial"/>
          <w:b/>
          <w:lang w:eastAsia="en-US"/>
        </w:rPr>
      </w:pPr>
    </w:p>
    <w:p w14:paraId="4DD6F6DD" w14:textId="77777777" w:rsidR="00DA2FE5" w:rsidRDefault="00DA2FE5" w:rsidP="00D0743F">
      <w:pPr>
        <w:rPr>
          <w:rFonts w:cs="Arial"/>
          <w:sz w:val="22"/>
          <w:szCs w:val="22"/>
          <w:lang w:eastAsia="en-US"/>
        </w:rPr>
      </w:pPr>
      <w:r>
        <w:rPr>
          <w:rFonts w:cs="Arial"/>
          <w:sz w:val="22"/>
          <w:szCs w:val="22"/>
          <w:lang w:eastAsia="en-US"/>
        </w:rPr>
        <w:t>Governance of and c</w:t>
      </w:r>
      <w:r w:rsidRPr="00DA2FE5">
        <w:rPr>
          <w:rFonts w:cs="Arial"/>
          <w:sz w:val="22"/>
          <w:szCs w:val="22"/>
          <w:lang w:eastAsia="en-US"/>
        </w:rPr>
        <w:t xml:space="preserve">ompliance to these guidelines will be monitored and audited by </w:t>
      </w:r>
      <w:r>
        <w:rPr>
          <w:rFonts w:cs="Arial"/>
          <w:sz w:val="22"/>
          <w:szCs w:val="22"/>
          <w:lang w:eastAsia="en-US"/>
        </w:rPr>
        <w:t>the Voluntary Services Department.</w:t>
      </w:r>
    </w:p>
    <w:p w14:paraId="4AC963E0" w14:textId="77777777" w:rsidR="00DA2FE5" w:rsidRDefault="00DA2FE5" w:rsidP="00D0743F">
      <w:pPr>
        <w:rPr>
          <w:rFonts w:cs="Arial"/>
          <w:sz w:val="22"/>
          <w:szCs w:val="22"/>
          <w:lang w:eastAsia="en-US"/>
        </w:rPr>
      </w:pPr>
    </w:p>
    <w:p w14:paraId="2B09539B" w14:textId="77777777" w:rsidR="00DA2FE5" w:rsidRDefault="00DA2FE5" w:rsidP="00D0743F">
      <w:pPr>
        <w:rPr>
          <w:rFonts w:cs="Arial"/>
          <w:sz w:val="22"/>
          <w:szCs w:val="22"/>
          <w:lang w:eastAsia="en-US"/>
        </w:rPr>
      </w:pPr>
      <w:r>
        <w:rPr>
          <w:rFonts w:cs="Arial"/>
          <w:sz w:val="22"/>
          <w:szCs w:val="22"/>
          <w:lang w:eastAsia="en-US"/>
        </w:rPr>
        <w:t>Visits will be monitored and patients, visitors and staffs comments and observations will be recorded for reporting purposes.</w:t>
      </w:r>
    </w:p>
    <w:p w14:paraId="1FD922E0" w14:textId="77777777" w:rsidR="00DA2FE5" w:rsidRDefault="00DA2FE5" w:rsidP="00D0743F">
      <w:pPr>
        <w:rPr>
          <w:rFonts w:cs="Arial"/>
          <w:sz w:val="22"/>
          <w:szCs w:val="22"/>
          <w:lang w:eastAsia="en-US"/>
        </w:rPr>
      </w:pPr>
    </w:p>
    <w:p w14:paraId="681B9C60" w14:textId="77777777" w:rsidR="00DA2FE5" w:rsidRDefault="00DA2FE5" w:rsidP="00D0743F">
      <w:pPr>
        <w:rPr>
          <w:rFonts w:cs="Arial"/>
          <w:sz w:val="22"/>
          <w:szCs w:val="22"/>
          <w:lang w:eastAsia="en-US"/>
        </w:rPr>
      </w:pPr>
      <w:r>
        <w:rPr>
          <w:rFonts w:cs="Arial"/>
          <w:sz w:val="22"/>
          <w:szCs w:val="22"/>
          <w:lang w:eastAsia="en-US"/>
        </w:rPr>
        <w:t xml:space="preserve">An audit will be carried out annually of any concerns or </w:t>
      </w:r>
      <w:r w:rsidR="00641E1F">
        <w:rPr>
          <w:rFonts w:cs="Arial"/>
          <w:sz w:val="22"/>
          <w:szCs w:val="22"/>
          <w:lang w:eastAsia="en-US"/>
        </w:rPr>
        <w:t>complaints received by the</w:t>
      </w:r>
      <w:r>
        <w:rPr>
          <w:rFonts w:cs="Arial"/>
          <w:sz w:val="22"/>
          <w:szCs w:val="22"/>
          <w:lang w:eastAsia="en-US"/>
        </w:rPr>
        <w:t xml:space="preserve"> Patient advice and liaison team or the complaints department. </w:t>
      </w:r>
    </w:p>
    <w:p w14:paraId="064B0724" w14:textId="77777777" w:rsidR="00D0743F" w:rsidRDefault="00D0743F" w:rsidP="00D0743F">
      <w:pPr>
        <w:rPr>
          <w:rFonts w:cs="Arial"/>
          <w:i/>
          <w:lang w:eastAsia="en-US"/>
        </w:rPr>
      </w:pPr>
    </w:p>
    <w:p w14:paraId="075D91A6" w14:textId="77777777" w:rsidR="00D0743F" w:rsidRDefault="00D0743F" w:rsidP="00D0743F">
      <w:pPr>
        <w:rPr>
          <w:rFonts w:cs="Arial"/>
          <w:sz w:val="22"/>
          <w:szCs w:val="22"/>
          <w:lang w:eastAsia="en-US"/>
        </w:rPr>
      </w:pPr>
      <w:r w:rsidRPr="00CC1499">
        <w:rPr>
          <w:rFonts w:cs="Arial"/>
          <w:sz w:val="22"/>
          <w:szCs w:val="22"/>
          <w:lang w:eastAsia="en-US"/>
        </w:rPr>
        <w:t xml:space="preserve">The audit results will be sent to </w:t>
      </w:r>
      <w:r w:rsidR="00CC1499" w:rsidRPr="00CC1499">
        <w:rPr>
          <w:rFonts w:cs="Arial"/>
          <w:sz w:val="22"/>
          <w:szCs w:val="22"/>
          <w:lang w:eastAsia="en-US"/>
        </w:rPr>
        <w:t xml:space="preserve">Care and Patient Experience Group, </w:t>
      </w:r>
      <w:r w:rsidRPr="00CC1499">
        <w:rPr>
          <w:rFonts w:cs="Arial"/>
          <w:sz w:val="22"/>
          <w:szCs w:val="22"/>
          <w:lang w:eastAsia="en-US"/>
        </w:rPr>
        <w:t xml:space="preserve">who will ensure that these are discussed at relevant governance meetings to review the results and make recommendations for further action. </w:t>
      </w:r>
    </w:p>
    <w:p w14:paraId="2BA94F2B" w14:textId="77777777" w:rsidR="00CC1499" w:rsidRDefault="00CC1499" w:rsidP="00D0743F">
      <w:pPr>
        <w:rPr>
          <w:rFonts w:cs="Arial"/>
          <w:sz w:val="22"/>
          <w:szCs w:val="22"/>
          <w:lang w:eastAsia="en-US"/>
        </w:rPr>
      </w:pPr>
    </w:p>
    <w:p w14:paraId="194EF180" w14:textId="77777777" w:rsidR="00CC1499" w:rsidRPr="00DA2FE5" w:rsidRDefault="00CC1499" w:rsidP="00CC1499">
      <w:pPr>
        <w:rPr>
          <w:rFonts w:cs="Arial"/>
          <w:sz w:val="22"/>
          <w:szCs w:val="22"/>
          <w:lang w:eastAsia="en-US"/>
        </w:rPr>
      </w:pPr>
      <w:r>
        <w:rPr>
          <w:rFonts w:cs="Arial"/>
          <w:sz w:val="22"/>
          <w:szCs w:val="22"/>
          <w:lang w:eastAsia="en-US"/>
        </w:rPr>
        <w:t>Results will be risk assessed and any recommendations to change practice will be implemented accordingly.</w:t>
      </w:r>
    </w:p>
    <w:p w14:paraId="04937CEB" w14:textId="77777777" w:rsidR="00CC1499" w:rsidRDefault="00CC1499" w:rsidP="00D0743F">
      <w:pPr>
        <w:rPr>
          <w:rFonts w:cs="Arial"/>
          <w:lang w:eastAsia="en-US"/>
        </w:rPr>
      </w:pPr>
    </w:p>
    <w:p w14:paraId="292BE670" w14:textId="77777777" w:rsidR="00881F09" w:rsidRPr="0060508C" w:rsidRDefault="0060508C" w:rsidP="00D0743F">
      <w:pPr>
        <w:rPr>
          <w:rFonts w:cs="Arial"/>
          <w:sz w:val="22"/>
          <w:szCs w:val="22"/>
          <w:lang w:val="en-US" w:eastAsia="en-US"/>
        </w:rPr>
      </w:pPr>
      <w:r>
        <w:rPr>
          <w:rFonts w:cs="Arial"/>
          <w:sz w:val="22"/>
          <w:szCs w:val="22"/>
          <w:lang w:val="en-US" w:eastAsia="en-US"/>
        </w:rPr>
        <w:t>Regular a</w:t>
      </w:r>
      <w:r w:rsidRPr="0060508C">
        <w:rPr>
          <w:rFonts w:cs="Arial"/>
          <w:sz w:val="22"/>
          <w:szCs w:val="22"/>
          <w:lang w:val="en-US" w:eastAsia="en-US"/>
        </w:rPr>
        <w:t>udit</w:t>
      </w:r>
      <w:r>
        <w:rPr>
          <w:rFonts w:cs="Arial"/>
          <w:sz w:val="22"/>
          <w:szCs w:val="22"/>
          <w:lang w:val="en-US" w:eastAsia="en-US"/>
        </w:rPr>
        <w:t>s</w:t>
      </w:r>
      <w:r w:rsidR="004F7FBF">
        <w:rPr>
          <w:rFonts w:cs="Arial"/>
          <w:sz w:val="22"/>
          <w:szCs w:val="22"/>
          <w:lang w:val="en-US" w:eastAsia="en-US"/>
        </w:rPr>
        <w:t xml:space="preserve"> to confirm all volunteers</w:t>
      </w:r>
      <w:r w:rsidRPr="0060508C">
        <w:rPr>
          <w:rFonts w:cs="Arial"/>
          <w:sz w:val="22"/>
          <w:szCs w:val="22"/>
          <w:lang w:val="en-US" w:eastAsia="en-US"/>
        </w:rPr>
        <w:t xml:space="preserve"> ha</w:t>
      </w:r>
      <w:r>
        <w:rPr>
          <w:rFonts w:cs="Arial"/>
          <w:sz w:val="22"/>
          <w:szCs w:val="22"/>
          <w:lang w:val="en-US" w:eastAsia="en-US"/>
        </w:rPr>
        <w:t>ve</w:t>
      </w:r>
      <w:r w:rsidRPr="0060508C">
        <w:rPr>
          <w:rFonts w:cs="Arial"/>
          <w:sz w:val="22"/>
          <w:szCs w:val="22"/>
          <w:lang w:val="en-US" w:eastAsia="en-US"/>
        </w:rPr>
        <w:t xml:space="preserve"> appropriate paperwork </w:t>
      </w:r>
      <w:r>
        <w:rPr>
          <w:rFonts w:cs="Arial"/>
          <w:sz w:val="22"/>
          <w:szCs w:val="22"/>
          <w:lang w:val="en-US" w:eastAsia="en-US"/>
        </w:rPr>
        <w:t xml:space="preserve">will be carried out </w:t>
      </w:r>
      <w:r w:rsidRPr="0060508C">
        <w:rPr>
          <w:rFonts w:cs="Arial"/>
          <w:sz w:val="22"/>
          <w:szCs w:val="22"/>
          <w:lang w:val="en-US" w:eastAsia="en-US"/>
        </w:rPr>
        <w:t>before visit</w:t>
      </w:r>
      <w:r>
        <w:rPr>
          <w:rFonts w:cs="Arial"/>
          <w:sz w:val="22"/>
          <w:szCs w:val="22"/>
          <w:lang w:val="en-US" w:eastAsia="en-US"/>
        </w:rPr>
        <w:t>s</w:t>
      </w:r>
      <w:r w:rsidRPr="0060508C">
        <w:rPr>
          <w:rFonts w:cs="Arial"/>
          <w:sz w:val="22"/>
          <w:szCs w:val="22"/>
          <w:lang w:val="en-US" w:eastAsia="en-US"/>
        </w:rPr>
        <w:t>.</w:t>
      </w:r>
    </w:p>
    <w:p w14:paraId="143430D4" w14:textId="77777777" w:rsidR="00881F09" w:rsidRDefault="00881F09" w:rsidP="00D0743F">
      <w:pPr>
        <w:rPr>
          <w:rFonts w:cs="Arial"/>
          <w:b/>
          <w:lang w:val="en-US" w:eastAsia="en-US"/>
        </w:rPr>
      </w:pPr>
    </w:p>
    <w:p w14:paraId="3141FC33" w14:textId="77777777" w:rsidR="008C07EF" w:rsidRDefault="008C07EF" w:rsidP="00D0743F">
      <w:pPr>
        <w:rPr>
          <w:rFonts w:cs="Arial"/>
          <w:b/>
          <w:lang w:val="en-US" w:eastAsia="en-US"/>
        </w:rPr>
      </w:pPr>
    </w:p>
    <w:p w14:paraId="4B74F96F" w14:textId="77777777" w:rsidR="008C07EF" w:rsidRDefault="008C07EF" w:rsidP="00D0743F">
      <w:pPr>
        <w:rPr>
          <w:rFonts w:cs="Arial"/>
          <w:b/>
          <w:lang w:val="en-US" w:eastAsia="en-US"/>
        </w:rPr>
      </w:pPr>
    </w:p>
    <w:p w14:paraId="6191E70C" w14:textId="77777777" w:rsidR="008C07EF" w:rsidRDefault="008C07EF" w:rsidP="00D0743F">
      <w:pPr>
        <w:rPr>
          <w:rFonts w:cs="Arial"/>
          <w:b/>
          <w:lang w:val="en-US" w:eastAsia="en-US"/>
        </w:rPr>
      </w:pPr>
    </w:p>
    <w:p w14:paraId="35599B64" w14:textId="77777777" w:rsidR="008C07EF" w:rsidRDefault="008C07EF" w:rsidP="00D0743F">
      <w:pPr>
        <w:rPr>
          <w:rFonts w:cs="Arial"/>
          <w:b/>
          <w:lang w:val="en-US" w:eastAsia="en-US"/>
        </w:rPr>
      </w:pPr>
    </w:p>
    <w:p w14:paraId="49AB119C" w14:textId="77777777" w:rsidR="008C07EF" w:rsidRDefault="008C07EF" w:rsidP="00D0743F">
      <w:pPr>
        <w:rPr>
          <w:rFonts w:cs="Arial"/>
          <w:b/>
          <w:lang w:val="en-US" w:eastAsia="en-US"/>
        </w:rPr>
      </w:pPr>
    </w:p>
    <w:p w14:paraId="42CF760C" w14:textId="77777777" w:rsidR="008C07EF" w:rsidRDefault="008C07EF" w:rsidP="00D0743F">
      <w:pPr>
        <w:rPr>
          <w:rFonts w:cs="Arial"/>
          <w:b/>
          <w:lang w:val="en-US" w:eastAsia="en-US"/>
        </w:rPr>
      </w:pPr>
    </w:p>
    <w:p w14:paraId="2BF0852D" w14:textId="77777777" w:rsidR="008C07EF" w:rsidRDefault="008C07EF" w:rsidP="00D0743F">
      <w:pPr>
        <w:rPr>
          <w:rFonts w:cs="Arial"/>
          <w:b/>
          <w:lang w:val="en-US" w:eastAsia="en-US"/>
        </w:rPr>
      </w:pPr>
    </w:p>
    <w:p w14:paraId="4531C885" w14:textId="77777777" w:rsidR="008C07EF" w:rsidRDefault="008C07EF" w:rsidP="00D0743F">
      <w:pPr>
        <w:rPr>
          <w:rFonts w:cs="Arial"/>
          <w:b/>
          <w:lang w:val="en-US" w:eastAsia="en-US"/>
        </w:rPr>
      </w:pPr>
    </w:p>
    <w:p w14:paraId="21E6607F" w14:textId="77777777" w:rsidR="00D0743F" w:rsidRDefault="00CC1499" w:rsidP="00D0743F">
      <w:pPr>
        <w:rPr>
          <w:rFonts w:cs="Arial"/>
          <w:b/>
          <w:lang w:val="en-US" w:eastAsia="en-US"/>
        </w:rPr>
      </w:pPr>
      <w:r>
        <w:rPr>
          <w:rFonts w:cs="Arial"/>
          <w:b/>
          <w:lang w:val="en-US" w:eastAsia="en-US"/>
        </w:rPr>
        <w:t>7</w:t>
      </w:r>
      <w:r w:rsidR="00D0743F">
        <w:rPr>
          <w:rFonts w:cs="Arial"/>
          <w:b/>
          <w:lang w:val="en-US" w:eastAsia="en-US"/>
        </w:rPr>
        <w:t>. Summary of development and consultation process undertaken before registration and dissemination</w:t>
      </w:r>
      <w:r>
        <w:rPr>
          <w:rFonts w:cs="Arial"/>
          <w:b/>
          <w:lang w:val="en-US" w:eastAsia="en-US"/>
        </w:rPr>
        <w:t>:</w:t>
      </w:r>
    </w:p>
    <w:p w14:paraId="1E10BB3C" w14:textId="77777777" w:rsidR="00CC1499" w:rsidRDefault="00CC1499" w:rsidP="00D0743F">
      <w:pPr>
        <w:rPr>
          <w:rFonts w:cs="Arial"/>
          <w:b/>
          <w:lang w:val="en-US" w:eastAsia="en-US"/>
        </w:rPr>
      </w:pPr>
    </w:p>
    <w:p w14:paraId="02EBB123" w14:textId="77777777" w:rsidR="00CC1499" w:rsidRPr="00CD13CF" w:rsidRDefault="00CC1499" w:rsidP="00D0743F">
      <w:pPr>
        <w:rPr>
          <w:rFonts w:cs="Arial"/>
          <w:i/>
          <w:sz w:val="22"/>
          <w:szCs w:val="22"/>
          <w:lang w:val="en-US" w:eastAsia="en-US"/>
        </w:rPr>
      </w:pPr>
      <w:r w:rsidRPr="00CD13CF">
        <w:rPr>
          <w:rFonts w:cs="Arial"/>
          <w:sz w:val="22"/>
          <w:szCs w:val="22"/>
          <w:lang w:val="en-US" w:eastAsia="en-US"/>
        </w:rPr>
        <w:t>The author</w:t>
      </w:r>
      <w:r w:rsidR="00D0743F" w:rsidRPr="00CD13CF">
        <w:rPr>
          <w:rFonts w:cs="Arial"/>
          <w:sz w:val="22"/>
          <w:szCs w:val="22"/>
          <w:lang w:val="en-US" w:eastAsia="en-US"/>
        </w:rPr>
        <w:t xml:space="preserve"> listed above drafted this document on behalf of </w:t>
      </w:r>
      <w:r w:rsidR="004F7FBF">
        <w:rPr>
          <w:rFonts w:cs="Arial"/>
          <w:sz w:val="22"/>
          <w:szCs w:val="22"/>
          <w:lang w:val="en-US" w:eastAsia="en-US"/>
        </w:rPr>
        <w:t>Nancy Fontaine</w:t>
      </w:r>
      <w:r w:rsidR="007D0D8B" w:rsidRPr="00CD13CF">
        <w:rPr>
          <w:rFonts w:cs="Arial"/>
          <w:color w:val="FF0000"/>
          <w:sz w:val="22"/>
          <w:szCs w:val="22"/>
          <w:lang w:val="en-US" w:eastAsia="en-US"/>
        </w:rPr>
        <w:t xml:space="preserve"> </w:t>
      </w:r>
      <w:r w:rsidR="00D0743F" w:rsidRPr="00CD13CF">
        <w:rPr>
          <w:rFonts w:cs="Arial"/>
          <w:sz w:val="22"/>
          <w:szCs w:val="22"/>
          <w:lang w:val="en-US" w:eastAsia="en-US"/>
        </w:rPr>
        <w:t>(</w:t>
      </w:r>
      <w:r w:rsidR="004F7FBF">
        <w:rPr>
          <w:rFonts w:cs="Arial"/>
          <w:sz w:val="22"/>
          <w:szCs w:val="22"/>
          <w:lang w:val="en-US" w:eastAsia="en-US"/>
        </w:rPr>
        <w:t>Chief Nurse</w:t>
      </w:r>
      <w:r w:rsidR="00D0743F" w:rsidRPr="00CD13CF">
        <w:rPr>
          <w:rFonts w:cs="Arial"/>
          <w:sz w:val="22"/>
          <w:szCs w:val="22"/>
          <w:lang w:val="en-US" w:eastAsia="en-US"/>
        </w:rPr>
        <w:t xml:space="preserve">) who has agreed the final content. During its development it has been circulated for comment to: </w:t>
      </w:r>
      <w:r w:rsidR="00D0743F" w:rsidRPr="00CD13CF">
        <w:rPr>
          <w:rFonts w:cs="Arial"/>
          <w:i/>
          <w:sz w:val="22"/>
          <w:szCs w:val="22"/>
          <w:lang w:val="en-US" w:eastAsia="en-US"/>
        </w:rPr>
        <w:t xml:space="preserve"> </w:t>
      </w:r>
    </w:p>
    <w:p w14:paraId="26F73201" w14:textId="77777777" w:rsidR="005A24EA" w:rsidRDefault="005A24EA" w:rsidP="00D0743F">
      <w:pPr>
        <w:rPr>
          <w:rFonts w:cs="Arial"/>
          <w:i/>
          <w:lang w:val="en-US" w:eastAsia="en-US"/>
        </w:rPr>
      </w:pPr>
    </w:p>
    <w:p w14:paraId="7446233C" w14:textId="77777777" w:rsidR="00D0743F" w:rsidRPr="008C07EF" w:rsidRDefault="008C07EF" w:rsidP="00D0743F">
      <w:pPr>
        <w:rPr>
          <w:rFonts w:cs="Arial"/>
          <w:i/>
          <w:sz w:val="22"/>
          <w:szCs w:val="22"/>
          <w:lang w:val="en-US" w:eastAsia="en-US"/>
        </w:rPr>
      </w:pPr>
      <w:r w:rsidRPr="008C07EF">
        <w:rPr>
          <w:rFonts w:cs="Arial"/>
          <w:sz w:val="22"/>
          <w:szCs w:val="22"/>
          <w:lang w:val="en-US" w:eastAsia="en-US"/>
        </w:rPr>
        <w:t>T</w:t>
      </w:r>
      <w:r w:rsidR="00D0743F" w:rsidRPr="008C07EF">
        <w:rPr>
          <w:rFonts w:cs="Arial"/>
          <w:sz w:val="22"/>
          <w:szCs w:val="22"/>
          <w:lang w:val="en-US" w:eastAsia="en-US"/>
        </w:rPr>
        <w:t>he</w:t>
      </w:r>
      <w:r w:rsidR="009A7E16" w:rsidRPr="008C07EF">
        <w:rPr>
          <w:rFonts w:cs="Arial"/>
          <w:sz w:val="22"/>
          <w:szCs w:val="22"/>
          <w:lang w:val="en-US" w:eastAsia="en-US"/>
        </w:rPr>
        <w:t xml:space="preserve"> </w:t>
      </w:r>
      <w:r w:rsidR="001616EB" w:rsidRPr="008C07EF">
        <w:rPr>
          <w:rFonts w:cs="Arial"/>
          <w:sz w:val="22"/>
          <w:szCs w:val="22"/>
          <w:lang w:val="en-US" w:eastAsia="en-US"/>
        </w:rPr>
        <w:t xml:space="preserve">Care and </w:t>
      </w:r>
      <w:r w:rsidR="009A7E16" w:rsidRPr="008C07EF">
        <w:rPr>
          <w:rFonts w:cs="Arial"/>
          <w:sz w:val="22"/>
          <w:szCs w:val="22"/>
          <w:lang w:val="en-US" w:eastAsia="en-US"/>
        </w:rPr>
        <w:t xml:space="preserve">Patient Experience </w:t>
      </w:r>
      <w:r>
        <w:rPr>
          <w:rFonts w:cs="Arial"/>
          <w:sz w:val="22"/>
          <w:szCs w:val="22"/>
          <w:lang w:val="en-US" w:eastAsia="en-US"/>
        </w:rPr>
        <w:t>Group</w:t>
      </w:r>
      <w:r w:rsidR="009A7E16" w:rsidRPr="008C07EF">
        <w:rPr>
          <w:rFonts w:cs="Arial"/>
          <w:sz w:val="22"/>
          <w:szCs w:val="22"/>
          <w:lang w:val="en-US" w:eastAsia="en-US"/>
        </w:rPr>
        <w:t>.</w:t>
      </w:r>
    </w:p>
    <w:p w14:paraId="41C2A198" w14:textId="77777777" w:rsidR="00D0743F" w:rsidRDefault="00D0743F" w:rsidP="00D0743F">
      <w:pPr>
        <w:rPr>
          <w:rFonts w:cs="Arial"/>
          <w:b/>
          <w:lang w:eastAsia="en-US"/>
        </w:rPr>
      </w:pPr>
    </w:p>
    <w:p w14:paraId="62BE142A" w14:textId="77777777" w:rsidR="00CC1499" w:rsidRDefault="00CC1499" w:rsidP="00D0743F">
      <w:pPr>
        <w:rPr>
          <w:rFonts w:cs="Arial"/>
          <w:b/>
          <w:lang w:eastAsia="en-US"/>
        </w:rPr>
      </w:pPr>
    </w:p>
    <w:p w14:paraId="31188831" w14:textId="77777777" w:rsidR="00CC1499" w:rsidRDefault="00CC1499" w:rsidP="00D0743F">
      <w:pPr>
        <w:rPr>
          <w:rFonts w:cs="Arial"/>
          <w:b/>
          <w:lang w:eastAsia="en-US"/>
        </w:rPr>
      </w:pPr>
    </w:p>
    <w:p w14:paraId="152DA016" w14:textId="77777777" w:rsidR="00D0743F" w:rsidRDefault="00CC1499" w:rsidP="00D0743F">
      <w:pPr>
        <w:rPr>
          <w:rFonts w:cs="Arial"/>
          <w:b/>
          <w:lang w:eastAsia="en-US"/>
        </w:rPr>
      </w:pPr>
      <w:r>
        <w:rPr>
          <w:rFonts w:cs="Arial"/>
          <w:b/>
          <w:lang w:eastAsia="en-US"/>
        </w:rPr>
        <w:t>8</w:t>
      </w:r>
      <w:r w:rsidR="00D0743F">
        <w:rPr>
          <w:rFonts w:cs="Arial"/>
          <w:b/>
          <w:lang w:eastAsia="en-US"/>
        </w:rPr>
        <w:t>. References</w:t>
      </w:r>
    </w:p>
    <w:p w14:paraId="12632F22" w14:textId="77777777" w:rsidR="00CC1499" w:rsidRPr="008C07EF" w:rsidRDefault="00641E1F" w:rsidP="00D0743F">
      <w:pPr>
        <w:rPr>
          <w:rFonts w:cs="Arial"/>
          <w:sz w:val="22"/>
          <w:szCs w:val="22"/>
          <w:lang w:eastAsia="en-US"/>
        </w:rPr>
      </w:pPr>
      <w:r w:rsidRPr="008C07EF">
        <w:rPr>
          <w:rFonts w:cs="Arial"/>
          <w:sz w:val="22"/>
          <w:szCs w:val="22"/>
          <w:lang w:eastAsia="en-US"/>
        </w:rPr>
        <w:t>Lone Working Policy</w:t>
      </w:r>
    </w:p>
    <w:p w14:paraId="0213D53E" w14:textId="77777777" w:rsidR="00D0743F" w:rsidRPr="001A5002" w:rsidRDefault="00D0743F" w:rsidP="00D0743F">
      <w:pPr>
        <w:rPr>
          <w:rFonts w:cs="Arial"/>
          <w:lang w:eastAsia="en-US"/>
        </w:rPr>
      </w:pPr>
    </w:p>
    <w:p w14:paraId="4DE84D3E" w14:textId="77777777" w:rsidR="00D0743F" w:rsidRPr="001A5002" w:rsidRDefault="00D0743F" w:rsidP="00D0743F">
      <w:pPr>
        <w:rPr>
          <w:rFonts w:cs="Arial"/>
          <w:lang w:eastAsia="en-US"/>
        </w:rPr>
      </w:pPr>
    </w:p>
    <w:p w14:paraId="63E81353" w14:textId="77777777" w:rsidR="00D0743F" w:rsidRDefault="00145830" w:rsidP="00D0743F">
      <w:pPr>
        <w:rPr>
          <w:rFonts w:cs="Arial"/>
          <w:b/>
        </w:rPr>
      </w:pPr>
      <w:r>
        <w:rPr>
          <w:rFonts w:cs="Arial"/>
          <w:b/>
        </w:rPr>
        <w:t>9</w:t>
      </w:r>
      <w:r w:rsidR="00D0743F" w:rsidRPr="002F5BD0">
        <w:rPr>
          <w:rFonts w:cs="Arial"/>
          <w:b/>
        </w:rPr>
        <w:t>. Associated Documentation</w:t>
      </w:r>
      <w:r w:rsidR="00D0743F">
        <w:rPr>
          <w:rFonts w:cs="Arial"/>
          <w:b/>
        </w:rPr>
        <w:t>*</w:t>
      </w:r>
    </w:p>
    <w:p w14:paraId="593A32CA" w14:textId="77777777" w:rsidR="008C07EF" w:rsidRPr="008C07EF" w:rsidRDefault="008C07EF" w:rsidP="008C07EF">
      <w:pPr>
        <w:rPr>
          <w:rFonts w:cs="Arial"/>
          <w:sz w:val="22"/>
          <w:szCs w:val="22"/>
          <w:lang w:eastAsia="en-US"/>
        </w:rPr>
      </w:pPr>
      <w:r w:rsidRPr="008C07EF">
        <w:rPr>
          <w:rFonts w:cs="Arial"/>
          <w:sz w:val="22"/>
          <w:szCs w:val="22"/>
          <w:lang w:eastAsia="en-US"/>
        </w:rPr>
        <w:t>Lone Working Policy</w:t>
      </w:r>
    </w:p>
    <w:p w14:paraId="28BB4ED8" w14:textId="77777777" w:rsidR="00641E1F" w:rsidRDefault="00641E1F" w:rsidP="00D0743F">
      <w:pPr>
        <w:rPr>
          <w:rFonts w:cs="Arial"/>
          <w:b/>
        </w:rPr>
      </w:pPr>
    </w:p>
    <w:p w14:paraId="34CC77AE" w14:textId="77777777" w:rsidR="00D0743F" w:rsidRDefault="00D0743F" w:rsidP="00D0743F">
      <w:pPr>
        <w:rPr>
          <w:rFonts w:cs="Arial"/>
          <w:i/>
          <w:lang w:eastAsia="en-US"/>
        </w:rPr>
      </w:pPr>
    </w:p>
    <w:p w14:paraId="2318256E" w14:textId="77777777" w:rsidR="00D0743F" w:rsidRPr="002F5BD0" w:rsidRDefault="00D0743F" w:rsidP="00D0743F">
      <w:pPr>
        <w:rPr>
          <w:rFonts w:cs="Arial"/>
          <w:b/>
        </w:rPr>
      </w:pPr>
      <w:r>
        <w:rPr>
          <w:rFonts w:cs="Arial"/>
          <w:b/>
          <w:bCs/>
          <w:lang w:val="en-US"/>
        </w:rPr>
        <w:t xml:space="preserve">12. Equality Impact Assessment </w:t>
      </w:r>
      <w:r>
        <w:rPr>
          <w:rFonts w:cs="Arial"/>
          <w:b/>
        </w:rPr>
        <w:t>(EIA)</w:t>
      </w:r>
      <w:r w:rsidRPr="002F5BD0">
        <w:rPr>
          <w:rFonts w:cs="Arial"/>
          <w:b/>
        </w:rPr>
        <w:t xml:space="preserve"> </w:t>
      </w:r>
    </w:p>
    <w:p w14:paraId="7060B0EB" w14:textId="77777777" w:rsidR="00D0743F" w:rsidRDefault="00D0743F" w:rsidP="00D0743F">
      <w:pPr>
        <w:rPr>
          <w:rFonts w:cs="Arial"/>
          <w:i/>
        </w:rPr>
      </w:pPr>
    </w:p>
    <w:p w14:paraId="48701DE8" w14:textId="77777777" w:rsidR="00D0743F" w:rsidRPr="00145830" w:rsidRDefault="00145830" w:rsidP="00D0743F">
      <w:pPr>
        <w:rPr>
          <w:rFonts w:cs="Arial"/>
          <w:sz w:val="22"/>
          <w:szCs w:val="22"/>
        </w:rPr>
      </w:pPr>
      <w:r w:rsidRPr="00145830">
        <w:rPr>
          <w:rFonts w:cs="Arial"/>
          <w:sz w:val="22"/>
          <w:szCs w:val="22"/>
        </w:rPr>
        <w:t>Not Applicable</w:t>
      </w:r>
    </w:p>
    <w:p w14:paraId="103834E9" w14:textId="77777777" w:rsidR="00D0743F" w:rsidRDefault="00D0743F" w:rsidP="00D0743F">
      <w:pPr>
        <w:ind w:right="-508"/>
        <w:rPr>
          <w:rFonts w:cs="Arial"/>
          <w:b/>
          <w:bCs/>
          <w:lang w:val="en-US"/>
        </w:rPr>
      </w:pPr>
    </w:p>
    <w:p w14:paraId="57528A23" w14:textId="77777777" w:rsidR="00D0743F" w:rsidRDefault="00D0743F" w:rsidP="00D0743F">
      <w:pPr>
        <w:ind w:right="-508"/>
        <w:rPr>
          <w:rFonts w:cs="Arial"/>
          <w:b/>
          <w:bCs/>
          <w:color w:val="FF0000"/>
          <w:lang w:val="en-US"/>
        </w:rPr>
      </w:pPr>
      <w:r>
        <w:rPr>
          <w:rFonts w:cs="Arial"/>
          <w:b/>
          <w:bCs/>
          <w:lang w:val="en-US"/>
        </w:rPr>
        <w:t>13. Appendices</w:t>
      </w:r>
    </w:p>
    <w:p w14:paraId="148A4319" w14:textId="77777777" w:rsidR="00145830" w:rsidRDefault="00145830"/>
    <w:p w14:paraId="173CDC84" w14:textId="77777777" w:rsidR="00145830" w:rsidRPr="00ED505D" w:rsidRDefault="00ED505D" w:rsidP="00145830">
      <w:pPr>
        <w:rPr>
          <w:rFonts w:cs="Arial"/>
          <w:sz w:val="22"/>
          <w:szCs w:val="22"/>
        </w:rPr>
      </w:pPr>
      <w:r w:rsidRPr="00ED505D">
        <w:rPr>
          <w:rFonts w:cs="Arial"/>
          <w:sz w:val="22"/>
          <w:szCs w:val="22"/>
        </w:rPr>
        <w:t>Monitoring Compliance / Effectiveness Table</w:t>
      </w:r>
      <w:r w:rsidRPr="00ED505D">
        <w:rPr>
          <w:sz w:val="22"/>
          <w:szCs w:val="22"/>
        </w:rPr>
        <w:t xml:space="preserve">                                                          </w:t>
      </w:r>
    </w:p>
    <w:p w14:paraId="14E483E8" w14:textId="77777777" w:rsidR="00145830" w:rsidRDefault="00145830">
      <w:pPr>
        <w:sectPr w:rsidR="00145830" w:rsidSect="005374A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179" w:gutter="0"/>
          <w:cols w:space="708"/>
          <w:titlePg/>
          <w:docGrid w:linePitch="360"/>
        </w:sectPr>
      </w:pPr>
    </w:p>
    <w:tbl>
      <w:tblPr>
        <w:tblpPr w:leftFromText="180" w:rightFromText="180" w:vertAnchor="page" w:horzAnchor="margin" w:tblpY="2479"/>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8"/>
        <w:gridCol w:w="1855"/>
        <w:gridCol w:w="1709"/>
        <w:gridCol w:w="1470"/>
        <w:gridCol w:w="2284"/>
        <w:gridCol w:w="2134"/>
        <w:gridCol w:w="2138"/>
      </w:tblGrid>
      <w:tr w:rsidR="00D0743F" w:rsidRPr="003F4E42" w14:paraId="7C623DCC" w14:textId="77777777" w:rsidTr="00D0743F">
        <w:trPr>
          <w:trHeight w:val="454"/>
        </w:trPr>
        <w:tc>
          <w:tcPr>
            <w:tcW w:w="14148" w:type="dxa"/>
            <w:gridSpan w:val="7"/>
            <w:shd w:val="clear" w:color="auto" w:fill="auto"/>
            <w:vAlign w:val="center"/>
          </w:tcPr>
          <w:p w14:paraId="1DA5077E" w14:textId="77777777" w:rsidR="00D0743F" w:rsidRPr="003F4E42" w:rsidRDefault="00D0743F" w:rsidP="00D0743F">
            <w:pPr>
              <w:rPr>
                <w:b/>
              </w:rPr>
            </w:pPr>
            <w:r w:rsidRPr="003F4E42">
              <w:rPr>
                <w:rFonts w:cs="Arial"/>
                <w:b/>
              </w:rPr>
              <w:lastRenderedPageBreak/>
              <w:t>Monitoring Compliance / Effectiveness Table</w:t>
            </w:r>
            <w:r w:rsidRPr="003F4E42">
              <w:rPr>
                <w:b/>
              </w:rPr>
              <w:t xml:space="preserve">                                                          </w:t>
            </w:r>
            <w:r>
              <w:rPr>
                <w:b/>
              </w:rPr>
              <w:t>Ap</w:t>
            </w:r>
            <w:r w:rsidRPr="003F4E42">
              <w:rPr>
                <w:b/>
              </w:rPr>
              <w:t xml:space="preserve">pendix </w:t>
            </w:r>
            <w:r w:rsidRPr="00BE3A1D">
              <w:rPr>
                <w:i/>
              </w:rPr>
              <w:t>(insert letter / number)</w:t>
            </w:r>
            <w:r w:rsidRPr="003F4E42">
              <w:rPr>
                <w:b/>
              </w:rPr>
              <w:t>.</w:t>
            </w:r>
          </w:p>
          <w:p w14:paraId="5F1D26B1" w14:textId="77777777" w:rsidR="00D0743F" w:rsidRPr="003F4E42" w:rsidRDefault="00D0743F" w:rsidP="00D0743F">
            <w:pPr>
              <w:rPr>
                <w:rFonts w:cs="Arial"/>
                <w:b/>
                <w:i/>
                <w:sz w:val="20"/>
                <w:szCs w:val="20"/>
              </w:rPr>
            </w:pPr>
          </w:p>
        </w:tc>
      </w:tr>
      <w:tr w:rsidR="00D0743F" w:rsidRPr="003F4E42" w14:paraId="6F7F864E" w14:textId="77777777" w:rsidTr="00D0743F">
        <w:trPr>
          <w:trHeight w:val="1968"/>
        </w:trPr>
        <w:tc>
          <w:tcPr>
            <w:tcW w:w="2558" w:type="dxa"/>
            <w:shd w:val="clear" w:color="auto" w:fill="CCFFFF"/>
          </w:tcPr>
          <w:p w14:paraId="5FE9B1B8" w14:textId="77777777" w:rsidR="00D0743F" w:rsidRPr="003F4E42" w:rsidRDefault="00D0743F" w:rsidP="00D0743F">
            <w:pPr>
              <w:spacing w:before="120"/>
              <w:rPr>
                <w:rFonts w:cs="Arial"/>
                <w:b/>
                <w:i/>
                <w:sz w:val="20"/>
                <w:szCs w:val="20"/>
              </w:rPr>
            </w:pPr>
            <w:r w:rsidRPr="003F4E42">
              <w:rPr>
                <w:rFonts w:cs="Arial"/>
                <w:b/>
                <w:i/>
                <w:sz w:val="20"/>
                <w:szCs w:val="20"/>
              </w:rPr>
              <w:t>Element to be monitored</w:t>
            </w:r>
          </w:p>
          <w:p w14:paraId="2353CE5D" w14:textId="77777777" w:rsidR="00D0743F" w:rsidRPr="003F4E42" w:rsidRDefault="00D0743F" w:rsidP="00D0743F">
            <w:pPr>
              <w:spacing w:before="120"/>
              <w:rPr>
                <w:rFonts w:cs="Arial"/>
                <w:i/>
                <w:sz w:val="20"/>
                <w:szCs w:val="20"/>
              </w:rPr>
            </w:pPr>
            <w:r w:rsidRPr="003F4E42">
              <w:rPr>
                <w:rFonts w:cs="Arial"/>
                <w:i/>
                <w:sz w:val="20"/>
                <w:szCs w:val="20"/>
              </w:rPr>
              <w:t>(For NHSLA documents this must include all Level 1 minimum requirements)</w:t>
            </w:r>
          </w:p>
        </w:tc>
        <w:tc>
          <w:tcPr>
            <w:tcW w:w="1855" w:type="dxa"/>
            <w:shd w:val="clear" w:color="auto" w:fill="CCFFFF"/>
          </w:tcPr>
          <w:p w14:paraId="61209C8D" w14:textId="77777777" w:rsidR="00D0743F" w:rsidRPr="003F4E42" w:rsidRDefault="00D0743F" w:rsidP="00D0743F">
            <w:pPr>
              <w:spacing w:before="120"/>
              <w:rPr>
                <w:rFonts w:cs="Arial"/>
                <w:b/>
                <w:i/>
                <w:sz w:val="20"/>
                <w:szCs w:val="20"/>
              </w:rPr>
            </w:pPr>
            <w:r w:rsidRPr="003F4E42">
              <w:rPr>
                <w:rFonts w:cs="Arial"/>
                <w:b/>
                <w:i/>
                <w:sz w:val="20"/>
                <w:szCs w:val="20"/>
              </w:rPr>
              <w:t>Lead Responsible for monitoring</w:t>
            </w:r>
          </w:p>
          <w:p w14:paraId="3B22B41A" w14:textId="77777777" w:rsidR="00D0743F" w:rsidRPr="003F4E42" w:rsidRDefault="00D0743F" w:rsidP="00D0743F">
            <w:pPr>
              <w:spacing w:before="120"/>
              <w:rPr>
                <w:rFonts w:cs="Arial"/>
                <w:i/>
                <w:sz w:val="20"/>
                <w:szCs w:val="20"/>
              </w:rPr>
            </w:pPr>
            <w:r w:rsidRPr="003F4E42">
              <w:rPr>
                <w:rFonts w:cs="Arial"/>
                <w:i/>
                <w:sz w:val="20"/>
                <w:szCs w:val="20"/>
              </w:rPr>
              <w:t>(Title needed &amp; name of individual where appropriate)</w:t>
            </w:r>
          </w:p>
        </w:tc>
        <w:tc>
          <w:tcPr>
            <w:tcW w:w="1709" w:type="dxa"/>
            <w:shd w:val="clear" w:color="auto" w:fill="CCFFFF"/>
          </w:tcPr>
          <w:p w14:paraId="3D640BFB" w14:textId="77777777" w:rsidR="00D0743F" w:rsidRPr="003F4E42" w:rsidRDefault="00D0743F" w:rsidP="00D0743F">
            <w:pPr>
              <w:spacing w:before="120"/>
              <w:rPr>
                <w:rFonts w:cs="Arial"/>
                <w:b/>
                <w:i/>
                <w:sz w:val="20"/>
                <w:szCs w:val="20"/>
              </w:rPr>
            </w:pPr>
            <w:r w:rsidRPr="003F4E42">
              <w:rPr>
                <w:rFonts w:cs="Arial"/>
                <w:b/>
                <w:i/>
                <w:sz w:val="20"/>
                <w:szCs w:val="20"/>
              </w:rPr>
              <w:t>Monitoring Tool / Method of monitoring</w:t>
            </w:r>
          </w:p>
        </w:tc>
        <w:tc>
          <w:tcPr>
            <w:tcW w:w="1470" w:type="dxa"/>
            <w:shd w:val="clear" w:color="auto" w:fill="CCFFFF"/>
          </w:tcPr>
          <w:p w14:paraId="422C8169" w14:textId="77777777" w:rsidR="00D0743F" w:rsidRPr="003F4E42" w:rsidRDefault="00D0743F" w:rsidP="00D0743F">
            <w:pPr>
              <w:spacing w:before="120"/>
              <w:rPr>
                <w:rFonts w:cs="Arial"/>
                <w:b/>
                <w:i/>
                <w:sz w:val="20"/>
                <w:szCs w:val="20"/>
              </w:rPr>
            </w:pPr>
            <w:r w:rsidRPr="003F4E42">
              <w:rPr>
                <w:rFonts w:cs="Arial"/>
                <w:b/>
                <w:i/>
                <w:sz w:val="20"/>
                <w:szCs w:val="20"/>
              </w:rPr>
              <w:t>Frequency of monitoring</w:t>
            </w:r>
          </w:p>
          <w:p w14:paraId="406D8232" w14:textId="77777777" w:rsidR="00D0743F" w:rsidRPr="003F4E42" w:rsidRDefault="00D0743F" w:rsidP="00D0743F">
            <w:pPr>
              <w:spacing w:before="120"/>
              <w:rPr>
                <w:rFonts w:cs="Arial"/>
                <w:b/>
                <w:i/>
                <w:sz w:val="20"/>
                <w:szCs w:val="20"/>
              </w:rPr>
            </w:pPr>
          </w:p>
        </w:tc>
        <w:tc>
          <w:tcPr>
            <w:tcW w:w="2284" w:type="dxa"/>
            <w:shd w:val="clear" w:color="auto" w:fill="CCFFFF"/>
          </w:tcPr>
          <w:p w14:paraId="442884F7" w14:textId="77777777" w:rsidR="00D0743F" w:rsidRPr="003F4E42" w:rsidRDefault="00D0743F" w:rsidP="00D0743F">
            <w:pPr>
              <w:spacing w:before="120"/>
              <w:rPr>
                <w:rFonts w:cs="Arial"/>
                <w:b/>
                <w:i/>
                <w:sz w:val="20"/>
                <w:szCs w:val="20"/>
              </w:rPr>
            </w:pPr>
            <w:r w:rsidRPr="003F4E42">
              <w:rPr>
                <w:rFonts w:cs="Arial"/>
                <w:b/>
                <w:i/>
                <w:sz w:val="20"/>
                <w:szCs w:val="20"/>
              </w:rPr>
              <w:t>Lead Responsible for developing action plan &amp; acting on recommendations</w:t>
            </w:r>
          </w:p>
        </w:tc>
        <w:tc>
          <w:tcPr>
            <w:tcW w:w="2134" w:type="dxa"/>
            <w:shd w:val="clear" w:color="auto" w:fill="CCFFFF"/>
          </w:tcPr>
          <w:p w14:paraId="6181D889" w14:textId="77777777" w:rsidR="00D0743F" w:rsidRPr="003F4E42" w:rsidRDefault="00D0743F" w:rsidP="00D0743F">
            <w:pPr>
              <w:spacing w:before="120"/>
              <w:rPr>
                <w:rFonts w:cs="Arial"/>
                <w:b/>
                <w:i/>
                <w:sz w:val="20"/>
                <w:szCs w:val="20"/>
              </w:rPr>
            </w:pPr>
            <w:r w:rsidRPr="003F4E42">
              <w:rPr>
                <w:rFonts w:cs="Arial"/>
                <w:b/>
                <w:i/>
                <w:sz w:val="20"/>
                <w:szCs w:val="20"/>
              </w:rPr>
              <w:t>Reporting arrangements</w:t>
            </w:r>
          </w:p>
          <w:p w14:paraId="4D5CF3AF" w14:textId="77777777" w:rsidR="00D0743F" w:rsidRPr="003F4E42" w:rsidRDefault="00D0743F" w:rsidP="00D0743F">
            <w:pPr>
              <w:spacing w:before="120"/>
              <w:rPr>
                <w:rFonts w:cs="Arial"/>
                <w:i/>
                <w:sz w:val="20"/>
                <w:szCs w:val="20"/>
              </w:rPr>
            </w:pPr>
            <w:r w:rsidRPr="003F4E42">
              <w:rPr>
                <w:rFonts w:cs="Arial"/>
                <w:i/>
                <w:sz w:val="20"/>
                <w:szCs w:val="20"/>
              </w:rPr>
              <w:t>(Committee or group where monitoring results and action plan progress are  reported to)</w:t>
            </w:r>
          </w:p>
        </w:tc>
        <w:tc>
          <w:tcPr>
            <w:tcW w:w="2138" w:type="dxa"/>
            <w:shd w:val="clear" w:color="auto" w:fill="CCFFFF"/>
          </w:tcPr>
          <w:p w14:paraId="01FD5A58" w14:textId="77777777" w:rsidR="00D0743F" w:rsidRPr="003F4E42" w:rsidRDefault="00D0743F" w:rsidP="00D0743F">
            <w:pPr>
              <w:spacing w:before="120"/>
              <w:rPr>
                <w:rFonts w:cs="Arial"/>
                <w:b/>
                <w:i/>
                <w:sz w:val="20"/>
                <w:szCs w:val="20"/>
              </w:rPr>
            </w:pPr>
            <w:r w:rsidRPr="003F4E42">
              <w:rPr>
                <w:rFonts w:cs="Arial"/>
                <w:b/>
                <w:i/>
                <w:sz w:val="20"/>
                <w:szCs w:val="20"/>
              </w:rPr>
              <w:t>Sharing and disseminating lessons learned &amp; recommended changes in practice as a result of monitoring compliance with this document</w:t>
            </w:r>
          </w:p>
        </w:tc>
      </w:tr>
      <w:tr w:rsidR="00D0743F" w:rsidRPr="003F4E42" w14:paraId="4DC30B16" w14:textId="77777777" w:rsidTr="00D0743F">
        <w:trPr>
          <w:trHeight w:val="1968"/>
        </w:trPr>
        <w:tc>
          <w:tcPr>
            <w:tcW w:w="2558" w:type="dxa"/>
          </w:tcPr>
          <w:p w14:paraId="0A506237" w14:textId="77777777" w:rsidR="00D0743F" w:rsidRPr="009D39DF" w:rsidRDefault="009D39DF" w:rsidP="00641E1F">
            <w:pPr>
              <w:spacing w:before="120" w:after="120"/>
              <w:rPr>
                <w:rFonts w:cs="Arial"/>
              </w:rPr>
            </w:pPr>
            <w:r w:rsidRPr="009D39DF">
              <w:rPr>
                <w:rFonts w:cs="Arial"/>
              </w:rPr>
              <w:t xml:space="preserve">Record of any issues raised in connection with </w:t>
            </w:r>
            <w:r w:rsidR="00641E1F">
              <w:rPr>
                <w:rFonts w:cs="Arial"/>
              </w:rPr>
              <w:t>Settle In Service</w:t>
            </w:r>
          </w:p>
        </w:tc>
        <w:tc>
          <w:tcPr>
            <w:tcW w:w="1855" w:type="dxa"/>
          </w:tcPr>
          <w:p w14:paraId="48D4968C" w14:textId="77777777" w:rsidR="00D0743F" w:rsidRPr="009D39DF" w:rsidRDefault="009D39DF" w:rsidP="00D0743F">
            <w:pPr>
              <w:spacing w:before="120"/>
              <w:rPr>
                <w:rFonts w:cs="Arial"/>
              </w:rPr>
            </w:pPr>
            <w:r w:rsidRPr="009D39DF">
              <w:rPr>
                <w:rFonts w:cs="Arial"/>
              </w:rPr>
              <w:t>Voluntary Services Manager</w:t>
            </w:r>
          </w:p>
        </w:tc>
        <w:tc>
          <w:tcPr>
            <w:tcW w:w="1709" w:type="dxa"/>
          </w:tcPr>
          <w:p w14:paraId="1EA0460A" w14:textId="77777777" w:rsidR="00D0743F" w:rsidRPr="009D39DF" w:rsidRDefault="009D39DF" w:rsidP="00D0743F">
            <w:pPr>
              <w:spacing w:before="120"/>
              <w:rPr>
                <w:rFonts w:cs="Arial"/>
              </w:rPr>
            </w:pPr>
            <w:r w:rsidRPr="009D39DF">
              <w:rPr>
                <w:rFonts w:cs="Arial"/>
              </w:rPr>
              <w:t>Data Collection</w:t>
            </w:r>
          </w:p>
        </w:tc>
        <w:tc>
          <w:tcPr>
            <w:tcW w:w="1470" w:type="dxa"/>
          </w:tcPr>
          <w:p w14:paraId="05ABA48F" w14:textId="77777777" w:rsidR="00D0743F" w:rsidRPr="009D39DF" w:rsidRDefault="009D39DF" w:rsidP="00D0743F">
            <w:pPr>
              <w:spacing w:before="120"/>
              <w:rPr>
                <w:rFonts w:cs="Arial"/>
              </w:rPr>
            </w:pPr>
            <w:r w:rsidRPr="009D39DF">
              <w:rPr>
                <w:rFonts w:cs="Arial"/>
              </w:rPr>
              <w:t>Annually</w:t>
            </w:r>
          </w:p>
        </w:tc>
        <w:tc>
          <w:tcPr>
            <w:tcW w:w="2284" w:type="dxa"/>
          </w:tcPr>
          <w:p w14:paraId="24D4BAE6" w14:textId="61D220BA" w:rsidR="009D39DF" w:rsidRPr="009D39DF" w:rsidRDefault="00055824" w:rsidP="00D0743F">
            <w:pPr>
              <w:spacing w:before="120"/>
              <w:rPr>
                <w:rFonts w:cs="Arial"/>
              </w:rPr>
            </w:pPr>
            <w:r>
              <w:rPr>
                <w:rFonts w:cs="Arial"/>
              </w:rPr>
              <w:t>XXXXX</w:t>
            </w:r>
          </w:p>
          <w:p w14:paraId="1012BED5" w14:textId="77777777" w:rsidR="00D0743F" w:rsidRPr="009D39DF" w:rsidRDefault="00D0743F" w:rsidP="00D0743F">
            <w:pPr>
              <w:spacing w:before="120"/>
              <w:rPr>
                <w:rFonts w:cs="Arial"/>
                <w:color w:val="FF0000"/>
              </w:rPr>
            </w:pPr>
          </w:p>
        </w:tc>
        <w:tc>
          <w:tcPr>
            <w:tcW w:w="2134" w:type="dxa"/>
          </w:tcPr>
          <w:p w14:paraId="3A2FAA7A" w14:textId="77777777" w:rsidR="00D0743F" w:rsidRPr="00CD13CF" w:rsidRDefault="009D39DF" w:rsidP="00D0743F">
            <w:pPr>
              <w:spacing w:before="120"/>
              <w:rPr>
                <w:rFonts w:cs="Arial"/>
              </w:rPr>
            </w:pPr>
            <w:r w:rsidRPr="00CD13CF">
              <w:rPr>
                <w:rFonts w:cs="Arial"/>
              </w:rPr>
              <w:t>Pa</w:t>
            </w:r>
            <w:r w:rsidR="00CD13CF">
              <w:rPr>
                <w:rFonts w:cs="Arial"/>
              </w:rPr>
              <w:t>tient Experience Steering Group</w:t>
            </w:r>
          </w:p>
        </w:tc>
        <w:tc>
          <w:tcPr>
            <w:tcW w:w="2138" w:type="dxa"/>
            <w:vMerge w:val="restart"/>
          </w:tcPr>
          <w:p w14:paraId="51ABCD88" w14:textId="31A016A8" w:rsidR="00D0743F" w:rsidRPr="00CD13CF" w:rsidRDefault="00055824" w:rsidP="00D0743F">
            <w:pPr>
              <w:spacing w:before="120"/>
              <w:rPr>
                <w:rFonts w:cs="Arial"/>
              </w:rPr>
            </w:pPr>
            <w:r>
              <w:rPr>
                <w:rFonts w:cs="Arial"/>
              </w:rPr>
              <w:t>XXXXXXX</w:t>
            </w:r>
          </w:p>
          <w:p w14:paraId="46F8B19F" w14:textId="77777777" w:rsidR="009D39DF" w:rsidRPr="003F4E42" w:rsidRDefault="00641E1F" w:rsidP="00D0743F">
            <w:pPr>
              <w:spacing w:before="120"/>
              <w:rPr>
                <w:rFonts w:cs="Arial"/>
                <w:i/>
              </w:rPr>
            </w:pPr>
            <w:r>
              <w:rPr>
                <w:rFonts w:cs="Arial"/>
              </w:rPr>
              <w:t>Patient Engagement and Experience Lead</w:t>
            </w:r>
          </w:p>
        </w:tc>
      </w:tr>
      <w:tr w:rsidR="00D0743F" w:rsidRPr="003F4E42" w14:paraId="0E7BCACD" w14:textId="77777777" w:rsidTr="00D0743F">
        <w:trPr>
          <w:trHeight w:val="1344"/>
        </w:trPr>
        <w:tc>
          <w:tcPr>
            <w:tcW w:w="2558" w:type="dxa"/>
          </w:tcPr>
          <w:p w14:paraId="4E8D1B2A" w14:textId="77777777" w:rsidR="00D0743F" w:rsidRPr="003F4E42" w:rsidRDefault="00D0743F" w:rsidP="00D0743F">
            <w:pPr>
              <w:spacing w:before="60" w:after="60"/>
              <w:rPr>
                <w:rFonts w:cs="Arial"/>
              </w:rPr>
            </w:pPr>
          </w:p>
        </w:tc>
        <w:tc>
          <w:tcPr>
            <w:tcW w:w="1855" w:type="dxa"/>
          </w:tcPr>
          <w:p w14:paraId="165801BD" w14:textId="77777777" w:rsidR="00D0743F" w:rsidRPr="003F4E42" w:rsidRDefault="00D0743F" w:rsidP="00D0743F">
            <w:pPr>
              <w:ind w:left="-2"/>
              <w:rPr>
                <w:rFonts w:cs="Arial"/>
              </w:rPr>
            </w:pPr>
          </w:p>
        </w:tc>
        <w:tc>
          <w:tcPr>
            <w:tcW w:w="1709" w:type="dxa"/>
          </w:tcPr>
          <w:p w14:paraId="49475D37" w14:textId="77777777" w:rsidR="00D0743F" w:rsidRPr="003F4E42" w:rsidRDefault="00D0743F" w:rsidP="00D0743F">
            <w:pPr>
              <w:rPr>
                <w:rFonts w:cs="Arial"/>
              </w:rPr>
            </w:pPr>
          </w:p>
        </w:tc>
        <w:tc>
          <w:tcPr>
            <w:tcW w:w="1470" w:type="dxa"/>
          </w:tcPr>
          <w:p w14:paraId="51CFF19A" w14:textId="77777777" w:rsidR="00D0743F" w:rsidRPr="003F4E42" w:rsidRDefault="00D0743F" w:rsidP="00D0743F">
            <w:pPr>
              <w:rPr>
                <w:rFonts w:cs="Arial"/>
              </w:rPr>
            </w:pPr>
          </w:p>
        </w:tc>
        <w:tc>
          <w:tcPr>
            <w:tcW w:w="2284" w:type="dxa"/>
          </w:tcPr>
          <w:p w14:paraId="31748CFE" w14:textId="77777777" w:rsidR="00D0743F" w:rsidRPr="003F4E42" w:rsidRDefault="00D0743F" w:rsidP="00D0743F">
            <w:pPr>
              <w:rPr>
                <w:rFonts w:cs="Arial"/>
              </w:rPr>
            </w:pPr>
          </w:p>
        </w:tc>
        <w:tc>
          <w:tcPr>
            <w:tcW w:w="2134" w:type="dxa"/>
          </w:tcPr>
          <w:p w14:paraId="5F51C343" w14:textId="77777777" w:rsidR="00D0743F" w:rsidRPr="003F4E42" w:rsidRDefault="00D0743F" w:rsidP="00D0743F">
            <w:pPr>
              <w:rPr>
                <w:rFonts w:cs="Arial"/>
              </w:rPr>
            </w:pPr>
          </w:p>
        </w:tc>
        <w:tc>
          <w:tcPr>
            <w:tcW w:w="2138" w:type="dxa"/>
            <w:vMerge/>
          </w:tcPr>
          <w:p w14:paraId="5EBCDD1F" w14:textId="77777777" w:rsidR="00D0743F" w:rsidRPr="003F4E42" w:rsidRDefault="00D0743F" w:rsidP="00D0743F">
            <w:pPr>
              <w:rPr>
                <w:rFonts w:cs="Arial"/>
                <w:color w:val="FF0000"/>
              </w:rPr>
            </w:pPr>
          </w:p>
        </w:tc>
      </w:tr>
      <w:tr w:rsidR="00D0743F" w:rsidRPr="003F4E42" w14:paraId="2225ED72" w14:textId="77777777" w:rsidTr="00D0743F">
        <w:trPr>
          <w:trHeight w:val="1441"/>
        </w:trPr>
        <w:tc>
          <w:tcPr>
            <w:tcW w:w="2558" w:type="dxa"/>
            <w:vAlign w:val="center"/>
          </w:tcPr>
          <w:p w14:paraId="3E1FDA76" w14:textId="77777777" w:rsidR="00D0743F" w:rsidRPr="003F4E42" w:rsidRDefault="00D0743F" w:rsidP="00D0743F">
            <w:pPr>
              <w:spacing w:before="60" w:after="60"/>
              <w:rPr>
                <w:rFonts w:cs="Arial"/>
              </w:rPr>
            </w:pPr>
          </w:p>
        </w:tc>
        <w:tc>
          <w:tcPr>
            <w:tcW w:w="1855" w:type="dxa"/>
            <w:vAlign w:val="center"/>
          </w:tcPr>
          <w:p w14:paraId="670CBF5A" w14:textId="77777777" w:rsidR="00D0743F" w:rsidRPr="003F4E42" w:rsidRDefault="00D0743F" w:rsidP="00D0743F">
            <w:pPr>
              <w:ind w:left="-2"/>
              <w:rPr>
                <w:rFonts w:cs="Arial"/>
              </w:rPr>
            </w:pPr>
          </w:p>
        </w:tc>
        <w:tc>
          <w:tcPr>
            <w:tcW w:w="1709" w:type="dxa"/>
            <w:vAlign w:val="center"/>
          </w:tcPr>
          <w:p w14:paraId="6F15BB68" w14:textId="77777777" w:rsidR="00D0743F" w:rsidRPr="003F4E42" w:rsidRDefault="00D0743F" w:rsidP="00D0743F">
            <w:pPr>
              <w:rPr>
                <w:rFonts w:cs="Arial"/>
              </w:rPr>
            </w:pPr>
          </w:p>
        </w:tc>
        <w:tc>
          <w:tcPr>
            <w:tcW w:w="1470" w:type="dxa"/>
            <w:vAlign w:val="center"/>
          </w:tcPr>
          <w:p w14:paraId="2FC36B36" w14:textId="77777777" w:rsidR="00D0743F" w:rsidRPr="003F4E42" w:rsidRDefault="00D0743F" w:rsidP="00D0743F">
            <w:pPr>
              <w:rPr>
                <w:rFonts w:cs="Arial"/>
              </w:rPr>
            </w:pPr>
          </w:p>
        </w:tc>
        <w:tc>
          <w:tcPr>
            <w:tcW w:w="2284" w:type="dxa"/>
            <w:vAlign w:val="center"/>
          </w:tcPr>
          <w:p w14:paraId="76F4B5C7" w14:textId="77777777" w:rsidR="00D0743F" w:rsidRPr="003F4E42" w:rsidRDefault="00D0743F" w:rsidP="00D0743F">
            <w:pPr>
              <w:rPr>
                <w:rFonts w:cs="Arial"/>
              </w:rPr>
            </w:pPr>
          </w:p>
        </w:tc>
        <w:tc>
          <w:tcPr>
            <w:tcW w:w="2134" w:type="dxa"/>
            <w:vAlign w:val="center"/>
          </w:tcPr>
          <w:p w14:paraId="24EE9838" w14:textId="77777777" w:rsidR="00D0743F" w:rsidRPr="003F4E42" w:rsidRDefault="00D0743F" w:rsidP="00D0743F">
            <w:pPr>
              <w:rPr>
                <w:rFonts w:cs="Arial"/>
              </w:rPr>
            </w:pPr>
          </w:p>
        </w:tc>
        <w:tc>
          <w:tcPr>
            <w:tcW w:w="2138" w:type="dxa"/>
            <w:vMerge/>
          </w:tcPr>
          <w:p w14:paraId="705258CF" w14:textId="77777777" w:rsidR="00D0743F" w:rsidRPr="003F4E42" w:rsidRDefault="00D0743F" w:rsidP="00D0743F">
            <w:pPr>
              <w:rPr>
                <w:rFonts w:cs="Arial"/>
                <w:color w:val="FF0000"/>
              </w:rPr>
            </w:pPr>
          </w:p>
        </w:tc>
      </w:tr>
    </w:tbl>
    <w:p w14:paraId="2412E5CA" w14:textId="77777777" w:rsidR="005C2FFA" w:rsidRDefault="005C2FFA"/>
    <w:sectPr w:rsidR="005C2FFA" w:rsidSect="00D0743F">
      <w:pgSz w:w="15840" w:h="12240" w:orient="landscape"/>
      <w:pgMar w:top="1440" w:right="1440" w:bottom="1440" w:left="1440" w:header="709"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BECA3" w14:textId="77777777" w:rsidR="006A0F46" w:rsidRDefault="006A0F46" w:rsidP="00D0743F">
      <w:r>
        <w:separator/>
      </w:r>
    </w:p>
  </w:endnote>
  <w:endnote w:type="continuationSeparator" w:id="0">
    <w:p w14:paraId="148294E7" w14:textId="77777777" w:rsidR="006A0F46" w:rsidRDefault="006A0F46" w:rsidP="00D07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3BCB1" w14:textId="77777777" w:rsidR="00641E1F" w:rsidRDefault="00641E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FF61C" w14:textId="77777777" w:rsidR="00D0743F" w:rsidRPr="001E64EA" w:rsidRDefault="00D0743F" w:rsidP="00D0743F">
    <w:pPr>
      <w:tabs>
        <w:tab w:val="center" w:pos="4153"/>
        <w:tab w:val="right" w:pos="8306"/>
      </w:tabs>
      <w:rPr>
        <w:sz w:val="16"/>
        <w:szCs w:val="16"/>
      </w:rPr>
    </w:pPr>
    <w:r w:rsidRPr="00D0743F">
      <w:rPr>
        <w:sz w:val="16"/>
        <w:szCs w:val="16"/>
      </w:rPr>
      <w:t>Standard Operating Procedure</w:t>
    </w:r>
    <w:r>
      <w:rPr>
        <w:sz w:val="16"/>
        <w:szCs w:val="16"/>
      </w:rPr>
      <w:t xml:space="preserve"> </w:t>
    </w:r>
    <w:r w:rsidRPr="001E64EA">
      <w:rPr>
        <w:sz w:val="16"/>
        <w:szCs w:val="16"/>
      </w:rPr>
      <w:t>for</w:t>
    </w:r>
    <w:r>
      <w:rPr>
        <w:sz w:val="16"/>
        <w:szCs w:val="16"/>
      </w:rPr>
      <w:t>:</w:t>
    </w:r>
    <w:r w:rsidRPr="001E64EA">
      <w:rPr>
        <w:sz w:val="16"/>
        <w:szCs w:val="16"/>
      </w:rPr>
      <w:t xml:space="preserve">  </w:t>
    </w:r>
  </w:p>
  <w:p w14:paraId="1C1187FC" w14:textId="77777777" w:rsidR="00D0743F" w:rsidRPr="001E64EA" w:rsidRDefault="00D0743F" w:rsidP="00D0743F">
    <w:pPr>
      <w:tabs>
        <w:tab w:val="center" w:pos="4153"/>
        <w:tab w:val="right" w:pos="8306"/>
      </w:tabs>
      <w:rPr>
        <w:sz w:val="16"/>
        <w:szCs w:val="16"/>
      </w:rPr>
    </w:pPr>
    <w:r w:rsidRPr="001E64EA">
      <w:rPr>
        <w:sz w:val="16"/>
        <w:szCs w:val="16"/>
      </w:rPr>
      <w:t>Author</w:t>
    </w:r>
    <w:r>
      <w:rPr>
        <w:sz w:val="16"/>
        <w:szCs w:val="16"/>
      </w:rPr>
      <w:t>/s</w:t>
    </w:r>
    <w:r w:rsidRPr="001E64EA">
      <w:rPr>
        <w:sz w:val="16"/>
        <w:szCs w:val="16"/>
      </w:rPr>
      <w:t xml:space="preserve">:  </w:t>
    </w:r>
    <w:r>
      <w:rPr>
        <w:sz w:val="16"/>
        <w:szCs w:val="16"/>
      </w:rPr>
      <w:t xml:space="preserve">     </w:t>
    </w:r>
    <w:r w:rsidR="005374AE">
      <w:rPr>
        <w:sz w:val="16"/>
        <w:szCs w:val="16"/>
      </w:rPr>
      <w:t xml:space="preserve">                                               </w:t>
    </w:r>
    <w:r>
      <w:rPr>
        <w:sz w:val="16"/>
        <w:szCs w:val="16"/>
      </w:rPr>
      <w:t>Author/s title:</w:t>
    </w:r>
  </w:p>
  <w:p w14:paraId="679A9307" w14:textId="77777777" w:rsidR="00D0743F" w:rsidRDefault="00D0743F" w:rsidP="00D0743F">
    <w:pPr>
      <w:tabs>
        <w:tab w:val="center" w:pos="4153"/>
        <w:tab w:val="right" w:pos="8306"/>
      </w:tabs>
      <w:rPr>
        <w:sz w:val="16"/>
        <w:szCs w:val="16"/>
      </w:rPr>
    </w:pPr>
    <w:r>
      <w:rPr>
        <w:sz w:val="16"/>
        <w:szCs w:val="16"/>
      </w:rPr>
      <w:t xml:space="preserve">Approved by:                                          </w:t>
    </w:r>
    <w:r w:rsidR="005374AE">
      <w:rPr>
        <w:sz w:val="16"/>
        <w:szCs w:val="16"/>
      </w:rPr>
      <w:t xml:space="preserve">     </w:t>
    </w:r>
    <w:r>
      <w:rPr>
        <w:sz w:val="16"/>
        <w:szCs w:val="16"/>
      </w:rPr>
      <w:t xml:space="preserve">Date approved:   </w:t>
    </w:r>
    <w:r w:rsidRPr="001E64EA">
      <w:rPr>
        <w:sz w:val="16"/>
        <w:szCs w:val="16"/>
      </w:rPr>
      <w:t xml:space="preserve"> </w:t>
    </w:r>
    <w:r>
      <w:rPr>
        <w:sz w:val="16"/>
        <w:szCs w:val="16"/>
      </w:rPr>
      <w:t xml:space="preserve">                                         </w:t>
    </w:r>
    <w:r w:rsidR="005374AE">
      <w:rPr>
        <w:sz w:val="16"/>
        <w:szCs w:val="16"/>
      </w:rPr>
      <w:t xml:space="preserve">               </w:t>
    </w:r>
    <w:r w:rsidRPr="001E64EA">
      <w:rPr>
        <w:sz w:val="16"/>
        <w:szCs w:val="16"/>
      </w:rPr>
      <w:t xml:space="preserve">Review </w:t>
    </w:r>
    <w:r>
      <w:rPr>
        <w:sz w:val="16"/>
        <w:szCs w:val="16"/>
      </w:rPr>
      <w:t xml:space="preserve">date: </w:t>
    </w:r>
  </w:p>
  <w:p w14:paraId="3007747F" w14:textId="77777777" w:rsidR="00D0743F" w:rsidRPr="001E64EA" w:rsidRDefault="00D0743F" w:rsidP="00D0743F">
    <w:pPr>
      <w:tabs>
        <w:tab w:val="center" w:pos="4153"/>
        <w:tab w:val="right" w:pos="8306"/>
      </w:tabs>
      <w:rPr>
        <w:sz w:val="16"/>
        <w:szCs w:val="16"/>
      </w:rPr>
    </w:pPr>
    <w:r w:rsidRPr="001E64EA">
      <w:rPr>
        <w:sz w:val="16"/>
        <w:szCs w:val="16"/>
      </w:rPr>
      <w:t xml:space="preserve">Available via Trust Docs       </w:t>
    </w:r>
    <w:r>
      <w:rPr>
        <w:sz w:val="16"/>
        <w:szCs w:val="16"/>
      </w:rPr>
      <w:t xml:space="preserve">Version:         Trust Docs ID: </w:t>
    </w:r>
    <w:r w:rsidRPr="00BE3A1D">
      <w:rPr>
        <w:i/>
        <w:sz w:val="16"/>
        <w:szCs w:val="16"/>
      </w:rPr>
      <w:t>(if known)</w:t>
    </w:r>
    <w:r w:rsidRPr="001E64EA">
      <w:rPr>
        <w:i/>
        <w:sz w:val="16"/>
        <w:szCs w:val="16"/>
      </w:rPr>
      <w:t xml:space="preserve">         </w:t>
    </w:r>
    <w:r w:rsidRPr="001E64EA">
      <w:rPr>
        <w:sz w:val="16"/>
        <w:szCs w:val="16"/>
      </w:rPr>
      <w:t xml:space="preserve">  </w:t>
    </w:r>
    <w:r w:rsidRPr="00BE3A1D">
      <w:rPr>
        <w:sz w:val="16"/>
        <w:szCs w:val="16"/>
      </w:rPr>
      <w:t xml:space="preserve">                               </w:t>
    </w:r>
    <w:r w:rsidR="005374AE">
      <w:rPr>
        <w:sz w:val="16"/>
        <w:szCs w:val="16"/>
      </w:rPr>
      <w:t xml:space="preserve">   </w:t>
    </w:r>
    <w:r w:rsidRPr="001E64EA">
      <w:rPr>
        <w:sz w:val="16"/>
        <w:szCs w:val="16"/>
      </w:rPr>
      <w:t xml:space="preserve">Page </w:t>
    </w:r>
    <w:r w:rsidRPr="001E64EA">
      <w:rPr>
        <w:sz w:val="16"/>
        <w:szCs w:val="16"/>
      </w:rPr>
      <w:fldChar w:fldCharType="begin"/>
    </w:r>
    <w:r w:rsidRPr="001E64EA">
      <w:rPr>
        <w:sz w:val="16"/>
        <w:szCs w:val="16"/>
      </w:rPr>
      <w:instrText xml:space="preserve"> PAGE  \* Arabic  \* MERGEFORMAT </w:instrText>
    </w:r>
    <w:r w:rsidRPr="001E64EA">
      <w:rPr>
        <w:sz w:val="16"/>
        <w:szCs w:val="16"/>
      </w:rPr>
      <w:fldChar w:fldCharType="separate"/>
    </w:r>
    <w:r w:rsidR="00820383">
      <w:rPr>
        <w:noProof/>
        <w:sz w:val="16"/>
        <w:szCs w:val="16"/>
      </w:rPr>
      <w:t>4</w:t>
    </w:r>
    <w:r w:rsidRPr="001E64EA">
      <w:rPr>
        <w:sz w:val="16"/>
        <w:szCs w:val="16"/>
      </w:rPr>
      <w:fldChar w:fldCharType="end"/>
    </w:r>
    <w:r w:rsidRPr="001E64EA">
      <w:rPr>
        <w:sz w:val="16"/>
        <w:szCs w:val="16"/>
      </w:rPr>
      <w:t xml:space="preserve"> of </w:t>
    </w:r>
    <w:r w:rsidRPr="001E64EA">
      <w:rPr>
        <w:sz w:val="16"/>
        <w:szCs w:val="16"/>
      </w:rPr>
      <w:fldChar w:fldCharType="begin"/>
    </w:r>
    <w:r w:rsidRPr="001E64EA">
      <w:rPr>
        <w:sz w:val="16"/>
        <w:szCs w:val="16"/>
      </w:rPr>
      <w:instrText xml:space="preserve"> NUMPAGES  \* Arabic  \* MERGEFORMAT </w:instrText>
    </w:r>
    <w:r w:rsidRPr="001E64EA">
      <w:rPr>
        <w:sz w:val="16"/>
        <w:szCs w:val="16"/>
      </w:rPr>
      <w:fldChar w:fldCharType="separate"/>
    </w:r>
    <w:r w:rsidR="00820383">
      <w:rPr>
        <w:noProof/>
        <w:sz w:val="16"/>
        <w:szCs w:val="16"/>
      </w:rPr>
      <w:t>6</w:t>
    </w:r>
    <w:r w:rsidRPr="001E64EA">
      <w:rPr>
        <w:sz w:val="16"/>
        <w:szCs w:val="16"/>
      </w:rPr>
      <w:fldChar w:fldCharType="end"/>
    </w:r>
  </w:p>
  <w:p w14:paraId="290CF6C4" w14:textId="77777777" w:rsidR="00D0743F" w:rsidRDefault="00D074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BDA2" w14:textId="77777777" w:rsidR="005374AE" w:rsidRPr="001E64EA" w:rsidRDefault="005374AE" w:rsidP="005374AE">
    <w:pPr>
      <w:tabs>
        <w:tab w:val="center" w:pos="4153"/>
        <w:tab w:val="right" w:pos="8306"/>
      </w:tabs>
      <w:rPr>
        <w:sz w:val="16"/>
        <w:szCs w:val="16"/>
      </w:rPr>
    </w:pPr>
    <w:r w:rsidRPr="00D0743F">
      <w:rPr>
        <w:sz w:val="16"/>
        <w:szCs w:val="16"/>
      </w:rPr>
      <w:t>Standard Operating Procedure</w:t>
    </w:r>
    <w:r>
      <w:rPr>
        <w:sz w:val="16"/>
        <w:szCs w:val="16"/>
      </w:rPr>
      <w:t xml:space="preserve"> </w:t>
    </w:r>
    <w:r w:rsidRPr="001E64EA">
      <w:rPr>
        <w:sz w:val="16"/>
        <w:szCs w:val="16"/>
      </w:rPr>
      <w:t>for</w:t>
    </w:r>
    <w:r>
      <w:rPr>
        <w:sz w:val="16"/>
        <w:szCs w:val="16"/>
      </w:rPr>
      <w:t>:</w:t>
    </w:r>
    <w:r w:rsidRPr="001E64EA">
      <w:rPr>
        <w:sz w:val="16"/>
        <w:szCs w:val="16"/>
      </w:rPr>
      <w:t xml:space="preserve">  </w:t>
    </w:r>
  </w:p>
  <w:p w14:paraId="6C2FDB39" w14:textId="77777777" w:rsidR="005374AE" w:rsidRPr="001E64EA" w:rsidRDefault="005374AE" w:rsidP="005374AE">
    <w:pPr>
      <w:tabs>
        <w:tab w:val="center" w:pos="4153"/>
        <w:tab w:val="right" w:pos="8306"/>
      </w:tabs>
      <w:rPr>
        <w:sz w:val="16"/>
        <w:szCs w:val="16"/>
      </w:rPr>
    </w:pPr>
    <w:r w:rsidRPr="001E64EA">
      <w:rPr>
        <w:sz w:val="16"/>
        <w:szCs w:val="16"/>
      </w:rPr>
      <w:t>Author</w:t>
    </w:r>
    <w:r>
      <w:rPr>
        <w:sz w:val="16"/>
        <w:szCs w:val="16"/>
      </w:rPr>
      <w:t>/s</w:t>
    </w:r>
    <w:r w:rsidRPr="001E64EA">
      <w:rPr>
        <w:sz w:val="16"/>
        <w:szCs w:val="16"/>
      </w:rPr>
      <w:t xml:space="preserve">:  </w:t>
    </w:r>
    <w:r>
      <w:rPr>
        <w:sz w:val="16"/>
        <w:szCs w:val="16"/>
      </w:rPr>
      <w:t xml:space="preserve">                                                    Author/s title:</w:t>
    </w:r>
  </w:p>
  <w:p w14:paraId="02F9FEB7" w14:textId="77777777" w:rsidR="005374AE" w:rsidRDefault="005374AE" w:rsidP="005374AE">
    <w:pPr>
      <w:tabs>
        <w:tab w:val="center" w:pos="4153"/>
        <w:tab w:val="right" w:pos="8306"/>
      </w:tabs>
      <w:rPr>
        <w:sz w:val="16"/>
        <w:szCs w:val="16"/>
      </w:rPr>
    </w:pPr>
    <w:r>
      <w:rPr>
        <w:sz w:val="16"/>
        <w:szCs w:val="16"/>
      </w:rPr>
      <w:t xml:space="preserve">Approved by:                                               Date approved:   </w:t>
    </w:r>
    <w:r w:rsidRPr="001E64EA">
      <w:rPr>
        <w:sz w:val="16"/>
        <w:szCs w:val="16"/>
      </w:rPr>
      <w:t xml:space="preserve"> </w:t>
    </w:r>
    <w:r>
      <w:rPr>
        <w:sz w:val="16"/>
        <w:szCs w:val="16"/>
      </w:rPr>
      <w:t xml:space="preserve">                                                        </w:t>
    </w:r>
    <w:r w:rsidRPr="001E64EA">
      <w:rPr>
        <w:sz w:val="16"/>
        <w:szCs w:val="16"/>
      </w:rPr>
      <w:t xml:space="preserve">Review </w:t>
    </w:r>
    <w:r>
      <w:rPr>
        <w:sz w:val="16"/>
        <w:szCs w:val="16"/>
      </w:rPr>
      <w:t xml:space="preserve">date: </w:t>
    </w:r>
  </w:p>
  <w:p w14:paraId="4BAD6043" w14:textId="77777777" w:rsidR="005374AE" w:rsidRPr="001E64EA" w:rsidRDefault="005374AE" w:rsidP="005374AE">
    <w:pPr>
      <w:tabs>
        <w:tab w:val="center" w:pos="4153"/>
        <w:tab w:val="right" w:pos="8306"/>
      </w:tabs>
      <w:rPr>
        <w:sz w:val="16"/>
        <w:szCs w:val="16"/>
      </w:rPr>
    </w:pPr>
    <w:r w:rsidRPr="001E64EA">
      <w:rPr>
        <w:sz w:val="16"/>
        <w:szCs w:val="16"/>
      </w:rPr>
      <w:t xml:space="preserve">Available via Trust Docs       </w:t>
    </w:r>
    <w:r>
      <w:rPr>
        <w:sz w:val="16"/>
        <w:szCs w:val="16"/>
      </w:rPr>
      <w:t xml:space="preserve">Version:         Trust Docs ID: </w:t>
    </w:r>
    <w:r w:rsidRPr="00BE3A1D">
      <w:rPr>
        <w:i/>
        <w:sz w:val="16"/>
        <w:szCs w:val="16"/>
      </w:rPr>
      <w:t>(if known)</w:t>
    </w:r>
    <w:r w:rsidRPr="001E64EA">
      <w:rPr>
        <w:i/>
        <w:sz w:val="16"/>
        <w:szCs w:val="16"/>
      </w:rPr>
      <w:t xml:space="preserve">         </w:t>
    </w:r>
    <w:r w:rsidRPr="001E64EA">
      <w:rPr>
        <w:sz w:val="16"/>
        <w:szCs w:val="16"/>
      </w:rPr>
      <w:t xml:space="preserve">  </w:t>
    </w:r>
    <w:r w:rsidRPr="00BE3A1D">
      <w:rPr>
        <w:sz w:val="16"/>
        <w:szCs w:val="16"/>
      </w:rPr>
      <w:t xml:space="preserve">                               </w:t>
    </w:r>
    <w:r>
      <w:rPr>
        <w:sz w:val="16"/>
        <w:szCs w:val="16"/>
      </w:rPr>
      <w:t xml:space="preserve">   </w:t>
    </w:r>
    <w:r w:rsidRPr="001E64EA">
      <w:rPr>
        <w:sz w:val="16"/>
        <w:szCs w:val="16"/>
      </w:rPr>
      <w:t xml:space="preserve">Page </w:t>
    </w:r>
    <w:r w:rsidRPr="001E64EA">
      <w:rPr>
        <w:sz w:val="16"/>
        <w:szCs w:val="16"/>
      </w:rPr>
      <w:fldChar w:fldCharType="begin"/>
    </w:r>
    <w:r w:rsidRPr="001E64EA">
      <w:rPr>
        <w:sz w:val="16"/>
        <w:szCs w:val="16"/>
      </w:rPr>
      <w:instrText xml:space="preserve"> PAGE  \* Arabic  \* MERGEFORMAT </w:instrText>
    </w:r>
    <w:r w:rsidRPr="001E64EA">
      <w:rPr>
        <w:sz w:val="16"/>
        <w:szCs w:val="16"/>
      </w:rPr>
      <w:fldChar w:fldCharType="separate"/>
    </w:r>
    <w:r w:rsidR="00820383">
      <w:rPr>
        <w:noProof/>
        <w:sz w:val="16"/>
        <w:szCs w:val="16"/>
      </w:rPr>
      <w:t>1</w:t>
    </w:r>
    <w:r w:rsidRPr="001E64EA">
      <w:rPr>
        <w:sz w:val="16"/>
        <w:szCs w:val="16"/>
      </w:rPr>
      <w:fldChar w:fldCharType="end"/>
    </w:r>
    <w:r w:rsidRPr="001E64EA">
      <w:rPr>
        <w:sz w:val="16"/>
        <w:szCs w:val="16"/>
      </w:rPr>
      <w:t xml:space="preserve"> of </w:t>
    </w:r>
    <w:r w:rsidRPr="001E64EA">
      <w:rPr>
        <w:sz w:val="16"/>
        <w:szCs w:val="16"/>
      </w:rPr>
      <w:fldChar w:fldCharType="begin"/>
    </w:r>
    <w:r w:rsidRPr="001E64EA">
      <w:rPr>
        <w:sz w:val="16"/>
        <w:szCs w:val="16"/>
      </w:rPr>
      <w:instrText xml:space="preserve"> NUMPAGES  \* Arabic  \* MERGEFORMAT </w:instrText>
    </w:r>
    <w:r w:rsidRPr="001E64EA">
      <w:rPr>
        <w:sz w:val="16"/>
        <w:szCs w:val="16"/>
      </w:rPr>
      <w:fldChar w:fldCharType="separate"/>
    </w:r>
    <w:r w:rsidR="00820383">
      <w:rPr>
        <w:noProof/>
        <w:sz w:val="16"/>
        <w:szCs w:val="16"/>
      </w:rPr>
      <w:t>6</w:t>
    </w:r>
    <w:r w:rsidRPr="001E64EA">
      <w:rPr>
        <w:sz w:val="16"/>
        <w:szCs w:val="16"/>
      </w:rPr>
      <w:fldChar w:fldCharType="end"/>
    </w:r>
  </w:p>
  <w:p w14:paraId="5552C382" w14:textId="77777777" w:rsidR="005374AE" w:rsidRDefault="005374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0E84F" w14:textId="77777777" w:rsidR="006A0F46" w:rsidRDefault="006A0F46" w:rsidP="00D0743F">
      <w:r>
        <w:separator/>
      </w:r>
    </w:p>
  </w:footnote>
  <w:footnote w:type="continuationSeparator" w:id="0">
    <w:p w14:paraId="3A6AE567" w14:textId="77777777" w:rsidR="006A0F46" w:rsidRDefault="006A0F46" w:rsidP="00D074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B71AC" w14:textId="77777777" w:rsidR="00641E1F" w:rsidRDefault="00641E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300E8" w14:textId="77777777" w:rsidR="00D0743F" w:rsidRPr="0008648F" w:rsidRDefault="00D0743F" w:rsidP="004302BE">
    <w:pPr>
      <w:widowControl w:val="0"/>
      <w:jc w:val="center"/>
      <w:rPr>
        <w:rFonts w:cs="Arial"/>
        <w:i/>
        <w:lang w:eastAsia="en-US"/>
      </w:rPr>
    </w:pPr>
    <w:r w:rsidRPr="0008648F">
      <w:rPr>
        <w:rFonts w:cs="Arial"/>
        <w:b/>
        <w:lang w:eastAsia="en-US"/>
      </w:rPr>
      <w:t xml:space="preserve">Standard Operating Procedure </w:t>
    </w:r>
    <w:r w:rsidRPr="00D0743F">
      <w:rPr>
        <w:rFonts w:cs="Arial"/>
        <w:b/>
        <w:lang w:eastAsia="en-US"/>
      </w:rPr>
      <w:t>f</w:t>
    </w:r>
    <w:r w:rsidRPr="00D0743F">
      <w:rPr>
        <w:rFonts w:cs="Arial"/>
        <w:b/>
        <w:iCs/>
        <w:lang w:eastAsia="en-US"/>
      </w:rPr>
      <w:t>or</w:t>
    </w:r>
    <w:r>
      <w:rPr>
        <w:rFonts w:cs="Arial"/>
        <w:b/>
        <w:iCs/>
        <w:lang w:eastAsia="en-US"/>
      </w:rPr>
      <w:t>:</w:t>
    </w:r>
    <w:r w:rsidR="001A2DA2">
      <w:rPr>
        <w:rFonts w:cs="Arial"/>
        <w:b/>
        <w:iCs/>
        <w:lang w:eastAsia="en-US"/>
      </w:rPr>
      <w:t xml:space="preserve"> </w:t>
    </w:r>
    <w:r w:rsidR="00641E1F">
      <w:rPr>
        <w:rFonts w:cs="Arial"/>
        <w:b/>
        <w:iCs/>
        <w:lang w:eastAsia="en-US"/>
      </w:rPr>
      <w:t>Volunteer Settle in Service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7D85C" w14:textId="77777777" w:rsidR="00D0743F" w:rsidRDefault="00F033B6">
    <w:pPr>
      <w:pStyle w:val="Header"/>
    </w:pPr>
    <w:r>
      <w:rPr>
        <w:noProof/>
      </w:rPr>
      <w:drawing>
        <wp:anchor distT="0" distB="0" distL="114300" distR="114300" simplePos="0" relativeHeight="251657728" behindDoc="0" locked="0" layoutInCell="1" allowOverlap="1" wp14:anchorId="24BB2B1C" wp14:editId="3B71962E">
          <wp:simplePos x="0" y="0"/>
          <wp:positionH relativeFrom="column">
            <wp:posOffset>159385</wp:posOffset>
          </wp:positionH>
          <wp:positionV relativeFrom="paragraph">
            <wp:posOffset>-236220</wp:posOffset>
          </wp:positionV>
          <wp:extent cx="5592445" cy="488950"/>
          <wp:effectExtent l="0" t="0" r="0" b="0"/>
          <wp:wrapNone/>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92445" cy="488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21C0"/>
    <w:multiLevelType w:val="hybridMultilevel"/>
    <w:tmpl w:val="C4D0F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C922A4"/>
    <w:multiLevelType w:val="hybridMultilevel"/>
    <w:tmpl w:val="4552A768"/>
    <w:lvl w:ilvl="0" w:tplc="08090001">
      <w:start w:val="1"/>
      <w:numFmt w:val="bullet"/>
      <w:lvlText w:val=""/>
      <w:lvlJc w:val="left"/>
      <w:pPr>
        <w:ind w:left="1437" w:hanging="360"/>
      </w:pPr>
      <w:rPr>
        <w:rFonts w:ascii="Symbol" w:hAnsi="Symbol"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2" w15:restartNumberingAfterBreak="0">
    <w:nsid w:val="152737DA"/>
    <w:multiLevelType w:val="hybridMultilevel"/>
    <w:tmpl w:val="6D7471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C43BC1"/>
    <w:multiLevelType w:val="hybridMultilevel"/>
    <w:tmpl w:val="33C21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4C22A9"/>
    <w:multiLevelType w:val="hybridMultilevel"/>
    <w:tmpl w:val="BD261200"/>
    <w:lvl w:ilvl="0" w:tplc="08090001">
      <w:start w:val="1"/>
      <w:numFmt w:val="bullet"/>
      <w:lvlText w:val=""/>
      <w:lvlJc w:val="left"/>
      <w:pPr>
        <w:ind w:left="717" w:hanging="360"/>
      </w:pPr>
      <w:rPr>
        <w:rFonts w:ascii="Symbol" w:hAnsi="Symbol"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5" w15:restartNumberingAfterBreak="0">
    <w:nsid w:val="29945E14"/>
    <w:multiLevelType w:val="hybridMultilevel"/>
    <w:tmpl w:val="C1A08EB6"/>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A704E2E"/>
    <w:multiLevelType w:val="hybridMultilevel"/>
    <w:tmpl w:val="DCD68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20768E"/>
    <w:multiLevelType w:val="hybridMultilevel"/>
    <w:tmpl w:val="F82AE402"/>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04F46E1"/>
    <w:multiLevelType w:val="hybridMultilevel"/>
    <w:tmpl w:val="29285F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E500660"/>
    <w:multiLevelType w:val="hybridMultilevel"/>
    <w:tmpl w:val="29285F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6BB7235"/>
    <w:multiLevelType w:val="hybridMultilevel"/>
    <w:tmpl w:val="52A279EA"/>
    <w:lvl w:ilvl="0" w:tplc="08090005">
      <w:start w:val="1"/>
      <w:numFmt w:val="bullet"/>
      <w:lvlText w:val=""/>
      <w:lvlJc w:val="left"/>
      <w:pPr>
        <w:ind w:left="990" w:hanging="360"/>
      </w:pPr>
      <w:rPr>
        <w:rFonts w:ascii="Wingdings" w:hAnsi="Wingdings" w:hint="default"/>
      </w:rPr>
    </w:lvl>
    <w:lvl w:ilvl="1" w:tplc="08090003" w:tentative="1">
      <w:start w:val="1"/>
      <w:numFmt w:val="bullet"/>
      <w:lvlText w:val="o"/>
      <w:lvlJc w:val="left"/>
      <w:pPr>
        <w:ind w:left="1710" w:hanging="360"/>
      </w:pPr>
      <w:rPr>
        <w:rFonts w:ascii="Courier New" w:hAnsi="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11" w15:restartNumberingAfterBreak="0">
    <w:nsid w:val="6FB66F43"/>
    <w:multiLevelType w:val="hybridMultilevel"/>
    <w:tmpl w:val="0EF40E94"/>
    <w:lvl w:ilvl="0" w:tplc="8E12D790">
      <w:start w:val="1"/>
      <w:numFmt w:val="bullet"/>
      <w:lvlText w:val=""/>
      <w:lvlJc w:val="left"/>
      <w:pPr>
        <w:tabs>
          <w:tab w:val="num" w:pos="2067"/>
        </w:tabs>
        <w:ind w:left="1784" w:hanging="284"/>
      </w:pPr>
      <w:rPr>
        <w:rFonts w:ascii="Symbol" w:hAnsi="Symbol" w:hint="default"/>
        <w:color w:val="auto"/>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2C40FCD"/>
    <w:multiLevelType w:val="hybridMultilevel"/>
    <w:tmpl w:val="AD1A53EE"/>
    <w:lvl w:ilvl="0" w:tplc="63121568">
      <w:start w:val="1"/>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num w:numId="1" w16cid:durableId="1290480452">
    <w:abstractNumId w:val="10"/>
  </w:num>
  <w:num w:numId="2" w16cid:durableId="494036429">
    <w:abstractNumId w:val="8"/>
  </w:num>
  <w:num w:numId="3" w16cid:durableId="1304576611">
    <w:abstractNumId w:val="2"/>
  </w:num>
  <w:num w:numId="4" w16cid:durableId="1302462943">
    <w:abstractNumId w:val="9"/>
  </w:num>
  <w:num w:numId="5" w16cid:durableId="1465658430">
    <w:abstractNumId w:val="11"/>
  </w:num>
  <w:num w:numId="6" w16cid:durableId="2032489913">
    <w:abstractNumId w:val="12"/>
  </w:num>
  <w:num w:numId="7" w16cid:durableId="924264051">
    <w:abstractNumId w:val="7"/>
  </w:num>
  <w:num w:numId="8" w16cid:durableId="1445462094">
    <w:abstractNumId w:val="4"/>
  </w:num>
  <w:num w:numId="9" w16cid:durableId="1067656315">
    <w:abstractNumId w:val="5"/>
  </w:num>
  <w:num w:numId="10" w16cid:durableId="2047217710">
    <w:abstractNumId w:val="3"/>
  </w:num>
  <w:num w:numId="11" w16cid:durableId="1850872384">
    <w:abstractNumId w:val="0"/>
  </w:num>
  <w:num w:numId="12" w16cid:durableId="430466717">
    <w:abstractNumId w:val="1"/>
  </w:num>
  <w:num w:numId="13" w16cid:durableId="14579872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43F"/>
    <w:rsid w:val="000223E9"/>
    <w:rsid w:val="00026F09"/>
    <w:rsid w:val="000331DB"/>
    <w:rsid w:val="000337FA"/>
    <w:rsid w:val="0003561D"/>
    <w:rsid w:val="00055824"/>
    <w:rsid w:val="0007039C"/>
    <w:rsid w:val="0007626D"/>
    <w:rsid w:val="00080924"/>
    <w:rsid w:val="00081BA6"/>
    <w:rsid w:val="00085DC4"/>
    <w:rsid w:val="000A013B"/>
    <w:rsid w:val="00120072"/>
    <w:rsid w:val="00126C3A"/>
    <w:rsid w:val="0013061E"/>
    <w:rsid w:val="0014464D"/>
    <w:rsid w:val="00145830"/>
    <w:rsid w:val="00150502"/>
    <w:rsid w:val="001616EB"/>
    <w:rsid w:val="001752D8"/>
    <w:rsid w:val="001A0804"/>
    <w:rsid w:val="001A2DA2"/>
    <w:rsid w:val="001A5002"/>
    <w:rsid w:val="001B4BFB"/>
    <w:rsid w:val="001D3C1D"/>
    <w:rsid w:val="002060C4"/>
    <w:rsid w:val="002262AD"/>
    <w:rsid w:val="002279B6"/>
    <w:rsid w:val="002301A7"/>
    <w:rsid w:val="002307A8"/>
    <w:rsid w:val="0023494B"/>
    <w:rsid w:val="00236E83"/>
    <w:rsid w:val="0024019E"/>
    <w:rsid w:val="002645B5"/>
    <w:rsid w:val="002745A9"/>
    <w:rsid w:val="00275205"/>
    <w:rsid w:val="002F157A"/>
    <w:rsid w:val="002F28CE"/>
    <w:rsid w:val="002F2F45"/>
    <w:rsid w:val="00324229"/>
    <w:rsid w:val="00341A47"/>
    <w:rsid w:val="003676E6"/>
    <w:rsid w:val="00386CDE"/>
    <w:rsid w:val="003916DC"/>
    <w:rsid w:val="00394474"/>
    <w:rsid w:val="003A007A"/>
    <w:rsid w:val="003A3C9E"/>
    <w:rsid w:val="003B73A5"/>
    <w:rsid w:val="003D1A30"/>
    <w:rsid w:val="0040492B"/>
    <w:rsid w:val="00407550"/>
    <w:rsid w:val="00413C26"/>
    <w:rsid w:val="004140C1"/>
    <w:rsid w:val="004302BE"/>
    <w:rsid w:val="00433FA7"/>
    <w:rsid w:val="00436D73"/>
    <w:rsid w:val="00443460"/>
    <w:rsid w:val="004563CC"/>
    <w:rsid w:val="0046770C"/>
    <w:rsid w:val="0048197B"/>
    <w:rsid w:val="0048672B"/>
    <w:rsid w:val="004E1F04"/>
    <w:rsid w:val="004F3185"/>
    <w:rsid w:val="004F7FBF"/>
    <w:rsid w:val="005374AE"/>
    <w:rsid w:val="0054433E"/>
    <w:rsid w:val="00544BA0"/>
    <w:rsid w:val="00550C09"/>
    <w:rsid w:val="005777BD"/>
    <w:rsid w:val="00577971"/>
    <w:rsid w:val="005A24EA"/>
    <w:rsid w:val="005A297F"/>
    <w:rsid w:val="005A4C7C"/>
    <w:rsid w:val="005C2FFA"/>
    <w:rsid w:val="005D1C26"/>
    <w:rsid w:val="005E0339"/>
    <w:rsid w:val="005F5965"/>
    <w:rsid w:val="0060508C"/>
    <w:rsid w:val="00614A6D"/>
    <w:rsid w:val="006176AB"/>
    <w:rsid w:val="00637710"/>
    <w:rsid w:val="00641E1F"/>
    <w:rsid w:val="00687498"/>
    <w:rsid w:val="00694015"/>
    <w:rsid w:val="006A0F46"/>
    <w:rsid w:val="006B6C25"/>
    <w:rsid w:val="006D1624"/>
    <w:rsid w:val="006E3626"/>
    <w:rsid w:val="00737D67"/>
    <w:rsid w:val="00756593"/>
    <w:rsid w:val="00760787"/>
    <w:rsid w:val="00765347"/>
    <w:rsid w:val="007D0D8B"/>
    <w:rsid w:val="007D1A6C"/>
    <w:rsid w:val="00820383"/>
    <w:rsid w:val="0083234B"/>
    <w:rsid w:val="0087186A"/>
    <w:rsid w:val="008736D4"/>
    <w:rsid w:val="00880A14"/>
    <w:rsid w:val="00881F09"/>
    <w:rsid w:val="00886F2E"/>
    <w:rsid w:val="008876D1"/>
    <w:rsid w:val="008903FF"/>
    <w:rsid w:val="0089622F"/>
    <w:rsid w:val="008A4970"/>
    <w:rsid w:val="008A534D"/>
    <w:rsid w:val="008A6D04"/>
    <w:rsid w:val="008C07EF"/>
    <w:rsid w:val="008C2CCF"/>
    <w:rsid w:val="008C7479"/>
    <w:rsid w:val="008D51A2"/>
    <w:rsid w:val="008E5C6B"/>
    <w:rsid w:val="00910E63"/>
    <w:rsid w:val="00952F09"/>
    <w:rsid w:val="00971C4E"/>
    <w:rsid w:val="009A1A23"/>
    <w:rsid w:val="009A7E16"/>
    <w:rsid w:val="009D39DF"/>
    <w:rsid w:val="009D5A30"/>
    <w:rsid w:val="009D730B"/>
    <w:rsid w:val="00A07C3F"/>
    <w:rsid w:val="00A1013C"/>
    <w:rsid w:val="00A15C5D"/>
    <w:rsid w:val="00A21DF0"/>
    <w:rsid w:val="00A31867"/>
    <w:rsid w:val="00A648FE"/>
    <w:rsid w:val="00AC0329"/>
    <w:rsid w:val="00AC1A3A"/>
    <w:rsid w:val="00AC2B5B"/>
    <w:rsid w:val="00AF6637"/>
    <w:rsid w:val="00B20133"/>
    <w:rsid w:val="00B236AC"/>
    <w:rsid w:val="00B3006C"/>
    <w:rsid w:val="00B83B31"/>
    <w:rsid w:val="00BF4F74"/>
    <w:rsid w:val="00C2545D"/>
    <w:rsid w:val="00C5046C"/>
    <w:rsid w:val="00C55372"/>
    <w:rsid w:val="00C73EF6"/>
    <w:rsid w:val="00C81E23"/>
    <w:rsid w:val="00CC1499"/>
    <w:rsid w:val="00CD13CF"/>
    <w:rsid w:val="00CE311F"/>
    <w:rsid w:val="00D02A10"/>
    <w:rsid w:val="00D0743F"/>
    <w:rsid w:val="00D144BF"/>
    <w:rsid w:val="00D311C3"/>
    <w:rsid w:val="00D35932"/>
    <w:rsid w:val="00D60C95"/>
    <w:rsid w:val="00DA2FE5"/>
    <w:rsid w:val="00DA67C8"/>
    <w:rsid w:val="00DB36EE"/>
    <w:rsid w:val="00DC5BCC"/>
    <w:rsid w:val="00E0289F"/>
    <w:rsid w:val="00E44846"/>
    <w:rsid w:val="00E55537"/>
    <w:rsid w:val="00E62140"/>
    <w:rsid w:val="00E62F2C"/>
    <w:rsid w:val="00E670AB"/>
    <w:rsid w:val="00E82FA0"/>
    <w:rsid w:val="00EA2F5D"/>
    <w:rsid w:val="00ED29BA"/>
    <w:rsid w:val="00ED505D"/>
    <w:rsid w:val="00ED7E72"/>
    <w:rsid w:val="00EE2637"/>
    <w:rsid w:val="00F033B6"/>
    <w:rsid w:val="00F06F45"/>
    <w:rsid w:val="00F13686"/>
    <w:rsid w:val="00F203D8"/>
    <w:rsid w:val="00F76123"/>
    <w:rsid w:val="00FA1983"/>
    <w:rsid w:val="00FA58C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B0BA0"/>
  <w15:chartTrackingRefBased/>
  <w15:docId w15:val="{5C2CC5D3-4790-4ACC-8E25-91FC8F0D3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43F"/>
    <w:rPr>
      <w:rFonts w:ascii="Arial" w:eastAsia="Times New Roman" w:hAnsi="Arial"/>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0743F"/>
    <w:pPr>
      <w:ind w:left="720"/>
      <w:contextualSpacing/>
    </w:pPr>
  </w:style>
  <w:style w:type="paragraph" w:styleId="Header">
    <w:name w:val="header"/>
    <w:basedOn w:val="Normal"/>
    <w:link w:val="HeaderChar"/>
    <w:uiPriority w:val="99"/>
    <w:unhideWhenUsed/>
    <w:rsid w:val="00D0743F"/>
    <w:pPr>
      <w:tabs>
        <w:tab w:val="center" w:pos="4513"/>
        <w:tab w:val="right" w:pos="9026"/>
      </w:tabs>
    </w:pPr>
  </w:style>
  <w:style w:type="character" w:customStyle="1" w:styleId="HeaderChar">
    <w:name w:val="Header Char"/>
    <w:link w:val="Header"/>
    <w:uiPriority w:val="99"/>
    <w:rsid w:val="00D0743F"/>
    <w:rPr>
      <w:rFonts w:ascii="Arial" w:eastAsia="Times New Roman" w:hAnsi="Arial" w:cs="Times New Roman"/>
      <w:sz w:val="24"/>
      <w:szCs w:val="24"/>
      <w:lang w:val="en-GB" w:eastAsia="en-GB"/>
    </w:rPr>
  </w:style>
  <w:style w:type="paragraph" w:styleId="Footer">
    <w:name w:val="footer"/>
    <w:basedOn w:val="Normal"/>
    <w:link w:val="FooterChar"/>
    <w:uiPriority w:val="99"/>
    <w:unhideWhenUsed/>
    <w:rsid w:val="00D0743F"/>
    <w:pPr>
      <w:tabs>
        <w:tab w:val="center" w:pos="4513"/>
        <w:tab w:val="right" w:pos="9026"/>
      </w:tabs>
    </w:pPr>
  </w:style>
  <w:style w:type="character" w:customStyle="1" w:styleId="FooterChar">
    <w:name w:val="Footer Char"/>
    <w:link w:val="Footer"/>
    <w:uiPriority w:val="99"/>
    <w:rsid w:val="00D0743F"/>
    <w:rPr>
      <w:rFonts w:ascii="Arial" w:eastAsia="Times New Roman" w:hAnsi="Arial" w:cs="Times New Roman"/>
      <w:sz w:val="24"/>
      <w:szCs w:val="24"/>
      <w:lang w:val="en-GB" w:eastAsia="en-GB"/>
    </w:rPr>
  </w:style>
  <w:style w:type="paragraph" w:styleId="BalloonText">
    <w:name w:val="Balloon Text"/>
    <w:basedOn w:val="Normal"/>
    <w:link w:val="BalloonTextChar"/>
    <w:uiPriority w:val="99"/>
    <w:semiHidden/>
    <w:unhideWhenUsed/>
    <w:rsid w:val="00D0743F"/>
    <w:rPr>
      <w:rFonts w:ascii="Tahoma" w:hAnsi="Tahoma" w:cs="Tahoma"/>
      <w:sz w:val="16"/>
      <w:szCs w:val="16"/>
    </w:rPr>
  </w:style>
  <w:style w:type="character" w:customStyle="1" w:styleId="BalloonTextChar">
    <w:name w:val="Balloon Text Char"/>
    <w:link w:val="BalloonText"/>
    <w:uiPriority w:val="99"/>
    <w:semiHidden/>
    <w:rsid w:val="00D0743F"/>
    <w:rPr>
      <w:rFonts w:ascii="Tahoma" w:eastAsia="Times New Roman" w:hAnsi="Tahoma" w:cs="Tahoma"/>
      <w:sz w:val="16"/>
      <w:szCs w:val="16"/>
      <w:lang w:val="en-GB" w:eastAsia="en-GB"/>
    </w:rPr>
  </w:style>
  <w:style w:type="character" w:styleId="Hyperlink">
    <w:name w:val="Hyperlink"/>
    <w:uiPriority w:val="99"/>
    <w:unhideWhenUsed/>
    <w:rsid w:val="001A50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C24E5-58B5-4410-A172-5F9B36389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1098</Words>
  <Characters>6260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Norfolk &amp; Norwich University NHS Foundation Trust</Company>
  <LinksUpToDate>false</LinksUpToDate>
  <CharactersWithSpaces>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ejh1</dc:creator>
  <cp:keywords/>
  <cp:lastModifiedBy>Debbie Ambrose (Helpforce)</cp:lastModifiedBy>
  <cp:revision>10</cp:revision>
  <cp:lastPrinted>2019-08-05T21:16:00Z</cp:lastPrinted>
  <dcterms:created xsi:type="dcterms:W3CDTF">2020-10-21T11:02:00Z</dcterms:created>
  <dcterms:modified xsi:type="dcterms:W3CDTF">2025-04-23T15:08:00Z</dcterms:modified>
</cp:coreProperties>
</file>