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ABT before writing the preview. Let me pull recent earnings materials, filings, and news.Let me read the Q1 2026 earnings call and release, and dig into the Exact Sciences deal news.Let me gather recent news, analyst sentiment on the Exact Sciences deal, and stock price performance.Let me get broader recent news and analyst sentiment context.Let me quickly check the Q4 2025 release for the original 2026 guidance framing.# Abbott Laboratories (ABT) — Q2 2026 Earnings Preview</w:t>
      </w:r>
    </w:p>
    <w:bookmarkStart w:id="9" w:name="Xc565bd129043194ef16bfbc66446f3c85e91cc0"/>
    <w:p>
      <w:pPr>
        <w:pStyle w:val="Heading3"/>
      </w:pPr>
      <w:r>
        <w:t xml:space="preserve">Reports Thursday, July 16, 2026 (before market open) | 2026Q2 Earnings Call</w:t>
      </w:r>
    </w:p>
    <w:p>
      <w:r>
        <w:pict>
          <v:rect style="width:0;height:1.5pt" o:hralign="center" o:hrstd="t" o:hr="t"/>
        </w:pict>
      </w:r>
    </w:p>
    <w:bookmarkEnd w:id="9"/>
    <w:bookmarkStart w:id="10" w:name="the-one-line-setup"/>
    <w:p>
      <w:pPr>
        <w:pStyle w:val="Heading2"/>
      </w:pPr>
      <w:r>
        <w:t xml:space="preserve">The One-Line Setup</w:t>
      </w:r>
    </w:p>
    <w:p>
      <w:pPr>
        <w:pStyle w:val="FirstParagraph"/>
      </w:pPr>
      <w:r>
        <w:t xml:space="preserve">Abbott heads into Q2 as a</w:t>
      </w:r>
      <w:r>
        <w:t xml:space="preserve"> </w:t>
      </w:r>
      <w:r>
        <w:rPr>
          <w:b/>
          <w:bCs/>
        </w:rPr>
        <w:t xml:space="preserve">"show-me" story</w:t>
      </w:r>
      <w:r>
        <w:t xml:space="preserve">. Management has spent the last two calls promising a</w:t>
      </w:r>
      <w:r>
        <w:t xml:space="preserve"> </w:t>
      </w:r>
      <w:r>
        <w:rPr>
          <w:i/>
          <w:iCs/>
        </w:rPr>
        <w:t xml:space="preserve">second-half growth acceleration</w:t>
      </w:r>
      <w:r>
        <w:t xml:space="preserve">, and Q2 is the first real proof point. The stock has been punished all year (down ~28% YTD vs. an ~10%+ gain for the S&amp;P 500), reflecting skepticism on the Exact Sciences deal, softening CGM optics, and a still-declining Nutrition business. A clean quarter with visible re-acceleration could re-rate a name that now trades at a historically cheap ~16x forward EPS; another soft print risks confirming the bear case.</w:t>
      </w:r>
    </w:p>
    <w:p>
      <w:r>
        <w:pict>
          <v:rect style="width:0;height:1.5pt" o:hralign="center" o:hrstd="t" o:hr="t"/>
        </w:pict>
      </w:r>
    </w:p>
    <w:bookmarkEnd w:id="10"/>
    <w:bookmarkStart w:id="11" w:name="what-the-numbers-need-to-show"/>
    <w:p>
      <w:pPr>
        <w:pStyle w:val="Heading2"/>
      </w:pPr>
      <w:r>
        <w:t xml:space="preserve">What the Numbers Need to Show</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pPr>
            <w:r>
              <w:t xml:space="preserve">Guidance / Context</w:t>
            </w:r>
          </w:p>
        </w:tc>
      </w:tr>
      <w:tr>
        <w:tc>
          <w:tcPr/>
          <w:p>
            <w:pPr>
              <w:pStyle w:val="Compact"/>
            </w:pPr>
            <w:r>
              <w:rPr>
                <w:b/>
                <w:bCs/>
              </w:rPr>
              <w:t xml:space="preserve">Q2 adj. EPS (guided)</w:t>
            </w:r>
          </w:p>
        </w:tc>
        <w:tc>
          <w:tcPr/>
          <w:p>
            <w:pPr>
              <w:pStyle w:val="Compact"/>
            </w:pPr>
            <w:r>
              <w:t xml:space="preserve">$1.25 – $1.31 (midpoint $1.28)</w:t>
            </w:r>
          </w:p>
        </w:tc>
      </w:tr>
      <w:tr>
        <w:tc>
          <w:tcPr/>
          <w:p>
            <w:pPr>
              <w:pStyle w:val="Compact"/>
            </w:pPr>
            <w:r>
              <w:rPr>
                <w:b/>
                <w:bCs/>
              </w:rPr>
              <w:t xml:space="preserve">Street EPS</w:t>
            </w:r>
          </w:p>
        </w:tc>
        <w:tc>
          <w:tcPr/>
          <w:p>
            <w:pPr>
              <w:pStyle w:val="Compact"/>
            </w:pPr>
            <w:r>
              <w:t xml:space="preserve">~$1.28</w:t>
            </w:r>
          </w:p>
        </w:tc>
      </w:tr>
      <w:tr>
        <w:tc>
          <w:tcPr/>
          <w:p>
            <w:pPr>
              <w:pStyle w:val="Compact"/>
            </w:pPr>
            <w:r>
              <w:rPr>
                <w:b/>
                <w:bCs/>
              </w:rPr>
              <w:t xml:space="preserve">Street Q2 growth expectation</w:t>
            </w:r>
          </w:p>
        </w:tc>
        <w:tc>
          <w:tcPr/>
          <w:p>
            <w:pPr>
              <w:pStyle w:val="Compact"/>
            </w:pPr>
            <w:r>
              <w:t xml:space="preserve">~high-single/low-double-digit comparable sales growth (a big step-up from Q1's +3.7%)</w:t>
            </w:r>
          </w:p>
        </w:tc>
      </w:tr>
      <w:tr>
        <w:tc>
          <w:tcPr/>
          <w:p>
            <w:pPr>
              <w:pStyle w:val="Compact"/>
            </w:pPr>
            <w:r>
              <w:rPr>
                <w:b/>
                <w:bCs/>
              </w:rPr>
              <w:t xml:space="preserve">FY26 comparable sales growth</w:t>
            </w:r>
          </w:p>
        </w:tc>
        <w:tc>
          <w:tcPr/>
          <w:p>
            <w:pPr>
              <w:pStyle w:val="Compact"/>
            </w:pPr>
            <w:r>
              <w:t xml:space="preserve">6.5% – 7.5%</w:t>
            </w:r>
          </w:p>
        </w:tc>
      </w:tr>
      <w:tr>
        <w:tc>
          <w:tcPr/>
          <w:p>
            <w:pPr>
              <w:pStyle w:val="Compact"/>
            </w:pPr>
            <w:r>
              <w:rPr>
                <w:b/>
                <w:bCs/>
              </w:rPr>
              <w:t xml:space="preserve">FY26 adj. EPS</w:t>
            </w:r>
          </w:p>
        </w:tc>
        <w:tc>
          <w:tcPr/>
          <w:p>
            <w:pPr>
              <w:pStyle w:val="Compact"/>
            </w:pPr>
            <w:r>
              <w:t xml:space="preserve">$5.38 – $5.58 (midpoint $5.48), includes $0.20 Exact Sciences dilution</w:t>
            </w:r>
          </w:p>
        </w:tc>
      </w:tr>
      <w:tr>
        <w:tc>
          <w:tcPr/>
          <w:p>
            <w:pPr>
              <w:pStyle w:val="Compact"/>
            </w:pPr>
            <w:r>
              <w:rPr>
                <w:b/>
                <w:bCs/>
              </w:rPr>
              <w:t xml:space="preserve">Q1 2026 actual</w:t>
            </w:r>
          </w:p>
        </w:tc>
        <w:tc>
          <w:tcPr/>
          <w:p>
            <w:pPr>
              <w:pStyle w:val="Compact"/>
            </w:pPr>
            <w:r>
              <w:t xml:space="preserve">Sales $11.16B (+7.8% reported / +3.7% comparable); adj. EPS $1.15 (+6%) — in line with the</w:t>
            </w:r>
            <w:r>
              <w:t xml:space="preserve"> </w:t>
            </w:r>
            <m:oMath>
              <m:r>
                <m:t>1.12</m:t>
              </m:r>
              <m:r>
                <m:rPr>
                  <m:sty m:val="p"/>
                </m:rPr>
                <m:t>–</m:t>
              </m:r>
            </m:oMath>
            <w:r>
              <w:t xml:space="preserve">1.18 guide</w:t>
            </w:r>
          </w:p>
        </w:tc>
      </w:tr>
      <w:tr>
        <w:tc>
          <w:tcPr/>
          <w:p>
            <w:pPr>
              <w:pStyle w:val="Compact"/>
            </w:pPr>
            <w:r>
              <w:rPr>
                <w:b/>
                <w:bCs/>
              </w:rPr>
              <w:t xml:space="preserve">2025 baseline</w:t>
            </w:r>
          </w:p>
        </w:tc>
        <w:tc>
          <w:tcPr/>
          <w:p>
            <w:pPr>
              <w:pStyle w:val="Compact"/>
            </w:pPr>
            <w:r>
              <w:t xml:space="preserve">Sales $44.3B; adj. EPS $5.15 (+10%)</w:t>
            </w:r>
          </w:p>
        </w:tc>
      </w:tr>
    </w:tbl>
    <w:p>
      <w:pPr>
        <w:pStyle w:val="BodyText"/>
      </w:pPr>
      <w:r>
        <w:rPr>
          <w:b/>
          <w:bCs/>
        </w:rPr>
        <w:t xml:space="preserve">Key framing:</w:t>
      </w:r>
      <w:r>
        <w:t xml:space="preserve"> </w:t>
      </w:r>
      <w:r>
        <w:t xml:space="preserve">In January, Abbott guided FY26 to 6.5–7.5%</w:t>
      </w:r>
      <w:r>
        <w:t xml:space="preserve"> </w:t>
      </w:r>
      <w:r>
        <w:rPr>
          <w:i/>
          <w:iCs/>
        </w:rPr>
        <w:t xml:space="preserve">organic</w:t>
      </w:r>
      <w:r>
        <w:t xml:space="preserve"> </w:t>
      </w:r>
      <w:r>
        <w:t xml:space="preserve">growth and</w:t>
      </w:r>
      <w:r>
        <w:t xml:space="preserve"> </w:t>
      </w:r>
      <m:oMath>
        <m:r>
          <m:t>5.55</m:t>
        </m:r>
        <m:r>
          <m:rPr>
            <m:sty m:val="p"/>
          </m:rPr>
          <m:t>–</m:t>
        </m:r>
      </m:oMath>
      <w:r>
        <w:t xml:space="preserve">5.80 EPS (10% growth). After Exact Sciences closed early (March 23), the framework shifted to a</w:t>
      </w:r>
      <w:r>
        <w:t xml:space="preserve"> </w:t>
      </w:r>
      <w:r>
        <w:rPr>
          <w:i/>
          <w:iCs/>
        </w:rPr>
        <w:t xml:space="preserve">comparable</w:t>
      </w:r>
      <w:r>
        <w:t xml:space="preserve"> </w:t>
      </w:r>
      <w:r>
        <w:t xml:space="preserve">basis (folding Exact into both years) and EPS was cut to</w:t>
      </w:r>
      <w:r>
        <w:t xml:space="preserve"> </w:t>
      </w:r>
      <m:oMath>
        <m:r>
          <m:t>5.38</m:t>
        </m:r>
        <m:r>
          <m:rPr>
            <m:sty m:val="p"/>
          </m:rPr>
          <m:t>–</m:t>
        </m:r>
      </m:oMath>
      <w:r>
        <w:t xml:space="preserve">5.58, entirely reflecting</w:t>
      </w:r>
      <w:r>
        <w:t xml:space="preserve"> </w:t>
      </w:r>
      <w:r>
        <w:rPr>
          <w:b/>
          <w:bCs/>
        </w:rPr>
        <w:t xml:space="preserve">$0.20 of acquisition dilution</w:t>
      </w:r>
      <w:r>
        <w:t xml:space="preserve">. So the underlying earnings algorithm was preserved — the cut was deal financing, not a fundamental miss. That nuance matters for how the market reads any FY guidance update on Thursday.</w:t>
      </w:r>
    </w:p>
    <w:p>
      <w:r>
        <w:pict>
          <v:rect style="width:0;height:1.5pt" o:hralign="center" o:hrstd="t" o:hr="t"/>
        </w:pict>
      </w:r>
    </w:p>
    <w:bookmarkEnd w:id="11"/>
    <w:bookmarkStart w:id="12" w:name="why-the-stock-has-been-under-pressure"/>
    <w:p>
      <w:pPr>
        <w:pStyle w:val="Heading2"/>
      </w:pPr>
      <w:r>
        <w:t xml:space="preserve">Why the Stock Has Been Under Pressure</w:t>
      </w:r>
    </w:p>
    <w:p>
      <w:pPr>
        <w:pStyle w:val="Compact"/>
        <w:numPr>
          <w:ilvl w:val="0"/>
          <w:numId w:val="1001"/>
        </w:numPr>
      </w:pPr>
      <w:r>
        <w:rPr>
          <w:b/>
          <w:bCs/>
        </w:rPr>
        <w:t xml:space="preserve">Two straight negative earnings reactions:</w:t>
      </w:r>
      <w:r>
        <w:t xml:space="preserve"> </w:t>
      </w:r>
      <w:r>
        <w:t xml:space="preserve">shares fell ~10% on the Q4 print (Jan 22) and another ~6% on the Q1 print (Apr 16), bottoming near</w:t>
      </w:r>
      <w:r>
        <w:t xml:space="preserve"> </w:t>
      </w:r>
      <m:oMath>
        <m:r>
          <m:t>82</m:t>
        </m:r>
        <m:r>
          <m:rPr>
            <m:sty m:val="p"/>
          </m:rPr>
          <m:t>–</m:t>
        </m:r>
        <m:r>
          <m:t>83</m:t>
        </m:r>
        <m:r>
          <m:t>i</m:t>
        </m:r>
        <m:r>
          <m:t>n</m:t>
        </m:r>
        <m:r>
          <m:t>M</m:t>
        </m:r>
        <m:r>
          <m:t>a</m:t>
        </m:r>
        <m:r>
          <m:t>y</m:t>
        </m:r>
        <m:r>
          <m:t>b</m:t>
        </m:r>
        <m:r>
          <m:t>e</m:t>
        </m:r>
        <m:r>
          <m:t>f</m:t>
        </m:r>
        <m:r>
          <m:t>o</m:t>
        </m:r>
        <m:r>
          <m:t>r</m:t>
        </m:r>
        <m:r>
          <m:t>e</m:t>
        </m:r>
        <m:r>
          <m:t>a</m:t>
        </m:r>
        <m:r>
          <m:t>p</m:t>
        </m:r>
        <m:r>
          <m:t>a</m:t>
        </m:r>
        <m:r>
          <m:t>r</m:t>
        </m:r>
        <m:r>
          <m:t>t</m:t>
        </m:r>
        <m:r>
          <m:t>i</m:t>
        </m:r>
        <m:r>
          <m:t>a</m:t>
        </m:r>
        <m:r>
          <m:t>l</m:t>
        </m:r>
        <m:r>
          <m:t>r</m:t>
        </m:r>
        <m:r>
          <m:t>e</m:t>
        </m:r>
        <m:r>
          <m:t>c</m:t>
        </m:r>
        <m:r>
          <m:t>o</m:t>
        </m:r>
        <m:r>
          <m:t>v</m:t>
        </m:r>
        <m:r>
          <m:t>e</m:t>
        </m:r>
        <m:r>
          <m:t>r</m:t>
        </m:r>
        <m:r>
          <m:t>y</m:t>
        </m:r>
        <m:r>
          <m:t>t</m:t>
        </m:r>
        <m:r>
          <m:t>o</m:t>
        </m:r>
        <m:r>
          <m:t> </m:t>
        </m:r>
      </m:oMath>
      <w:r>
        <w:t xml:space="preserve">95 in early July.</w:t>
      </w:r>
    </w:p>
    <w:p>
      <w:pPr>
        <w:pStyle w:val="Compact"/>
        <w:numPr>
          <w:ilvl w:val="0"/>
          <w:numId w:val="1001"/>
        </w:numPr>
      </w:pPr>
      <w:r>
        <w:rPr>
          <w:b/>
          <w:bCs/>
        </w:rPr>
        <w:t xml:space="preserve">A weak run into the print:</w:t>
      </w:r>
      <w:r>
        <w:t xml:space="preserve"> </w:t>
      </w:r>
      <w:r>
        <w:t xml:space="preserve">ABT slid from ~</w:t>
      </w:r>
      <m:oMath>
        <m:r>
          <m:t>95.6</m:t>
        </m:r>
        <m:r>
          <m:rPr>
            <m:sty m:val="p"/>
          </m:rPr>
          <m:t>(</m:t>
        </m:r>
        <m:r>
          <m:t>J</m:t>
        </m:r>
        <m:r>
          <m:t>u</m:t>
        </m:r>
        <m:r>
          <m:t>l</m:t>
        </m:r>
        <m:r>
          <m:t>6</m:t>
        </m:r>
        <m:r>
          <m:rPr>
            <m:sty m:val="p"/>
          </m:rPr>
          <m:t>)</m:t>
        </m:r>
        <m:r>
          <m:t>t</m:t>
        </m:r>
        <m:r>
          <m:t>o</m:t>
        </m:r>
        <m:r>
          <m:t> </m:t>
        </m:r>
      </m:oMath>
      <w:r>
        <w:t xml:space="preserve">89 (Jul 14–15), so expectations are subdued going in.</w:t>
      </w:r>
    </w:p>
    <w:p>
      <w:pPr>
        <w:pStyle w:val="Compact"/>
        <w:numPr>
          <w:ilvl w:val="0"/>
          <w:numId w:val="1001"/>
        </w:numPr>
      </w:pPr>
      <w:r>
        <w:rPr>
          <w:b/>
          <w:bCs/>
        </w:rPr>
        <w:t xml:space="preserve">The Exact Sciences deal is unpopular.</w:t>
      </w:r>
      <w:r>
        <w:t xml:space="preserve"> </w:t>
      </w:r>
      <w:r>
        <w:t xml:space="preserve">Investors dislike the ~</w:t>
      </w:r>
      <m:oMath>
        <m:r>
          <m:t>0.20</m:t>
        </m:r>
        <m:r>
          <m:t>n</m:t>
        </m:r>
        <m:r>
          <m:t>e</m:t>
        </m:r>
        <m:r>
          <m:t>a</m:t>
        </m:r>
        <m:r>
          <m:t>r</m:t>
        </m:r>
        <m:r>
          <m:rPr>
            <m:sty m:val="p"/>
          </m:rPr>
          <m:t>−</m:t>
        </m:r>
        <m:r>
          <m:t>t</m:t>
        </m:r>
        <m:r>
          <m:t>e</m:t>
        </m:r>
        <m:r>
          <m:t>r</m:t>
        </m:r>
        <m:r>
          <m:t>m</m:t>
        </m:r>
        <m:r>
          <m:t>d</m:t>
        </m:r>
        <m:r>
          <m:t>i</m:t>
        </m:r>
        <m:r>
          <m:t>l</m:t>
        </m:r>
        <m:r>
          <m:t>u</m:t>
        </m:r>
        <m:r>
          <m:t>t</m:t>
        </m:r>
        <m:r>
          <m:t>i</m:t>
        </m:r>
        <m:r>
          <m:t>o</m:t>
        </m:r>
        <m:r>
          <m:t>n</m:t>
        </m:r>
        <m:r>
          <m:t>a</m:t>
        </m:r>
        <m:r>
          <m:t>n</m:t>
        </m:r>
        <m:r>
          <m:t>d</m:t>
        </m:r>
        <m:r>
          <m:t>t</m:t>
        </m:r>
        <m:r>
          <m:t>h</m:t>
        </m:r>
        <m:r>
          <m:t>e</m:t>
        </m:r>
        <m:r>
          <m:t>s</m:t>
        </m:r>
        <m:r>
          <m:t>t</m:t>
        </m:r>
        <m:r>
          <m:t>r</m:t>
        </m:r>
        <m:r>
          <m:t>a</m:t>
        </m:r>
        <m:r>
          <m:t>t</m:t>
        </m:r>
        <m:r>
          <m:t>e</m:t>
        </m:r>
        <m:r>
          <m:t>g</m:t>
        </m:r>
        <m:r>
          <m:t>i</m:t>
        </m:r>
        <m:r>
          <m:t>c</m:t>
        </m:r>
        <m:r>
          <m:t>p</m:t>
        </m:r>
        <m:r>
          <m:t>i</m:t>
        </m:r>
        <m:r>
          <m:t>v</m:t>
        </m:r>
        <m:r>
          <m:t>o</m:t>
        </m:r>
        <m:r>
          <m:t>t</m:t>
        </m:r>
        <m:r>
          <m:t>i</m:t>
        </m:r>
        <m:r>
          <m:t>n</m:t>
        </m:r>
        <m:r>
          <m:t>t</m:t>
        </m:r>
        <m:r>
          <m:t>o</m:t>
        </m:r>
        <m:r>
          <m:t>a</m:t>
        </m:r>
        <m:r>
          <m:t>n</m:t>
        </m:r>
        <m:r>
          <m:t>e</m:t>
        </m:r>
        <m:r>
          <m:t>w</m:t>
        </m:r>
        <m:r>
          <m:t>v</m:t>
        </m:r>
        <m:r>
          <m:t>e</m:t>
        </m:r>
        <m:r>
          <m:t>r</m:t>
        </m:r>
        <m:r>
          <m:t>t</m:t>
        </m:r>
        <m:r>
          <m:t>i</m:t>
        </m:r>
        <m:r>
          <m:t>c</m:t>
        </m:r>
        <m:r>
          <m:t>a</m:t>
        </m:r>
        <m:r>
          <m:t>l</m:t>
        </m:r>
        <m:r>
          <m:rPr>
            <m:sty m:val="p"/>
          </m:rPr>
          <m:t>,</m:t>
        </m:r>
        <m:r>
          <m:t>e</m:t>
        </m:r>
        <m:r>
          <m:t>v</m:t>
        </m:r>
        <m:r>
          <m:t>e</m:t>
        </m:r>
        <m:r>
          <m:t>n</m:t>
        </m:r>
        <m:r>
          <m:t>a</m:t>
        </m:r>
        <m:r>
          <m:t>s</m:t>
        </m:r>
        <m:r>
          <m:t>m</m:t>
        </m:r>
        <m:r>
          <m:t>a</m:t>
        </m:r>
        <m:r>
          <m:t>n</m:t>
        </m:r>
        <m:r>
          <m:t>a</m:t>
        </m:r>
        <m:r>
          <m:t>g</m:t>
        </m:r>
        <m:r>
          <m:t>e</m:t>
        </m:r>
        <m:r>
          <m:t>m</m:t>
        </m:r>
        <m:r>
          <m:t>e</m:t>
        </m:r>
        <m:r>
          <m:t>n</m:t>
        </m:r>
        <m:r>
          <m:t>t</m:t>
        </m:r>
        <m:r>
          <m:t>f</m:t>
        </m:r>
        <m:r>
          <m:t>r</m:t>
        </m:r>
        <m:r>
          <m:t>a</m:t>
        </m:r>
        <m:r>
          <m:t>m</m:t>
        </m:r>
        <m:r>
          <m:t>e</m:t>
        </m:r>
        <m:r>
          <m:t>s</m:t>
        </m:r>
        <m:r>
          <m:t>c</m:t>
        </m:r>
        <m:r>
          <m:t>a</m:t>
        </m:r>
        <m:r>
          <m:t>n</m:t>
        </m:r>
        <m:r>
          <m:t>c</m:t>
        </m:r>
        <m:r>
          <m:t>e</m:t>
        </m:r>
        <m:r>
          <m:t>r</m:t>
        </m:r>
        <m:r>
          <m:t>d</m:t>
        </m:r>
        <m:r>
          <m:t>i</m:t>
        </m:r>
        <m:r>
          <m:t>a</m:t>
        </m:r>
        <m:r>
          <m:t>g</m:t>
        </m:r>
        <m:r>
          <m:t>n</m:t>
        </m:r>
        <m:r>
          <m:t>o</m:t>
        </m:r>
        <m:r>
          <m:t>s</m:t>
        </m:r>
        <m:r>
          <m:t>t</m:t>
        </m:r>
        <m:r>
          <m:t>i</m:t>
        </m:r>
        <m:r>
          <m:t>c</m:t>
        </m:r>
        <m:r>
          <m:t>s</m:t>
        </m:r>
        <m:r>
          <m:t>a</m:t>
        </m:r>
        <m:r>
          <m:t>s</m:t>
        </m:r>
        <m:r>
          <m:t>a</m:t>
        </m:r>
        <m:r>
          <m:t>h</m:t>
        </m:r>
        <m:r>
          <m:t>i</m:t>
        </m:r>
        <m:r>
          <m:t>g</m:t>
        </m:r>
        <m:r>
          <m:t>h</m:t>
        </m:r>
        <m:r>
          <m:rPr>
            <m:sty m:val="p"/>
          </m:rPr>
          <m:t>−</m:t>
        </m:r>
        <m:r>
          <m:t>g</m:t>
        </m:r>
        <m:r>
          <m:t>r</m:t>
        </m:r>
        <m:r>
          <m:t>o</m:t>
        </m:r>
        <m:r>
          <m:t>w</m:t>
        </m:r>
        <m:r>
          <m:t>t</m:t>
        </m:r>
        <m:r>
          <m:t>h</m:t>
        </m:r>
        <m:r>
          <m:rPr>
            <m:sty m:val="p"/>
          </m:rPr>
          <m:t>,</m:t>
        </m:r>
        <m:r>
          <m:t> </m:t>
        </m:r>
      </m:oMath>
      <w:r>
        <w:t xml:space="preserve">3B incremental-revenue leg with a long runway.</w:t>
      </w:r>
    </w:p>
    <w:p>
      <w:pPr>
        <w:pStyle w:val="Compact"/>
        <w:numPr>
          <w:ilvl w:val="0"/>
          <w:numId w:val="1001"/>
        </w:numPr>
      </w:pPr>
      <w:r>
        <w:rPr>
          <w:b/>
          <w:bCs/>
        </w:rPr>
        <w:t xml:space="preserve">Valuation cushion:</w:t>
      </w:r>
      <w:r>
        <w:t xml:space="preserve"> </w:t>
      </w:r>
      <w:r>
        <w:t xml:space="preserve">At ~</w:t>
      </w:r>
      <m:oMath>
        <m:r>
          <m:t>89</m:t>
        </m:r>
        <m:r>
          <m:t>a</m:t>
        </m:r>
        <m:r>
          <m:t>n</m:t>
        </m:r>
        <m:r>
          <m:t>d</m:t>
        </m:r>
        <m:r>
          <m:t> </m:t>
        </m:r>
      </m:oMath>
      <w:r>
        <w:t xml:space="preserve">5.48 midpoint EPS, ABT trades near ~16x forward earnings — a meaningful discount to its historical range — which is exactly why some see asymmetric upside if the 2H acceleration materializes.</w:t>
      </w:r>
    </w:p>
    <w:p>
      <w:r>
        <w:pict>
          <v:rect style="width:0;height:1.5pt" o:hralign="center" o:hrstd="t" o:hr="t"/>
        </w:pict>
      </w:r>
    </w:p>
    <w:bookmarkEnd w:id="12"/>
    <w:bookmarkStart w:id="18" w:name="X178915226eb2f1aa4b7d429caa12058c26807b5"/>
    <w:p>
      <w:pPr>
        <w:pStyle w:val="Heading2"/>
      </w:pPr>
      <w:r>
        <w:t xml:space="preserve">The Five Things That Actually Matter Thursday</w:t>
      </w:r>
    </w:p>
    <w:bookmarkStart w:id="13" w:name="Xb251f46d22276dfcd194ba0b780496cb6bf7c95"/>
    <w:p>
      <w:pPr>
        <w:pStyle w:val="Heading3"/>
      </w:pPr>
      <w:r>
        <w:t xml:space="preserve">1. CGM / FreeStyle Libre — the single most-watched line</w:t>
      </w:r>
    </w:p>
    <w:p>
      <w:pPr>
        <w:pStyle w:val="FirstParagraph"/>
      </w:pPr>
      <w:r>
        <w:t xml:space="preserve">Q1 CGM sales were $2.0B, up only ~7.5% comparable, dinged by an international tender-renewal delay and a tough restocking comparison. Management explicitly</w:t>
      </w:r>
      <w:r>
        <w:t xml:space="preserve"> </w:t>
      </w:r>
      <w:r>
        <w:rPr>
          <w:b/>
          <w:bCs/>
        </w:rPr>
        <w:t xml:space="preserve">guided CGM back to double-digit growth in Q2</w:t>
      </w:r>
      <w:r>
        <w:t xml:space="preserve"> </w:t>
      </w:r>
      <w:r>
        <w:t xml:space="preserve">— anything less will reignite the "market saturation" bear thesis that has weighed on U.S. prescription-trend optics. Listen for:</w:t>
      </w:r>
    </w:p>
    <w:p>
      <w:pPr>
        <w:pStyle w:val="Compact"/>
        <w:numPr>
          <w:ilvl w:val="0"/>
          <w:numId w:val="1002"/>
        </w:numPr>
      </w:pPr>
      <w:r>
        <w:t xml:space="preserve">Confirmation of the double-digit reacceleration.</w:t>
      </w:r>
    </w:p>
    <w:p>
      <w:pPr>
        <w:pStyle w:val="Compact"/>
        <w:numPr>
          <w:ilvl w:val="0"/>
          <w:numId w:val="1002"/>
        </w:numPr>
      </w:pPr>
      <w:r>
        <w:t xml:space="preserve">Commentary on the</w:t>
      </w:r>
      <w:r>
        <w:t xml:space="preserve"> </w:t>
      </w:r>
      <w:r>
        <w:rPr>
          <w:b/>
          <w:bCs/>
        </w:rPr>
        <w:t xml:space="preserve">CMS Type 2 non-insulin coverage</w:t>
      </w:r>
      <w:r>
        <w:t xml:space="preserve"> </w:t>
      </w:r>
      <w:r>
        <w:t xml:space="preserve">catalyst (management expects proposed language "soon"; ~10M new covered lives;</w:t>
      </w:r>
      <w:r>
        <w:t xml:space="preserve"> </w:t>
      </w:r>
      <w:r>
        <w:rPr>
          <w:i/>
          <w:iCs/>
        </w:rPr>
        <w:t xml:space="preserve">not</w:t>
      </w:r>
      <w:r>
        <w:t xml:space="preserve"> </w:t>
      </w:r>
      <w:r>
        <w:t xml:space="preserve">in guidance).</w:t>
      </w:r>
    </w:p>
    <w:p>
      <w:pPr>
        <w:pStyle w:val="Compact"/>
        <w:numPr>
          <w:ilvl w:val="0"/>
          <w:numId w:val="1002"/>
        </w:numPr>
      </w:pPr>
      <w:r>
        <w:t xml:space="preserve">Timing updates on the</w:t>
      </w:r>
      <w:r>
        <w:t xml:space="preserve"> </w:t>
      </w:r>
      <w:r>
        <w:rPr>
          <w:b/>
          <w:bCs/>
        </w:rPr>
        <w:t xml:space="preserve">dual-analyte (ketone) sensor</w:t>
      </w:r>
      <w:r>
        <w:t xml:space="preserve"> </w:t>
      </w:r>
      <w:r>
        <w:t xml:space="preserve">(2H26 approval expected) and international basal-coverage expansion.</w:t>
      </w:r>
    </w:p>
    <w:bookmarkEnd w:id="13"/>
    <w:bookmarkStart w:id="14" w:name="X085e4f13d79ca0ac4ee0258a7968dc96ec1b92c"/>
    <w:p>
      <w:pPr>
        <w:pStyle w:val="Heading3"/>
      </w:pPr>
      <w:r>
        <w:t xml:space="preserve">2. Comparable sales acceleration — is 2H real?</w:t>
      </w:r>
    </w:p>
    <w:p>
      <w:pPr>
        <w:pStyle w:val="FirstParagraph"/>
      </w:pPr>
      <w:r>
        <w:t xml:space="preserve">Q1 was just +3.7% comparable. The whole bull case rests on acceleration toward/above the 6.5–7.5% range in 2H. Q2 is the bridge quarter. Watch whether the "trajectory-changing" businesses (Core Lab, Nutrition) show the promised inflection.</w:t>
      </w:r>
    </w:p>
    <w:bookmarkEnd w:id="14"/>
    <w:bookmarkStart w:id="15" w:name="X82a57138c24649606c45e889a57dee3709b2a31"/>
    <w:p>
      <w:pPr>
        <w:pStyle w:val="Heading3"/>
      </w:pPr>
      <w:r>
        <w:t xml:space="preserve">3. Nutrition — is the volume-for-price trade working?</w:t>
      </w:r>
    </w:p>
    <w:p>
      <w:pPr>
        <w:pStyle w:val="FirstParagraph"/>
      </w:pPr>
      <w:r>
        <w:t xml:space="preserve">U.S. Nutrition fell</w:t>
      </w:r>
      <w:r>
        <w:t xml:space="preserve"> </w:t>
      </w:r>
      <w:r>
        <w:rPr>
          <w:b/>
          <w:bCs/>
        </w:rPr>
        <w:t xml:space="preserve">11.6%</w:t>
      </w:r>
      <w:r>
        <w:t xml:space="preserve"> </w:t>
      </w:r>
      <w:r>
        <w:t xml:space="preserve">in Q1 (total Nutrition -7.7% comparable) as Abbott absorbed deliberate Q4 2025 price cuts meant to reignite volume. Management says early data (e.g., Ensure) shows volume responding as price flows through to shelves. Investors need evidence this is inflecting toward the expected 2H recovery, not deepening.</w:t>
      </w:r>
    </w:p>
    <w:bookmarkEnd w:id="15"/>
    <w:bookmarkStart w:id="16" w:name="X4081286834bc404cc3aa1c7e69c37a7e3fd8b70"/>
    <w:p>
      <w:pPr>
        <w:pStyle w:val="Heading3"/>
      </w:pPr>
      <w:r>
        <w:t xml:space="preserve">4. Diagnostics — respiratory drag, China VBP, and Exact integration</w:t>
      </w:r>
    </w:p>
    <w:p>
      <w:pPr>
        <w:pStyle w:val="Compact"/>
        <w:numPr>
          <w:ilvl w:val="0"/>
          <w:numId w:val="1003"/>
        </w:numPr>
      </w:pPr>
      <w:r>
        <w:rPr>
          <w:b/>
          <w:bCs/>
        </w:rPr>
        <w:t xml:space="preserve">Rapid &amp; Molecular</w:t>
      </w:r>
      <w:r>
        <w:t xml:space="preserve"> </w:t>
      </w:r>
      <w:r>
        <w:t xml:space="preserve">fell ~10% in Q1 on a weak respiratory season; management prudently assumed a soft season persists and did</w:t>
      </w:r>
      <w:r>
        <w:t xml:space="preserve"> </w:t>
      </w:r>
      <w:r>
        <w:rPr>
          <w:b/>
          <w:bCs/>
        </w:rPr>
        <w:t xml:space="preserve">not</w:t>
      </w:r>
      <w:r>
        <w:t xml:space="preserve"> </w:t>
      </w:r>
      <w:r>
        <w:t xml:space="preserve">bake a Q4 flu-season rebound into guidance — a potential source of upside/downside.</w:t>
      </w:r>
    </w:p>
    <w:p>
      <w:pPr>
        <w:pStyle w:val="Compact"/>
        <w:numPr>
          <w:ilvl w:val="0"/>
          <w:numId w:val="1003"/>
        </w:numPr>
      </w:pPr>
      <w:r>
        <w:rPr>
          <w:b/>
          <w:bCs/>
        </w:rPr>
        <w:t xml:space="preserve">Core Lab</w:t>
      </w:r>
      <w:r>
        <w:t xml:space="preserve"> </w:t>
      </w:r>
      <w:r>
        <w:t xml:space="preserve">growth (~3% in Q1) hinges on China stabilizing (sales were flat in Q1 vs. down 15–30% quarterly a year ago) plus strong U.S. share gains (win rates ~55%+). Watch for the mid-single-digit full-year trajectory to hold.</w:t>
      </w:r>
    </w:p>
    <w:p>
      <w:pPr>
        <w:pStyle w:val="Compact"/>
        <w:numPr>
          <w:ilvl w:val="0"/>
          <w:numId w:val="1003"/>
        </w:numPr>
      </w:pPr>
      <w:r>
        <w:rPr>
          <w:b/>
          <w:bCs/>
        </w:rPr>
        <w:t xml:space="preserve">Cancer Diagnostics (Exact):</w:t>
      </w:r>
      <w:r>
        <w:t xml:space="preserve"> </w:t>
      </w:r>
      <w:r>
        <w:t xml:space="preserve">first full quarter as an Abbott segment. Cologuard grew mid-teens; watch rescreen dynamics (~25% of tests), care-gap/CMS star-rating tailwinds, and any early international expansion signals under new leader Jake Orville.</w:t>
      </w:r>
    </w:p>
    <w:bookmarkEnd w:id="16"/>
    <w:bookmarkStart w:id="17" w:name="X47ea7206bf4bf3f61907c613b9f4888f34804e8"/>
    <w:p>
      <w:pPr>
        <w:pStyle w:val="Heading3"/>
      </w:pPr>
      <w:r>
        <w:t xml:space="preserve">5. Cardiovascular / MedTech — the reliable engine</w:t>
      </w:r>
    </w:p>
    <w:p>
      <w:pPr>
        <w:pStyle w:val="FirstParagraph"/>
      </w:pPr>
      <w:r>
        <w:t xml:space="preserve">MedTech grew +8.5% comparable in Q1 with double-digit EP (+13%), Rhythm Management (+13%) and Heart Failure (+12%). Key watch items:</w:t>
      </w:r>
    </w:p>
    <w:p>
      <w:pPr>
        <w:pStyle w:val="Compact"/>
        <w:numPr>
          <w:ilvl w:val="0"/>
          <w:numId w:val="1004"/>
        </w:numPr>
      </w:pPr>
      <w:r>
        <w:rPr>
          <w:b/>
          <w:bCs/>
        </w:rPr>
        <w:t xml:space="preserve">Electrophysiology / PFA:</w:t>
      </w:r>
      <w:r>
        <w:t xml:space="preserve"> </w:t>
      </w:r>
      <w:r>
        <w:t xml:space="preserve">ramp of</w:t>
      </w:r>
      <w:r>
        <w:t xml:space="preserve"> </w:t>
      </w:r>
      <w:r>
        <w:rPr>
          <w:b/>
          <w:bCs/>
        </w:rPr>
        <w:t xml:space="preserve">Volt</w:t>
      </w:r>
      <w:r>
        <w:t xml:space="preserve"> </w:t>
      </w:r>
      <w:r>
        <w:t xml:space="preserve">(U.S.) and</w:t>
      </w:r>
      <w:r>
        <w:t xml:space="preserve"> </w:t>
      </w:r>
      <w:r>
        <w:rPr>
          <w:b/>
          <w:bCs/>
        </w:rPr>
        <w:t xml:space="preserve">TactiFlex Duo</w:t>
      </w:r>
      <w:r>
        <w:t xml:space="preserve"> </w:t>
      </w:r>
      <w:r>
        <w:t xml:space="preserve">(Europe) out of limited market release; management targets growing</w:t>
      </w:r>
      <w:r>
        <w:t xml:space="preserve"> </w:t>
      </w:r>
      <w:r>
        <w:rPr>
          <w:i/>
          <w:iCs/>
        </w:rPr>
        <w:t xml:space="preserve">faster than the mid-to-high-teens market</w:t>
      </w:r>
      <w:r>
        <w:t xml:space="preserve"> </w:t>
      </w:r>
      <w:r>
        <w:t xml:space="preserve">by year-end.</w:t>
      </w:r>
    </w:p>
    <w:p>
      <w:pPr>
        <w:pStyle w:val="Compact"/>
        <w:numPr>
          <w:ilvl w:val="0"/>
          <w:numId w:val="1004"/>
        </w:numPr>
      </w:pPr>
      <w:r>
        <w:rPr>
          <w:b/>
          <w:bCs/>
        </w:rPr>
        <w:t xml:space="preserve">Structural Heart:</w:t>
      </w:r>
      <w:r>
        <w:t xml:space="preserve"> </w:t>
      </w:r>
      <w:r>
        <w:t xml:space="preserve">the soft spot — U.S. down after the Amulet/LAAC transfer to EP, plus competitive pressure in mitral. Management flagged leadership changes and expects high-single-digit full-year growth; watch for U.S. execution improvement.</w:t>
      </w:r>
    </w:p>
    <w:p>
      <w:r>
        <w:pict>
          <v:rect style="width:0;height:1.5pt" o:hralign="center" o:hrstd="t" o:hr="t"/>
        </w:pict>
      </w:r>
    </w:p>
    <w:bookmarkEnd w:id="17"/>
    <w:bookmarkEnd w:id="18"/>
    <w:bookmarkStart w:id="19" w:name="other-items-to-track"/>
    <w:p>
      <w:pPr>
        <w:pStyle w:val="Heading2"/>
      </w:pPr>
      <w:r>
        <w:t xml:space="preserve">Other Items to Track</w:t>
      </w:r>
    </w:p>
    <w:p>
      <w:pPr>
        <w:pStyle w:val="Compact"/>
        <w:numPr>
          <w:ilvl w:val="0"/>
          <w:numId w:val="1005"/>
        </w:numPr>
      </w:pPr>
      <w:r>
        <w:rPr>
          <w:b/>
          <w:bCs/>
        </w:rPr>
        <w:t xml:space="preserve">Guidance action:</w:t>
      </w:r>
      <w:r>
        <w:t xml:space="preserve"> </w:t>
      </w:r>
      <w:r>
        <w:t xml:space="preserve">Will Abbott raise/narrow the FY comparable-growth or EPS range? A weaker U.S. dollar (Q2 guided roughly neutral on sales) could become a tailwind. Given management's stated conservatism (especially on respiratory), any raise would be a strong signal.</w:t>
      </w:r>
    </w:p>
    <w:p>
      <w:pPr>
        <w:pStyle w:val="Compact"/>
        <w:numPr>
          <w:ilvl w:val="0"/>
          <w:numId w:val="1005"/>
        </w:numPr>
      </w:pPr>
      <w:r>
        <w:rPr>
          <w:b/>
          <w:bCs/>
        </w:rPr>
        <w:t xml:space="preserve">Margins &amp; mix:</w:t>
      </w:r>
      <w:r>
        <w:t xml:space="preserve"> </w:t>
      </w:r>
      <w:r>
        <w:t xml:space="preserve">Q1 adjusted gross margin was 56.3%. Watch the Exact/Cologuard mix effect and ongoing gross-margin-improvement programs, plus tariff/supply-chain commentary (Middle East shipping-lane disruptions were a minor Q1 headwind).</w:t>
      </w:r>
    </w:p>
    <w:p>
      <w:pPr>
        <w:pStyle w:val="Compact"/>
        <w:numPr>
          <w:ilvl w:val="0"/>
          <w:numId w:val="1005"/>
        </w:numPr>
      </w:pPr>
      <w:r>
        <w:rPr>
          <w:b/>
          <w:bCs/>
        </w:rPr>
        <w:t xml:space="preserve">Financing costs:</w:t>
      </w:r>
      <w:r>
        <w:t xml:space="preserve"> </w:t>
      </w:r>
      <w:r>
        <w:t xml:space="preserve">Q1 already absorbed earlier-than-planned Exact financing costs; interest expense should be watched as the deal is now fully on the balance sheet.</w:t>
      </w:r>
    </w:p>
    <w:p>
      <w:pPr>
        <w:pStyle w:val="Compact"/>
        <w:numPr>
          <w:ilvl w:val="0"/>
          <w:numId w:val="1005"/>
        </w:numPr>
      </w:pPr>
      <w:r>
        <w:rPr>
          <w:b/>
          <w:bCs/>
        </w:rPr>
        <w:t xml:space="preserve">Capital return:</w:t>
      </w:r>
      <w:r>
        <w:t xml:space="preserve"> </w:t>
      </w:r>
      <w:r>
        <w:t xml:space="preserve">409th consecutive dividend at $0.63/share; 54 straight years of increases (Dividend Aristocrat) — a stabilizer for the stock.</w:t>
      </w:r>
    </w:p>
    <w:p>
      <w:pPr>
        <w:pStyle w:val="Compact"/>
        <w:numPr>
          <w:ilvl w:val="0"/>
          <w:numId w:val="1005"/>
        </w:numPr>
      </w:pPr>
      <w:r>
        <w:rPr>
          <w:b/>
          <w:bCs/>
        </w:rPr>
        <w:t xml:space="preserve">Pipeline callouts:</w:t>
      </w:r>
      <w:r>
        <w:t xml:space="preserve"> </w:t>
      </w:r>
      <w:r>
        <w:t xml:space="preserve">balloon-expandable TAVR, leadless conduction-system pacing (AVEIR), Cephea mitral replacement, CSI peripheral IVL, and a wearable lactate/sepsis sensor — several trials slated to begin enrolling in 2H26.</w:t>
      </w:r>
    </w:p>
    <w:p>
      <w:r>
        <w:pict>
          <v:rect style="width:0;height:1.5pt" o:hralign="center" o:hrstd="t" o:hr="t"/>
        </w:pict>
      </w:r>
    </w:p>
    <w:bookmarkEnd w:id="19"/>
    <w:bookmarkStart w:id="20" w:name="bottom-line"/>
    <w:p>
      <w:pPr>
        <w:pStyle w:val="Heading2"/>
      </w:pPr>
      <w:r>
        <w:t xml:space="preserve">Bottom Line</w:t>
      </w:r>
    </w:p>
    <w:p>
      <w:pPr>
        <w:pStyle w:val="FirstParagraph"/>
      </w:pPr>
      <w:r>
        <w:t xml:space="preserve">The bar for Q2 EPS ($1.28) is modest and management has a strong track record of at least hitting its own guide. The debate is entirely about</w:t>
      </w:r>
      <w:r>
        <w:t xml:space="preserve"> </w:t>
      </w:r>
      <w:r>
        <w:rPr>
          <w:b/>
          <w:bCs/>
        </w:rPr>
        <w:t xml:space="preserve">quality and trajectory</w:t>
      </w:r>
      <w:r>
        <w:t xml:space="preserve">, not the headline print. The bull needs: (1) CGM back to double-digits, (2) Nutrition volumes visibly inflecting, (3) Core Lab/China stabilization holding, and (4) EP/PFA accelerating — collectively validating the second-half re-acceleration narrative. Deliver those, and a beaten-down, cheaply-valued stock has room to recover. Miss on CGM or Nutrition again, and the market's patience — already thin after two negative reactions this year — will be tested further. Given how weak the stock has traded into the print, expectations are low, which cuts both ways: less downside on an in-line quarter, but a real need for tangible 2H proof points to spark a re-rating.</w:t>
      </w:r>
    </w:p>
    <w:p>
      <w:pPr>
        <w:pStyle w:val="BodyText"/>
      </w:pPr>
      <w:r>
        <w:rPr>
          <w:i/>
          <w:iCs/>
        </w:rPr>
        <w:t xml:space="preserve">Note: Figures above are drawn from Abbott's Q1 2026 and Q4 2025 earnings releases/calls and market data through July 15, 2026. Consensus/sentiment figures are as reported in pre-earnings news digests and should be confirmed against your own consensus source.</w:t>
      </w:r>
    </w:p>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2026-07-16T01:19:19Z</dcterms:created>
  <dcterms:modified xsi:type="dcterms:W3CDTF">2026-07-16T01:19:19Z</dcterms:modified>
</cp:coreProperties>
</file>

<file path=docProps/custom.xml><?xml version="1.0" encoding="utf-8"?>
<Properties xmlns="http://schemas.openxmlformats.org/officeDocument/2006/custom-properties" xmlns:vt="http://schemas.openxmlformats.org/officeDocument/2006/docPropsVTypes"/>
</file>