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t-earnings-predictions--2026-07-16"/>
    <w:p>
      <w:pPr>
        <w:pStyle w:val="Heading1"/>
      </w:pPr>
      <w:r>
        <w:t xml:space="preserve">ABT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~$1.28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Comparable Sales Growth (incl. full Exact Sciences comp)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~9.8% vs. cons 9.85%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Diabetes Care / FreeStyle Libre (CGM) comparable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~8.5% vs. cons ~10.5% (mgmt had explicitly guided a return to double-digit growth)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sales growth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~6.5%-7.5% (reaffirmed, mid ~7.0%) vs. cons ~7.0%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5.38</m:t>
              </m:r>
              <m:r>
                <m:rPr>
                  <m:sty m:val="p"/>
                </m:rPr>
                <m:t>−</m:t>
              </m:r>
            </m:oMath>
            <w:r>
              <w:t xml:space="preserve">5.58 (reaffirmed, mid</w:t>
            </w:r>
            <w:r>
              <w:t xml:space="preserve"> </w:t>
            </w:r>
            <m:oMath>
              <m:r>
                <m:t>5.48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5.48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bridge/guide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1.42</m:t>
              </m:r>
              <m:r>
                <m:rPr>
                  <m:sty m:val="p"/>
                </m:rPr>
                <m:t>−</m:t>
              </m:r>
            </m:oMath>
            <w:r>
              <w:t xml:space="preserve">1.48 vs. cons ~$1.47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Headline EPS/total comparable sales likely print in-line (mechanically supported by full Exact Sciences consolidation and reaffirmed FY guide), but the market's single most-scrutinized promise — CGM 'return to double-digit growth' in Q2 — is at high risk of missing given weakening U.S. Libre Rx trends and rising CGM competitive/pricing noise already cited in the July 14 sell-off. A miss there, layered on ongoing NEC/infant-formula litigation overhang and structural heart competitive concerns, gives sell-side analysts a concrete reason to trim out-quarter Diabetes Care and Nutrition estimates even if FY26 sales/EPS ranges are nominally reaffirmed — an implicit cut via mix/quality of growth rather than headline guidance. With the stock already down ~28% YTD and multiple consecutive down-legs tied to idiosyncratic (non-print) news, incremental negative revisions on CGM/litigation are more likely to compound over the following days (analysts publish updated models, price-target trims) than to reverse, supporting follow-through rather than a snap-back fade; only a clean double-digit CGM beat would flip this to a relief rally.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2026-07-16T01:38:16Z</dcterms:created>
  <dcterms:modified xsi:type="dcterms:W3CDTF">2026-07-16T01:38:16Z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