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a81ce3a209775ceac22cf4db09a23c5a649a4c7"/>
    <w:p>
      <w:pPr>
        <w:pStyle w:val="Heading1"/>
      </w:pPr>
      <w:r>
        <w:t xml:space="preserve">Abbott Laboratories (ABT) — 2026 Q2 Earnings Preview</w:t>
      </w:r>
    </w:p>
    <w:p>
      <w:pPr>
        <w:pStyle w:val="BlockText"/>
      </w:pPr>
      <w:r>
        <w:rPr>
          <w:b/>
          <w:bCs/>
        </w:rPr>
        <w:t xml:space="preserve">Timing note:</w:t>
      </w:r>
      <w:r>
        <w:t xml:space="preserve"> </w:t>
      </w:r>
      <w:r>
        <w:t xml:space="preserve">Abbott is scheduled to report</w:t>
      </w:r>
      <w:r>
        <w:t xml:space="preserve"> </w:t>
      </w:r>
      <w:r>
        <w:rPr>
          <w:b/>
          <w:bCs/>
        </w:rPr>
        <w:t xml:space="preserve">Thursday, July 16, 2026, before the U.S. market opens</w:t>
      </w:r>
      <w:r>
        <w:t xml:space="preserve">, followed by its earnings call at 8:00 a.m. Central Time. That is</w:t>
      </w:r>
      <w:r>
        <w:t xml:space="preserve"> </w:t>
      </w:r>
      <w:r>
        <w:rPr>
          <w:b/>
          <w:bCs/>
        </w:rPr>
        <w:t xml:space="preserve">today</w:t>
      </w:r>
      <w:r>
        <w:t xml:space="preserve">, rather than tomorrow, based on the stated date.</w:t>
      </w:r>
    </w:p>
    <w:bookmarkStart w:id="9" w:name="executive-view"/>
    <w:p>
      <w:pPr>
        <w:pStyle w:val="Heading2"/>
      </w:pPr>
      <w:r>
        <w:t xml:space="preserve">Executive view</w:t>
      </w:r>
    </w:p>
    <w:p>
      <w:pPr>
        <w:pStyle w:val="FirstParagraph"/>
      </w:pPr>
      <w:r>
        <w:t xml:space="preserve">Abbott enters the quarter with a depressed share price and a relatively skeptical investor base. The stock closed at</w:t>
      </w:r>
      <w:r>
        <w:t xml:space="preserve"> </w:t>
      </w:r>
      <w:r>
        <w:rPr>
          <w:b/>
          <w:bCs/>
        </w:rPr>
        <w:t xml:space="preserve">$89.29 on July 15</w:t>
      </w:r>
      <w:r>
        <w:t xml:space="preserve">, down approximately</w:t>
      </w:r>
      <w:r>
        <w:t xml:space="preserve"> </w:t>
      </w:r>
      <w:r>
        <w:rPr>
          <w:b/>
          <w:bCs/>
        </w:rPr>
        <w:t xml:space="preserve">29% year to date</w:t>
      </w:r>
      <w:r>
        <w:t xml:space="preserve">, versus an approximately 11% gain for the S&amp;P 500 ETF. At that price, ABT trades at roughly</w:t>
      </w:r>
      <w:r>
        <w:t xml:space="preserve"> </w:t>
      </w:r>
      <w:r>
        <w:rPr>
          <w:b/>
          <w:bCs/>
        </w:rPr>
        <w:t xml:space="preserve">16.3x</w:t>
      </w:r>
      <w:r>
        <w:t xml:space="preserve"> </w:t>
      </w:r>
      <w:r>
        <w:t xml:space="preserve">the midpoint of management’s 2026 adjusted EPS guidance.</w:t>
      </w:r>
    </w:p>
    <w:p>
      <w:pPr>
        <w:pStyle w:val="BodyText"/>
      </w:pPr>
      <w:r>
        <w:t xml:space="preserve">That creates an unusual setup: valuation and sentiment have reset substantially, but the operating bar is not necessarily low. Investors still need evidence that:</w:t>
      </w:r>
    </w:p>
    <w:p>
      <w:pPr>
        <w:pStyle w:val="Compact"/>
        <w:numPr>
          <w:ilvl w:val="0"/>
          <w:numId w:val="1001"/>
        </w:numPr>
      </w:pPr>
      <w:r>
        <w:rPr>
          <w:b/>
          <w:bCs/>
        </w:rPr>
        <w:t xml:space="preserve">Nutrition is beginning to recover</w:t>
      </w:r>
      <w:r>
        <w:t xml:space="preserve"> </w:t>
      </w:r>
      <w:r>
        <w:t xml:space="preserve">after two quarters of sharp contraction.</w:t>
      </w:r>
    </w:p>
    <w:p>
      <w:pPr>
        <w:pStyle w:val="Compact"/>
        <w:numPr>
          <w:ilvl w:val="0"/>
          <w:numId w:val="1001"/>
        </w:numPr>
      </w:pPr>
      <w:r>
        <w:rPr>
          <w:b/>
          <w:bCs/>
        </w:rPr>
        <w:t xml:space="preserve">FreeStyle Libre growth has returned to double digits.</w:t>
      </w:r>
    </w:p>
    <w:p>
      <w:pPr>
        <w:pStyle w:val="Compact"/>
        <w:numPr>
          <w:ilvl w:val="0"/>
          <w:numId w:val="1001"/>
        </w:numPr>
      </w:pPr>
      <w:r>
        <w:t xml:space="preserve">Abbott’s new pulsed-field ablation products are accelerating Electrophysiology.</w:t>
      </w:r>
    </w:p>
    <w:p>
      <w:pPr>
        <w:pStyle w:val="Compact"/>
        <w:numPr>
          <w:ilvl w:val="0"/>
          <w:numId w:val="1001"/>
        </w:numPr>
      </w:pPr>
      <w:r>
        <w:rPr>
          <w:b/>
          <w:bCs/>
        </w:rPr>
        <w:t xml:space="preserve">Exact Sciences is sustaining double-digit growth</w:t>
      </w:r>
      <w:r>
        <w:t xml:space="preserve"> </w:t>
      </w:r>
      <w:r>
        <w:t xml:space="preserve">without creating additional earnings dilution.</w:t>
      </w:r>
    </w:p>
    <w:p>
      <w:pPr>
        <w:pStyle w:val="Compact"/>
        <w:numPr>
          <w:ilvl w:val="0"/>
          <w:numId w:val="1001"/>
        </w:numPr>
      </w:pPr>
      <w:r>
        <w:t xml:space="preserve">Management can preserve its full-year outlook despite acquisition-related interest costs and uneven performance across the portfolio.</w:t>
      </w:r>
    </w:p>
    <w:p>
      <w:pPr>
        <w:pStyle w:val="FirstParagraph"/>
      </w:pPr>
      <w:r>
        <w:t xml:space="preserve">A result near consensus may stabilize the shares, but a meaningful rerating likely requires better second-half visibility—particularly in Nutrition, CGM and Exact Sciences.</w:t>
      </w:r>
    </w:p>
    <w:p>
      <w:r>
        <w:pict>
          <v:rect style="width:0;height:1.5pt" o:hralign="center" o:hrstd="t" o:hr="t"/>
        </w:pict>
      </w:r>
    </w:p>
    <w:bookmarkEnd w:id="9"/>
    <w:bookmarkStart w:id="10" w:name="earnings-scoreboard"/>
    <w:p>
      <w:pPr>
        <w:pStyle w:val="Heading2"/>
      </w:pPr>
      <w:r>
        <w:t xml:space="preserve">Earnings scoreboard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Current benchmark</w:t>
            </w:r>
          </w:p>
        </w:tc>
      </w:tr>
      <w:tr>
        <w:tc>
          <w:tcPr/>
          <w:p>
            <w:pPr>
              <w:pStyle w:val="Compact"/>
            </w:pPr>
            <w:r>
              <w:t xml:space="preserve">Adjusted EPS</w:t>
            </w:r>
          </w:p>
        </w:tc>
        <w:tc>
          <w:tcPr/>
          <w:p>
            <w:pPr>
              <w:pStyle w:val="Compact"/>
              <w:jc w:val="right"/>
            </w:pPr>
            <w:r>
              <w:rPr>
                <w:b/>
                <w:bCs/>
              </w:rPr>
              <w:t xml:space="preserve">$1.28 Street estimate</w:t>
            </w:r>
          </w:p>
        </w:tc>
      </w:tr>
      <w:tr>
        <w:tc>
          <w:tcPr/>
          <w:p>
            <w:pPr>
              <w:pStyle w:val="Compact"/>
            </w:pPr>
            <w:r>
              <w:t xml:space="preserve">Company Q2 adjusted EPS guidance</w:t>
            </w:r>
          </w:p>
        </w:tc>
        <w:tc>
          <w:tcPr/>
          <w:p>
            <w:pPr>
              <w:pStyle w:val="Compact"/>
              <w:jc w:val="right"/>
            </w:pPr>
            <m:oMath>
              <m:r>
                <m:t>1.25</m:t>
              </m:r>
              <m:r>
                <m:rPr>
                  <m:sty m:val="p"/>
                </m:rPr>
                <m:t>–</m:t>
              </m:r>
            </m:oMath>
            <w:r>
              <w:rPr>
                <w:b/>
                <w:bCs/>
              </w:rPr>
              <w:t xml:space="preserve">1.31</w:t>
            </w:r>
          </w:p>
        </w:tc>
      </w:tr>
      <w:tr>
        <w:tc>
          <w:tcPr/>
          <w:p>
            <w:pPr>
              <w:pStyle w:val="Compact"/>
            </w:pPr>
            <w:r>
              <w:t xml:space="preserve">Comparable/organic sales growth</w:t>
            </w:r>
          </w:p>
        </w:tc>
        <w:tc>
          <w:tcPr/>
          <w:p>
            <w:pPr>
              <w:pStyle w:val="Compact"/>
              <w:jc w:val="right"/>
            </w:pPr>
            <w:r>
              <w:rPr>
                <w:b/>
                <w:bCs/>
              </w:rPr>
              <w:t xml:space="preserve">Approximately 9.85% Street estimate</w:t>
            </w:r>
          </w:p>
        </w:tc>
      </w:tr>
      <w:tr>
        <w:tc>
          <w:tcPr/>
          <w:p>
            <w:pPr>
              <w:pStyle w:val="Compact"/>
            </w:pPr>
            <w:r>
              <w:t xml:space="preserve">Rough revenue implied by that growth rate*</w:t>
            </w:r>
          </w:p>
        </w:tc>
        <w:tc>
          <w:tcPr/>
          <w:p>
            <w:pPr>
              <w:pStyle w:val="Compact"/>
              <w:jc w:val="right"/>
            </w:pPr>
            <w:r>
              <w:rPr>
                <w:b/>
                <w:bCs/>
              </w:rPr>
              <w:t xml:space="preserve">Approximately $13.1 billion</w:t>
            </w:r>
          </w:p>
        </w:tc>
      </w:tr>
      <w:tr>
        <w:tc>
          <w:tcPr/>
          <w:p>
            <w:pPr>
              <w:pStyle w:val="Compact"/>
            </w:pPr>
            <w:r>
              <w:t xml:space="preserve">2026 comparable sales-growth guidance</w:t>
            </w:r>
          </w:p>
        </w:tc>
        <w:tc>
          <w:tcPr/>
          <w:p>
            <w:pPr>
              <w:pStyle w:val="Compact"/>
              <w:jc w:val="right"/>
            </w:pPr>
            <w:r>
              <w:rPr>
                <w:b/>
                <w:bCs/>
              </w:rPr>
              <w:t xml:space="preserve">6.5%–7.5%</w:t>
            </w:r>
          </w:p>
        </w:tc>
      </w:tr>
      <w:tr>
        <w:tc>
          <w:tcPr/>
          <w:p>
            <w:pPr>
              <w:pStyle w:val="Compact"/>
            </w:pPr>
            <w:r>
              <w:t xml:space="preserve">2026 adjusted EPS guidance</w:t>
            </w:r>
          </w:p>
        </w:tc>
        <w:tc>
          <w:tcPr/>
          <w:p>
            <w:pPr>
              <w:pStyle w:val="Compact"/>
              <w:jc w:val="right"/>
            </w:pPr>
            <m:oMath>
              <m:r>
                <m:t>5.38</m:t>
              </m:r>
              <m:r>
                <m:rPr>
                  <m:sty m:val="p"/>
                </m:rPr>
                <m:t>–</m:t>
              </m:r>
            </m:oMath>
            <w:r>
              <w:rPr>
                <w:b/>
                <w:bCs/>
              </w:rPr>
              <w:t xml:space="preserve">5.58</w:t>
            </w:r>
          </w:p>
        </w:tc>
      </w:tr>
      <w:tr>
        <w:tc>
          <w:tcPr/>
          <w:p>
            <w:pPr>
              <w:pStyle w:val="Compact"/>
            </w:pPr>
            <w:r>
              <w:t xml:space="preserve">Exact Sciences dilution included in guidance</w:t>
            </w:r>
          </w:p>
        </w:tc>
        <w:tc>
          <w:tcPr/>
          <w:p>
            <w:pPr>
              <w:pStyle w:val="Compact"/>
              <w:jc w:val="right"/>
            </w:pPr>
            <w:r>
              <w:rPr>
                <w:b/>
                <w:bCs/>
              </w:rPr>
              <w:t xml:space="preserve">Approximately $0.20 per share</w:t>
            </w:r>
          </w:p>
        </w:tc>
      </w:tr>
    </w:tbl>
    <w:p>
      <w:pPr>
        <w:pStyle w:val="BodyText"/>
      </w:pPr>
      <w:r>
        <w:t xml:space="preserve">*A rough calculation applying the Street growth expectation to the combined Q2 2025 revenue base of Abbott and Exact Sciences. It is not a formal consensus-revenue figure.</w:t>
      </w:r>
    </w:p>
    <w:p>
      <w:pPr>
        <w:pStyle w:val="BodyText"/>
      </w:pPr>
      <w:r>
        <w:t xml:space="preserve">The EPS consensus sits exactly at the midpoint of Abbott’s quarterly guidance. Therefore, the more important variables will probably be</w:t>
      </w:r>
      <w:r>
        <w:t xml:space="preserve"> </w:t>
      </w:r>
      <w:r>
        <w:rPr>
          <w:b/>
          <w:bCs/>
        </w:rPr>
        <w:t xml:space="preserve">segment growth and any change to the full-year outlook</w:t>
      </w:r>
      <w:r>
        <w:t xml:space="preserve">, rather than a one- or two-cent EPS variance.</w:t>
      </w:r>
    </w:p>
    <w:p>
      <w:r>
        <w:pict>
          <v:rect style="width:0;height:1.5pt" o:hralign="center" o:hrstd="t" o:hr="t"/>
        </w:pict>
      </w:r>
    </w:p>
    <w:bookmarkEnd w:id="10"/>
    <w:bookmarkStart w:id="11" w:name="what-happened-in-q1"/>
    <w:p>
      <w:pPr>
        <w:pStyle w:val="Heading2"/>
      </w:pPr>
      <w:r>
        <w:t xml:space="preserve">What happened in Q1</w:t>
      </w:r>
    </w:p>
    <w:p>
      <w:pPr>
        <w:pStyle w:val="FirstParagraph"/>
      </w:pPr>
      <w:r>
        <w:t xml:space="preserve">Abbott’s first-quarter results were broadly in line with management’s plan:</w:t>
      </w:r>
    </w:p>
    <w:p>
      <w:pPr>
        <w:pStyle w:val="Compact"/>
        <w:numPr>
          <w:ilvl w:val="0"/>
          <w:numId w:val="1002"/>
        </w:numPr>
      </w:pPr>
      <w:r>
        <w:t xml:space="preserve">Reported sales rose</w:t>
      </w:r>
      <w:r>
        <w:t xml:space="preserve"> </w:t>
      </w:r>
      <w:r>
        <w:rPr>
          <w:b/>
          <w:bCs/>
        </w:rPr>
        <w:t xml:space="preserve">7.8%</w:t>
      </w:r>
      <w:r>
        <w:t xml:space="preserve"> </w:t>
      </w:r>
      <w:r>
        <w:t xml:space="preserve">to</w:t>
      </w:r>
      <w:r>
        <w:t xml:space="preserve"> </w:t>
      </w:r>
      <w:r>
        <w:rPr>
          <w:b/>
          <w:bCs/>
        </w:rPr>
        <w:t xml:space="preserve">$11.16 billion</w:t>
      </w:r>
      <w:r>
        <w:t xml:space="preserve">.</w:t>
      </w:r>
    </w:p>
    <w:p>
      <w:pPr>
        <w:pStyle w:val="Compact"/>
        <w:numPr>
          <w:ilvl w:val="0"/>
          <w:numId w:val="1002"/>
        </w:numPr>
      </w:pPr>
      <w:r>
        <w:t xml:space="preserve">Comparable sales grew</w:t>
      </w:r>
      <w:r>
        <w:t xml:space="preserve"> </w:t>
      </w:r>
      <w:r>
        <w:rPr>
          <w:b/>
          <w:bCs/>
        </w:rPr>
        <w:t xml:space="preserve">3.7%</w:t>
      </w:r>
      <w:r>
        <w:t xml:space="preserve">.</w:t>
      </w:r>
    </w:p>
    <w:p>
      <w:pPr>
        <w:pStyle w:val="Compact"/>
        <w:numPr>
          <w:ilvl w:val="0"/>
          <w:numId w:val="1002"/>
        </w:numPr>
      </w:pPr>
      <w:r>
        <w:t xml:space="preserve">Adjusted EPS increased 6% to</w:t>
      </w:r>
      <w:r>
        <w:t xml:space="preserve"> </w:t>
      </w:r>
      <w:r>
        <w:rPr>
          <w:b/>
          <w:bCs/>
        </w:rPr>
        <w:t xml:space="preserve">$1.15</w:t>
      </w:r>
      <w:r>
        <w:t xml:space="preserve">.</w:t>
      </w:r>
    </w:p>
    <w:p>
      <w:pPr>
        <w:pStyle w:val="Compact"/>
        <w:numPr>
          <w:ilvl w:val="0"/>
          <w:numId w:val="1002"/>
        </w:numPr>
      </w:pPr>
      <w:r>
        <w:t xml:space="preserve">Medical Devices grew</w:t>
      </w:r>
      <w:r>
        <w:t xml:space="preserve"> </w:t>
      </w:r>
      <w:r>
        <w:rPr>
          <w:b/>
          <w:bCs/>
        </w:rPr>
        <w:t xml:space="preserve">8.5%</w:t>
      </w:r>
      <w:r>
        <w:t xml:space="preserve"> </w:t>
      </w:r>
      <w:r>
        <w:t xml:space="preserve">on a comparable basis.</w:t>
      </w:r>
    </w:p>
    <w:p>
      <w:pPr>
        <w:pStyle w:val="Compact"/>
        <w:numPr>
          <w:ilvl w:val="0"/>
          <w:numId w:val="1002"/>
        </w:numPr>
      </w:pPr>
      <w:r>
        <w:t xml:space="preserve">Established Pharmaceuticals grew</w:t>
      </w:r>
      <w:r>
        <w:t xml:space="preserve"> </w:t>
      </w:r>
      <w:r>
        <w:rPr>
          <w:b/>
          <w:bCs/>
        </w:rPr>
        <w:t xml:space="preserve">9.0%</w:t>
      </w:r>
      <w:r>
        <w:t xml:space="preserve">.</w:t>
      </w:r>
    </w:p>
    <w:p>
      <w:pPr>
        <w:pStyle w:val="Compact"/>
        <w:numPr>
          <w:ilvl w:val="0"/>
          <w:numId w:val="1002"/>
        </w:numPr>
      </w:pPr>
      <w:r>
        <w:t xml:space="preserve">Cancer Diagnostics grew</w:t>
      </w:r>
      <w:r>
        <w:t xml:space="preserve"> </w:t>
      </w:r>
      <w:r>
        <w:rPr>
          <w:b/>
          <w:bCs/>
        </w:rPr>
        <w:t xml:space="preserve">13.4%</w:t>
      </w:r>
      <w:r>
        <w:t xml:space="preserve">.</w:t>
      </w:r>
    </w:p>
    <w:p>
      <w:pPr>
        <w:pStyle w:val="Compact"/>
        <w:numPr>
          <w:ilvl w:val="0"/>
          <w:numId w:val="1002"/>
        </w:numPr>
      </w:pPr>
      <w:r>
        <w:t xml:space="preserve">Nutrition declined</w:t>
      </w:r>
      <w:r>
        <w:t xml:space="preserve"> </w:t>
      </w:r>
      <w:r>
        <w:rPr>
          <w:b/>
          <w:bCs/>
        </w:rPr>
        <w:t xml:space="preserve">7.7%</w:t>
      </w:r>
      <w:r>
        <w:t xml:space="preserve">.</w:t>
      </w:r>
    </w:p>
    <w:p>
      <w:pPr>
        <w:pStyle w:val="Compact"/>
        <w:numPr>
          <w:ilvl w:val="0"/>
          <w:numId w:val="1002"/>
        </w:numPr>
      </w:pPr>
      <w:r>
        <w:t xml:space="preserve">Core Laboratory Diagnostics grew</w:t>
      </w:r>
      <w:r>
        <w:t xml:space="preserve"> </w:t>
      </w:r>
      <w:r>
        <w:rPr>
          <w:b/>
          <w:bCs/>
        </w:rPr>
        <w:t xml:space="preserve">3.3%</w:t>
      </w:r>
      <w:r>
        <w:t xml:space="preserve">.</w:t>
      </w:r>
    </w:p>
    <w:p>
      <w:pPr>
        <w:pStyle w:val="Compact"/>
        <w:numPr>
          <w:ilvl w:val="0"/>
          <w:numId w:val="1002"/>
        </w:numPr>
      </w:pPr>
      <w:r>
        <w:t xml:space="preserve">Continuous glucose monitor sales grew</w:t>
      </w:r>
      <w:r>
        <w:t xml:space="preserve"> </w:t>
      </w:r>
      <w:r>
        <w:rPr>
          <w:b/>
          <w:bCs/>
        </w:rPr>
        <w:t xml:space="preserve">7.6%</w:t>
      </w:r>
      <w:r>
        <w:t xml:space="preserve"> </w:t>
      </w:r>
      <w:r>
        <w:t xml:space="preserve">on a comparable basis.</w:t>
      </w:r>
    </w:p>
    <w:p>
      <w:pPr>
        <w:pStyle w:val="FirstParagraph"/>
      </w:pPr>
      <w:r>
        <w:t xml:space="preserve">Management argued that Q1 represented the low point in Abbott’s growth cadence and reiterated expectations for acceleration through the remainder of 2026. Q2 is the first meaningful test of that assertion.</w:t>
      </w:r>
    </w:p>
    <w:p>
      <w:r>
        <w:pict>
          <v:rect style="width:0;height:1.5pt" o:hralign="center" o:hrstd="t" o:hr="t"/>
        </w:pict>
      </w:r>
    </w:p>
    <w:bookmarkEnd w:id="11"/>
    <w:bookmarkStart w:id="17" w:name="the-five-issues-that-matter-most"/>
    <w:p>
      <w:pPr>
        <w:pStyle w:val="Heading2"/>
      </w:pPr>
      <w:r>
        <w:t xml:space="preserve">The five issues that matter most</w:t>
      </w:r>
    </w:p>
    <w:bookmarkStart w:id="12" w:name="X89fb411c37ec629c154fc662fb4dff0a5a38d4d"/>
    <w:p>
      <w:pPr>
        <w:pStyle w:val="Heading3"/>
      </w:pPr>
      <w:r>
        <w:t xml:space="preserve">1. Nutrition must show an inflection</w:t>
      </w:r>
    </w:p>
    <w:p>
      <w:pPr>
        <w:pStyle w:val="FirstParagraph"/>
      </w:pPr>
      <w:r>
        <w:t xml:space="preserve">Nutrition is the most immediate execution problem.</w:t>
      </w:r>
    </w:p>
    <w:p>
      <w:pPr>
        <w:pStyle w:val="BodyText"/>
      </w:pPr>
      <w:r>
        <w:t xml:space="preserve">Comparable Nutrition sales declined</w:t>
      </w:r>
      <w:r>
        <w:t xml:space="preserve"> </w:t>
      </w:r>
      <w:r>
        <w:rPr>
          <w:b/>
          <w:bCs/>
        </w:rPr>
        <w:t xml:space="preserve">9.1% in Q4 2025</w:t>
      </w:r>
      <w:r>
        <w:t xml:space="preserve"> </w:t>
      </w:r>
      <w:r>
        <w:t xml:space="preserve">and</w:t>
      </w:r>
      <w:r>
        <w:t xml:space="preserve"> </w:t>
      </w:r>
      <w:r>
        <w:rPr>
          <w:b/>
          <w:bCs/>
        </w:rPr>
        <w:t xml:space="preserve">7.7% in Q1 2026</w:t>
      </w:r>
      <w:r>
        <w:t xml:space="preserve">. The first-quarter weakness was broad:</w:t>
      </w:r>
    </w:p>
    <w:p>
      <w:pPr>
        <w:pStyle w:val="Compact"/>
        <w:numPr>
          <w:ilvl w:val="0"/>
          <w:numId w:val="1003"/>
        </w:numPr>
      </w:pPr>
      <w:r>
        <w:t xml:space="preserve">U.S. Pediatric Nutrition:</w:t>
      </w:r>
      <w:r>
        <w:t xml:space="preserve"> </w:t>
      </w:r>
      <w:r>
        <w:rPr>
          <w:b/>
          <w:bCs/>
        </w:rPr>
        <w:t xml:space="preserve">-13.0%</w:t>
      </w:r>
    </w:p>
    <w:p>
      <w:pPr>
        <w:pStyle w:val="Compact"/>
        <w:numPr>
          <w:ilvl w:val="0"/>
          <w:numId w:val="1003"/>
        </w:numPr>
      </w:pPr>
      <w:r>
        <w:t xml:space="preserve">U.S. Adult Nutrition:</w:t>
      </w:r>
      <w:r>
        <w:t xml:space="preserve"> </w:t>
      </w:r>
      <w:r>
        <w:rPr>
          <w:b/>
          <w:bCs/>
        </w:rPr>
        <w:t xml:space="preserve">-9.2%</w:t>
      </w:r>
    </w:p>
    <w:p>
      <w:pPr>
        <w:pStyle w:val="Compact"/>
        <w:numPr>
          <w:ilvl w:val="0"/>
          <w:numId w:val="1003"/>
        </w:numPr>
      </w:pPr>
      <w:r>
        <w:t xml:space="preserve">International Pediatric Nutrition:</w:t>
      </w:r>
      <w:r>
        <w:t xml:space="preserve"> </w:t>
      </w:r>
      <w:r>
        <w:rPr>
          <w:b/>
          <w:bCs/>
        </w:rPr>
        <w:t xml:space="preserve">-5.3%</w:t>
      </w:r>
    </w:p>
    <w:p>
      <w:pPr>
        <w:pStyle w:val="Compact"/>
        <w:numPr>
          <w:ilvl w:val="0"/>
          <w:numId w:val="1003"/>
        </w:numPr>
      </w:pPr>
      <w:r>
        <w:t xml:space="preserve">International Adult Nutrition:</w:t>
      </w:r>
      <w:r>
        <w:t xml:space="preserve"> </w:t>
      </w:r>
      <w:r>
        <w:rPr>
          <w:b/>
          <w:bCs/>
        </w:rPr>
        <w:t xml:space="preserve">-4.3%</w:t>
      </w:r>
    </w:p>
    <w:p>
      <w:pPr>
        <w:pStyle w:val="FirstParagraph"/>
      </w:pPr>
      <w:r>
        <w:t xml:space="preserve">Abbott cut prices selectively in late 2025 to improve affordability and stimulate volume. Management said Q1 data showed volume beginning to respond where lower prices had reached consumers, particularly for Ensure in the U.S. It also expects new products and expanded distribution to support improvement later in the year.</w:t>
      </w:r>
    </w:p>
    <w:p>
      <w:pPr>
        <w:pStyle w:val="BodyText"/>
      </w:pPr>
      <w:r>
        <w:rPr>
          <w:b/>
          <w:bCs/>
        </w:rPr>
        <w:t xml:space="preserve">What investors need to see:</w:t>
      </w:r>
      <w:r>
        <w:t xml:space="preserve"> </w:t>
      </w:r>
      <w:r>
        <w:t xml:space="preserve">The Nutrition segment does not necessarily have to return to growth in Q2, but its decline should narrow clearly. Another high-single-digit or double-digit contraction would undermine the expected second-half recovery and raise questions about pricing elasticity, competition and the segment’s strategic fit.</w:t>
      </w:r>
    </w:p>
    <w:p>
      <w:pPr>
        <w:pStyle w:val="BodyText"/>
      </w:pPr>
      <w:r>
        <w:t xml:space="preserve">Key questions for the call:</w:t>
      </w:r>
    </w:p>
    <w:p>
      <w:pPr>
        <w:pStyle w:val="Compact"/>
        <w:numPr>
          <w:ilvl w:val="0"/>
          <w:numId w:val="1004"/>
        </w:numPr>
      </w:pPr>
      <w:r>
        <w:t xml:space="preserve">Are volumes now growing in the channels where pricing has reset?</w:t>
      </w:r>
    </w:p>
    <w:p>
      <w:pPr>
        <w:pStyle w:val="Compact"/>
        <w:numPr>
          <w:ilvl w:val="0"/>
          <w:numId w:val="1004"/>
        </w:numPr>
      </w:pPr>
      <w:r>
        <w:t xml:space="preserve">When does management expect total Nutrition sales to turn positive?</w:t>
      </w:r>
    </w:p>
    <w:p>
      <w:pPr>
        <w:pStyle w:val="Compact"/>
        <w:numPr>
          <w:ilvl w:val="0"/>
          <w:numId w:val="1004"/>
        </w:numPr>
      </w:pPr>
      <w:r>
        <w:t xml:space="preserve">Is the recovery occurring in both pediatric and adult categories?</w:t>
      </w:r>
    </w:p>
    <w:p>
      <w:pPr>
        <w:pStyle w:val="Compact"/>
        <w:numPr>
          <w:ilvl w:val="0"/>
          <w:numId w:val="1004"/>
        </w:numPr>
      </w:pPr>
      <w:r>
        <w:t xml:space="preserve">Will lower pricing create a lasting gross-margin headwind?</w:t>
      </w:r>
    </w:p>
    <w:p>
      <w:r>
        <w:pict>
          <v:rect style="width:0;height:1.5pt" o:hralign="center" o:hrstd="t" o:hr="t"/>
        </w:pict>
      </w:r>
    </w:p>
    <w:bookmarkEnd w:id="12"/>
    <w:bookmarkStart w:id="13" w:name="X59c04ca0b82472b6a5542c5e2de618c59c6daf5"/>
    <w:p>
      <w:pPr>
        <w:pStyle w:val="Heading3"/>
      </w:pPr>
      <w:r>
        <w:t xml:space="preserve">2. FreeStyle Libre needs to return to double-digit growth</w:t>
      </w:r>
    </w:p>
    <w:p>
      <w:pPr>
        <w:pStyle w:val="FirstParagraph"/>
      </w:pPr>
      <w:r>
        <w:t xml:space="preserve">Diabetes Care remains Abbott’s largest and most closely watched medical-device franchise. Q1 CGM sales reached approximately</w:t>
      </w:r>
      <w:r>
        <w:t xml:space="preserve"> </w:t>
      </w:r>
      <w:r>
        <w:rPr>
          <w:b/>
          <w:bCs/>
        </w:rPr>
        <w:t xml:space="preserve">$2.0 billion</w:t>
      </w:r>
      <w:r>
        <w:t xml:space="preserve">, but comparable growth slowed to</w:t>
      </w:r>
      <w:r>
        <w:t xml:space="preserve"> </w:t>
      </w:r>
      <w:r>
        <w:rPr>
          <w:b/>
          <w:bCs/>
        </w:rPr>
        <w:t xml:space="preserve">7.6%</w:t>
      </w:r>
      <w:r>
        <w:t xml:space="preserve">, versus</w:t>
      </w:r>
      <w:r>
        <w:t xml:space="preserve"> </w:t>
      </w:r>
      <w:r>
        <w:rPr>
          <w:b/>
          <w:bCs/>
        </w:rPr>
        <w:t xml:space="preserve">19.6% organic growth in Q2 2025</w:t>
      </w:r>
      <w:r>
        <w:t xml:space="preserve">.</w:t>
      </w:r>
    </w:p>
    <w:p>
      <w:pPr>
        <w:pStyle w:val="BodyText"/>
      </w:pPr>
      <w:r>
        <w:t xml:space="preserve">Management attributed Q1’s moderation to:</w:t>
      </w:r>
    </w:p>
    <w:p>
      <w:pPr>
        <w:pStyle w:val="Compact"/>
        <w:numPr>
          <w:ilvl w:val="0"/>
          <w:numId w:val="1005"/>
        </w:numPr>
      </w:pPr>
      <w:r>
        <w:t xml:space="preserve">A delayed international tender renewal.</w:t>
      </w:r>
    </w:p>
    <w:p>
      <w:pPr>
        <w:pStyle w:val="Compact"/>
        <w:numPr>
          <w:ilvl w:val="0"/>
          <w:numId w:val="1005"/>
        </w:numPr>
      </w:pPr>
      <w:r>
        <w:t xml:space="preserve">A difficult comparison related to channel restocking in early 2025.</w:t>
      </w:r>
    </w:p>
    <w:p>
      <w:pPr>
        <w:pStyle w:val="Compact"/>
        <w:numPr>
          <w:ilvl w:val="0"/>
          <w:numId w:val="1005"/>
        </w:numPr>
      </w:pPr>
      <w:r>
        <w:t xml:space="preserve">Normal quarter-to-quarter variability in prescription and reimbursement trends.</w:t>
      </w:r>
    </w:p>
    <w:p>
      <w:pPr>
        <w:pStyle w:val="FirstParagraph"/>
      </w:pPr>
      <w:r>
        <w:t xml:space="preserve">Abbott explicitly said it expected CGM growth to return to</w:t>
      </w:r>
      <w:r>
        <w:t xml:space="preserve"> </w:t>
      </w:r>
      <w:r>
        <w:rPr>
          <w:b/>
          <w:bCs/>
        </w:rPr>
        <w:t xml:space="preserve">double digits in Q2</w:t>
      </w:r>
      <w:r>
        <w:t xml:space="preserve">. Failure to meet that commitment would be one of the report’s clearest negatives.</w:t>
      </w:r>
    </w:p>
    <w:p>
      <w:pPr>
        <w:pStyle w:val="BodyText"/>
      </w:pPr>
      <w:r>
        <w:t xml:space="preserve">Longer term, management remains bullish because CGM penetration is still limited relative to the global diabetic population. Potential catalysts include broader coverage for non-insulin Type 2 diabetes, additional international reimbursement and new sensors, including a dual glucose-ketone product expected to receive approval in the second half of 2026.</w:t>
      </w:r>
    </w:p>
    <w:p>
      <w:pPr>
        <w:pStyle w:val="BodyText"/>
      </w:pPr>
      <w:r>
        <w:rPr>
          <w:b/>
          <w:bCs/>
        </w:rPr>
        <w:t xml:space="preserve">The Q2 test:</w:t>
      </w:r>
      <w:r>
        <w:t xml:space="preserve"> </w:t>
      </w:r>
      <w:r>
        <w:t xml:space="preserve">At least low-double-digit CGM growth, preferably accompanied by constructive commentary on U.S. prescription trends and international tender timing.</w:t>
      </w:r>
    </w:p>
    <w:p>
      <w:r>
        <w:pict>
          <v:rect style="width:0;height:1.5pt" o:hralign="center" o:hrstd="t" o:hr="t"/>
        </w:pict>
      </w:r>
    </w:p>
    <w:bookmarkEnd w:id="13"/>
    <w:bookmarkStart w:id="14" w:name="Xa211e1f0075701ade92887ab559e396e6d0b509"/>
    <w:p>
      <w:pPr>
        <w:pStyle w:val="Heading3"/>
      </w:pPr>
      <w:r>
        <w:t xml:space="preserve">3. Exact Sciences has its first full quarter inside Abbott</w:t>
      </w:r>
    </w:p>
    <w:p>
      <w:pPr>
        <w:pStyle w:val="FirstParagraph"/>
      </w:pPr>
      <w:r>
        <w:t xml:space="preserve">Abbott completed the approximately</w:t>
      </w:r>
      <w:r>
        <w:t xml:space="preserve"> </w:t>
      </w:r>
      <w:r>
        <w:rPr>
          <w:b/>
          <w:bCs/>
        </w:rPr>
        <w:t xml:space="preserve">$20.6 billion acquisition of Exact Sciences on March 23</w:t>
      </w:r>
      <w:r>
        <w:t xml:space="preserve">, so Q2 will be the first full reporting period containing the acquired business.</w:t>
      </w:r>
    </w:p>
    <w:p>
      <w:pPr>
        <w:pStyle w:val="BodyText"/>
      </w:pPr>
      <w:r>
        <w:t xml:space="preserve">Exact Sciences generated</w:t>
      </w:r>
      <w:r>
        <w:t xml:space="preserve"> </w:t>
      </w:r>
      <w:r>
        <w:rPr>
          <w:b/>
          <w:bCs/>
        </w:rPr>
        <w:t xml:space="preserve">$811 million</w:t>
      </w:r>
      <w:r>
        <w:t xml:space="preserve"> </w:t>
      </w:r>
      <w:r>
        <w:t xml:space="preserve">of revenue in Q2 2025, including:</w:t>
      </w:r>
    </w:p>
    <w:p>
      <w:pPr>
        <w:pStyle w:val="Compact"/>
        <w:numPr>
          <w:ilvl w:val="0"/>
          <w:numId w:val="1006"/>
        </w:numPr>
      </w:pPr>
      <w:r>
        <w:t xml:space="preserve">Screening revenue of</w:t>
      </w:r>
      <w:r>
        <w:t xml:space="preserve"> </w:t>
      </w:r>
      <w:r>
        <w:rPr>
          <w:b/>
          <w:bCs/>
        </w:rPr>
        <w:t xml:space="preserve">$628 million</w:t>
      </w:r>
    </w:p>
    <w:p>
      <w:pPr>
        <w:pStyle w:val="Compact"/>
        <w:numPr>
          <w:ilvl w:val="0"/>
          <w:numId w:val="1006"/>
        </w:numPr>
      </w:pPr>
      <w:r>
        <w:t xml:space="preserve">Precision Oncology revenue of</w:t>
      </w:r>
      <w:r>
        <w:t xml:space="preserve"> </w:t>
      </w:r>
      <w:r>
        <w:rPr>
          <w:b/>
          <w:bCs/>
        </w:rPr>
        <w:t xml:space="preserve">$183 million</w:t>
      </w:r>
    </w:p>
    <w:p>
      <w:pPr>
        <w:pStyle w:val="FirstParagraph"/>
      </w:pPr>
      <w:r>
        <w:t xml:space="preserve">The business was growing 16% at the time, led by Cologuard and Cologuard Plus. In Abbott’s Q1 comparable presentation, Cancer Diagnostics grew</w:t>
      </w:r>
      <w:r>
        <w:t xml:space="preserve"> </w:t>
      </w:r>
      <w:r>
        <w:rPr>
          <w:b/>
          <w:bCs/>
        </w:rPr>
        <w:t xml:space="preserve">13.4%</w:t>
      </w:r>
      <w:r>
        <w:t xml:space="preserve">, with Cologuard growing in the mid-teens.</w:t>
      </w:r>
    </w:p>
    <w:p>
      <w:pPr>
        <w:pStyle w:val="BodyText"/>
      </w:pPr>
      <w:r>
        <w:t xml:space="preserve">Investors should focus on three things:</w:t>
      </w:r>
    </w:p>
    <w:p>
      <w:pPr>
        <w:pStyle w:val="Compact"/>
        <w:numPr>
          <w:ilvl w:val="0"/>
          <w:numId w:val="1007"/>
        </w:numPr>
      </w:pPr>
      <w:r>
        <w:rPr>
          <w:b/>
          <w:bCs/>
        </w:rPr>
        <w:t xml:space="preserve">Growth durability:</w:t>
      </w:r>
      <w:r>
        <w:t xml:space="preserve"> </w:t>
      </w:r>
      <w:r>
        <w:t xml:space="preserve">A roughly mid-teens result would support Abbott’s argument that Exact raises the consolidated company’s long-term growth profile.</w:t>
      </w:r>
    </w:p>
    <w:p>
      <w:pPr>
        <w:pStyle w:val="Compact"/>
        <w:numPr>
          <w:ilvl w:val="0"/>
          <w:numId w:val="1007"/>
        </w:numPr>
      </w:pPr>
      <w:r>
        <w:rPr>
          <w:b/>
          <w:bCs/>
        </w:rPr>
        <w:t xml:space="preserve">Integration:</w:t>
      </w:r>
      <w:r>
        <w:t xml:space="preserve"> </w:t>
      </w:r>
      <w:r>
        <w:t xml:space="preserve">Abbott has kept the business relatively autonomous, but investors will want evidence that employee retention, commercial execution and test volumes remain healthy.</w:t>
      </w:r>
    </w:p>
    <w:p>
      <w:pPr>
        <w:pStyle w:val="Compact"/>
        <w:numPr>
          <w:ilvl w:val="0"/>
          <w:numId w:val="1007"/>
        </w:numPr>
      </w:pPr>
      <w:r>
        <w:rPr>
          <w:b/>
          <w:bCs/>
        </w:rPr>
        <w:t xml:space="preserve">Financial consequences:</w:t>
      </w:r>
      <w:r>
        <w:t xml:space="preserve"> </w:t>
      </w:r>
      <w:r>
        <w:t xml:space="preserve">The acquisition is expected to dilute 2026 adjusted EPS by approximately $0.20. Abbott issued $20 billion of long-term debt to finance the transaction and also assumed Exact debt, increasing the importance of cash generation and deleveraging.</w:t>
      </w:r>
    </w:p>
    <w:p>
      <w:pPr>
        <w:pStyle w:val="FirstParagraph"/>
      </w:pPr>
      <w:r>
        <w:t xml:space="preserve">An Exact revenue result around</w:t>
      </w:r>
      <w:r>
        <w:t xml:space="preserve"> </w:t>
      </w:r>
      <m:oMath>
        <m:r>
          <m:t>920</m:t>
        </m:r>
        <m:r>
          <m:t>m</m:t>
        </m:r>
        <m:r>
          <m:t>i</m:t>
        </m:r>
        <m:r>
          <m:t>l</m:t>
        </m:r>
        <m:r>
          <m:t>l</m:t>
        </m:r>
        <m:r>
          <m:t>i</m:t>
        </m:r>
        <m:r>
          <m:t>o</m:t>
        </m:r>
        <m:r>
          <m:t>n</m:t>
        </m:r>
        <m:r>
          <m:rPr>
            <m:sty m:val="p"/>
          </m:rPr>
          <m:t>–</m:t>
        </m:r>
      </m:oMath>
      <w:r>
        <w:rPr>
          <w:b/>
          <w:bCs/>
        </w:rPr>
        <w:t xml:space="preserve">940 million</w:t>
      </w:r>
      <w:r>
        <w:t xml:space="preserve"> </w:t>
      </w:r>
      <w:r>
        <w:t xml:space="preserve">would represent roughly 13%–16% growth from the prior-year base and would likely be viewed as solid.</w:t>
      </w:r>
    </w:p>
    <w:p>
      <w:pPr>
        <w:pStyle w:val="BodyText"/>
      </w:pPr>
      <w:r>
        <w:t xml:space="preserve">The call should also address the development and commercialization outlook for Cancerguard, Oncodetect and international cancer screening.</w:t>
      </w:r>
    </w:p>
    <w:p>
      <w:r>
        <w:pict>
          <v:rect style="width:0;height:1.5pt" o:hralign="center" o:hrstd="t" o:hr="t"/>
        </w:pict>
      </w:r>
    </w:p>
    <w:bookmarkEnd w:id="14"/>
    <w:bookmarkStart w:id="15" w:name="Xd4218b41d046bcc5014c80e17b04b182845ab57"/>
    <w:p>
      <w:pPr>
        <w:pStyle w:val="Heading3"/>
      </w:pPr>
      <w:r>
        <w:t xml:space="preserve">4. Medical Devices must remain the core growth engine</w:t>
      </w:r>
    </w:p>
    <w:p>
      <w:pPr>
        <w:pStyle w:val="FirstParagraph"/>
      </w:pPr>
      <w:r>
        <w:t xml:space="preserve">Medical Devices produced</w:t>
      </w:r>
      <w:r>
        <w:t xml:space="preserve"> </w:t>
      </w:r>
      <w:r>
        <w:rPr>
          <w:b/>
          <w:bCs/>
        </w:rPr>
        <w:t xml:space="preserve">8.5% comparable growth in Q1</w:t>
      </w:r>
      <w:r>
        <w:t xml:space="preserve">, led by:</w:t>
      </w:r>
    </w:p>
    <w:p>
      <w:pPr>
        <w:pStyle w:val="Compact"/>
        <w:numPr>
          <w:ilvl w:val="0"/>
          <w:numId w:val="1008"/>
        </w:numPr>
      </w:pPr>
      <w:r>
        <w:t xml:space="preserve">Rhythm Management:</w:t>
      </w:r>
      <w:r>
        <w:t xml:space="preserve"> </w:t>
      </w:r>
      <w:r>
        <w:rPr>
          <w:b/>
          <w:bCs/>
        </w:rPr>
        <w:t xml:space="preserve">+12.5%</w:t>
      </w:r>
    </w:p>
    <w:p>
      <w:pPr>
        <w:pStyle w:val="Compact"/>
        <w:numPr>
          <w:ilvl w:val="0"/>
          <w:numId w:val="1008"/>
        </w:numPr>
      </w:pPr>
      <w:r>
        <w:t xml:space="preserve">Electrophysiology:</w:t>
      </w:r>
      <w:r>
        <w:t xml:space="preserve"> </w:t>
      </w:r>
      <w:r>
        <w:rPr>
          <w:b/>
          <w:bCs/>
        </w:rPr>
        <w:t xml:space="preserve">+12.5%</w:t>
      </w:r>
    </w:p>
    <w:p>
      <w:pPr>
        <w:pStyle w:val="Compact"/>
        <w:numPr>
          <w:ilvl w:val="0"/>
          <w:numId w:val="1008"/>
        </w:numPr>
      </w:pPr>
      <w:r>
        <w:t xml:space="preserve">Heart Failure:</w:t>
      </w:r>
      <w:r>
        <w:t xml:space="preserve"> </w:t>
      </w:r>
      <w:r>
        <w:rPr>
          <w:b/>
          <w:bCs/>
        </w:rPr>
        <w:t xml:space="preserve">+12.2%</w:t>
      </w:r>
    </w:p>
    <w:p>
      <w:pPr>
        <w:pStyle w:val="Compact"/>
        <w:numPr>
          <w:ilvl w:val="0"/>
          <w:numId w:val="1008"/>
        </w:numPr>
      </w:pPr>
      <w:r>
        <w:t xml:space="preserve">Diabetes Care:</w:t>
      </w:r>
      <w:r>
        <w:t xml:space="preserve"> </w:t>
      </w:r>
      <w:r>
        <w:rPr>
          <w:b/>
          <w:bCs/>
        </w:rPr>
        <w:t xml:space="preserve">+7.4%</w:t>
      </w:r>
    </w:p>
    <w:p>
      <w:pPr>
        <w:pStyle w:val="Compact"/>
        <w:numPr>
          <w:ilvl w:val="0"/>
          <w:numId w:val="1008"/>
        </w:numPr>
      </w:pPr>
      <w:r>
        <w:t xml:space="preserve">Structural Heart:</w:t>
      </w:r>
      <w:r>
        <w:t xml:space="preserve"> </w:t>
      </w:r>
      <w:r>
        <w:rPr>
          <w:b/>
          <w:bCs/>
        </w:rPr>
        <w:t xml:space="preserve">+6.8% comparable</w:t>
      </w:r>
    </w:p>
    <w:p>
      <w:pPr>
        <w:pStyle w:val="Compact"/>
        <w:numPr>
          <w:ilvl w:val="0"/>
          <w:numId w:val="1008"/>
        </w:numPr>
      </w:pPr>
      <w:r>
        <w:t xml:space="preserve">Vascular:</w:t>
      </w:r>
      <w:r>
        <w:t xml:space="preserve"> </w:t>
      </w:r>
      <w:r>
        <w:rPr>
          <w:b/>
          <w:bCs/>
        </w:rPr>
        <w:t xml:space="preserve">+4.9%</w:t>
      </w:r>
    </w:p>
    <w:p>
      <w:pPr>
        <w:pStyle w:val="Compact"/>
        <w:numPr>
          <w:ilvl w:val="0"/>
          <w:numId w:val="1008"/>
        </w:numPr>
      </w:pPr>
      <w:r>
        <w:t xml:space="preserve">Neuromodulation:</w:t>
      </w:r>
      <w:r>
        <w:t xml:space="preserve"> </w:t>
      </w:r>
      <w:r>
        <w:rPr>
          <w:b/>
          <w:bCs/>
        </w:rPr>
        <w:t xml:space="preserve">+4.1%</w:t>
      </w:r>
    </w:p>
    <w:p>
      <w:pPr>
        <w:pStyle w:val="FirstParagraph"/>
      </w:pPr>
      <w:r>
        <w:t xml:space="preserve">The most important incremental catalyst is Electrophysiology. Abbott launched its Volt PFA catheter in the U.S. and TactiFlex Duo in Europe during Q1. Both began in limited-market release, with broader launches expected to drive acceleration.</w:t>
      </w:r>
    </w:p>
    <w:p>
      <w:pPr>
        <w:pStyle w:val="BodyText"/>
      </w:pPr>
      <w:r>
        <w:t xml:space="preserve">Management believes the overall electrophysiology market is growing in the mid- to high teens and intends for Abbott to outgrow that market by year-end. Investors will look for evidence of:</w:t>
      </w:r>
    </w:p>
    <w:p>
      <w:pPr>
        <w:pStyle w:val="Compact"/>
        <w:numPr>
          <w:ilvl w:val="0"/>
          <w:numId w:val="1009"/>
        </w:numPr>
      </w:pPr>
      <w:r>
        <w:t xml:space="preserve">Customer conversions and share gains.</w:t>
      </w:r>
    </w:p>
    <w:p>
      <w:pPr>
        <w:pStyle w:val="Compact"/>
        <w:numPr>
          <w:ilvl w:val="0"/>
          <w:numId w:val="1009"/>
        </w:numPr>
      </w:pPr>
      <w:r>
        <w:t xml:space="preserve">Positive physician feedback.</w:t>
      </w:r>
    </w:p>
    <w:p>
      <w:pPr>
        <w:pStyle w:val="Compact"/>
        <w:numPr>
          <w:ilvl w:val="0"/>
          <w:numId w:val="1009"/>
        </w:numPr>
      </w:pPr>
      <w:r>
        <w:t xml:space="preserve">Broader launch progress.</w:t>
      </w:r>
    </w:p>
    <w:p>
      <w:pPr>
        <w:pStyle w:val="Compact"/>
        <w:numPr>
          <w:ilvl w:val="0"/>
          <w:numId w:val="1009"/>
        </w:numPr>
      </w:pPr>
      <w:r>
        <w:t xml:space="preserve">Faster EP growth in Q2 and the second half.</w:t>
      </w:r>
    </w:p>
    <w:p>
      <w:pPr>
        <w:pStyle w:val="FirstParagraph"/>
      </w:pPr>
      <w:r>
        <w:t xml:space="preserve">Structural Heart is more mixed. International demand has been strong, but U.S. execution and increased competition in mitral products have pressured growth. Management continues to target high-single-digit full-year growth, making U.S. commercial progress another item to monitor.</w:t>
      </w:r>
    </w:p>
    <w:p>
      <w:r>
        <w:pict>
          <v:rect style="width:0;height:1.5pt" o:hralign="center" o:hrstd="t" o:hr="t"/>
        </w:pict>
      </w:r>
    </w:p>
    <w:bookmarkEnd w:id="15"/>
    <w:bookmarkStart w:id="16" w:name="Xfb51adf0fa2048ecb8ce7d1b06d137e502c5111"/>
    <w:p>
      <w:pPr>
        <w:pStyle w:val="Heading3"/>
      </w:pPr>
      <w:r>
        <w:t xml:space="preserve">5. Full-year guidance—and its credibility—will drive the stock</w:t>
      </w:r>
    </w:p>
    <w:p>
      <w:pPr>
        <w:pStyle w:val="FirstParagraph"/>
      </w:pPr>
      <w:r>
        <w:t xml:space="preserve">Abbott’s existing 2026 outlook calls for:</w:t>
      </w:r>
    </w:p>
    <w:p>
      <w:pPr>
        <w:pStyle w:val="Compact"/>
        <w:numPr>
          <w:ilvl w:val="0"/>
          <w:numId w:val="1010"/>
        </w:numPr>
      </w:pPr>
      <w:r>
        <w:rPr>
          <w:b/>
          <w:bCs/>
        </w:rPr>
        <w:t xml:space="preserve">6.5%–7.5% comparable sales growth</w:t>
      </w:r>
    </w:p>
    <w:p>
      <w:pPr>
        <w:pStyle w:val="Compact"/>
        <w:numPr>
          <w:ilvl w:val="0"/>
          <w:numId w:val="1010"/>
        </w:numPr>
      </w:pPr>
      <m:oMath>
        <m:r>
          <m:t>5.38</m:t>
        </m:r>
        <m:r>
          <m:rPr>
            <m:sty m:val="p"/>
          </m:rPr>
          <m:t>–</m:t>
        </m:r>
      </m:oMath>
      <w:r>
        <w:rPr>
          <w:b/>
          <w:bCs/>
        </w:rPr>
        <w:t xml:space="preserve">5.58 of adjusted EPS</w:t>
      </w:r>
    </w:p>
    <w:p>
      <w:pPr>
        <w:pStyle w:val="FirstParagraph"/>
      </w:pPr>
      <w:r>
        <w:t xml:space="preserve">The EPS range incorporates approximately</w:t>
      </w:r>
      <w:r>
        <w:t xml:space="preserve"> </w:t>
      </w:r>
      <w:r>
        <w:rPr>
          <w:b/>
          <w:bCs/>
        </w:rPr>
        <w:t xml:space="preserve">$0.20 of dilution from Exact Sciences</w:t>
      </w:r>
      <w:r>
        <w:t xml:space="preserve">. At the Q1 call, management also assumed no recovery in respiratory-testing demand later in the year, making that portion of the forecast arguably conservative.</w:t>
      </w:r>
    </w:p>
    <w:p>
      <w:pPr>
        <w:pStyle w:val="BodyText"/>
      </w:pPr>
      <w:r>
        <w:t xml:space="preserve">The problem is that the outlook depends on several businesses improving simultaneously:</w:t>
      </w:r>
    </w:p>
    <w:p>
      <w:pPr>
        <w:pStyle w:val="Compact"/>
        <w:numPr>
          <w:ilvl w:val="0"/>
          <w:numId w:val="1011"/>
        </w:numPr>
      </w:pPr>
      <w:r>
        <w:t xml:space="preserve">Nutrition must recover.</w:t>
      </w:r>
    </w:p>
    <w:p>
      <w:pPr>
        <w:pStyle w:val="Compact"/>
        <w:numPr>
          <w:ilvl w:val="0"/>
          <w:numId w:val="1011"/>
        </w:numPr>
      </w:pPr>
      <w:r>
        <w:t xml:space="preserve">Core Lab must accelerate.</w:t>
      </w:r>
    </w:p>
    <w:p>
      <w:pPr>
        <w:pStyle w:val="Compact"/>
        <w:numPr>
          <w:ilvl w:val="0"/>
          <w:numId w:val="1011"/>
        </w:numPr>
      </w:pPr>
      <w:r>
        <w:t xml:space="preserve">CGM must return to double-digit growth.</w:t>
      </w:r>
    </w:p>
    <w:p>
      <w:pPr>
        <w:pStyle w:val="Compact"/>
        <w:numPr>
          <w:ilvl w:val="0"/>
          <w:numId w:val="1011"/>
        </w:numPr>
      </w:pPr>
      <w:r>
        <w:t xml:space="preserve">EP must benefit from PFA launches.</w:t>
      </w:r>
    </w:p>
    <w:p>
      <w:pPr>
        <w:pStyle w:val="Compact"/>
        <w:numPr>
          <w:ilvl w:val="0"/>
          <w:numId w:val="1011"/>
        </w:numPr>
      </w:pPr>
      <w:r>
        <w:t xml:space="preserve">Exact Sciences must maintain double-digit growth.</w:t>
      </w:r>
    </w:p>
    <w:p>
      <w:pPr>
        <w:pStyle w:val="Compact"/>
        <w:numPr>
          <w:ilvl w:val="0"/>
          <w:numId w:val="1011"/>
        </w:numPr>
      </w:pPr>
      <w:r>
        <w:t xml:space="preserve">Abbott must absorb higher financing costs while integrating Exact.</w:t>
      </w:r>
    </w:p>
    <w:p>
      <w:pPr>
        <w:pStyle w:val="FirstParagraph"/>
      </w:pPr>
      <w:r>
        <w:t xml:space="preserve">A simple reiteration would be acceptable if Q2 operating trends are convincing. However, maintaining guidance while pushing the expected recovery further into Q4 would be less reassuring.</w:t>
      </w:r>
    </w:p>
    <w:p>
      <w:r>
        <w:pict>
          <v:rect style="width:0;height:1.5pt" o:hralign="center" o:hrstd="t" o:hr="t"/>
        </w:pict>
      </w:r>
    </w:p>
    <w:bookmarkEnd w:id="16"/>
    <w:bookmarkEnd w:id="17"/>
    <w:bookmarkStart w:id="21" w:name="other-segment-considerations"/>
    <w:p>
      <w:pPr>
        <w:pStyle w:val="Heading2"/>
      </w:pPr>
      <w:r>
        <w:t xml:space="preserve">Other segment considerations</w:t>
      </w:r>
    </w:p>
    <w:bookmarkStart w:id="18" w:name="core-laboratory-diagnostics"/>
    <w:p>
      <w:pPr>
        <w:pStyle w:val="Heading3"/>
      </w:pPr>
      <w:r>
        <w:t xml:space="preserve">Core Laboratory Diagnostics</w:t>
      </w:r>
    </w:p>
    <w:p>
      <w:pPr>
        <w:pStyle w:val="FirstParagraph"/>
      </w:pPr>
      <w:r>
        <w:t xml:space="preserve">Core Lab grew</w:t>
      </w:r>
      <w:r>
        <w:t xml:space="preserve"> </w:t>
      </w:r>
      <w:r>
        <w:rPr>
          <w:b/>
          <w:bCs/>
        </w:rPr>
        <w:t xml:space="preserve">3.3%</w:t>
      </w:r>
      <w:r>
        <w:t xml:space="preserve"> </w:t>
      </w:r>
      <w:r>
        <w:t xml:space="preserve">in Q1. U.S. growth was reportedly high single digits, Europe remained solid and China stabilized after severe pressure from volume-based procurement.</w:t>
      </w:r>
    </w:p>
    <w:p>
      <w:pPr>
        <w:pStyle w:val="BodyText"/>
      </w:pPr>
      <w:r>
        <w:t xml:space="preserve">Management expects Core Lab growth to accelerate in the second half as China comparisons improve and U.S. share gains continue. Investors should look for growth approaching the mid-single digits and confirmation that China is no longer a material drag.</w:t>
      </w:r>
    </w:p>
    <w:bookmarkEnd w:id="18"/>
    <w:bookmarkStart w:id="19" w:name="rapid-and-molecular-diagnostics"/>
    <w:p>
      <w:pPr>
        <w:pStyle w:val="Heading3"/>
      </w:pPr>
      <w:r>
        <w:t xml:space="preserve">Rapid and Molecular Diagnostics</w:t>
      </w:r>
    </w:p>
    <w:p>
      <w:pPr>
        <w:pStyle w:val="FirstParagraph"/>
      </w:pPr>
      <w:r>
        <w:t xml:space="preserve">This business declined</w:t>
      </w:r>
      <w:r>
        <w:t xml:space="preserve"> </w:t>
      </w:r>
      <w:r>
        <w:rPr>
          <w:b/>
          <w:bCs/>
        </w:rPr>
        <w:t xml:space="preserve">9.6%</w:t>
      </w:r>
      <w:r>
        <w:t xml:space="preserve"> </w:t>
      </w:r>
      <w:r>
        <w:t xml:space="preserve">in Q1 due to a weak respiratory season. Abbott did not assume that the shortfall would be recovered later in the year. The segment remains volatile and is unlikely to be the report’s primary value driver unless results materially miss expectations.</w:t>
      </w:r>
    </w:p>
    <w:bookmarkEnd w:id="19"/>
    <w:bookmarkStart w:id="20" w:name="established-pharmaceuticals"/>
    <w:p>
      <w:pPr>
        <w:pStyle w:val="Heading3"/>
      </w:pPr>
      <w:r>
        <w:t xml:space="preserve">Established Pharmaceuticals</w:t>
      </w:r>
    </w:p>
    <w:p>
      <w:pPr>
        <w:pStyle w:val="FirstParagraph"/>
      </w:pPr>
      <w:r>
        <w:t xml:space="preserve">Established Pharmaceuticals grew</w:t>
      </w:r>
      <w:r>
        <w:t xml:space="preserve"> </w:t>
      </w:r>
      <w:r>
        <w:rPr>
          <w:b/>
          <w:bCs/>
        </w:rPr>
        <w:t xml:space="preserve">9.0%</w:t>
      </w:r>
      <w:r>
        <w:t xml:space="preserve"> </w:t>
      </w:r>
      <w:r>
        <w:t xml:space="preserve">in Q1, with broad strength across Latin America and Asia-Pacific. This is one of Abbott’s more reliable businesses and should continue delivering high-single-digit growth. A meaningful slowdown would be unexpected and potentially signal macroeconomic or currency-related stress in emerging markets.</w:t>
      </w:r>
    </w:p>
    <w:p>
      <w:r>
        <w:pict>
          <v:rect style="width:0;height:1.5pt" o:hralign="center" o:hrstd="t" o:hr="t"/>
        </w:pict>
      </w:r>
    </w:p>
    <w:bookmarkEnd w:id="20"/>
    <w:bookmarkEnd w:id="21"/>
    <w:bookmarkStart w:id="22" w:name="margins-interest-expense-and-cash-flow"/>
    <w:p>
      <w:pPr>
        <w:pStyle w:val="Heading2"/>
      </w:pPr>
      <w:r>
        <w:t xml:space="preserve">Margins, interest expense and cash flow</w:t>
      </w:r>
    </w:p>
    <w:p>
      <w:pPr>
        <w:pStyle w:val="FirstParagraph"/>
      </w:pPr>
      <w:r>
        <w:t xml:space="preserve">Q1’s adjusted gross margin was</w:t>
      </w:r>
      <w:r>
        <w:t xml:space="preserve"> </w:t>
      </w:r>
      <w:r>
        <w:rPr>
          <w:b/>
          <w:bCs/>
        </w:rPr>
        <w:t xml:space="preserve">56.3%</w:t>
      </w:r>
      <w:r>
        <w:t xml:space="preserve">, compared with</w:t>
      </w:r>
      <w:r>
        <w:t xml:space="preserve"> </w:t>
      </w:r>
      <w:r>
        <w:rPr>
          <w:b/>
          <w:bCs/>
        </w:rPr>
        <w:t xml:space="preserve">57.0% in Q2 2025</w:t>
      </w:r>
      <w:r>
        <w:t xml:space="preserve">. Abbott is balancing several moving pieces:</w:t>
      </w:r>
    </w:p>
    <w:p>
      <w:pPr>
        <w:pStyle w:val="Compact"/>
        <w:numPr>
          <w:ilvl w:val="0"/>
          <w:numId w:val="1012"/>
        </w:numPr>
      </w:pPr>
      <w:r>
        <w:t xml:space="preserve">High-margin Exact Sciences revenue.</w:t>
      </w:r>
    </w:p>
    <w:p>
      <w:pPr>
        <w:pStyle w:val="Compact"/>
        <w:numPr>
          <w:ilvl w:val="0"/>
          <w:numId w:val="1012"/>
        </w:numPr>
      </w:pPr>
      <w:r>
        <w:t xml:space="preserve">Acquisition and integration spending.</w:t>
      </w:r>
    </w:p>
    <w:p>
      <w:pPr>
        <w:pStyle w:val="Compact"/>
        <w:numPr>
          <w:ilvl w:val="0"/>
          <w:numId w:val="1012"/>
        </w:numPr>
      </w:pPr>
      <w:r>
        <w:t xml:space="preserve">Additional interest expense.</w:t>
      </w:r>
    </w:p>
    <w:p>
      <w:pPr>
        <w:pStyle w:val="Compact"/>
        <w:numPr>
          <w:ilvl w:val="0"/>
          <w:numId w:val="1012"/>
        </w:numPr>
      </w:pPr>
      <w:r>
        <w:t xml:space="preserve">Nutrition pricing actions.</w:t>
      </w:r>
    </w:p>
    <w:p>
      <w:pPr>
        <w:pStyle w:val="Compact"/>
        <w:numPr>
          <w:ilvl w:val="0"/>
          <w:numId w:val="1012"/>
        </w:numPr>
      </w:pPr>
      <w:r>
        <w:t xml:space="preserve">Ongoing manufacturing and productivity initiatives.</w:t>
      </w:r>
    </w:p>
    <w:p>
      <w:pPr>
        <w:pStyle w:val="Compact"/>
        <w:numPr>
          <w:ilvl w:val="0"/>
          <w:numId w:val="1012"/>
        </w:numPr>
      </w:pPr>
      <w:r>
        <w:t xml:space="preserve">Increased commercial investment behind growth products.</w:t>
      </w:r>
    </w:p>
    <w:p>
      <w:pPr>
        <w:pStyle w:val="FirstParagraph"/>
      </w:pPr>
      <w:r>
        <w:t xml:space="preserve">The acquisition also materially changed the balance sheet. Abbott funded most of the purchase with $20 billion of new long-term debt and intended to repay approximately $1.4 billion of remaining assumed Exact debt during 2026.</w:t>
      </w:r>
    </w:p>
    <w:p>
      <w:pPr>
        <w:pStyle w:val="BodyText"/>
      </w:pPr>
      <w:r>
        <w:t xml:space="preserve">Investors should listen for:</w:t>
      </w:r>
    </w:p>
    <w:p>
      <w:pPr>
        <w:pStyle w:val="Compact"/>
        <w:numPr>
          <w:ilvl w:val="0"/>
          <w:numId w:val="1013"/>
        </w:numPr>
      </w:pPr>
      <w:r>
        <w:t xml:space="preserve">A clearer post-acquisition leverage target.</w:t>
      </w:r>
    </w:p>
    <w:p>
      <w:pPr>
        <w:pStyle w:val="Compact"/>
        <w:numPr>
          <w:ilvl w:val="0"/>
          <w:numId w:val="1013"/>
        </w:numPr>
      </w:pPr>
      <w:r>
        <w:t xml:space="preserve">Timing of debt repayment.</w:t>
      </w:r>
    </w:p>
    <w:p>
      <w:pPr>
        <w:pStyle w:val="Compact"/>
        <w:numPr>
          <w:ilvl w:val="0"/>
          <w:numId w:val="1013"/>
        </w:numPr>
      </w:pPr>
      <w:r>
        <w:t xml:space="preserve">Expected interest expense for 2026.</w:t>
      </w:r>
    </w:p>
    <w:p>
      <w:pPr>
        <w:pStyle w:val="Compact"/>
        <w:numPr>
          <w:ilvl w:val="0"/>
          <w:numId w:val="1013"/>
        </w:numPr>
      </w:pPr>
      <w:r>
        <w:t xml:space="preserve">Exact Sciences synergy and productivity targets.</w:t>
      </w:r>
    </w:p>
    <w:p>
      <w:pPr>
        <w:pStyle w:val="Compact"/>
        <w:numPr>
          <w:ilvl w:val="0"/>
          <w:numId w:val="1013"/>
        </w:numPr>
      </w:pPr>
      <w:r>
        <w:t xml:space="preserve">Whether Abbott is prioritizing debt reduction over share repurchases.</w:t>
      </w:r>
    </w:p>
    <w:p>
      <w:pPr>
        <w:pStyle w:val="FirstParagraph"/>
      </w:pPr>
      <w:r>
        <w:t xml:space="preserve">Although Abbott still had</w:t>
      </w:r>
      <w:r>
        <w:t xml:space="preserve"> </w:t>
      </w:r>
      <w:r>
        <w:rPr>
          <w:b/>
          <w:bCs/>
        </w:rPr>
        <w:t xml:space="preserve">$6.7 billion</w:t>
      </w:r>
      <w:r>
        <w:t xml:space="preserve"> </w:t>
      </w:r>
      <w:r>
        <w:t xml:space="preserve">of authorization remaining under its buyback program at the end of Q1, deleveraging should logically take precedence in the near term.</w:t>
      </w:r>
    </w:p>
    <w:p>
      <w:r>
        <w:pict>
          <v:rect style="width:0;height:1.5pt" o:hralign="center" o:hrstd="t" o:hr="t"/>
        </w:pict>
      </w:r>
    </w:p>
    <w:bookmarkEnd w:id="22"/>
    <w:bookmarkStart w:id="26" w:name="bull-base-and-bear-interpretations"/>
    <w:p>
      <w:pPr>
        <w:pStyle w:val="Heading2"/>
      </w:pPr>
      <w:r>
        <w:t xml:space="preserve">Bull, base and bear interpretations</w:t>
      </w:r>
    </w:p>
    <w:bookmarkStart w:id="23" w:name="bull-case"/>
    <w:p>
      <w:pPr>
        <w:pStyle w:val="Heading3"/>
      </w:pPr>
      <w:r>
        <w:t xml:space="preserve">Bull case</w:t>
      </w:r>
    </w:p>
    <w:p>
      <w:pPr>
        <w:pStyle w:val="Compact"/>
        <w:numPr>
          <w:ilvl w:val="0"/>
          <w:numId w:val="1014"/>
        </w:numPr>
      </w:pPr>
      <w:r>
        <w:t xml:space="preserve">Adjusted EPS above the top of guidance—</w:t>
      </w:r>
      <w:r>
        <w:rPr>
          <w:b/>
          <w:bCs/>
        </w:rPr>
        <w:t xml:space="preserve">more than $1.31</w:t>
      </w:r>
      <w:r>
        <w:t xml:space="preserve">.</w:t>
      </w:r>
    </w:p>
    <w:p>
      <w:pPr>
        <w:pStyle w:val="Compact"/>
        <w:numPr>
          <w:ilvl w:val="0"/>
          <w:numId w:val="1014"/>
        </w:numPr>
      </w:pPr>
      <w:r>
        <w:t xml:space="preserve">Comparable growth around or above</w:t>
      </w:r>
      <w:r>
        <w:t xml:space="preserve"> </w:t>
      </w:r>
      <w:r>
        <w:rPr>
          <w:b/>
          <w:bCs/>
        </w:rPr>
        <w:t xml:space="preserve">10%</w:t>
      </w:r>
      <w:r>
        <w:t xml:space="preserve">.</w:t>
      </w:r>
    </w:p>
    <w:p>
      <w:pPr>
        <w:pStyle w:val="Compact"/>
        <w:numPr>
          <w:ilvl w:val="0"/>
          <w:numId w:val="1014"/>
        </w:numPr>
      </w:pPr>
      <w:r>
        <w:t xml:space="preserve">Nutrition’s decline narrows substantially.</w:t>
      </w:r>
    </w:p>
    <w:p>
      <w:pPr>
        <w:pStyle w:val="Compact"/>
        <w:numPr>
          <w:ilvl w:val="0"/>
          <w:numId w:val="1014"/>
        </w:numPr>
      </w:pPr>
      <w:r>
        <w:t xml:space="preserve">CGM returns comfortably to double-digit growth.</w:t>
      </w:r>
    </w:p>
    <w:p>
      <w:pPr>
        <w:pStyle w:val="Compact"/>
        <w:numPr>
          <w:ilvl w:val="0"/>
          <w:numId w:val="1014"/>
        </w:numPr>
      </w:pPr>
      <w:r>
        <w:t xml:space="preserve">Exact Sciences delivers mid-teens growth.</w:t>
      </w:r>
    </w:p>
    <w:p>
      <w:pPr>
        <w:pStyle w:val="Compact"/>
        <w:numPr>
          <w:ilvl w:val="0"/>
          <w:numId w:val="1014"/>
        </w:numPr>
      </w:pPr>
      <w:r>
        <w:t xml:space="preserve">EP accelerates as Volt and TactiFlex Duo launches broaden.</w:t>
      </w:r>
    </w:p>
    <w:p>
      <w:pPr>
        <w:pStyle w:val="Compact"/>
        <w:numPr>
          <w:ilvl w:val="0"/>
          <w:numId w:val="1014"/>
        </w:numPr>
      </w:pPr>
      <w:r>
        <w:t xml:space="preserve">Full-year guidance is reaffirmed with increased confidence or raised.</w:t>
      </w:r>
    </w:p>
    <w:p>
      <w:pPr>
        <w:pStyle w:val="FirstParagraph"/>
      </w:pPr>
      <w:r>
        <w:t xml:space="preserve">This combination could support a meaningful rebound given ABT’s low valuation and severe year-to-date underperformance.</w:t>
      </w:r>
    </w:p>
    <w:bookmarkEnd w:id="23"/>
    <w:bookmarkStart w:id="24" w:name="base-case"/>
    <w:p>
      <w:pPr>
        <w:pStyle w:val="Heading3"/>
      </w:pPr>
      <w:r>
        <w:t xml:space="preserve">Base case</w:t>
      </w:r>
    </w:p>
    <w:p>
      <w:pPr>
        <w:pStyle w:val="Compact"/>
        <w:numPr>
          <w:ilvl w:val="0"/>
          <w:numId w:val="1015"/>
        </w:numPr>
      </w:pPr>
      <w:r>
        <w:t xml:space="preserve">Adjusted EPS near</w:t>
      </w:r>
      <w:r>
        <w:t xml:space="preserve"> </w:t>
      </w:r>
      <w:r>
        <w:rPr>
          <w:b/>
          <w:bCs/>
        </w:rPr>
        <w:t xml:space="preserve">$1.28</w:t>
      </w:r>
      <w:r>
        <w:t xml:space="preserve">.</w:t>
      </w:r>
    </w:p>
    <w:p>
      <w:pPr>
        <w:pStyle w:val="Compact"/>
        <w:numPr>
          <w:ilvl w:val="0"/>
          <w:numId w:val="1015"/>
        </w:numPr>
      </w:pPr>
      <w:r>
        <w:t xml:space="preserve">High-single-digit to approximately 10% comparable growth.</w:t>
      </w:r>
    </w:p>
    <w:p>
      <w:pPr>
        <w:pStyle w:val="Compact"/>
        <w:numPr>
          <w:ilvl w:val="0"/>
          <w:numId w:val="1015"/>
        </w:numPr>
      </w:pPr>
      <w:r>
        <w:t xml:space="preserve">Nutrition improves sequentially but remains negative.</w:t>
      </w:r>
    </w:p>
    <w:p>
      <w:pPr>
        <w:pStyle w:val="Compact"/>
        <w:numPr>
          <w:ilvl w:val="0"/>
          <w:numId w:val="1015"/>
        </w:numPr>
      </w:pPr>
      <w:r>
        <w:t xml:space="preserve">CGM returns to low-double-digit growth.</w:t>
      </w:r>
    </w:p>
    <w:p>
      <w:pPr>
        <w:pStyle w:val="Compact"/>
        <w:numPr>
          <w:ilvl w:val="0"/>
          <w:numId w:val="1015"/>
        </w:numPr>
      </w:pPr>
      <w:r>
        <w:t xml:space="preserve">Exact Sciences remains on plan.</w:t>
      </w:r>
    </w:p>
    <w:p>
      <w:pPr>
        <w:pStyle w:val="Compact"/>
        <w:numPr>
          <w:ilvl w:val="0"/>
          <w:numId w:val="1015"/>
        </w:numPr>
      </w:pPr>
      <w:r>
        <w:t xml:space="preserve">Full-year guidance is reaffirmed.</w:t>
      </w:r>
    </w:p>
    <w:p>
      <w:pPr>
        <w:pStyle w:val="FirstParagraph"/>
      </w:pPr>
      <w:r>
        <w:t xml:space="preserve">This would likely be sufficient to stabilize sentiment, although the size of any rally would depend heavily on management’s second-half commentary.</w:t>
      </w:r>
    </w:p>
    <w:bookmarkEnd w:id="24"/>
    <w:bookmarkStart w:id="25" w:name="bear-case"/>
    <w:p>
      <w:pPr>
        <w:pStyle w:val="Heading3"/>
      </w:pPr>
      <w:r>
        <w:t xml:space="preserve">Bear case</w:t>
      </w:r>
    </w:p>
    <w:p>
      <w:pPr>
        <w:pStyle w:val="Compact"/>
        <w:numPr>
          <w:ilvl w:val="0"/>
          <w:numId w:val="1016"/>
        </w:numPr>
      </w:pPr>
      <w:r>
        <w:t xml:space="preserve">Adjusted EPS below</w:t>
      </w:r>
      <w:r>
        <w:t xml:space="preserve"> </w:t>
      </w:r>
      <w:r>
        <w:rPr>
          <w:b/>
          <w:bCs/>
        </w:rPr>
        <w:t xml:space="preserve">$1.25</w:t>
      </w:r>
      <w:r>
        <w:t xml:space="preserve">.</w:t>
      </w:r>
    </w:p>
    <w:p>
      <w:pPr>
        <w:pStyle w:val="Compact"/>
        <w:numPr>
          <w:ilvl w:val="0"/>
          <w:numId w:val="1016"/>
        </w:numPr>
      </w:pPr>
      <w:r>
        <w:t xml:space="preserve">Sales growth materially below the Street’s expectation.</w:t>
      </w:r>
    </w:p>
    <w:p>
      <w:pPr>
        <w:pStyle w:val="Compact"/>
        <w:numPr>
          <w:ilvl w:val="0"/>
          <w:numId w:val="1016"/>
        </w:numPr>
      </w:pPr>
      <w:r>
        <w:t xml:space="preserve">Nutrition remains down high single digits or worse.</w:t>
      </w:r>
    </w:p>
    <w:p>
      <w:pPr>
        <w:pStyle w:val="Compact"/>
        <w:numPr>
          <w:ilvl w:val="0"/>
          <w:numId w:val="1016"/>
        </w:numPr>
      </w:pPr>
      <w:r>
        <w:t xml:space="preserve">CGM stays in single-digit growth.</w:t>
      </w:r>
    </w:p>
    <w:p>
      <w:pPr>
        <w:pStyle w:val="Compact"/>
        <w:numPr>
          <w:ilvl w:val="0"/>
          <w:numId w:val="1016"/>
        </w:numPr>
      </w:pPr>
      <w:r>
        <w:t xml:space="preserve">Exact Sciences slows or causes incremental dilution.</w:t>
      </w:r>
    </w:p>
    <w:p>
      <w:pPr>
        <w:pStyle w:val="Compact"/>
        <w:numPr>
          <w:ilvl w:val="0"/>
          <w:numId w:val="1016"/>
        </w:numPr>
      </w:pPr>
      <w:r>
        <w:t xml:space="preserve">Management lowers or narrows guidance toward the bottom end.</w:t>
      </w:r>
    </w:p>
    <w:p>
      <w:pPr>
        <w:pStyle w:val="Compact"/>
        <w:numPr>
          <w:ilvl w:val="0"/>
          <w:numId w:val="1016"/>
        </w:numPr>
      </w:pPr>
      <w:r>
        <w:t xml:space="preserve">The expected acceleration is deferred again.</w:t>
      </w:r>
    </w:p>
    <w:p>
      <w:pPr>
        <w:pStyle w:val="FirstParagraph"/>
      </w:pPr>
      <w:r>
        <w:t xml:space="preserve">A miss centered on Nutrition or Libre would be more damaging than volatility in respiratory testing because those franchises are central to the long-term investment thesis.</w:t>
      </w:r>
    </w:p>
    <w:p>
      <w:r>
        <w:pict>
          <v:rect style="width:0;height:1.5pt" o:hralign="center" o:hrstd="t" o:hr="t"/>
        </w:pict>
      </w:r>
    </w:p>
    <w:bookmarkEnd w:id="25"/>
    <w:bookmarkEnd w:id="26"/>
    <w:bookmarkStart w:id="27" w:name="bottom-line"/>
    <w:p>
      <w:pPr>
        <w:pStyle w:val="Heading2"/>
      </w:pPr>
      <w:r>
        <w:t xml:space="preserve">Bottom line</w:t>
      </w:r>
    </w:p>
    <w:p>
      <w:pPr>
        <w:pStyle w:val="FirstParagraph"/>
      </w:pPr>
      <w:r>
        <w:t xml:space="preserve">The central question is not whether Abbott can meet the</w:t>
      </w:r>
      <w:r>
        <w:t xml:space="preserve"> </w:t>
      </w:r>
      <w:r>
        <w:rPr>
          <w:b/>
          <w:bCs/>
        </w:rPr>
        <w:t xml:space="preserve">$1.28 EPS consensus</w:t>
      </w:r>
      <w:r>
        <w:t xml:space="preserve">. It is whether Q2 demonstrates that the company’s growth profile has genuinely begun to improve.</w:t>
      </w:r>
    </w:p>
    <w:p>
      <w:pPr>
        <w:pStyle w:val="BodyText"/>
      </w:pPr>
      <w:r>
        <w:t xml:space="preserve">The most constructive combination would be:</w:t>
      </w:r>
    </w:p>
    <w:p>
      <w:pPr>
        <w:pStyle w:val="Compact"/>
        <w:numPr>
          <w:ilvl w:val="0"/>
          <w:numId w:val="1017"/>
        </w:numPr>
      </w:pPr>
      <w:r>
        <w:t xml:space="preserve">Clear sequential improvement in Nutrition.</w:t>
      </w:r>
    </w:p>
    <w:p>
      <w:pPr>
        <w:pStyle w:val="Compact"/>
        <w:numPr>
          <w:ilvl w:val="0"/>
          <w:numId w:val="1017"/>
        </w:numPr>
      </w:pPr>
      <w:r>
        <w:t xml:space="preserve">Double-digit Libre growth.</w:t>
      </w:r>
    </w:p>
    <w:p>
      <w:pPr>
        <w:pStyle w:val="Compact"/>
        <w:numPr>
          <w:ilvl w:val="0"/>
          <w:numId w:val="1017"/>
        </w:numPr>
      </w:pPr>
      <w:r>
        <w:t xml:space="preserve">Accelerating Electrophysiology sales.</w:t>
      </w:r>
    </w:p>
    <w:p>
      <w:pPr>
        <w:pStyle w:val="Compact"/>
        <w:numPr>
          <w:ilvl w:val="0"/>
          <w:numId w:val="1017"/>
        </w:numPr>
      </w:pPr>
      <w:r>
        <w:t xml:space="preserve">Mid-teens Cancer Diagnostics growth.</w:t>
      </w:r>
    </w:p>
    <w:p>
      <w:pPr>
        <w:pStyle w:val="Compact"/>
        <w:numPr>
          <w:ilvl w:val="0"/>
          <w:numId w:val="1017"/>
        </w:numPr>
      </w:pPr>
      <w:r>
        <w:t xml:space="preserve">Stable or improving margins.</w:t>
      </w:r>
    </w:p>
    <w:p>
      <w:pPr>
        <w:pStyle w:val="Compact"/>
        <w:numPr>
          <w:ilvl w:val="0"/>
          <w:numId w:val="1017"/>
        </w:numPr>
      </w:pPr>
      <w:r>
        <w:t xml:space="preserve">An unchanged—or stronger—full-year outlook.</w:t>
      </w:r>
    </w:p>
    <w:p>
      <w:pPr>
        <w:pStyle w:val="FirstParagraph"/>
      </w:pPr>
      <w:r>
        <w:t xml:space="preserve">With the stock down nearly 29% year to date, expectations around the long-term valuation have reset. But Q2 still needs to validate management’s promise of accelerating growth.</w:t>
      </w:r>
      <w:r>
        <w:t xml:space="preserve"> </w:t>
      </w:r>
      <w:r>
        <w:rPr>
          <w:b/>
          <w:bCs/>
        </w:rPr>
        <w:t xml:space="preserve">The report is therefore best viewed as an execution and guidance event, rather than a simple quarterly EPS test.</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2026-07-16T01:21:19Z</dcterms:created>
  <dcterms:modified xsi:type="dcterms:W3CDTF">2026-07-16T01:21:19Z</dcterms:modified>
</cp:coreProperties>
</file>

<file path=docProps/custom.xml><?xml version="1.0" encoding="utf-8"?>
<Properties xmlns="http://schemas.openxmlformats.org/officeDocument/2006/custom-properties" xmlns:vt="http://schemas.openxmlformats.org/officeDocument/2006/docPropsVTypes"/>
</file>