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c-earnings-predictions--2026-07-14"/>
    <w:p>
      <w:pPr>
        <w:pStyle w:val="Heading1"/>
      </w:pPr>
      <w:r>
        <w:t xml:space="preserve">BAC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~$1.14 vs. cons $1.12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(GAAP)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~$16.0B vs. cons $16.1B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 &amp; trading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~$5.9B vs. cons $5.6B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~+7-8% vs. cons ~+7% (FY2026 vs 2025)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leverage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~200-300 bps vs. cons ~200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Quarterly common dividend (post-CCAR)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~$0.30 vs. cons/current $0.28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(FADE)</w:t>
            </w:r>
          </w:p>
        </w:tc>
        <w:tc>
          <w:tcPr/>
          <w:p>
            <w:pPr>
              <w:pStyle w:val="Compact"/>
            </w:pPr>
            <w:r>
              <w:t xml:space="preserve">A clean beat led by volatile trading plus in-line NII and a likely dividend bump should pop the stock ~1% on day 1, but follow-through fades: management has flagged that the 2H26 fixed-rate repricing tailwind is smaller than 2H25, so out-quarter NII estimates get little upward revision even after the beat (YoY NII growth decelerates from ~9%). With shares at record highs (elevated bar / results largely priced in), a persistent Berkshire selldown overhang, and peers reporting the same week, the initial gain largely gives back — mirroring the muted 2Q25 reaction (~+0.7% then faded).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2026-07-14T01:20:56Z</dcterms:created>
  <dcterms:modified xsi:type="dcterms:W3CDTF">2026-07-14T01:20:56Z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