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BAC before writing the preview. Let me gather recent earnings, filings, guidance, and market data.Let me read the Q1 2026 earnings materials for guidance and the latest news/estimates.Let me gather recent news on BAC and peer/macro context, plus consensus estimates for the upcoming quarter.I have strong context. Let me quickly anchor the year-ago (Q2 2025) baseline for accurate YoY framing.# Bank of America (BAC) — 2Q26 Earnings Preview</w:t>
      </w:r>
      <w:r>
        <w:t xml:space="preserve"> </w:t>
      </w:r>
      <w:r>
        <w:rPr>
          <w:b/>
          <w:bCs/>
        </w:rPr>
        <w:t xml:space="preserve">Reports:</w:t>
      </w:r>
      <w:r>
        <w:t xml:space="preserve"> </w:t>
      </w:r>
      <w:r>
        <w:t xml:space="preserve">Tuesday, July 14, 2026, before the open | Call at 8:30 a.m. ET | CEO Brian Moynihan &amp; CFO Alastair Borthwick</w:t>
      </w:r>
    </w:p>
    <w:p>
      <w:r>
        <w:pict>
          <v:rect style="width:0;height:1.5pt" o:hralign="center" o:hrstd="t" o:hr="t"/>
        </w:pict>
      </w:r>
    </w:p>
    <w:bookmarkStart w:id="9" w:name="Xae6f292db010770e3923e5f374da821abf65b5e"/>
    <w:p>
      <w:pPr>
        <w:pStyle w:val="Heading2"/>
      </w:pPr>
      <w:r>
        <w:t xml:space="preserve">1. The setup in one paragraph</w:t>
      </w:r>
    </w:p>
    <w:p>
      <w:pPr>
        <w:pStyle w:val="FirstParagraph"/>
      </w:pPr>
      <w:r>
        <w:t xml:space="preserve">BofA enters this print with real momentum and a stock finally getting some love. After a standout 1Q26 (EPS</w:t>
      </w:r>
      <w:r>
        <w:t xml:space="preserve"> </w:t>
      </w:r>
      <m:oMath>
        <m:r>
          <m:t>1.11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25</m:t>
        </m:r>
      </m:oMath>
      <w:r>
        <w:t xml:space="preserve">59.90) on July 6 and trade near it, but BAC has still lagged its capital-markets-heavy peers over the past year. The bar for the quarter is a beat plus a constructive tone on NII, trading/IB pipelines, and capital return.</w:t>
      </w:r>
    </w:p>
    <w:p>
      <w:r>
        <w:pict>
          <v:rect style="width:0;height:1.5pt" o:hralign="center" o:hrstd="t" o:hr="t"/>
        </w:pict>
      </w:r>
    </w:p>
    <w:bookmarkEnd w:id="9"/>
    <w:bookmarkStart w:id="10" w:name="Xadd86ffe62f6b85ffa50b217d29a0175f2b6cb7"/>
    <w:p>
      <w:pPr>
        <w:pStyle w:val="Heading2"/>
      </w:pPr>
      <w:r>
        <w:t xml:space="preserve">2. Consensus vs. year-ago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2Q26 Street</w:t>
            </w:r>
          </w:p>
        </w:tc>
        <w:tc>
          <w:tcPr/>
          <w:p>
            <w:pPr>
              <w:pStyle w:val="Compact"/>
            </w:pPr>
            <w:r>
              <w:t xml:space="preserve">2Q25 actual</w:t>
            </w:r>
          </w:p>
        </w:tc>
        <w:tc>
          <w:tcPr/>
          <w:p>
            <w:pPr>
              <w:pStyle w:val="Compact"/>
            </w:pPr>
            <w:r>
              <w:t xml:space="preserve">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~$1.12</w:t>
            </w:r>
          </w:p>
        </w:tc>
        <w:tc>
          <w:tcPr/>
          <w:p>
            <w:pPr>
              <w:pStyle w:val="Compact"/>
            </w:pPr>
            <w:r>
              <w:t xml:space="preserve">$0.89</w:t>
            </w:r>
          </w:p>
        </w:tc>
        <w:tc>
          <w:tcPr/>
          <w:p>
            <w:pPr>
              <w:pStyle w:val="Compact"/>
            </w:pPr>
            <w:r>
              <w:t xml:space="preserve">+25%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~$30.56B</w:t>
            </w:r>
          </w:p>
        </w:tc>
        <w:tc>
          <w:tcPr/>
          <w:p>
            <w:pPr>
              <w:pStyle w:val="Compact"/>
            </w:pPr>
            <w:r>
              <w:t xml:space="preserve">$26.5B</w:t>
            </w:r>
          </w:p>
        </w:tc>
        <w:tc>
          <w:tcPr/>
          <w:p>
            <w:pPr>
              <w:pStyle w:val="Compact"/>
            </w:pPr>
            <w:r>
              <w:t xml:space="preserve">~+15%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 (GAAP)</w:t>
            </w:r>
          </w:p>
        </w:tc>
        <w:tc>
          <w:tcPr/>
          <w:p>
            <w:pPr>
              <w:pStyle w:val="Compact"/>
            </w:pPr>
            <w:r>
              <w:t xml:space="preserve">~$16.1B</w:t>
            </w:r>
          </w:p>
        </w:tc>
        <w:tc>
          <w:tcPr/>
          <w:p>
            <w:pPr>
              <w:pStyle w:val="Compact"/>
            </w:pPr>
            <w:r>
              <w:t xml:space="preserve">$14.7B</w:t>
            </w:r>
          </w:p>
        </w:tc>
        <w:tc>
          <w:tcPr/>
          <w:p>
            <w:pPr>
              <w:pStyle w:val="Compact"/>
            </w:pPr>
            <w:r>
              <w:t xml:space="preserve">+9.2%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</w:pPr>
            <w:r>
              <w:t xml:space="preserve">~$14.2B (Street)</w:t>
            </w:r>
          </w:p>
        </w:tc>
        <w:tc>
          <w:tcPr/>
          <w:p>
            <w:pPr>
              <w:pStyle w:val="Compact"/>
            </w:pPr>
            <w:r>
              <w:t xml:space="preserve">$11.8B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i/>
          <w:iCs/>
        </w:rPr>
        <w:t xml:space="preserve">Sequential reference points (1Q26):</w:t>
      </w:r>
      <w:r>
        <w:t xml:space="preserve"> </w:t>
      </w:r>
      <w:r>
        <w:t xml:space="preserve">revenue $30.3B, NII $15.9B FTE, provision $1.3B, net charge-off ratio 0.48%, CET1 11.2%, ROTCE 16.0%. 2Q typically loses the 1Q seasonal payroll-tax expense drag, which helps the expense line quarter-over-quarter.</w:t>
      </w:r>
    </w:p>
    <w:p>
      <w:pPr>
        <w:pStyle w:val="BodyText"/>
      </w:pPr>
      <w:r>
        <w:rPr>
          <w:i/>
          <w:iCs/>
        </w:rPr>
        <w:t xml:space="preserve">Year-ago segment net income to beat:</w:t>
      </w:r>
      <w:r>
        <w:t xml:space="preserve"> </w:t>
      </w:r>
      <w:r>
        <w:t xml:space="preserve">Consumer $3.0B · GWIM $1.0B · Global Banking $1.7B · Global Markets $1.5B.</w:t>
      </w:r>
    </w:p>
    <w:p>
      <w:r>
        <w:pict>
          <v:rect style="width:0;height:1.5pt" o:hralign="center" o:hrstd="t" o:hr="t"/>
        </w:pict>
      </w:r>
    </w:p>
    <w:bookmarkEnd w:id="10"/>
    <w:bookmarkStart w:id="17" w:name="X5c0eb7863fda57995a661dbd83c8d1cceee968a"/>
    <w:p>
      <w:pPr>
        <w:pStyle w:val="Heading2"/>
      </w:pPr>
      <w:r>
        <w:t xml:space="preserve">3. What actually matters on this print</w:t>
      </w:r>
    </w:p>
    <w:bookmarkStart w:id="11" w:name="a-net-interest-income--the-swing-factor"/>
    <w:p>
      <w:pPr>
        <w:pStyle w:val="Heading3"/>
      </w:pPr>
      <w:r>
        <w:t xml:space="preserve">a) Net interest income — the swing factor</w:t>
      </w:r>
    </w:p>
    <w:p>
      <w:pPr>
        <w:pStyle w:val="FirstParagraph"/>
      </w:pPr>
      <w:r>
        <w:t xml:space="preserve">This is the most important number. On the 1Q26 call, management lifted full-year NII guidance to</w:t>
      </w:r>
      <w:r>
        <w:t xml:space="preserve"> </w:t>
      </w:r>
      <w:r>
        <w:rPr>
          <w:b/>
          <w:bCs/>
        </w:rPr>
        <w:t xml:space="preserve">+6–8% vs. 2025</w:t>
      </w:r>
      <w:r>
        <w:t xml:space="preserve"> </w:t>
      </w:r>
      <w:r>
        <w:t xml:space="preserve">(from a prior lower range), citing the rate curve shifting from two expected cuts to none, plus continued balance-sheet growth and fixed-rate asset repricing. Watch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they hold or nudge the full-year guide again.</w:t>
      </w:r>
      <w:r>
        <w:t xml:space="preserve"> </w:t>
      </w:r>
      <w:r>
        <w:t xml:space="preserve">With cuts now off the table (and hikes discussed), the downside case that worried investors last year has largely disappeared. BofA's own sensitivity: a 100 bp</w:t>
      </w:r>
      <w:r>
        <w:t xml:space="preserve"> </w:t>
      </w:r>
      <w:r>
        <w:rPr>
          <w:i/>
          <w:iCs/>
        </w:rPr>
        <w:t xml:space="preserve">rise</w:t>
      </w:r>
      <w:r>
        <w:t xml:space="preserve"> </w:t>
      </w:r>
      <w:r>
        <w:t xml:space="preserve">adds a little under</w:t>
      </w:r>
      <w:r>
        <w:t xml:space="preserve"> </w:t>
      </w:r>
      <m:oMath>
        <m:r>
          <m:t>500</m:t>
        </m:r>
        <m:r>
          <m:t>M</m:t>
        </m:r>
        <m:r>
          <m:t>o</m:t>
        </m:r>
        <m:r>
          <m:t>v</m:t>
        </m:r>
        <m:r>
          <m:t>e</m:t>
        </m:r>
        <m:r>
          <m:t>r</m:t>
        </m:r>
        <m:r>
          <m:t>12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s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a</m:t>
        </m:r>
        <m:r>
          <m:t>100</m:t>
        </m:r>
        <m:r>
          <m:t>b</m:t>
        </m:r>
        <m:r>
          <m:t>p</m:t>
        </m:r>
        <m:r>
          <m:rPr>
            <m:sty m:val="p"/>
          </m:rPr>
          <m:t>*</m:t>
        </m:r>
        <m:r>
          <m:t>c</m:t>
        </m:r>
        <m:r>
          <m:t>u</m:t>
        </m:r>
        <m:r>
          <m:t>t</m:t>
        </m:r>
        <m:r>
          <m:rPr>
            <m:sty m:val="p"/>
          </m:rPr>
          <m:t>*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c</m:t>
        </m:r>
        <m:r>
          <m:t>o</m:t>
        </m:r>
        <m:r>
          <m:t>s</m:t>
        </m:r>
        <m:r>
          <m:t>t</m:t>
        </m:r>
        <m:r>
          <m:t> </m:t>
        </m:r>
      </m:oMath>
      <w:r>
        <w:t xml:space="preserve">2B — so "higher for longer" quietly de-risks the NII story.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Net interest yield</w:t>
      </w:r>
      <w:r>
        <w:t xml:space="preserve"> </w:t>
      </w:r>
      <w:r>
        <w:t xml:space="preserve">(2.07% in 1Q26) and the pace of the multi-year fixed-rate repricing tailwind. Management has flagged that the 2H26 repricing benefit is smaller than 2H25, so don't expect the YoY growth rate to stay at 9%.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Deposit pricing/mix.</w:t>
      </w:r>
      <w:r>
        <w:t xml:space="preserve"> </w:t>
      </w:r>
      <w:r>
        <w:t xml:space="preserve">Rate paid fell to 1.47% in 1Q26; noninterest-bearing balances have started growing again. The story management wants to tell is core operating deposits growing while it lets high-cost CDs/repo "puffiness" (~$100B) roll off.</w:t>
      </w:r>
    </w:p>
    <w:bookmarkEnd w:id="11"/>
    <w:bookmarkStart w:id="12" w:name="X5264346ed7db758a5b4931145d5be20e34de727"/>
    <w:p>
      <w:pPr>
        <w:pStyle w:val="Heading3"/>
      </w:pPr>
      <w:r>
        <w:t xml:space="preserve">b) Markets &amp; Investment Banking — is the strength durable?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Trading:</w:t>
      </w:r>
      <w:r>
        <w:t xml:space="preserve"> </w:t>
      </w:r>
      <w:r>
        <w:t xml:space="preserve">1Q26 sales &amp; trading (+13% to $6.4B) was the best in a decade, led by a record Equities quarter (+30%). The industry read-through is favorable — peers/JPM are guided to strong (~+15%) trading — so a healthy comp against 2Q25's already-strong $5.3B is expected. Watch Equities financing/international momentum and whether FICC re-accelerates.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Investment banking:</w:t>
      </w:r>
      <w:r>
        <w:t xml:space="preserve"> </w:t>
      </w:r>
      <w:r>
        <w:t xml:space="preserve">1Q26 fees of $1.8B (+21%) inflected higher. Recent hires of</w:t>
      </w:r>
      <w:r>
        <w:t xml:space="preserve"> </w:t>
      </w:r>
      <w:r>
        <w:rPr>
          <w:b/>
          <w:bCs/>
        </w:rPr>
        <w:t xml:space="preserve">nine senior middle-market bankers</w:t>
      </w:r>
      <w:r>
        <w:t xml:space="preserve"> </w:t>
      </w:r>
      <w:r>
        <w:t xml:space="preserve">and continued IB share gains suggest management wants to signal a building pipeline rather than a one-quarter pop. Note 2Q25 IB fees were</w:t>
      </w:r>
      <w:r>
        <w:t xml:space="preserve"> </w:t>
      </w:r>
      <w:r>
        <w:rPr>
          <w:i/>
          <w:iCs/>
        </w:rPr>
        <w:t xml:space="preserve">down</w:t>
      </w:r>
      <w:r>
        <w:t xml:space="preserve"> </w:t>
      </w:r>
      <w:r>
        <w:t xml:space="preserve">9% — an easy comp.</w:t>
      </w:r>
    </w:p>
    <w:bookmarkEnd w:id="12"/>
    <w:bookmarkStart w:id="13" w:name="c-expenses--operating-leverage"/>
    <w:p>
      <w:pPr>
        <w:pStyle w:val="Heading3"/>
      </w:pPr>
      <w:r>
        <w:t xml:space="preserve">c) Expenses &amp; operating leverage</w:t>
      </w:r>
    </w:p>
    <w:p>
      <w:pPr>
        <w:pStyle w:val="FirstParagraph"/>
      </w:pPr>
      <w:r>
        <w:t xml:space="preserve">The whole BofA thesis is durable positive operating leverage: revenue growing faster than costs. Management targets</w:t>
      </w:r>
      <w:r>
        <w:t xml:space="preserve"> </w:t>
      </w:r>
      <w:r>
        <w:rPr>
          <w:b/>
          <w:bCs/>
        </w:rPr>
        <w:t xml:space="preserve">200–300 bps</w:t>
      </w:r>
      <w:r>
        <w:t xml:space="preserve"> </w:t>
      </w:r>
      <w:r>
        <w:t xml:space="preserve">for the year and delivered 290 bps in 1Q26 with the efficiency ratio at ~61%. Key tells: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Headcount</w:t>
      </w:r>
      <w:r>
        <w:t xml:space="preserve"> </w:t>
      </w:r>
      <w:r>
        <w:t xml:space="preserve">(212,134 at 1Q26, down ~1,070 YTD via attrition) — management uses this as the proof point on core-cost discipline, with AI/digitization funding reinvestment into revenue-producers.</w:t>
      </w:r>
    </w:p>
    <w:p>
      <w:pPr>
        <w:pStyle w:val="Compact"/>
        <w:numPr>
          <w:ilvl w:val="0"/>
          <w:numId w:val="1003"/>
        </w:numPr>
      </w:pPr>
      <w:r>
        <w:t xml:space="preserve">Remember much of the expense growth is "good" revenue-related incentive comp tied to trading/IB/asset-management fees — a strong markets quarter mechanically lifts expenses.</w:t>
      </w:r>
    </w:p>
    <w:bookmarkEnd w:id="13"/>
    <w:bookmarkStart w:id="14" w:name="d-credit-quality--still-benign"/>
    <w:p>
      <w:pPr>
        <w:pStyle w:val="Heading3"/>
      </w:pPr>
      <w:r>
        <w:t xml:space="preserve">d) Credit quality — still benign</w:t>
      </w:r>
    </w:p>
    <w:p>
      <w:pPr>
        <w:pStyle w:val="FirstParagraph"/>
      </w:pPr>
      <w:r>
        <w:t xml:space="preserve">Credit has been a quiet positive. 1Q26 NCO ratio was 0.48% (card charge-off rate improving; office CRE improving with the first quarter in 3+ years of no new office NPL inflows). Watch:</w:t>
      </w:r>
    </w:p>
    <w:p>
      <w:pPr>
        <w:pStyle w:val="Compact"/>
        <w:numPr>
          <w:ilvl w:val="0"/>
          <w:numId w:val="1004"/>
        </w:numPr>
      </w:pPr>
      <w:r>
        <w:t xml:space="preserve">Card delinquency/loss trends (2Q typically improves off the 1Q seasonal peak).</w:t>
      </w:r>
    </w:p>
    <w:p>
      <w:pPr>
        <w:pStyle w:val="Compact"/>
        <w:numPr>
          <w:ilvl w:val="0"/>
          <w:numId w:val="1004"/>
        </w:numPr>
      </w:pPr>
      <w:r>
        <w:t xml:space="preserve">Reserve build/release commentary — BofA runs a downside-weighted scenario and has been releasing on CRE office.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Private credit / Global Markets loans:</w:t>
      </w:r>
      <w:r>
        <w:t xml:space="preserve"> </w:t>
      </w:r>
      <w:r>
        <w:t xml:space="preserve">management added disclosure last quarter emphasizing structural insulation from first-loss positions. Given industry jitters and BofA's new</w:t>
      </w:r>
      <w:r>
        <w:t xml:space="preserve"> </w:t>
      </w:r>
      <w:r>
        <w:rPr>
          <w:b/>
          <w:bCs/>
        </w:rPr>
        <w:t xml:space="preserve">$520M credit line to OpenAI</w:t>
      </w:r>
      <w:r>
        <w:t xml:space="preserve"> </w:t>
      </w:r>
      <w:r>
        <w:t xml:space="preserve">(financing money-losing AI startups to win future IPO mandates), expect analyst questions on underwriting discipline and private-credit exposure.</w:t>
      </w:r>
    </w:p>
    <w:bookmarkEnd w:id="14"/>
    <w:bookmarkStart w:id="15" w:name="e-capital-buybacks--the-dividend"/>
    <w:p>
      <w:pPr>
        <w:pStyle w:val="Heading3"/>
      </w:pPr>
      <w:r>
        <w:t xml:space="preserve">e) Capital, buybacks &amp; the dividend</w:t>
      </w:r>
    </w:p>
    <w:p>
      <w:pPr>
        <w:pStyle w:val="Compact"/>
        <w:numPr>
          <w:ilvl w:val="0"/>
          <w:numId w:val="1005"/>
        </w:numPr>
      </w:pPr>
      <w:r>
        <w:t xml:space="preserve">CET1 was 11.2% (Standardized) in 1Q26; management is deliberately letting the ratio drift toward a tighter ~50 bp management buffer over the reg minimum, funding buybacks ($7.2B repurchased in 1Q26) and RWA growth.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Watch for a dividend increase announcement.</w:t>
      </w:r>
      <w:r>
        <w:t xml:space="preserve"> </w:t>
      </w:r>
      <w:r>
        <w:t xml:space="preserve">Last year BofA announced an 8% dividend hike (to $0.28) alongside 2Q results following the stress test — a similar post-CCAR capital-return update is plausible this quarter.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Basel III endgame / G-SIB:</w:t>
      </w:r>
      <w:r>
        <w:t xml:space="preserve"> </w:t>
      </w:r>
      <w:r>
        <w:t xml:space="preserve">the comment period closed in mid-June. Management believes proposed G-SIB inflation-indexing more than offsets higher Basel III RWAs, i.e.,</w:t>
      </w:r>
      <w:r>
        <w:t xml:space="preserve"> </w:t>
      </w:r>
      <w:r>
        <w:rPr>
          <w:i/>
          <w:iCs/>
        </w:rPr>
        <w:t xml:space="preserve">net capital relief</w:t>
      </w:r>
      <w:r>
        <w:t xml:space="preserve"> </w:t>
      </w:r>
      <w:r>
        <w:t xml:space="preserve">over time. Any regulatory update is a potential positive catalyst.</w:t>
      </w:r>
    </w:p>
    <w:bookmarkEnd w:id="15"/>
    <w:bookmarkStart w:id="16" w:name="f-consumer--wealth-franchise-health"/>
    <w:p>
      <w:pPr>
        <w:pStyle w:val="Heading3"/>
      </w:pPr>
      <w:r>
        <w:t xml:space="preserve">f) Consumer &amp; Wealth franchise health</w:t>
      </w:r>
    </w:p>
    <w:p>
      <w:pPr>
        <w:pStyle w:val="Compact"/>
        <w:numPr>
          <w:ilvl w:val="0"/>
          <w:numId w:val="1006"/>
        </w:numPr>
      </w:pPr>
      <w:r>
        <w:t xml:space="preserve">Consumer: record 38.5M checking accounts, card/debit spend +7% in 1Q26 — the "resilient consumer" narrative. Watch spend growth and whether consumer deposit growth (4 straight quarters YoY) continues.</w:t>
      </w:r>
    </w:p>
    <w:p>
      <w:pPr>
        <w:pStyle w:val="Compact"/>
        <w:numPr>
          <w:ilvl w:val="0"/>
          <w:numId w:val="1006"/>
        </w:numPr>
      </w:pPr>
      <w:r>
        <w:t xml:space="preserve">GWIM: 1Q26 record revenue, 26% pretax margin, ~$20B AUM flows, and strong advisor recruiting (Merrill just poached a $1.5B Morgan Stanley team). Market levels have been favorable into quarter-end, supporting asset-management fees — though seasonally, tax-payment outflows can pressure wealth flows in 2Q.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759ed37883169d8286731558229ee27147dc5cf"/>
    <w:p>
      <w:pPr>
        <w:pStyle w:val="Heading2"/>
      </w:pPr>
      <w:r>
        <w:t xml:space="preserve">4. Bull vs. bear into the print</w:t>
      </w:r>
    </w:p>
    <w:p>
      <w:pPr>
        <w:pStyle w:val="FirstParagraph"/>
      </w:pPr>
      <w:r>
        <w:rPr>
          <w:b/>
          <w:bCs/>
        </w:rPr>
        <w:t xml:space="preserve">Bull case:</w:t>
      </w:r>
      <w:r>
        <w:t xml:space="preserve"> </w:t>
      </w:r>
      <w:r>
        <w:t xml:space="preserve">No rate cuts = cleaner, de-risked NII with possible another guide-raise; record trading + inflecting IB; benign credit; buybacks + likely dividend hike; potential Basel/G-SIB capital relief. Stock still cheaper/laggard vs. GS/MS/C over the past year, leaving catch-up room.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Expectations have risen (stock at record highs, "good results already priced in" is a common refrain across the group); the YoY NII growth rate is set to decelerate in 2H; markets revenue is inherently volatile; and any wobble in private-credit/AI-lending or consumer credit would draw scrutiny. Note Berkshire has roughly halved its BAC stake over two years — an overhang narrative.</w:t>
      </w:r>
    </w:p>
    <w:p>
      <w:r>
        <w:pict>
          <v:rect style="width:0;height:1.5pt" o:hralign="center" o:hrstd="t" o:hr="t"/>
        </w:pict>
      </w:r>
    </w:p>
    <w:bookmarkEnd w:id="18"/>
    <w:bookmarkStart w:id="19" w:name="X807a65011dd89effd3a695a40843a245571d801"/>
    <w:p>
      <w:pPr>
        <w:pStyle w:val="Heading2"/>
      </w:pPr>
      <w:r>
        <w:t xml:space="preserve">5. Scorecard — numbers to judge the quarter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EPS vs. ~</w:t>
      </w:r>
      <m:oMath>
        <m:r>
          <m:t>1.12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rPr>
          <w:b/>
          <w:bCs/>
        </w:rPr>
        <w:t xml:space="preserve">30.6B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NII (FTE) trajectory</w:t>
      </w:r>
      <w:r>
        <w:t xml:space="preserve"> </w:t>
      </w:r>
      <w:r>
        <w:t xml:space="preserve">and any change to the +6–8% full-year guide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Operating leverage</w:t>
      </w:r>
      <w:r>
        <w:t xml:space="preserve"> </w:t>
      </w:r>
      <w:r>
        <w:t xml:space="preserve">(≥200 bps?) and efficiency ratio (~60–61%)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Sales &amp; trading</w:t>
      </w:r>
      <w:r>
        <w:t xml:space="preserve"> </w:t>
      </w:r>
      <w:r>
        <w:t xml:space="preserve">vs. $5.3B and</w:t>
      </w:r>
      <w:r>
        <w:t xml:space="preserve"> </w:t>
      </w:r>
      <w:r>
        <w:rPr>
          <w:b/>
          <w:bCs/>
        </w:rPr>
        <w:t xml:space="preserve">IB fees</w:t>
      </w:r>
      <w:r>
        <w:t xml:space="preserve"> </w:t>
      </w:r>
      <w:r>
        <w:t xml:space="preserve">vs. $1.4B year-ago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Provision / NCO ratio</w:t>
      </w:r>
      <w:r>
        <w:t xml:space="preserve"> </w:t>
      </w:r>
      <w:r>
        <w:t xml:space="preserve">vs. ~0.48% and reserve actions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CET1</w:t>
      </w:r>
      <w:r>
        <w:t xml:space="preserve">, buyback pace, and any</w:t>
      </w:r>
      <w:r>
        <w:t xml:space="preserve"> </w:t>
      </w:r>
      <w:r>
        <w:rPr>
          <w:b/>
          <w:bCs/>
        </w:rPr>
        <w:t xml:space="preserve">dividend increase</w:t>
      </w:r>
      <w:r>
        <w:t xml:space="preserve"> </w:t>
      </w:r>
      <w:r>
        <w:t xml:space="preserve">announcement</w:t>
      </w:r>
    </w:p>
    <w:p>
      <w:pPr>
        <w:pStyle w:val="Compact"/>
        <w:numPr>
          <w:ilvl w:val="0"/>
          <w:numId w:val="1007"/>
        </w:numPr>
      </w:pPr>
      <w:r>
        <w:t xml:space="preserve">Tone on</w:t>
      </w:r>
      <w:r>
        <w:t xml:space="preserve"> </w:t>
      </w:r>
      <w:r>
        <w:rPr>
          <w:b/>
          <w:bCs/>
        </w:rPr>
        <w:t xml:space="preserve">private-credit exposure</w:t>
      </w:r>
      <w:r>
        <w:t xml:space="preserve">,</w:t>
      </w:r>
      <w:r>
        <w:t xml:space="preserve"> </w:t>
      </w:r>
      <w:r>
        <w:rPr>
          <w:b/>
          <w:bCs/>
        </w:rPr>
        <w:t xml:space="preserve">deposits/loan growth</w:t>
      </w:r>
      <w:r>
        <w:t xml:space="preserve">, and the</w:t>
      </w:r>
      <w:r>
        <w:t xml:space="preserve"> </w:t>
      </w:r>
      <w:r>
        <w:rPr>
          <w:b/>
          <w:bCs/>
        </w:rPr>
        <w:t xml:space="preserve">Warsh Fed rate path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With NII de-risked by the "no cuts / possible hike" backdrop, a strong markets tape, benign credit, and aggressive capital return, the earnings bar is a beat</w:t>
      </w:r>
      <w:r>
        <w:t xml:space="preserve"> </w:t>
      </w:r>
      <w:r>
        <w:rPr>
          <w:i/>
          <w:iCs/>
        </w:rPr>
        <w:t xml:space="preserve">plus</w:t>
      </w:r>
      <w:r>
        <w:t xml:space="preserve"> </w:t>
      </w:r>
      <w:r>
        <w:t xml:space="preserve">reassurance that NII growth and IB pipelines are durable. Given the stock's run to record highs, the reaction will hinge as much on guidance and the capital-return update as on the headline beat.</w:t>
      </w:r>
    </w:p>
    <w:p>
      <w:pPr>
        <w:pStyle w:val="BodyText"/>
      </w:pPr>
      <w:r>
        <w:rPr>
          <w:i/>
          <w:iCs/>
        </w:rPr>
        <w:t xml:space="preserve">(Figures compiled from BofA's 1Q26 and 2Q25 earnings releases/call, consensus as reported in market news, and recent BAC news flow. Consensus figures are pre-release estimates and may vary by data provider.)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2026-07-14T01:20:56Z</dcterms:created>
  <dcterms:modified xsi:type="dcterms:W3CDTF">2026-07-14T01:20:56Z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