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bac-earnings-predictions--2026-07-14"/>
    <w:p>
      <w:pPr>
        <w:pStyle w:val="Heading1"/>
      </w:pPr>
      <w:r>
        <w:t xml:space="preserve">BAC Earnings Predictions — 2026-07-14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BAC</w:t>
            </w:r>
          </w:p>
        </w:tc>
        <w:tc>
          <w:tcPr/>
          <w:p>
            <w:pPr>
              <w:pStyle w:val="Compact"/>
            </w:pPr>
            <w:r>
              <w:t xml:space="preserve">Report</w:t>
            </w:r>
          </w:p>
        </w:tc>
        <w:tc>
          <w:tcPr/>
          <w:p>
            <w:pPr>
              <w:pStyle w:val="Compact"/>
            </w:pPr>
            <w:r>
              <w:t xml:space="preserve">EPS</w:t>
            </w:r>
          </w:p>
        </w:tc>
        <w:tc>
          <w:tcPr/>
          <w:p>
            <w:pPr>
              <w:pStyle w:val="Compact"/>
            </w:pPr>
            <w:r>
              <w:t xml:space="preserve">BEAT</w:t>
            </w:r>
          </w:p>
        </w:tc>
        <w:tc>
          <w:tcPr/>
          <w:p>
            <w:pPr>
              <w:pStyle w:val="Compact"/>
            </w:pPr>
            <w:r>
              <w:t xml:space="preserve">pred ~$1.15 vs. cons $1.12</w:t>
            </w:r>
          </w:p>
        </w:tc>
        <w:tc>
          <w:tcPr/>
          <w:p>
            <w:pPr>
              <w:pStyle w:val="Compact"/>
            </w:pPr>
            <w:r>
              <w:t xml:space="preserve">MEDIUM</w:t>
            </w:r>
          </w:p>
        </w:tc>
      </w:tr>
      <w:tr>
        <w:tc>
          <w:tcPr/>
          <w:p>
            <w:pPr>
              <w:pStyle w:val="Compact"/>
            </w:pPr>
            <w:r>
              <w:t xml:space="preserve">BAC</w:t>
            </w:r>
          </w:p>
        </w:tc>
        <w:tc>
          <w:tcPr/>
          <w:p>
            <w:pPr>
              <w:pStyle w:val="Compact"/>
            </w:pPr>
            <w:r>
              <w:t xml:space="preserve">Report</w:t>
            </w:r>
          </w:p>
        </w:tc>
        <w:tc>
          <w:tcPr/>
          <w:p>
            <w:pPr>
              <w:pStyle w:val="Compact"/>
            </w:pPr>
            <w:r>
              <w:t xml:space="preserve">Net Interest Income (NII, FTE)</w:t>
            </w:r>
          </w:p>
        </w:tc>
        <w:tc>
          <w:tcPr/>
          <w:p>
            <w:pPr>
              <w:pStyle w:val="Compact"/>
            </w:pPr>
            <w:r>
              <w:t xml:space="preserve">BEAT</w:t>
            </w:r>
          </w:p>
        </w:tc>
        <w:tc>
          <w:tcPr/>
          <w:p>
            <w:pPr>
              <w:pStyle w:val="Compact"/>
            </w:pPr>
            <w:r>
              <w:t xml:space="preserve">pred ~$16.30B vs. cons $16.1B</w:t>
            </w:r>
          </w:p>
        </w:tc>
        <w:tc>
          <w:tcPr/>
          <w:p>
            <w:pPr>
              <w:pStyle w:val="Compact"/>
            </w:pPr>
            <w:r>
              <w:t xml:space="preserve">MEDIUM</w:t>
            </w:r>
          </w:p>
        </w:tc>
      </w:tr>
      <w:tr>
        <w:tc>
          <w:tcPr/>
          <w:p>
            <w:pPr>
              <w:pStyle w:val="Compact"/>
            </w:pPr>
            <w:r>
              <w:t xml:space="preserve">BAC</w:t>
            </w:r>
          </w:p>
        </w:tc>
        <w:tc>
          <w:tcPr/>
          <w:p>
            <w:pPr>
              <w:pStyle w:val="Compact"/>
            </w:pPr>
            <w:r>
              <w:t xml:space="preserve">Report</w:t>
            </w:r>
          </w:p>
        </w:tc>
        <w:tc>
          <w:tcPr/>
          <w:p>
            <w:pPr>
              <w:pStyle w:val="Compact"/>
            </w:pPr>
            <w:r>
              <w:t xml:space="preserve">Total Revenue</w:t>
            </w:r>
          </w:p>
        </w:tc>
        <w:tc>
          <w:tcPr/>
          <w:p>
            <w:pPr>
              <w:pStyle w:val="Compact"/>
            </w:pPr>
            <w:r>
              <w:t xml:space="preserve">BEAT</w:t>
            </w:r>
          </w:p>
        </w:tc>
        <w:tc>
          <w:tcPr/>
          <w:p>
            <w:pPr>
              <w:pStyle w:val="Compact"/>
            </w:pPr>
            <w:r>
              <w:t xml:space="preserve">pred ~$30.9B vs. cons $30.56B</w:t>
            </w:r>
          </w:p>
        </w:tc>
        <w:tc>
          <w:tcPr/>
          <w:p>
            <w:pPr>
              <w:pStyle w:val="Compact"/>
            </w:pPr>
            <w:r>
              <w:t xml:space="preserve">MEDIUM</w:t>
            </w:r>
          </w:p>
        </w:tc>
      </w:tr>
      <w:tr>
        <w:tc>
          <w:tcPr/>
          <w:p>
            <w:pPr>
              <w:pStyle w:val="Compact"/>
            </w:pPr>
            <w:r>
              <w:t xml:space="preserve">BAC</w:t>
            </w:r>
          </w:p>
        </w:tc>
        <w:tc>
          <w:tcPr/>
          <w:p>
            <w:pPr>
              <w:pStyle w:val="Compact"/>
            </w:pPr>
            <w:r>
              <w:t xml:space="preserve">Guide</w:t>
            </w:r>
          </w:p>
        </w:tc>
        <w:tc>
          <w:tcPr/>
          <w:p>
            <w:pPr>
              <w:pStyle w:val="Compact"/>
            </w:pPr>
            <w:r>
              <w:t xml:space="preserve">FY2026 NII growth guidance</w:t>
            </w:r>
          </w:p>
        </w:tc>
        <w:tc>
          <w:tcPr/>
          <w:p>
            <w:pPr>
              <w:pStyle w:val="Compact"/>
            </w:pPr>
            <w:r>
              <w:t xml:space="preserve">UNCHANGED</w:t>
            </w:r>
          </w:p>
        </w:tc>
        <w:tc>
          <w:tcPr/>
          <w:p>
            <w:pPr>
              <w:pStyle w:val="Compact"/>
            </w:pPr>
            <w:r>
              <w:t xml:space="preserve">guide ~7% vs. cons ~7% (FY2026, prior range 6-8%)</w:t>
            </w:r>
          </w:p>
        </w:tc>
        <w:tc>
          <w:tcPr/>
          <w:p>
            <w:pPr>
              <w:pStyle w:val="Compact"/>
            </w:pPr>
            <w:r>
              <w:t xml:space="preserve">MEDIUM</w:t>
            </w:r>
          </w:p>
        </w:tc>
      </w:tr>
      <w:tr>
        <w:tc>
          <w:tcPr/>
          <w:p>
            <w:pPr>
              <w:pStyle w:val="Compact"/>
            </w:pPr>
            <w:r>
              <w:t xml:space="preserve">BAC</w:t>
            </w:r>
          </w:p>
        </w:tc>
        <w:tc>
          <w:tcPr/>
          <w:p>
            <w:pPr>
              <w:pStyle w:val="Compact"/>
            </w:pPr>
            <w:r>
              <w:t xml:space="preserve">Guide</w:t>
            </w:r>
          </w:p>
        </w:tc>
        <w:tc>
          <w:tcPr/>
          <w:p>
            <w:pPr>
              <w:pStyle w:val="Compact"/>
            </w:pPr>
            <w:r>
              <w:t xml:space="preserve">Operating leverage target</w:t>
            </w:r>
          </w:p>
        </w:tc>
        <w:tc>
          <w:tcPr/>
          <w:p>
            <w:pPr>
              <w:pStyle w:val="Compact"/>
            </w:pPr>
            <w:r>
              <w:t xml:space="preserve">UNCHANGED</w:t>
            </w:r>
          </w:p>
        </w:tc>
        <w:tc>
          <w:tcPr/>
          <w:p>
            <w:pPr>
              <w:pStyle w:val="Compact"/>
            </w:pPr>
            <w:r>
              <w:t xml:space="preserve">guide ~250bps vs. cons ~240bps (FY2026, prior 200-300bps range)</w:t>
            </w:r>
          </w:p>
        </w:tc>
        <w:tc>
          <w:tcPr/>
          <w:p>
            <w:pPr>
              <w:pStyle w:val="Compact"/>
            </w:pPr>
            <w:r>
              <w:t xml:space="preserve">LOW</w:t>
            </w:r>
          </w:p>
        </w:tc>
      </w:tr>
      <w:tr>
        <w:tc>
          <w:tcPr/>
          <w:p>
            <w:pPr>
              <w:pStyle w:val="Compact"/>
            </w:pPr>
            <w:r>
              <w:t xml:space="preserve">BAC</w:t>
            </w:r>
          </w:p>
        </w:tc>
        <w:tc>
          <w:tcPr/>
          <w:p>
            <w:pPr>
              <w:pStyle w:val="Compact"/>
            </w:pPr>
            <w:r>
              <w:t xml:space="preserve">Guide</w:t>
            </w:r>
          </w:p>
        </w:tc>
        <w:tc>
          <w:tcPr/>
          <w:p>
            <w:pPr>
              <w:pStyle w:val="Compact"/>
            </w:pPr>
            <w:r>
              <w:t xml:space="preserve">CET1 ratio / capital buffer commentary</w:t>
            </w:r>
          </w:p>
        </w:tc>
        <w:tc>
          <w:tcPr/>
          <w:p>
            <w:pPr>
              <w:pStyle w:val="Compact"/>
            </w:pPr>
            <w:r>
              <w:t xml:space="preserve">UNCHANGED</w:t>
            </w:r>
          </w:p>
        </w:tc>
        <w:tc>
          <w:tcPr/>
          <w:p>
            <w:pPr>
              <w:pStyle w:val="Compact"/>
            </w:pPr>
            <w:r>
              <w:t xml:space="preserve">guide ~11.2% vs. cons ~11.2% (Q3 2026)</w:t>
            </w:r>
          </w:p>
        </w:tc>
        <w:tc>
          <w:tcPr/>
          <w:p>
            <w:pPr>
              <w:pStyle w:val="Compact"/>
            </w:pPr>
            <w:r>
              <w:t xml:space="preserve">MEDIUM</w:t>
            </w:r>
          </w:p>
        </w:tc>
      </w:tr>
      <w:tr>
        <w:tc>
          <w:tcPr/>
          <w:p>
            <w:pPr>
              <w:pStyle w:val="Compact"/>
            </w:pPr>
            <w:r>
              <w:t xml:space="preserve">BAC</w:t>
            </w:r>
          </w:p>
        </w:tc>
        <w:tc>
          <w:tcPr/>
          <w:p>
            <w:pPr>
              <w:pStyle w:val="Compact"/>
            </w:pPr>
            <w:r>
              <w:t xml:space="preserve">Guide</w:t>
            </w:r>
          </w:p>
        </w:tc>
        <w:tc>
          <w:tcPr/>
          <w:p>
            <w:pPr>
              <w:pStyle w:val="Compact"/>
            </w:pPr>
            <w:r>
              <w:t xml:space="preserve">Buyback pace</w:t>
            </w:r>
          </w:p>
        </w:tc>
        <w:tc>
          <w:tcPr/>
          <w:p>
            <w:pPr>
              <w:pStyle w:val="Compact"/>
            </w:pPr>
            <w:r>
              <w:t xml:space="preserve">BETTER</w:t>
            </w:r>
          </w:p>
        </w:tc>
        <w:tc>
          <w:tcPr/>
          <w:p>
            <w:pPr>
              <w:pStyle w:val="Compact"/>
            </w:pPr>
            <w:r>
              <w:t xml:space="preserve">guide ~</w:t>
            </w:r>
            <m:oMath>
              <m:r>
                <m:t>7.5</m:t>
              </m:r>
              <m:r>
                <m:t>B</m:t>
              </m:r>
              <m:r>
                <m:t>v</m:t>
              </m:r>
              <m:r>
                <m:t>s</m:t>
              </m:r>
              <m:r>
                <m:rPr>
                  <m:sty m:val="p"/>
                </m:rPr>
                <m:t>.</m:t>
              </m:r>
              <m:r>
                <m:t>c</m:t>
              </m:r>
              <m:r>
                <m:t>o</m:t>
              </m:r>
              <m:r>
                <m:t>n</m:t>
              </m:r>
              <m:r>
                <m:t>s</m:t>
              </m:r>
              <m:r>
                <m:t> </m:t>
              </m:r>
            </m:oMath>
            <w:r>
              <w:t xml:space="preserve">7.0B (Q3 2026 repurchases)</w:t>
            </w:r>
          </w:p>
        </w:tc>
        <w:tc>
          <w:tcPr/>
          <w:p>
            <w:pPr>
              <w:pStyle w:val="Compact"/>
            </w:pPr>
            <w:r>
              <w:t xml:space="preserve">LOW</w:t>
            </w:r>
          </w:p>
        </w:tc>
      </w:tr>
      <w:tr>
        <w:tc>
          <w:tcPr/>
          <w:p>
            <w:pPr>
              <w:pStyle w:val="Compact"/>
            </w:pPr>
            <w:r>
              <w:t xml:space="preserve">BAC</w:t>
            </w:r>
          </w:p>
        </w:tc>
        <w:tc>
          <w:tcPr/>
          <w:p>
            <w:pPr>
              <w:pStyle w:val="Compact"/>
            </w:pPr>
            <w:r>
              <w:t xml:space="preserve">Return</w:t>
            </w:r>
          </w:p>
        </w:tc>
        <w:tc>
          <w:tcPr/>
          <w:p>
            <w:pPr>
              <w:pStyle w:val="Compact"/>
            </w:pPr>
            <w:r>
              <w:t xml:space="preserve">Day-1 residual (stock − beta × S&amp;P 500)</w:t>
            </w:r>
          </w:p>
        </w:tc>
        <w:tc>
          <w:tcPr/>
          <w:p>
            <w:pPr>
              <w:pStyle w:val="Compact"/>
            </w:pPr>
            <w:r>
              <w:t xml:space="preserve">-0.4%</w:t>
            </w:r>
          </w:p>
        </w:tc>
        <w:tc>
          <w:tcPr/>
          <w:p>
            <w:pPr>
              <w:pStyle w:val="Compact"/>
            </w:pPr>
            <w:r>
              <w:t xml:space="preserve">—</w:t>
            </w:r>
          </w:p>
        </w:tc>
        <w:tc>
          <w:tcPr/>
          <w:p>
            <w:pPr>
              <w:pStyle w:val="Compact"/>
            </w:pPr>
            <w:r>
              <w:t xml:space="preserve">MEDIUM</w:t>
            </w:r>
          </w:p>
        </w:tc>
      </w:tr>
      <w:tr>
        <w:tc>
          <w:tcPr/>
          <w:p>
            <w:pPr>
              <w:pStyle w:val="Compact"/>
            </w:pPr>
            <w:r>
              <w:t xml:space="preserve">BAC</w:t>
            </w:r>
          </w:p>
        </w:tc>
        <w:tc>
          <w:tcPr/>
          <w:p>
            <w:pPr>
              <w:pStyle w:val="Compact"/>
            </w:pPr>
            <w:r>
              <w:t xml:space="preserve">Return</w:t>
            </w:r>
          </w:p>
        </w:tc>
        <w:tc>
          <w:tcPr/>
          <w:p>
            <w:pPr>
              <w:pStyle w:val="Compact"/>
            </w:pPr>
            <w:r>
              <w:t xml:space="preserve">5-day cumulative residual</w:t>
            </w:r>
          </w:p>
        </w:tc>
        <w:tc>
          <w:tcPr/>
          <w:p>
            <w:pPr>
              <w:pStyle w:val="Compact"/>
            </w:pPr>
            <w:r>
              <w:t xml:space="preserve">-0.8% (FADE)</w:t>
            </w:r>
          </w:p>
        </w:tc>
        <w:tc>
          <w:tcPr/>
          <w:p>
            <w:pPr>
              <w:pStyle w:val="Compact"/>
            </w:pPr>
            <w:r>
              <w:t xml:space="preserve">Stock is near all-time highs with a very high bar already priced in (25% EPS growth, 9%+ NII growth consensus); a modest headline beat with guidance merely reiterated (not raised, unlike Q1) offers little fresh upside catalyst. Management has explicitly flagged that H2 2026 NII comps get tougher as last year's fixed-asset repricing benefit was H2-weighted, so analysts are likely to trim out-quarter NII/EPS growth rates even after an in-line-to-modest Q2 beat, causing an initial pop to fade over the following days as revisions normalize forward estimates.</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2026-07-14T01:19:18Z</dcterms:created>
  <dcterms:modified xsi:type="dcterms:W3CDTF">2026-07-14T01:19:18Z</dcterms:modified>
</cp:coreProperties>
</file>

<file path=docProps/custom.xml><?xml version="1.0" encoding="utf-8"?>
<Properties xmlns="http://schemas.openxmlformats.org/officeDocument/2006/custom-properties" xmlns:vt="http://schemas.openxmlformats.org/officeDocument/2006/docPropsVTypes"/>
</file>