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c-earnings-predictions--2026-07-14"/>
    <w:p>
      <w:pPr>
        <w:pStyle w:val="Heading1"/>
      </w:pPr>
      <w:r>
        <w:t xml:space="preserve">BAC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~$1.15 vs. cons $1.12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(FTE)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~$16.18B vs. cons $16.10B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Sales and trading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~$6.22B vs. cons $6.15B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~8.0% vs. cons 7.5%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~$16.45B vs. cons $16.35B (3Q26)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leverage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~300 bps vs. cons 250 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+2.1% (FOLLOW-THROUGH)</w:t>
            </w:r>
          </w:p>
        </w:tc>
        <w:tc>
          <w:tcPr/>
          <w:p>
            <w:pPr>
              <w:pStyle w:val="Compact"/>
            </w:pPr>
            <w:r>
              <w:t xml:space="preserve">The predicted FY2026 NII-growth midpoint of ~8.0% vs. consensus 7.5% should lift out-period EPS estimates; therefore, the 5-day residual reaches +2.1% vs. +1.3% on day 1 rather than fading after the reported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2026-07-14T01:20:52Z</dcterms:created>
  <dcterms:modified xsi:type="dcterms:W3CDTF">2026-07-14T01:20:52Z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