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bank-of-america-2q26-earnings-preview"/>
    <w:p>
      <w:pPr>
        <w:pStyle w:val="Heading1"/>
      </w:pPr>
      <w:r>
        <w:t xml:space="preserve">Bank of America 2Q26 Earnings Preview</w:t>
      </w:r>
    </w:p>
    <w:p>
      <w:pPr>
        <w:pStyle w:val="FirstParagraph"/>
      </w:pPr>
      <w:r>
        <w:rPr>
          <w:b/>
          <w:bCs/>
        </w:rPr>
        <w:t xml:space="preserve">Report date:</w:t>
      </w:r>
      <w:r>
        <w:t xml:space="preserve"> </w:t>
      </w:r>
      <w:r>
        <w:t xml:space="preserve">July 14, 2026, before the U.S. market open</w:t>
      </w:r>
      <w:r>
        <w:br/>
      </w:r>
      <w:r>
        <w:rPr>
          <w:b/>
          <w:bCs/>
        </w:rPr>
        <w:t xml:space="preserve">Conference call:</w:t>
      </w:r>
      <w:r>
        <w:t xml:space="preserve"> </w:t>
      </w:r>
      <w:r>
        <w:t xml:space="preserve">2026Q2 Earnings Call</w:t>
      </w:r>
      <w:r>
        <w:br/>
      </w:r>
      <w:r>
        <w:rPr>
          <w:b/>
          <w:bCs/>
        </w:rPr>
        <w:t xml:space="preserve">Closing share price on July 13:</w:t>
      </w:r>
      <w:r>
        <w:t xml:space="preserve"> </w:t>
      </w:r>
      <w:r>
        <w:rPr>
          <w:b/>
          <w:bCs/>
        </w:rPr>
        <w:t xml:space="preserve">$59.52</w:t>
      </w:r>
    </w:p>
    <w:bookmarkStart w:id="9" w:name="executive-view"/>
    <w:p>
      <w:pPr>
        <w:pStyle w:val="Heading2"/>
      </w:pPr>
      <w:r>
        <w:t xml:space="preserve">Executive view</w:t>
      </w:r>
    </w:p>
    <w:p>
      <w:pPr>
        <w:pStyle w:val="FirstParagraph"/>
      </w:pPr>
      <w:r>
        <w:t xml:space="preserve">Bank of America enters the quarter with unusually strong and broad-based momentum. Net interest income is benefiting from fixed-rate asset repricing, loan and deposit growth remains healthy, capital-markets activity has improved, and management has already indicated that second-quarter trading and investment-banking results should be strong.</w:t>
      </w:r>
    </w:p>
    <w:p>
      <w:pPr>
        <w:pStyle w:val="BodyText"/>
      </w:pPr>
      <w:r>
        <w:t xml:space="preserve">That also means the immediate numbers may be less important than the outlook. Management effectively previewed much of the quarter in June, including more than 15% growth in trading revenue, approximately $1.8 billion of investment-banking fees, and more than 400 basis points of positive operating leverage. With the stock recently trading near record highs, a simple consensus beat may not be sufficient.</w:t>
      </w:r>
    </w:p>
    <w:p>
      <w:pPr>
        <w:pStyle w:val="BodyText"/>
      </w:pPr>
      <w:r>
        <w:t xml:space="preserve">The central question is whether BAC can</w:t>
      </w:r>
      <w:r>
        <w:t xml:space="preserve"> </w:t>
      </w:r>
      <w:r>
        <w:rPr>
          <w:b/>
          <w:bCs/>
        </w:rPr>
        <w:t xml:space="preserve">raise or reinforce its 2026 earnings trajectory</w:t>
      </w:r>
      <w:r>
        <w:t xml:space="preserve">—particularly its net interest income outlook—without taking more credit risk or allowing expenses to accelerate.</w:t>
      </w:r>
    </w:p>
    <w:bookmarkEnd w:id="9"/>
    <w:bookmarkStart w:id="10" w:name="consensus-snapshot"/>
    <w:p>
      <w:pPr>
        <w:pStyle w:val="Heading2"/>
      </w:pPr>
      <w:r>
        <w:t xml:space="preserve">Consensus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consensus</w:t>
            </w:r>
          </w:p>
        </w:tc>
        <w:tc>
          <w:tcPr/>
          <w:p>
            <w:pPr>
              <w:pStyle w:val="Compact"/>
              <w:jc w:val="right"/>
            </w:pPr>
            <w:r>
              <w:t xml:space="preserve">2Q25 actual</w:t>
            </w:r>
          </w:p>
        </w:tc>
        <w:tc>
          <w:tcPr/>
          <w:p>
            <w:pPr>
              <w:pStyle w:val="Compact"/>
              <w:jc w:val="right"/>
            </w:pPr>
            <w:r>
              <w:t xml:space="preserve">Implied YoY change</w:t>
            </w:r>
          </w:p>
        </w:tc>
      </w:tr>
      <w:tr>
        <w:tc>
          <w:tcPr/>
          <w:p>
            <w:pPr>
              <w:pStyle w:val="Compact"/>
            </w:pPr>
            <w:r>
              <w:t xml:space="preserve">Diluted EPS</w:t>
            </w:r>
          </w:p>
        </w:tc>
        <w:tc>
          <w:tcPr/>
          <w:p>
            <w:pPr>
              <w:pStyle w:val="Compact"/>
              <w:jc w:val="right"/>
            </w:pPr>
            <w:r>
              <w:rPr>
                <w:b/>
                <w:bCs/>
              </w:rPr>
              <w:t xml:space="preserve">$1.12</w:t>
            </w:r>
          </w:p>
        </w:tc>
        <w:tc>
          <w:tcPr/>
          <w:p>
            <w:pPr>
              <w:pStyle w:val="Compact"/>
              <w:jc w:val="right"/>
            </w:pPr>
            <w:r>
              <w:t xml:space="preserve">$0.89</w:t>
            </w:r>
          </w:p>
        </w:tc>
        <w:tc>
          <w:tcPr/>
          <w:p>
            <w:pPr>
              <w:pStyle w:val="Compact"/>
              <w:jc w:val="right"/>
            </w:pPr>
            <w:r>
              <w:rPr>
                <w:b/>
                <w:bCs/>
              </w:rPr>
              <w:t xml:space="preserve">+26%</w:t>
            </w:r>
          </w:p>
        </w:tc>
      </w:tr>
      <w:tr>
        <w:tc>
          <w:tcPr/>
          <w:p>
            <w:pPr>
              <w:pStyle w:val="Compact"/>
            </w:pPr>
            <w:r>
              <w:t xml:space="preserve">Revenue</w:t>
            </w:r>
          </w:p>
        </w:tc>
        <w:tc>
          <w:tcPr/>
          <w:p>
            <w:pPr>
              <w:pStyle w:val="Compact"/>
              <w:jc w:val="right"/>
            </w:pPr>
            <w:r>
              <w:rPr>
                <w:b/>
                <w:bCs/>
              </w:rPr>
              <w:t xml:space="preserve">$30.56B</w:t>
            </w:r>
          </w:p>
        </w:tc>
        <w:tc>
          <w:tcPr/>
          <w:p>
            <w:pPr>
              <w:pStyle w:val="Compact"/>
              <w:jc w:val="right"/>
            </w:pPr>
            <w:r>
              <w:t xml:space="preserve">$26.46B</w:t>
            </w:r>
          </w:p>
        </w:tc>
        <w:tc>
          <w:tcPr/>
          <w:p>
            <w:pPr>
              <w:pStyle w:val="Compact"/>
              <w:jc w:val="right"/>
            </w:pPr>
            <w:r>
              <w:rPr>
                <w:b/>
                <w:bCs/>
              </w:rPr>
              <w:t xml:space="preserve">+15%</w:t>
            </w:r>
          </w:p>
        </w:tc>
      </w:tr>
      <w:tr>
        <w:tc>
          <w:tcPr/>
          <w:p>
            <w:pPr>
              <w:pStyle w:val="Compact"/>
            </w:pPr>
            <w:r>
              <w:t xml:space="preserve">Net interest income</w:t>
            </w:r>
          </w:p>
        </w:tc>
        <w:tc>
          <w:tcPr/>
          <w:p>
            <w:pPr>
              <w:pStyle w:val="Compact"/>
              <w:jc w:val="right"/>
            </w:pPr>
            <w:r>
              <w:rPr>
                <w:b/>
                <w:bCs/>
              </w:rPr>
              <w:t xml:space="preserve">$16.1B</w:t>
            </w:r>
          </w:p>
        </w:tc>
        <w:tc>
          <w:tcPr/>
          <w:p>
            <w:pPr>
              <w:pStyle w:val="Compact"/>
              <w:jc w:val="right"/>
            </w:pPr>
            <w:r>
              <w:t xml:space="preserve">$14.8B FTE</w:t>
            </w:r>
          </w:p>
        </w:tc>
        <w:tc>
          <w:tcPr/>
          <w:p>
            <w:pPr>
              <w:pStyle w:val="Compact"/>
              <w:jc w:val="right"/>
            </w:pPr>
            <w:r>
              <w:rPr>
                <w:b/>
                <w:bCs/>
              </w:rPr>
              <w:t xml:space="preserve">~+9%</w:t>
            </w:r>
          </w:p>
        </w:tc>
      </w:tr>
      <w:tr>
        <w:tc>
          <w:tcPr/>
          <w:p>
            <w:pPr>
              <w:pStyle w:val="Compact"/>
            </w:pPr>
            <w:r>
              <w:t xml:space="preserve">Noninterest income</w:t>
            </w:r>
          </w:p>
        </w:tc>
        <w:tc>
          <w:tcPr/>
          <w:p>
            <w:pPr>
              <w:pStyle w:val="Compact"/>
              <w:jc w:val="right"/>
            </w:pPr>
            <w:r>
              <w:rPr>
                <w:b/>
                <w:bCs/>
              </w:rPr>
              <w:t xml:space="preserve">$14.2B</w:t>
            </w:r>
          </w:p>
        </w:tc>
        <w:tc>
          <w:tcPr/>
          <w:p>
            <w:pPr>
              <w:pStyle w:val="Compact"/>
              <w:jc w:val="right"/>
            </w:pPr>
            <w:r>
              <w:t xml:space="preserve">$11.8B</w:t>
            </w:r>
          </w:p>
        </w:tc>
        <w:tc>
          <w:tcPr/>
          <w:p>
            <w:pPr>
              <w:pStyle w:val="Compact"/>
              <w:jc w:val="right"/>
            </w:pPr>
            <w:r>
              <w:rPr>
                <w:b/>
                <w:bCs/>
              </w:rPr>
              <w:t xml:space="preserve">~+20%</w:t>
            </w:r>
          </w:p>
        </w:tc>
      </w:tr>
    </w:tbl>
    <w:p>
      <w:pPr>
        <w:pStyle w:val="BodyText"/>
      </w:pPr>
      <w:r>
        <w:t xml:space="preserve">The comparisons are favorable, but expectations are no longer low. In particular, management's June comments suggest that a substantial portion of the projected upside is already visible.</w:t>
      </w:r>
    </w:p>
    <w:p>
      <w:r>
        <w:pict>
          <v:rect style="width:0;height:1.5pt" o:hralign="center" o:hrstd="t" o:hr="t"/>
        </w:pict>
      </w:r>
    </w:p>
    <w:bookmarkEnd w:id="10"/>
    <w:bookmarkStart w:id="12" w:name="Xcc36dcec0837b522546956da529eed478096f72"/>
    <w:p>
      <w:pPr>
        <w:pStyle w:val="Heading2"/>
      </w:pPr>
      <w:r>
        <w:t xml:space="preserve">1. Net interest income remains the core earnings driver</w:t>
      </w:r>
    </w:p>
    <w:p>
      <w:pPr>
        <w:pStyle w:val="FirstParagraph"/>
      </w:pPr>
      <w:r>
        <w:t xml:space="preserve">BAC produced</w:t>
      </w:r>
      <w:r>
        <w:t xml:space="preserve"> </w:t>
      </w:r>
      <w:r>
        <w:rPr>
          <w:b/>
          <w:bCs/>
        </w:rPr>
        <w:t xml:space="preserve">$15.9 billion of FTE net interest income in 1Q26</w:t>
      </w:r>
      <w:r>
        <w:t xml:space="preserve">, up 9% year over year and approximately flat with 4Q25 despite two fewer interest-accrual days. Management then raised its full-year 2026 NII growth forecast to</w:t>
      </w:r>
      <w:r>
        <w:t xml:space="preserve"> </w:t>
      </w:r>
      <w:r>
        <w:rPr>
          <w:b/>
          <w:bCs/>
        </w:rPr>
        <w:t xml:space="preserve">6%–8%</w:t>
      </w:r>
      <w:r>
        <w:t xml:space="preserve">, versus 2025.</w:t>
      </w:r>
    </w:p>
    <w:p>
      <w:pPr>
        <w:pStyle w:val="BodyText"/>
      </w:pPr>
      <w:r>
        <w:t xml:space="preserve">The second-quarter consensus of approximately</w:t>
      </w:r>
      <w:r>
        <w:t xml:space="preserve"> </w:t>
      </w:r>
      <w:r>
        <w:rPr>
          <w:b/>
          <w:bCs/>
        </w:rPr>
        <w:t xml:space="preserve">$16.1 billion</w:t>
      </w:r>
      <w:r>
        <w:t xml:space="preserve"> </w:t>
      </w:r>
      <w:r>
        <w:t xml:space="preserve">would represent:</w:t>
      </w:r>
    </w:p>
    <w:p>
      <w:pPr>
        <w:pStyle w:val="Compact"/>
        <w:numPr>
          <w:ilvl w:val="0"/>
          <w:numId w:val="1001"/>
        </w:numPr>
      </w:pPr>
      <w:r>
        <w:t xml:space="preserve">About 9% growth from 2Q25.</w:t>
      </w:r>
    </w:p>
    <w:p>
      <w:pPr>
        <w:pStyle w:val="Compact"/>
        <w:numPr>
          <w:ilvl w:val="0"/>
          <w:numId w:val="1001"/>
        </w:numPr>
      </w:pPr>
      <w:r>
        <w:t xml:space="preserve">A modest sequential increase from 1Q26.</w:t>
      </w:r>
    </w:p>
    <w:p>
      <w:pPr>
        <w:pStyle w:val="Compact"/>
        <w:numPr>
          <w:ilvl w:val="0"/>
          <w:numId w:val="1001"/>
        </w:numPr>
      </w:pPr>
      <w:r>
        <w:t xml:space="preserve">Continued support from fixed-rate asset repricing.</w:t>
      </w:r>
    </w:p>
    <w:p>
      <w:pPr>
        <w:pStyle w:val="Compact"/>
        <w:numPr>
          <w:ilvl w:val="0"/>
          <w:numId w:val="1001"/>
        </w:numPr>
      </w:pPr>
      <w:r>
        <w:t xml:space="preserve">Benefits from loan and deposit growth and funding optimization.</w:t>
      </w:r>
    </w:p>
    <w:p>
      <w:pPr>
        <w:pStyle w:val="FirstParagraph"/>
      </w:pPr>
      <w:r>
        <w:t xml:space="preserve">BAC's structural repricing opportunity remains an important differentiator. Lower-yielding securities, mortgages, auto loans and hedges continue to roll over into higher yields, and management has described this as a multiyear—not merely quarterly—tailwind.</w:t>
      </w:r>
    </w:p>
    <w:bookmarkStart w:id="11" w:name="what-matters-tomorrow"/>
    <w:p>
      <w:pPr>
        <w:pStyle w:val="Heading3"/>
      </w:pPr>
      <w:r>
        <w:t xml:space="preserve">What matters tomorrow</w:t>
      </w:r>
    </w:p>
    <w:p>
      <w:pPr>
        <w:pStyle w:val="FirstParagraph"/>
      </w:pPr>
      <w:r>
        <w:t xml:space="preserve">The reported NII figure is less important than the following:</w:t>
      </w:r>
    </w:p>
    <w:p>
      <w:pPr>
        <w:numPr>
          <w:ilvl w:val="0"/>
          <w:numId w:val="1002"/>
        </w:numPr>
      </w:pPr>
      <w:r>
        <w:rPr>
          <w:b/>
          <w:bCs/>
        </w:rPr>
        <w:t xml:space="preserve">Does management raise the 6%–8% full-year growth range?</w:t>
      </w:r>
      <w:r>
        <w:br/>
      </w:r>
      <w:r>
        <w:t xml:space="preserve">BAC maintained that outlook as recently as June. Given the stronger-for-longer rate backdrop, an unchanged range could be viewed as conservative—but may also leave investors wanting more.</w:t>
      </w:r>
    </w:p>
    <w:p>
      <w:pPr>
        <w:numPr>
          <w:ilvl w:val="0"/>
          <w:numId w:val="1002"/>
        </w:numPr>
      </w:pPr>
      <w:r>
        <w:rPr>
          <w:b/>
          <w:bCs/>
        </w:rPr>
        <w:t xml:space="preserve">How much of NII growth is coming from core banking?</w:t>
      </w:r>
      <w:r>
        <w:br/>
      </w:r>
      <w:r>
        <w:t xml:space="preserve">Management expects a greater share of future growth to come from Consumer Banking, Global Banking and Wealth, rather than rate-driven NII inside Global Markets.</w:t>
      </w:r>
    </w:p>
    <w:p>
      <w:pPr>
        <w:numPr>
          <w:ilvl w:val="0"/>
          <w:numId w:val="1002"/>
        </w:numPr>
      </w:pPr>
      <w:r>
        <w:rPr>
          <w:b/>
          <w:bCs/>
        </w:rPr>
        <w:t xml:space="preserve">Are deposit costs still controlled?</w:t>
      </w:r>
      <w:r>
        <w:br/>
      </w:r>
      <w:r>
        <w:t xml:space="preserve">In 1Q, BAC's total deposit rate declined 16 basis points to 1.47%. Continued pricing discipline would show that the bank is not buying balance growth at unattractive rates.</w:t>
      </w:r>
    </w:p>
    <w:p>
      <w:pPr>
        <w:numPr>
          <w:ilvl w:val="0"/>
          <w:numId w:val="1002"/>
        </w:numPr>
      </w:pPr>
      <w:r>
        <w:rPr>
          <w:b/>
          <w:bCs/>
        </w:rPr>
        <w:t xml:space="preserve">Is balance-sheet growth improving the earnings mix?</w:t>
      </w:r>
      <w:r>
        <w:br/>
      </w:r>
      <w:r>
        <w:t xml:space="preserve">BAC has roughly $100 billion of higher-cost CDs and repo funding that it believes can run off over time while core loans and deposits grow. Progress here can improve net interest yield even if total assets do not change dramatically.</w:t>
      </w:r>
    </w:p>
    <w:p>
      <w:pPr>
        <w:pStyle w:val="FirstParagraph"/>
      </w:pPr>
      <w:r>
        <w:rPr>
          <w:b/>
          <w:bCs/>
        </w:rPr>
        <w:t xml:space="preserve">Best outcome:</w:t>
      </w:r>
      <w:r>
        <w:t xml:space="preserve"> </w:t>
      </w:r>
      <w:r>
        <w:t xml:space="preserve">NII above $16.1 billion, stable deposit pricing, and either a guidance increase or commentary that points toward the top end or above the existing range.</w:t>
      </w:r>
    </w:p>
    <w:p>
      <w:r>
        <w:pict>
          <v:rect style="width:0;height:1.5pt" o:hralign="center" o:hrstd="t" o:hr="t"/>
        </w:pict>
      </w:r>
    </w:p>
    <w:bookmarkEnd w:id="11"/>
    <w:bookmarkEnd w:id="12"/>
    <w:bookmarkStart w:id="14" w:name="Xf0a24bbe4c772ddb80f8fb4030aedff2e4974c9"/>
    <w:p>
      <w:pPr>
        <w:pStyle w:val="Heading2"/>
      </w:pPr>
      <w:r>
        <w:t xml:space="preserve">2. Markets and investment banking should be major positives</w:t>
      </w:r>
    </w:p>
    <w:p>
      <w:pPr>
        <w:pStyle w:val="FirstParagraph"/>
      </w:pPr>
      <w:r>
        <w:t xml:space="preserve">Management's June update substantially reduced uncertainty around the fee businesses.</w:t>
      </w:r>
    </w:p>
    <w:p>
      <w:pPr>
        <w:pStyle w:val="BodyText"/>
      </w:pPr>
      <w:r>
        <w:t xml:space="preserve">Co-President Jim DeMare indicated that:</w:t>
      </w:r>
    </w:p>
    <w:p>
      <w:pPr>
        <w:pStyle w:val="Compact"/>
        <w:numPr>
          <w:ilvl w:val="0"/>
          <w:numId w:val="1003"/>
        </w:numPr>
      </w:pPr>
      <w:r>
        <w:t xml:space="preserve">Trading revenue was likely to grow</w:t>
      </w:r>
      <w:r>
        <w:t xml:space="preserve"> </w:t>
      </w:r>
      <w:r>
        <w:rPr>
          <w:b/>
          <w:bCs/>
        </w:rPr>
        <w:t xml:space="preserve">better than 15% year over year</w:t>
      </w:r>
      <w:r>
        <w:t xml:space="preserve">.</w:t>
      </w:r>
    </w:p>
    <w:p>
      <w:pPr>
        <w:pStyle w:val="Compact"/>
        <w:numPr>
          <w:ilvl w:val="0"/>
          <w:numId w:val="1003"/>
        </w:numPr>
      </w:pPr>
      <w:r>
        <w:t xml:space="preserve">Strength was led by equities, particularly Asia-Pacific activity.</w:t>
      </w:r>
    </w:p>
    <w:p>
      <w:pPr>
        <w:pStyle w:val="Compact"/>
        <w:numPr>
          <w:ilvl w:val="0"/>
          <w:numId w:val="1003"/>
        </w:numPr>
      </w:pPr>
      <w:r>
        <w:t xml:space="preserve">Investment-banking fees were tracking near</w:t>
      </w:r>
      <w:r>
        <w:t xml:space="preserve"> </w:t>
      </w:r>
      <w:r>
        <w:rPr>
          <w:b/>
          <w:bCs/>
        </w:rPr>
        <w:t xml:space="preserve">$1.8 billion</w:t>
      </w:r>
      <w:r>
        <w:t xml:space="preserve">.</w:t>
      </w:r>
    </w:p>
    <w:p>
      <w:pPr>
        <w:pStyle w:val="Compact"/>
        <w:numPr>
          <w:ilvl w:val="0"/>
          <w:numId w:val="1003"/>
        </w:numPr>
      </w:pPr>
      <w:r>
        <w:t xml:space="preserve">M&amp;A and underwriting pipelines remained healthy despite geopolitical uncertainty.</w:t>
      </w:r>
    </w:p>
    <w:p>
      <w:pPr>
        <w:pStyle w:val="FirstParagraph"/>
      </w:pPr>
      <w:r>
        <w:t xml:space="preserve">For comparison, BAC generated</w:t>
      </w:r>
      <w:r>
        <w:t xml:space="preserve"> </w:t>
      </w:r>
      <m:oMath>
        <m:r>
          <m:t>5.3</m:t>
        </m:r>
        <m:r>
          <m:t>b</m:t>
        </m:r>
        <m:r>
          <m:t>i</m:t>
        </m:r>
        <m:r>
          <m:t>l</m:t>
        </m:r>
        <m:r>
          <m:t>l</m:t>
        </m:r>
        <m:r>
          <m:t>i</m:t>
        </m:r>
        <m:r>
          <m:t>o</m:t>
        </m:r>
        <m:r>
          <m:t>n</m:t>
        </m:r>
        <m:r>
          <m:t>o</m:t>
        </m:r>
        <m:r>
          <m:t>f</m:t>
        </m:r>
        <m:r>
          <m:t>s</m:t>
        </m:r>
        <m:r>
          <m:t>a</m:t>
        </m:r>
        <m:r>
          <m:t>l</m:t>
        </m:r>
        <m:r>
          <m:t>e</m:t>
        </m:r>
        <m:r>
          <m:t>s</m:t>
        </m:r>
        <m:r>
          <m:rPr>
            <m:sty m:val="p"/>
          </m:rPr>
          <m:t>−</m:t>
        </m:r>
        <m:r>
          <m:t>a</m:t>
        </m:r>
        <m:r>
          <m:t>n</m:t>
        </m:r>
        <m:r>
          <m:t>d</m:t>
        </m:r>
        <m:r>
          <m:rPr>
            <m:sty m:val="p"/>
          </m:rPr>
          <m:t>−</m:t>
        </m:r>
        <m:r>
          <m:t>t</m:t>
        </m:r>
        <m:r>
          <m:t>r</m:t>
        </m:r>
        <m:r>
          <m:t>a</m:t>
        </m:r>
        <m:r>
          <m:t>d</m:t>
        </m:r>
        <m:r>
          <m:t>i</m:t>
        </m:r>
        <m:r>
          <m:t>n</m:t>
        </m:r>
        <m:r>
          <m:t>g</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1.4 billion of investment-banking fees</w:t>
      </w:r>
      <w:r>
        <w:t xml:space="preserve"> </w:t>
      </w:r>
      <w:r>
        <w:t xml:space="preserve">in 2Q25. Management's indications therefore imply another strong quarter and continued market-share progress.</w:t>
      </w:r>
    </w:p>
    <w:bookmarkStart w:id="13" w:name="key-details-to-watch"/>
    <w:p>
      <w:pPr>
        <w:pStyle w:val="Heading3"/>
      </w:pPr>
      <w:r>
        <w:t xml:space="preserve">Key details to watch</w:t>
      </w:r>
    </w:p>
    <w:p>
      <w:pPr>
        <w:pStyle w:val="Compact"/>
        <w:numPr>
          <w:ilvl w:val="0"/>
          <w:numId w:val="1004"/>
        </w:numPr>
      </w:pPr>
      <w:r>
        <w:rPr>
          <w:b/>
          <w:bCs/>
        </w:rPr>
        <w:t xml:space="preserve">Equities versus FICC:</w:t>
      </w:r>
      <w:r>
        <w:t xml:space="preserve"> </w:t>
      </w:r>
      <w:r>
        <w:t xml:space="preserve">Equities should again lead growth. Investors will want to see whether FICC was merely mixed or meaningfully weaker.</w:t>
      </w:r>
    </w:p>
    <w:p>
      <w:pPr>
        <w:pStyle w:val="Compact"/>
        <w:numPr>
          <w:ilvl w:val="0"/>
          <w:numId w:val="1004"/>
        </w:numPr>
      </w:pPr>
      <w:r>
        <w:rPr>
          <w:b/>
          <w:bCs/>
        </w:rPr>
        <w:t xml:space="preserve">Trading returns:</w:t>
      </w:r>
      <w:r>
        <w:t xml:space="preserve"> </w:t>
      </w:r>
      <w:r>
        <w:t xml:space="preserve">In 1Q26, Global Markets earned a 15% return on allocated capital after BAC provided the business with additional resources. Revenue growth is more valuable if returns remain in the mid-teens.</w:t>
      </w:r>
    </w:p>
    <w:p>
      <w:pPr>
        <w:pStyle w:val="Compact"/>
        <w:numPr>
          <w:ilvl w:val="0"/>
          <w:numId w:val="1004"/>
        </w:numPr>
      </w:pPr>
      <w:r>
        <w:rPr>
          <w:b/>
          <w:bCs/>
        </w:rPr>
        <w:t xml:space="preserve">Investment-banking pipeline:</w:t>
      </w:r>
      <w:r>
        <w:t xml:space="preserve"> </w:t>
      </w:r>
      <w:r>
        <w:t xml:space="preserve">Management has described the pipeline as plentiful, with improving M&amp;A and IPO activity. Commentary on whether deals are merely being delayed—or canceled—will influence expectations for the second half.</w:t>
      </w:r>
    </w:p>
    <w:p>
      <w:pPr>
        <w:pStyle w:val="Compact"/>
        <w:numPr>
          <w:ilvl w:val="0"/>
          <w:numId w:val="1004"/>
        </w:numPr>
      </w:pPr>
      <w:r>
        <w:rPr>
          <w:b/>
          <w:bCs/>
        </w:rPr>
        <w:t xml:space="preserve">Expense conversion:</w:t>
      </w:r>
      <w:r>
        <w:t xml:space="preserve"> </w:t>
      </w:r>
      <w:r>
        <w:t xml:space="preserve">Strong trading and banking revenue naturally brings higher incentive compensation. The question is whether enough revenue still falls through to pretax income.</w:t>
      </w:r>
    </w:p>
    <w:p>
      <w:pPr>
        <w:pStyle w:val="FirstParagraph"/>
      </w:pPr>
      <w:r>
        <w:t xml:space="preserve">BAC's diversified trading franchise has now produced a long sequence of year-over-year revenue growth. Another strong quarter would reinforce the case that the improvement is structural and client-driven, not simply the result of temporary volatility.</w:t>
      </w:r>
    </w:p>
    <w:p>
      <w:r>
        <w:pict>
          <v:rect style="width:0;height:1.5pt" o:hralign="center" o:hrstd="t" o:hr="t"/>
        </w:pict>
      </w:r>
    </w:p>
    <w:bookmarkEnd w:id="13"/>
    <w:bookmarkEnd w:id="14"/>
    <w:bookmarkStart w:id="16" w:name="X8b5a3aa89d761a05cf528bd3cee13338c7ca377"/>
    <w:p>
      <w:pPr>
        <w:pStyle w:val="Heading2"/>
      </w:pPr>
      <w:r>
        <w:t xml:space="preserve">3. Operating leverage may be the most important quality signal</w:t>
      </w:r>
    </w:p>
    <w:p>
      <w:pPr>
        <w:pStyle w:val="FirstParagraph"/>
      </w:pPr>
      <w:r>
        <w:t xml:space="preserve">Management expects</w:t>
      </w:r>
      <w:r>
        <w:t xml:space="preserve"> </w:t>
      </w:r>
      <w:r>
        <w:rPr>
          <w:b/>
          <w:bCs/>
        </w:rPr>
        <w:t xml:space="preserve">more than 400 basis points of positive operating leverage in 2Q26</w:t>
      </w:r>
      <w:r>
        <w:t xml:space="preserve">, up from 290 basis points in the first quarter. That is a high bar, but one BAC itself established.</w:t>
      </w:r>
    </w:p>
    <w:p>
      <w:pPr>
        <w:pStyle w:val="BodyText"/>
      </w:pPr>
      <w:r>
        <w:t xml:space="preserve">The underlying setup is favorable:</w:t>
      </w:r>
    </w:p>
    <w:p>
      <w:pPr>
        <w:pStyle w:val="Compact"/>
        <w:numPr>
          <w:ilvl w:val="0"/>
          <w:numId w:val="1005"/>
        </w:numPr>
      </w:pPr>
      <w:r>
        <w:t xml:space="preserve">NII growth requires little incremental expense.</w:t>
      </w:r>
    </w:p>
    <w:p>
      <w:pPr>
        <w:pStyle w:val="Compact"/>
        <w:numPr>
          <w:ilvl w:val="0"/>
          <w:numId w:val="1005"/>
        </w:numPr>
      </w:pPr>
      <w:r>
        <w:t xml:space="preserve">Investment banking, trading and wealth revenues are growing faster than their associated costs.</w:t>
      </w:r>
    </w:p>
    <w:p>
      <w:pPr>
        <w:pStyle w:val="Compact"/>
        <w:numPr>
          <w:ilvl w:val="0"/>
          <w:numId w:val="1005"/>
        </w:numPr>
      </w:pPr>
      <w:r>
        <w:t xml:space="preserve">Headcount declined by approximately 1,070 employees in 1Q through attrition.</w:t>
      </w:r>
    </w:p>
    <w:p>
      <w:pPr>
        <w:pStyle w:val="Compact"/>
        <w:numPr>
          <w:ilvl w:val="0"/>
          <w:numId w:val="1005"/>
        </w:numPr>
      </w:pPr>
      <w:r>
        <w:t xml:space="preserve">Technology, process simplification and AI are being used to reduce operational work while BAC adds client-facing personnel.</w:t>
      </w:r>
    </w:p>
    <w:p>
      <w:pPr>
        <w:pStyle w:val="FirstParagraph"/>
      </w:pPr>
      <w:r>
        <w:t xml:space="preserve">Investors should distinguish between:</w:t>
      </w:r>
    </w:p>
    <w:p>
      <w:pPr>
        <w:pStyle w:val="Compact"/>
        <w:numPr>
          <w:ilvl w:val="0"/>
          <w:numId w:val="1006"/>
        </w:numPr>
      </w:pPr>
      <w:r>
        <w:rPr>
          <w:b/>
          <w:bCs/>
        </w:rPr>
        <w:t xml:space="preserve">Healthy variable expenses</w:t>
      </w:r>
      <w:r>
        <w:t xml:space="preserve">, such as incentive compensation attached to higher revenue; and</w:t>
      </w:r>
    </w:p>
    <w:p>
      <w:pPr>
        <w:pStyle w:val="Compact"/>
        <w:numPr>
          <w:ilvl w:val="0"/>
          <w:numId w:val="1006"/>
        </w:numPr>
      </w:pPr>
      <w:r>
        <w:rPr>
          <w:b/>
          <w:bCs/>
        </w:rPr>
        <w:t xml:space="preserve">Fixed-cost slippage</w:t>
      </w:r>
      <w:r>
        <w:t xml:space="preserve">, which would weaken the medium-term efficiency story.</w:t>
      </w:r>
    </w:p>
    <w:p>
      <w:pPr>
        <w:pStyle w:val="FirstParagraph"/>
      </w:pPr>
      <w:r>
        <w:t xml:space="preserve">Management has targeted</w:t>
      </w:r>
      <w:r>
        <w:t xml:space="preserve"> </w:t>
      </w:r>
      <w:r>
        <w:rPr>
          <w:b/>
          <w:bCs/>
        </w:rPr>
        <w:t xml:space="preserve">200–300 basis points of annual operating leverage over the medium term</w:t>
      </w:r>
      <w:r>
        <w:t xml:space="preserve"> </w:t>
      </w:r>
      <w:r>
        <w:t xml:space="preserve">and more than 200 basis points for 2026. If BAC delivers more than 400 basis points this quarter while maintaining investment spending, confidence in the bank's</w:t>
      </w:r>
      <w:r>
        <w:t xml:space="preserve"> </w:t>
      </w:r>
      <w:r>
        <w:rPr>
          <w:b/>
          <w:bCs/>
        </w:rPr>
        <w:t xml:space="preserve">16%–18% medium-term ROTCE goal</w:t>
      </w:r>
      <w:r>
        <w:t xml:space="preserve"> </w:t>
      </w:r>
      <w:r>
        <w:t xml:space="preserve">should increase.</w:t>
      </w:r>
    </w:p>
    <w:bookmarkStart w:id="15" w:name="a-potential-disappointment"/>
    <w:p>
      <w:pPr>
        <w:pStyle w:val="Heading3"/>
      </w:pPr>
      <w:r>
        <w:t xml:space="preserve">A potential disappointment</w:t>
      </w:r>
    </w:p>
    <w:p>
      <w:pPr>
        <w:pStyle w:val="FirstParagraph"/>
      </w:pPr>
      <w:r>
        <w:t xml:space="preserve">A strong revenue quarter paired with a large underlying expense increase would raise questions about how much earnings power is actually reaching shareholders. The market is likely to be more forgiving of revenue-related compensation than of higher structural headcount, technology duplication or litigation expense.</w:t>
      </w:r>
    </w:p>
    <w:p>
      <w:r>
        <w:pict>
          <v:rect style="width:0;height:1.5pt" o:hralign="center" o:hrstd="t" o:hr="t"/>
        </w:pict>
      </w:r>
    </w:p>
    <w:bookmarkEnd w:id="15"/>
    <w:bookmarkEnd w:id="16"/>
    <w:bookmarkStart w:id="18" w:name="Xccaaea1bf70c6c135612945f27300ff077587bc"/>
    <w:p>
      <w:pPr>
        <w:pStyle w:val="Heading2"/>
      </w:pPr>
      <w:r>
        <w:t xml:space="preserve">4. Credit should remain benign—but reserve discipline deserves attention</w:t>
      </w:r>
    </w:p>
    <w:p>
      <w:pPr>
        <w:pStyle w:val="FirstParagraph"/>
      </w:pPr>
      <w:r>
        <w:t xml:space="preserve">First-quarter credit performance was favorable:</w:t>
      </w:r>
    </w:p>
    <w:p>
      <w:pPr>
        <w:pStyle w:val="Compact"/>
        <w:numPr>
          <w:ilvl w:val="0"/>
          <w:numId w:val="1007"/>
        </w:numPr>
      </w:pPr>
      <w:r>
        <w:t xml:space="preserve">Net charge-offs were approximately</w:t>
      </w:r>
      <w:r>
        <w:t xml:space="preserve"> </w:t>
      </w:r>
      <w:r>
        <w:rPr>
          <w:b/>
          <w:bCs/>
        </w:rPr>
        <w:t xml:space="preserve">$1.4 billion</w:t>
      </w:r>
      <w:r>
        <w:t xml:space="preserve">.</w:t>
      </w:r>
    </w:p>
    <w:p>
      <w:pPr>
        <w:pStyle w:val="Compact"/>
        <w:numPr>
          <w:ilvl w:val="0"/>
          <w:numId w:val="1007"/>
        </w:numPr>
      </w:pPr>
      <w:r>
        <w:t xml:space="preserve">The net charge-off rate was</w:t>
      </w:r>
      <w:r>
        <w:t xml:space="preserve"> </w:t>
      </w:r>
      <w:r>
        <w:rPr>
          <w:b/>
          <w:bCs/>
        </w:rPr>
        <w:t xml:space="preserve">48 basis points</w:t>
      </w:r>
      <w:r>
        <w:t xml:space="preserve">.</w:t>
      </w:r>
    </w:p>
    <w:p>
      <w:pPr>
        <w:pStyle w:val="Compact"/>
        <w:numPr>
          <w:ilvl w:val="0"/>
          <w:numId w:val="1007"/>
        </w:numPr>
      </w:pPr>
      <w:r>
        <w:t xml:space="preserve">Provision expense was approximately</w:t>
      </w:r>
      <w:r>
        <w:t xml:space="preserve"> </w:t>
      </w:r>
      <w:r>
        <w:rPr>
          <w:b/>
          <w:bCs/>
        </w:rPr>
        <w:t xml:space="preserve">$1.3 billion</w:t>
      </w:r>
      <w:r>
        <w:t xml:space="preserve">.</w:t>
      </w:r>
    </w:p>
    <w:p>
      <w:pPr>
        <w:pStyle w:val="Compact"/>
        <w:numPr>
          <w:ilvl w:val="0"/>
          <w:numId w:val="1007"/>
        </w:numPr>
      </w:pPr>
      <w:r>
        <w:t xml:space="preserve">Commercial criticized exposure declined.</w:t>
      </w:r>
    </w:p>
    <w:p>
      <w:pPr>
        <w:pStyle w:val="Compact"/>
        <w:numPr>
          <w:ilvl w:val="0"/>
          <w:numId w:val="1007"/>
        </w:numPr>
      </w:pPr>
      <w:r>
        <w:t xml:space="preserve">Office-related credit continued to improve.</w:t>
      </w:r>
    </w:p>
    <w:p>
      <w:pPr>
        <w:pStyle w:val="Compact"/>
        <w:numPr>
          <w:ilvl w:val="0"/>
          <w:numId w:val="1007"/>
        </w:numPr>
      </w:pPr>
      <w:r>
        <w:t xml:space="preserve">Card delinquencies and net charge-offs were better than a year earlier.</w:t>
      </w:r>
    </w:p>
    <w:p>
      <w:pPr>
        <w:pStyle w:val="FirstParagraph"/>
      </w:pPr>
      <w:r>
        <w:t xml:space="preserve">BAC's 2Q25 comparison includes</w:t>
      </w:r>
      <w:r>
        <w:t xml:space="preserve"> </w:t>
      </w:r>
      <m:oMath>
        <m:r>
          <m:t>1.5</m:t>
        </m:r>
        <m:r>
          <m:t>b</m:t>
        </m:r>
        <m:r>
          <m:t>i</m:t>
        </m:r>
        <m:r>
          <m:t>l</m:t>
        </m:r>
        <m:r>
          <m:t>l</m:t>
        </m:r>
        <m:r>
          <m:t>i</m:t>
        </m:r>
        <m:r>
          <m:t>o</m:t>
        </m:r>
        <m:r>
          <m:t>n</m:t>
        </m:r>
        <m:r>
          <m:t>o</m:t>
        </m:r>
        <m:r>
          <m:t>f</m:t>
        </m:r>
        <m:r>
          <m:t>n</m:t>
        </m:r>
        <m:r>
          <m:t>e</m:t>
        </m:r>
        <m:r>
          <m:t>t</m:t>
        </m:r>
        <m:r>
          <m:t>c</m:t>
        </m:r>
        <m:r>
          <m:t>h</m:t>
        </m:r>
        <m:r>
          <m:t>a</m:t>
        </m:r>
        <m:r>
          <m:t>r</m:t>
        </m:r>
        <m:r>
          <m:t>g</m:t>
        </m:r>
        <m:r>
          <m:t>e</m:t>
        </m:r>
        <m:r>
          <m:rPr>
            <m:sty m:val="p"/>
          </m:rPr>
          <m:t>−</m:t>
        </m:r>
        <m:r>
          <m:t>o</m:t>
        </m:r>
        <m:r>
          <m:t>f</m:t>
        </m:r>
        <m:r>
          <m:t>f</m:t>
        </m:r>
        <m:r>
          <m:t>s</m:t>
        </m:r>
        <m:r>
          <m:rPr>
            <m:sty m:val="p"/>
          </m:rPr>
          <m:t>*</m:t>
        </m:r>
        <m:r>
          <m:rPr>
            <m:sty m:val="p"/>
          </m:rPr>
          <m:t>*</m:t>
        </m:r>
        <m:r>
          <m:rPr>
            <m:sty m:val="p"/>
          </m:rPr>
          <m:t>,</m:t>
        </m:r>
        <m:r>
          <m:t>a</m:t>
        </m:r>
        <m:r>
          <m:t>55</m:t>
        </m:r>
        <m:r>
          <m:rPr>
            <m:sty m:val="p"/>
          </m:rPr>
          <m:t>−</m:t>
        </m:r>
        <m:r>
          <m:t>b</m:t>
        </m:r>
        <m:r>
          <m:t>a</m:t>
        </m:r>
        <m:r>
          <m:t>s</m:t>
        </m:r>
        <m:r>
          <m:t>i</m:t>
        </m:r>
        <m:r>
          <m:t>s</m:t>
        </m:r>
        <m:r>
          <m:rPr>
            <m:sty m:val="p"/>
          </m:rPr>
          <m:t>−</m:t>
        </m:r>
        <m:r>
          <m:t>p</m:t>
        </m:r>
        <m:r>
          <m:t>o</m:t>
        </m:r>
        <m:r>
          <m:t>i</m:t>
        </m:r>
        <m:r>
          <m:t>n</m:t>
        </m:r>
        <m:r>
          <m:t>t</m:t>
        </m:r>
        <m:r>
          <m:t>l</m:t>
        </m:r>
        <m:r>
          <m:t>o</m:t>
        </m:r>
        <m:r>
          <m:t>s</m:t>
        </m:r>
        <m:r>
          <m:t>s</m:t>
        </m:r>
        <m:r>
          <m:t>r</m:t>
        </m:r>
        <m:r>
          <m:t>a</m:t>
        </m:r>
        <m:r>
          <m:t>t</m:t>
        </m:r>
        <m:r>
          <m:t>e</m:t>
        </m:r>
        <m:r>
          <m:t>a</m:t>
        </m:r>
        <m:r>
          <m:t>n</m:t>
        </m:r>
        <m:r>
          <m:t>d</m:t>
        </m:r>
        <m:r>
          <m:rPr>
            <m:sty m:val="p"/>
          </m:rPr>
          <m:t>*</m:t>
        </m:r>
        <m:r>
          <m:rPr>
            <m:sty m:val="p"/>
          </m:rPr>
          <m:t>*</m:t>
        </m:r>
      </m:oMath>
      <w:r>
        <w:rPr>
          <w:b/>
          <w:bCs/>
        </w:rPr>
        <w:t xml:space="preserve">1.6 billion of provision expense</w:t>
      </w:r>
      <w:r>
        <w:t xml:space="preserve">. A year-over-year improvement is therefore plausible.</w:t>
      </w:r>
    </w:p>
    <w:bookmarkStart w:id="17" w:name="what-investors-should-examine"/>
    <w:p>
      <w:pPr>
        <w:pStyle w:val="Heading3"/>
      </w:pPr>
      <w:r>
        <w:t xml:space="preserve">What investors should examine</w:t>
      </w:r>
    </w:p>
    <w:p>
      <w:pPr>
        <w:pStyle w:val="Compact"/>
        <w:numPr>
          <w:ilvl w:val="0"/>
          <w:numId w:val="1008"/>
        </w:numPr>
      </w:pPr>
      <w:r>
        <w:t xml:space="preserve">Credit-card delinquency and charge-off trends.</w:t>
      </w:r>
    </w:p>
    <w:p>
      <w:pPr>
        <w:pStyle w:val="Compact"/>
        <w:numPr>
          <w:ilvl w:val="0"/>
          <w:numId w:val="1008"/>
        </w:numPr>
      </w:pPr>
      <w:r>
        <w:t xml:space="preserve">Whether consumer loss rates continue to normalize lower.</w:t>
      </w:r>
    </w:p>
    <w:p>
      <w:pPr>
        <w:pStyle w:val="Compact"/>
        <w:numPr>
          <w:ilvl w:val="0"/>
          <w:numId w:val="1008"/>
        </w:numPr>
      </w:pPr>
      <w:r>
        <w:t xml:space="preserve">Commercial and industrial criticized balances.</w:t>
      </w:r>
    </w:p>
    <w:p>
      <w:pPr>
        <w:pStyle w:val="Compact"/>
        <w:numPr>
          <w:ilvl w:val="0"/>
          <w:numId w:val="1008"/>
        </w:numPr>
      </w:pPr>
      <w:r>
        <w:t xml:space="preserve">Office commercial real estate nonperformers and reserve releases.</w:t>
      </w:r>
    </w:p>
    <w:p>
      <w:pPr>
        <w:pStyle w:val="Compact"/>
        <w:numPr>
          <w:ilvl w:val="0"/>
          <w:numId w:val="1008"/>
        </w:numPr>
      </w:pPr>
      <w:r>
        <w:t xml:space="preserve">Reserve builds associated with loan growth.</w:t>
      </w:r>
    </w:p>
    <w:p>
      <w:pPr>
        <w:pStyle w:val="Compact"/>
        <w:numPr>
          <w:ilvl w:val="0"/>
          <w:numId w:val="1008"/>
        </w:numPr>
      </w:pPr>
      <w:r>
        <w:t xml:space="preserve">Exposure to nonbank financial institutions and private-credit structures.</w:t>
      </w:r>
    </w:p>
    <w:p>
      <w:pPr>
        <w:pStyle w:val="FirstParagraph"/>
      </w:pPr>
      <w:r>
        <w:t xml:space="preserve">BAC has argued that its comparatively low reserve ratios reflect a higher-quality loan mix, including less unsecured consumer exposure and more secured wealth lending. That case is supported by its historically low loss rates in Federal Reserve stress tests. Nevertheless, aggressive reserve releases would probably be poorly received given geopolitical, energy-price and inflation uncertainty.</w:t>
      </w:r>
    </w:p>
    <w:p>
      <w:pPr>
        <w:pStyle w:val="BodyText"/>
      </w:pPr>
      <w:r>
        <w:rPr>
          <w:b/>
          <w:bCs/>
        </w:rPr>
        <w:t xml:space="preserve">Preferred result:</w:t>
      </w:r>
      <w:r>
        <w:t xml:space="preserve"> </w:t>
      </w:r>
      <w:r>
        <w:t xml:space="preserve">Stable or lower charge-offs, continued office improvement and only modest reserve movement. Earnings quality would be strongest if the EPS beat comes from pretax, pre-provision growth rather than unusually low provisioning.</w:t>
      </w:r>
    </w:p>
    <w:p>
      <w:r>
        <w:pict>
          <v:rect style="width:0;height:1.5pt" o:hralign="center" o:hrstd="t" o:hr="t"/>
        </w:pict>
      </w:r>
    </w:p>
    <w:bookmarkEnd w:id="17"/>
    <w:bookmarkEnd w:id="18"/>
    <w:bookmarkStart w:id="19" w:name="X8dff58d0b61a93f0eb00449b7db03101749b12c"/>
    <w:p>
      <w:pPr>
        <w:pStyle w:val="Heading2"/>
      </w:pPr>
      <w:r>
        <w:t xml:space="preserve">5. Loans and deposits need to confirm that growth is durable</w:t>
      </w:r>
    </w:p>
    <w:p>
      <w:pPr>
        <w:pStyle w:val="FirstParagraph"/>
      </w:pPr>
      <w:r>
        <w:t xml:space="preserve">In 1Q26:</w:t>
      </w:r>
    </w:p>
    <w:p>
      <w:pPr>
        <w:pStyle w:val="Compact"/>
        <w:numPr>
          <w:ilvl w:val="0"/>
          <w:numId w:val="1009"/>
        </w:numPr>
      </w:pPr>
      <w:r>
        <w:t xml:space="preserve">Average loans grew nearly</w:t>
      </w:r>
      <w:r>
        <w:t xml:space="preserve"> </w:t>
      </w:r>
      <w:r>
        <w:rPr>
          <w:b/>
          <w:bCs/>
        </w:rPr>
        <w:t xml:space="preserve">9% year over year</w:t>
      </w:r>
      <w:r>
        <w:t xml:space="preserve">.</w:t>
      </w:r>
    </w:p>
    <w:p>
      <w:pPr>
        <w:pStyle w:val="Compact"/>
        <w:numPr>
          <w:ilvl w:val="0"/>
          <w:numId w:val="1009"/>
        </w:numPr>
      </w:pPr>
      <w:r>
        <w:t xml:space="preserve">Average deposits grew</w:t>
      </w:r>
      <w:r>
        <w:t xml:space="preserve"> </w:t>
      </w:r>
      <w:r>
        <w:rPr>
          <w:b/>
          <w:bCs/>
        </w:rPr>
        <w:t xml:space="preserve">3%</w:t>
      </w:r>
      <w:r>
        <w:t xml:space="preserve">.</w:t>
      </w:r>
    </w:p>
    <w:p>
      <w:pPr>
        <w:pStyle w:val="Compact"/>
        <w:numPr>
          <w:ilvl w:val="0"/>
          <w:numId w:val="1009"/>
        </w:numPr>
      </w:pPr>
      <w:r>
        <w:t xml:space="preserve">Commercial clients led deposit growth.</w:t>
      </w:r>
    </w:p>
    <w:p>
      <w:pPr>
        <w:pStyle w:val="Compact"/>
        <w:numPr>
          <w:ilvl w:val="0"/>
          <w:numId w:val="1009"/>
        </w:numPr>
      </w:pPr>
      <w:r>
        <w:t xml:space="preserve">Both interest-bearing and noninterest-bearing deposits increased.</w:t>
      </w:r>
    </w:p>
    <w:p>
      <w:pPr>
        <w:pStyle w:val="Compact"/>
        <w:numPr>
          <w:ilvl w:val="0"/>
          <w:numId w:val="1009"/>
        </w:numPr>
      </w:pPr>
      <w:r>
        <w:t xml:space="preserve">Consumer deposit balances posted a fourth consecutive quarter of year-over-year growth.</w:t>
      </w:r>
    </w:p>
    <w:p>
      <w:pPr>
        <w:pStyle w:val="FirstParagraph"/>
      </w:pPr>
      <w:r>
        <w:t xml:space="preserve">Part of the first-quarter commercial loan increase came from higher revolver utilization, estimated by management at roughly $5 billion to $10 billion. BAC characterized those draws as normal working-capital activity rather than defensive borrowing.</w:t>
      </w:r>
    </w:p>
    <w:p>
      <w:pPr>
        <w:pStyle w:val="BodyText"/>
      </w:pPr>
      <w:r>
        <w:t xml:space="preserve">For 2Q, investors should look for:</w:t>
      </w:r>
    </w:p>
    <w:p>
      <w:pPr>
        <w:pStyle w:val="Compact"/>
        <w:numPr>
          <w:ilvl w:val="0"/>
          <w:numId w:val="1010"/>
        </w:numPr>
      </w:pPr>
      <w:r>
        <w:t xml:space="preserve">Continued broad commercial loan growth.</w:t>
      </w:r>
    </w:p>
    <w:p>
      <w:pPr>
        <w:pStyle w:val="Compact"/>
        <w:numPr>
          <w:ilvl w:val="0"/>
          <w:numId w:val="1010"/>
        </w:numPr>
      </w:pPr>
      <w:r>
        <w:t xml:space="preserve">Evidence that loan pipelines are translating into funded balances.</w:t>
      </w:r>
    </w:p>
    <w:p>
      <w:pPr>
        <w:pStyle w:val="Compact"/>
        <w:numPr>
          <w:ilvl w:val="0"/>
          <w:numId w:val="1010"/>
        </w:numPr>
      </w:pPr>
      <w:r>
        <w:t xml:space="preserve">Stable underwriting standards despite competition.</w:t>
      </w:r>
    </w:p>
    <w:p>
      <w:pPr>
        <w:pStyle w:val="Compact"/>
        <w:numPr>
          <w:ilvl w:val="0"/>
          <w:numId w:val="1010"/>
        </w:numPr>
      </w:pPr>
      <w:r>
        <w:t xml:space="preserve">Sustained growth in noninterest-bearing deposits.</w:t>
      </w:r>
    </w:p>
    <w:p>
      <w:pPr>
        <w:pStyle w:val="Compact"/>
        <w:numPr>
          <w:ilvl w:val="0"/>
          <w:numId w:val="1010"/>
        </w:numPr>
      </w:pPr>
      <w:r>
        <w:t xml:space="preserve">Consumer deposit growth without materially higher deposit rates.</w:t>
      </w:r>
    </w:p>
    <w:p>
      <w:pPr>
        <w:pStyle w:val="Compact"/>
        <w:numPr>
          <w:ilvl w:val="0"/>
          <w:numId w:val="1010"/>
        </w:numPr>
      </w:pPr>
      <w:r>
        <w:t xml:space="preserve">More moderate but still positive consumer loan and card-balance growth.</w:t>
      </w:r>
    </w:p>
    <w:p>
      <w:pPr>
        <w:pStyle w:val="FirstParagraph"/>
      </w:pPr>
      <w:r>
        <w:t xml:space="preserve">Strong volume growth is valuable only if accompanied by disciplined pricing and credit selection.</w:t>
      </w:r>
    </w:p>
    <w:p>
      <w:r>
        <w:pict>
          <v:rect style="width:0;height:1.5pt" o:hralign="center" o:hrstd="t" o:hr="t"/>
        </w:pict>
      </w:r>
    </w:p>
    <w:bookmarkEnd w:id="19"/>
    <w:bookmarkStart w:id="20" w:name="X4e528973dd11a3afa67cb9a081a200675034c1a"/>
    <w:p>
      <w:pPr>
        <w:pStyle w:val="Heading2"/>
      </w:pPr>
      <w:r>
        <w:t xml:space="preserve">6. Wealth management offers an underappreciated source of fee growth</w:t>
      </w:r>
    </w:p>
    <w:p>
      <w:pPr>
        <w:pStyle w:val="FirstParagraph"/>
      </w:pPr>
      <w:r>
        <w:t xml:space="preserve">Global Wealth and Investment Management produced record first-quarter revenue of</w:t>
      </w:r>
      <w:r>
        <w:t xml:space="preserve"> </w:t>
      </w:r>
      <w:r>
        <w:rPr>
          <w:b/>
          <w:bCs/>
        </w:rPr>
        <w:t xml:space="preserve">$6.7 billion</w:t>
      </w:r>
      <w:r>
        <w:t xml:space="preserve">, with:</w:t>
      </w:r>
    </w:p>
    <w:p>
      <w:pPr>
        <w:pStyle w:val="Compact"/>
        <w:numPr>
          <w:ilvl w:val="0"/>
          <w:numId w:val="1011"/>
        </w:numPr>
      </w:pPr>
      <w:r>
        <w:t xml:space="preserve">Client balances of $4.6 trillion.</w:t>
      </w:r>
    </w:p>
    <w:p>
      <w:pPr>
        <w:pStyle w:val="Compact"/>
        <w:numPr>
          <w:ilvl w:val="0"/>
          <w:numId w:val="1011"/>
        </w:numPr>
      </w:pPr>
      <w:r>
        <w:t xml:space="preserve">$20 billion of asset-management flows.</w:t>
      </w:r>
    </w:p>
    <w:p>
      <w:pPr>
        <w:pStyle w:val="Compact"/>
        <w:numPr>
          <w:ilvl w:val="0"/>
          <w:numId w:val="1011"/>
        </w:numPr>
      </w:pPr>
      <w:r>
        <w:t xml:space="preserve">Average loans up 13% year over year.</w:t>
      </w:r>
    </w:p>
    <w:p>
      <w:pPr>
        <w:pStyle w:val="Compact"/>
        <w:numPr>
          <w:ilvl w:val="0"/>
          <w:numId w:val="1011"/>
        </w:numPr>
      </w:pPr>
      <w:r>
        <w:t xml:space="preserve">A 26% pretax margin.</w:t>
      </w:r>
    </w:p>
    <w:p>
      <w:pPr>
        <w:pStyle w:val="Compact"/>
        <w:numPr>
          <w:ilvl w:val="0"/>
          <w:numId w:val="1011"/>
        </w:numPr>
      </w:pPr>
      <w:r>
        <w:t xml:space="preserve">Net income up 32%.</w:t>
      </w:r>
    </w:p>
    <w:p>
      <w:pPr>
        <w:pStyle w:val="FirstParagraph"/>
      </w:pPr>
      <w:r>
        <w:t xml:space="preserve">Higher market levels should support asset-management fees in the second quarter. Organic flows, adviser recruiting and lending to affluent clients can provide additional upside.</w:t>
      </w:r>
    </w:p>
    <w:p>
      <w:pPr>
        <w:pStyle w:val="BodyText"/>
      </w:pPr>
      <w:r>
        <w:t xml:space="preserve">The most useful metrics will be:</w:t>
      </w:r>
    </w:p>
    <w:p>
      <w:pPr>
        <w:pStyle w:val="Compact"/>
        <w:numPr>
          <w:ilvl w:val="0"/>
          <w:numId w:val="1012"/>
        </w:numPr>
      </w:pPr>
      <w:r>
        <w:t xml:space="preserve">Net AUM flows.</w:t>
      </w:r>
    </w:p>
    <w:p>
      <w:pPr>
        <w:pStyle w:val="Compact"/>
        <w:numPr>
          <w:ilvl w:val="0"/>
          <w:numId w:val="1012"/>
        </w:numPr>
      </w:pPr>
      <w:r>
        <w:t xml:space="preserve">Total client balances.</w:t>
      </w:r>
    </w:p>
    <w:p>
      <w:pPr>
        <w:pStyle w:val="Compact"/>
        <w:numPr>
          <w:ilvl w:val="0"/>
          <w:numId w:val="1012"/>
        </w:numPr>
      </w:pPr>
      <w:r>
        <w:t xml:space="preserve">Pretax margin.</w:t>
      </w:r>
    </w:p>
    <w:p>
      <w:pPr>
        <w:pStyle w:val="Compact"/>
        <w:numPr>
          <w:ilvl w:val="0"/>
          <w:numId w:val="1012"/>
        </w:numPr>
      </w:pPr>
      <w:r>
        <w:t xml:space="preserve">Adviser retention and recruiting.</w:t>
      </w:r>
    </w:p>
    <w:p>
      <w:pPr>
        <w:pStyle w:val="Compact"/>
        <w:numPr>
          <w:ilvl w:val="0"/>
          <w:numId w:val="1012"/>
        </w:numPr>
      </w:pPr>
      <w:r>
        <w:t xml:space="preserve">Securities-based and custom-lending growth.</w:t>
      </w:r>
    </w:p>
    <w:p>
      <w:pPr>
        <w:pStyle w:val="Compact"/>
        <w:numPr>
          <w:ilvl w:val="0"/>
          <w:numId w:val="1012"/>
        </w:numPr>
      </w:pPr>
      <w:r>
        <w:t xml:space="preserve">Progress cross-selling banking products into Merrill relationships and investment products into Private Bank relationships.</w:t>
      </w:r>
    </w:p>
    <w:p>
      <w:pPr>
        <w:pStyle w:val="FirstParagraph"/>
      </w:pPr>
      <w:r>
        <w:t xml:space="preserve">Recent adviser recruiting and the bank's continued investment in wealth distribution suggest BAC is trying to improve a business that can generate attractive, capital-light returns.</w:t>
      </w:r>
    </w:p>
    <w:p>
      <w:r>
        <w:pict>
          <v:rect style="width:0;height:1.5pt" o:hralign="center" o:hrstd="t" o:hr="t"/>
        </w:pict>
      </w:r>
    </w:p>
    <w:bookmarkEnd w:id="20"/>
    <w:bookmarkStart w:id="21" w:name="Xc1b3d27b691f57851a98fed76b0492f83005545"/>
    <w:p>
      <w:pPr>
        <w:pStyle w:val="Heading2"/>
      </w:pPr>
      <w:r>
        <w:t xml:space="preserve">7. Capital return is increasingly relevant</w:t>
      </w:r>
    </w:p>
    <w:p>
      <w:pPr>
        <w:pStyle w:val="FirstParagraph"/>
      </w:pPr>
      <w:r>
        <w:t xml:space="preserve">BAC ended 1Q26 with:</w:t>
      </w:r>
    </w:p>
    <w:p>
      <w:pPr>
        <w:pStyle w:val="Compact"/>
        <w:numPr>
          <w:ilvl w:val="0"/>
          <w:numId w:val="1013"/>
        </w:numPr>
      </w:pPr>
      <w:r>
        <w:t xml:space="preserve">More than</w:t>
      </w:r>
      <w:r>
        <w:t xml:space="preserve"> </w:t>
      </w:r>
      <w:r>
        <w:rPr>
          <w:b/>
          <w:bCs/>
        </w:rPr>
        <w:t xml:space="preserve">$200 billion of CET1 capital</w:t>
      </w:r>
      <w:r>
        <w:t xml:space="preserve">.</w:t>
      </w:r>
    </w:p>
    <w:p>
      <w:pPr>
        <w:pStyle w:val="Compact"/>
        <w:numPr>
          <w:ilvl w:val="0"/>
          <w:numId w:val="1013"/>
        </w:numPr>
      </w:pPr>
      <w:r>
        <w:t xml:space="preserve">An 11.2% standardized CET1 ratio.</w:t>
      </w:r>
    </w:p>
    <w:p>
      <w:pPr>
        <w:pStyle w:val="Compact"/>
        <w:numPr>
          <w:ilvl w:val="0"/>
          <w:numId w:val="1013"/>
        </w:numPr>
      </w:pPr>
      <w:r>
        <w:t xml:space="preserve">More than $960 billion of global liquidity sources.</w:t>
      </w:r>
    </w:p>
    <w:p>
      <w:pPr>
        <w:pStyle w:val="Compact"/>
        <w:numPr>
          <w:ilvl w:val="0"/>
          <w:numId w:val="1013"/>
        </w:numPr>
      </w:pPr>
      <w:r>
        <w:t xml:space="preserve">$7.2 billion of common-share repurchases during the quarter.</w:t>
      </w:r>
    </w:p>
    <w:p>
      <w:pPr>
        <w:pStyle w:val="Compact"/>
        <w:numPr>
          <w:ilvl w:val="0"/>
          <w:numId w:val="1013"/>
        </w:numPr>
      </w:pPr>
      <w:r>
        <w:t xml:space="preserve">$2.0 billion of common dividends.</w:t>
      </w:r>
    </w:p>
    <w:p>
      <w:pPr>
        <w:pStyle w:val="FirstParagraph"/>
      </w:pPr>
      <w:r>
        <w:t xml:space="preserve">Management has indicated that it ultimately wants to operate with a capital buffer of roughly</w:t>
      </w:r>
      <w:r>
        <w:t xml:space="preserve"> </w:t>
      </w:r>
      <w:r>
        <w:rPr>
          <w:b/>
          <w:bCs/>
        </w:rPr>
        <w:t xml:space="preserve">50 basis points above its regulatory minimum</w:t>
      </w:r>
      <w:r>
        <w:t xml:space="preserve">, subject to final capital rules. Increased regulatory clarity has already allowed BAC to deploy more capital into client activity and share repurchases.</w:t>
      </w:r>
    </w:p>
    <w:p>
      <w:pPr>
        <w:pStyle w:val="BodyText"/>
      </w:pPr>
      <w:r>
        <w:t xml:space="preserve">Investors should listen for:</w:t>
      </w:r>
    </w:p>
    <w:p>
      <w:pPr>
        <w:pStyle w:val="Compact"/>
        <w:numPr>
          <w:ilvl w:val="0"/>
          <w:numId w:val="1014"/>
        </w:numPr>
      </w:pPr>
      <w:r>
        <w:t xml:space="preserve">The updated regulatory capital requirement.</w:t>
      </w:r>
    </w:p>
    <w:p>
      <w:pPr>
        <w:pStyle w:val="Compact"/>
        <w:numPr>
          <w:ilvl w:val="0"/>
          <w:numId w:val="1014"/>
        </w:numPr>
      </w:pPr>
      <w:r>
        <w:t xml:space="preserve">The planned quarterly dividend.</w:t>
      </w:r>
    </w:p>
    <w:p>
      <w:pPr>
        <w:pStyle w:val="Compact"/>
        <w:numPr>
          <w:ilvl w:val="0"/>
          <w:numId w:val="1014"/>
        </w:numPr>
      </w:pPr>
      <w:r>
        <w:t xml:space="preserve">Expected repurchase pace.</w:t>
      </w:r>
    </w:p>
    <w:p>
      <w:pPr>
        <w:pStyle w:val="Compact"/>
        <w:numPr>
          <w:ilvl w:val="0"/>
          <w:numId w:val="1014"/>
        </w:numPr>
      </w:pPr>
      <w:r>
        <w:t xml:space="preserve">The balance between buybacks and funding growth in Global Markets and commercial lending.</w:t>
      </w:r>
    </w:p>
    <w:p>
      <w:pPr>
        <w:pStyle w:val="Compact"/>
        <w:numPr>
          <w:ilvl w:val="0"/>
          <w:numId w:val="1014"/>
        </w:numPr>
      </w:pPr>
      <w:r>
        <w:t xml:space="preserve">The expected benefit from potential revisions to the G-SIB surcharge framework.</w:t>
      </w:r>
    </w:p>
    <w:p>
      <w:pPr>
        <w:pStyle w:val="FirstParagraph"/>
      </w:pPr>
      <w:r>
        <w:t xml:space="preserve">Capital return remains a material EPS driver because BAC has steadily reduced its share count. But at a higher stock price, investors may place more emphasis on tangible book value growth and underlying returns than on the absolute dollar amount of repurchases.</w:t>
      </w:r>
    </w:p>
    <w:p>
      <w:r>
        <w:pict>
          <v:rect style="width:0;height:1.5pt" o:hralign="center" o:hrstd="t" o:hr="t"/>
        </w:pict>
      </w:r>
    </w:p>
    <w:bookmarkEnd w:id="21"/>
    <w:bookmarkStart w:id="24" w:name="stock-setup-and-reaction-function"/>
    <w:p>
      <w:pPr>
        <w:pStyle w:val="Heading2"/>
      </w:pPr>
      <w:r>
        <w:t xml:space="preserve">Stock setup and reaction function</w:t>
      </w:r>
    </w:p>
    <w:p>
      <w:pPr>
        <w:pStyle w:val="FirstParagraph"/>
      </w:pPr>
      <w:r>
        <w:t xml:space="preserve">BAC closed July 13 at</w:t>
      </w:r>
      <w:r>
        <w:t xml:space="preserve"> </w:t>
      </w:r>
      <w:r>
        <w:rPr>
          <w:b/>
          <w:bCs/>
        </w:rPr>
        <w:t xml:space="preserve">$59.52</w:t>
      </w:r>
      <w:r>
        <w:t xml:space="preserve">, up approximately 6% from the beginning of 2026 and roughly 10% since its first-quarter report. The shares also recently reached a record high.</w:t>
      </w:r>
    </w:p>
    <w:p>
      <w:pPr>
        <w:pStyle w:val="BodyText"/>
      </w:pPr>
      <w:r>
        <w:t xml:space="preserve">The setup is therefore positive but demanding:</w:t>
      </w:r>
    </w:p>
    <w:p>
      <w:pPr>
        <w:pStyle w:val="Compact"/>
        <w:numPr>
          <w:ilvl w:val="0"/>
          <w:numId w:val="1015"/>
        </w:numPr>
      </w:pPr>
      <w:r>
        <w:t xml:space="preserve">Management has already telegraphed strong markets revenue and operating leverage.</w:t>
      </w:r>
    </w:p>
    <w:p>
      <w:pPr>
        <w:pStyle w:val="Compact"/>
        <w:numPr>
          <w:ilvl w:val="0"/>
          <w:numId w:val="1015"/>
        </w:numPr>
      </w:pPr>
      <w:r>
        <w:t xml:space="preserve">Consensus expects approximately 26% EPS growth.</w:t>
      </w:r>
    </w:p>
    <w:p>
      <w:pPr>
        <w:pStyle w:val="Compact"/>
        <w:numPr>
          <w:ilvl w:val="0"/>
          <w:numId w:val="1015"/>
        </w:numPr>
      </w:pPr>
      <w:r>
        <w:t xml:space="preserve">The rate environment is supportive of NII.</w:t>
      </w:r>
    </w:p>
    <w:p>
      <w:pPr>
        <w:pStyle w:val="Compact"/>
        <w:numPr>
          <w:ilvl w:val="0"/>
          <w:numId w:val="1015"/>
        </w:numPr>
      </w:pPr>
      <w:r>
        <w:t xml:space="preserve">Credit expectations remain benign.</w:t>
      </w:r>
    </w:p>
    <w:p>
      <w:pPr>
        <w:pStyle w:val="Compact"/>
        <w:numPr>
          <w:ilvl w:val="0"/>
          <w:numId w:val="1015"/>
        </w:numPr>
      </w:pPr>
      <w:r>
        <w:t xml:space="preserve">The stock's recent rally reduces the value of simply meeting numbers that were substantially previewed.</w:t>
      </w:r>
    </w:p>
    <w:bookmarkStart w:id="22" w:name="likely-positive-reaction"/>
    <w:p>
      <w:pPr>
        <w:pStyle w:val="Heading3"/>
      </w:pPr>
      <w:r>
        <w:t xml:space="preserve">Likely positive reaction</w:t>
      </w:r>
    </w:p>
    <w:p>
      <w:pPr>
        <w:pStyle w:val="FirstParagraph"/>
      </w:pPr>
      <w:r>
        <w:t xml:space="preserve">A constructive report would probably include most of the following:</w:t>
      </w:r>
    </w:p>
    <w:p>
      <w:pPr>
        <w:pStyle w:val="Compact"/>
        <w:numPr>
          <w:ilvl w:val="0"/>
          <w:numId w:val="1016"/>
        </w:numPr>
      </w:pPr>
      <w:r>
        <w:t xml:space="preserve">EPS clearly above $1.12 on high-quality revenue.</w:t>
      </w:r>
    </w:p>
    <w:p>
      <w:pPr>
        <w:pStyle w:val="Compact"/>
        <w:numPr>
          <w:ilvl w:val="0"/>
          <w:numId w:val="1016"/>
        </w:numPr>
      </w:pPr>
      <w:r>
        <w:t xml:space="preserve">NII above $16.1 billion.</w:t>
      </w:r>
    </w:p>
    <w:p>
      <w:pPr>
        <w:pStyle w:val="Compact"/>
        <w:numPr>
          <w:ilvl w:val="0"/>
          <w:numId w:val="1016"/>
        </w:numPr>
      </w:pPr>
      <w:r>
        <w:t xml:space="preserve">An upward revision—or very confident top-end framing—to full-year NII guidance.</w:t>
      </w:r>
    </w:p>
    <w:p>
      <w:pPr>
        <w:pStyle w:val="Compact"/>
        <w:numPr>
          <w:ilvl w:val="0"/>
          <w:numId w:val="1016"/>
        </w:numPr>
      </w:pPr>
      <w:r>
        <w:t xml:space="preserve">Trading growth better than the prior 15% indication.</w:t>
      </w:r>
    </w:p>
    <w:p>
      <w:pPr>
        <w:pStyle w:val="Compact"/>
        <w:numPr>
          <w:ilvl w:val="0"/>
          <w:numId w:val="1016"/>
        </w:numPr>
      </w:pPr>
      <w:r>
        <w:t xml:space="preserve">Investment-banking fees at or above $1.8 billion.</w:t>
      </w:r>
    </w:p>
    <w:p>
      <w:pPr>
        <w:pStyle w:val="Compact"/>
        <w:numPr>
          <w:ilvl w:val="0"/>
          <w:numId w:val="1016"/>
        </w:numPr>
      </w:pPr>
      <w:r>
        <w:t xml:space="preserve">More than 400 basis points of positive operating leverage.</w:t>
      </w:r>
    </w:p>
    <w:p>
      <w:pPr>
        <w:pStyle w:val="Compact"/>
        <w:numPr>
          <w:ilvl w:val="0"/>
          <w:numId w:val="1016"/>
        </w:numPr>
      </w:pPr>
      <w:r>
        <w:t xml:space="preserve">Stable credit and no meaningful reserve concern.</w:t>
      </w:r>
    </w:p>
    <w:p>
      <w:pPr>
        <w:pStyle w:val="Compact"/>
        <w:numPr>
          <w:ilvl w:val="0"/>
          <w:numId w:val="1016"/>
        </w:numPr>
      </w:pPr>
      <w:r>
        <w:t xml:space="preserve">Strong capital return with continued tangible book value growth.</w:t>
      </w:r>
    </w:p>
    <w:bookmarkEnd w:id="22"/>
    <w:bookmarkStart w:id="23" w:name="likely-negative-reaction"/>
    <w:p>
      <w:pPr>
        <w:pStyle w:val="Heading3"/>
      </w:pPr>
      <w:r>
        <w:t xml:space="preserve">Likely negative reaction</w:t>
      </w:r>
    </w:p>
    <w:p>
      <w:pPr>
        <w:pStyle w:val="FirstParagraph"/>
      </w:pPr>
      <w:r>
        <w:t xml:space="preserve">The shares could weaken even on an EPS beat if:</w:t>
      </w:r>
    </w:p>
    <w:p>
      <w:pPr>
        <w:pStyle w:val="Compact"/>
        <w:numPr>
          <w:ilvl w:val="0"/>
          <w:numId w:val="1017"/>
        </w:numPr>
      </w:pPr>
      <w:r>
        <w:t xml:space="preserve">NII misses or management leaves conservative second-half commentary.</w:t>
      </w:r>
    </w:p>
    <w:p>
      <w:pPr>
        <w:pStyle w:val="Compact"/>
        <w:numPr>
          <w:ilvl w:val="0"/>
          <w:numId w:val="1017"/>
        </w:numPr>
      </w:pPr>
      <w:r>
        <w:t xml:space="preserve">Deposit costs increase unexpectedly.</w:t>
      </w:r>
    </w:p>
    <w:p>
      <w:pPr>
        <w:pStyle w:val="Compact"/>
        <w:numPr>
          <w:ilvl w:val="0"/>
          <w:numId w:val="1017"/>
        </w:numPr>
      </w:pPr>
      <w:r>
        <w:t xml:space="preserve">Trading meets the preview but guidance suggests difficult comparisons ahead.</w:t>
      </w:r>
    </w:p>
    <w:p>
      <w:pPr>
        <w:pStyle w:val="Compact"/>
        <w:numPr>
          <w:ilvl w:val="0"/>
          <w:numId w:val="1017"/>
        </w:numPr>
      </w:pPr>
      <w:r>
        <w:t xml:space="preserve">Expenses absorb too much of the revenue upside.</w:t>
      </w:r>
    </w:p>
    <w:p>
      <w:pPr>
        <w:pStyle w:val="Compact"/>
        <w:numPr>
          <w:ilvl w:val="0"/>
          <w:numId w:val="1017"/>
        </w:numPr>
      </w:pPr>
      <w:r>
        <w:t xml:space="preserve">Loan growth slows materially.</w:t>
      </w:r>
    </w:p>
    <w:p>
      <w:pPr>
        <w:pStyle w:val="Compact"/>
        <w:numPr>
          <w:ilvl w:val="0"/>
          <w:numId w:val="1017"/>
        </w:numPr>
      </w:pPr>
      <w:r>
        <w:t xml:space="preserve">Credit-card or commercial losses turn higher.</w:t>
      </w:r>
    </w:p>
    <w:p>
      <w:pPr>
        <w:pStyle w:val="Compact"/>
        <w:numPr>
          <w:ilvl w:val="0"/>
          <w:numId w:val="1017"/>
        </w:numPr>
      </w:pPr>
      <w:r>
        <w:t xml:space="preserve">Management builds reserves because of a weaker macro outlook.</w:t>
      </w:r>
    </w:p>
    <w:p>
      <w:pPr>
        <w:pStyle w:val="Compact"/>
        <w:numPr>
          <w:ilvl w:val="0"/>
          <w:numId w:val="1017"/>
        </w:numPr>
      </w:pPr>
      <w:r>
        <w:t xml:space="preserve">Capital requirements or risk-weighted assets constrain future buybacks.</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BAC should report a strong second quarter, with unusually broad support from net interest income, trading, investment banking and wealth management. Credit is unlikely to be the central problem, and management has set expectations for excellent operating leverage.</w:t>
      </w:r>
    </w:p>
    <w:p>
      <w:pPr>
        <w:pStyle w:val="BodyText"/>
      </w:pPr>
      <w:r>
        <w:t xml:space="preserve">The risk is that</w:t>
      </w:r>
      <w:r>
        <w:t xml:space="preserve"> </w:t>
      </w:r>
      <w:r>
        <w:rPr>
          <w:b/>
          <w:bCs/>
        </w:rPr>
        <w:t xml:space="preserve">the good quarter is already largely known</w:t>
      </w:r>
      <w:r>
        <w:t xml:space="preserve">. The most important information will be the forward view: whether BAC can sustain roughly 9% NII growth, preserve deposit-cost discipline, maintain strong capital-markets activity and convert revenue growth into a durable mid-teens-or-better ROTCE.</w:t>
      </w:r>
    </w:p>
    <w:p>
      <w:pPr>
        <w:pStyle w:val="BodyText"/>
      </w:pPr>
      <w:r>
        <w:rPr>
          <w:b/>
          <w:bCs/>
        </w:rPr>
        <w:t xml:space="preserve">The cleanest bullish signal would be an NII guidance increase accompanied by more than 400 basis points of operating leverage and stable credit.</w:t>
      </w:r>
      <w:r>
        <w:t xml:space="preserve"> </w:t>
      </w:r>
      <w:r>
        <w:t xml:space="preserve">Conversely, an in-line quarter with unchanged guidance may feel underwhelming after the stock's recent run, even if the reported EPS figure looks strong in isolation.</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2026-07-14T01:20:52Z</dcterms:created>
  <dcterms:modified xsi:type="dcterms:W3CDTF">2026-07-14T01:20:52Z</dcterms:modified>
</cp:coreProperties>
</file>

<file path=docProps/custom.xml><?xml version="1.0" encoding="utf-8"?>
<Properties xmlns="http://schemas.openxmlformats.org/officeDocument/2006/custom-properties" xmlns:vt="http://schemas.openxmlformats.org/officeDocument/2006/docPropsVTypes"/>
</file>