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c-earnings-predictions--2026-07-14"/>
    <w:p>
      <w:pPr>
        <w:pStyle w:val="Heading1"/>
      </w:pPr>
      <w:r>
        <w:t xml:space="preserve">BAC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~$1.17 vs. cons $1.13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FTE 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~$16.3B vs. cons $16.1B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 and trading revenue ex-DVA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~$6.8B vs. cons $6.6B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positive operating leverage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~250 bps vs. cons 225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~20.5% vs. cons 20.5%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The reported beat is driven by ~</w:t>
            </w:r>
            <m:oMath>
              <m:r>
                <m:t>0.04</m:t>
              </m:r>
              <m:r>
                <m:t>o</m:t>
              </m:r>
              <m:r>
                <m:t>f</m:t>
              </m:r>
              <m:r>
                <m:t>E</m:t>
              </m:r>
              <m:r>
                <m:t>P</m:t>
              </m:r>
              <m:r>
                <m:t>S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0.2B of NII upside, but retained ~7.0% FY2026 NII growth guidance versus ~7.0% consensus leaves little reason to lift FY2027 estimates. With the stock already priced for durable operating leverage, initial strength should fade as investors focus on unchanged out-period NII and funding-cost assumptions.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2026-07-14T01:20:11Z</dcterms:created>
  <dcterms:modified xsi:type="dcterms:W3CDTF">2026-07-14T01:20:11Z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