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Bank of America Corporation (BAC)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Bank of America Corporation</w:t>
            </w:r>
          </w:p>
        </w:tc>
        <w:tc>
          <w:tcPr>
            <w:tcW w:type="dxa" w:w="2160"/>
          </w:tcPr>
          <w:p>
            <w:r>
              <w:rPr>
                <w:rFonts w:ascii="Calibri" w:hAnsi="Calibri"/>
                <w:b/>
                <w:sz w:val="22"/>
              </w:rPr>
              <w:t>Ticker</w:t>
            </w:r>
          </w:p>
        </w:tc>
        <w:tc>
          <w:tcPr>
            <w:tcW w:type="dxa" w:w="2160"/>
          </w:tcPr>
          <w:p>
            <w:r>
              <w:rPr>
                <w:rFonts w:ascii="Calibri" w:hAnsi="Calibri"/>
                <w:sz w:val="22"/>
              </w:rPr>
              <w:t>BAC</w:t>
            </w:r>
          </w:p>
        </w:tc>
      </w:tr>
      <w:tr>
        <w:tc>
          <w:tcPr>
            <w:tcW w:type="dxa" w:w="2160"/>
          </w:tcPr>
          <w:p>
            <w:r>
              <w:rPr>
                <w:rFonts w:ascii="Calibri" w:hAnsi="Calibri"/>
                <w:b/>
                <w:sz w:val="22"/>
              </w:rPr>
              <w:t>Expected Earnings Date</w:t>
            </w:r>
          </w:p>
        </w:tc>
        <w:tc>
          <w:tcPr>
            <w:tcW w:type="dxa" w:w="2160"/>
          </w:tcPr>
          <w:p>
            <w:r>
              <w:rPr>
                <w:rFonts w:ascii="Calibri" w:hAnsi="Calibri"/>
                <w:sz w:val="22"/>
              </w:rPr>
              <w:t>July 15, 2026 (Pre-Market)</w:t>
            </w:r>
          </w:p>
        </w:tc>
        <w:tc>
          <w:tcPr>
            <w:tcW w:type="dxa" w:w="2160"/>
          </w:tcPr>
          <w:p>
            <w:r>
              <w:rPr>
                <w:rFonts w:ascii="Calibri" w:hAnsi="Calibri"/>
                <w:b/>
                <w:sz w:val="22"/>
              </w:rPr>
              <w:t>Reporting Period</w:t>
            </w:r>
          </w:p>
        </w:tc>
        <w:tc>
          <w:tcPr>
            <w:tcW w:type="dxa" w:w="2160"/>
          </w:tcPr>
          <w:p>
            <w:r>
              <w:rPr>
                <w:rFonts w:ascii="Calibri" w:hAnsi="Calibri"/>
                <w:sz w:val="22"/>
              </w:rPr>
              <w:t>Q2 2026 (2QFY-2026)</w:t>
            </w:r>
          </w:p>
        </w:tc>
      </w:tr>
      <w:tr>
        <w:tc>
          <w:tcPr>
            <w:tcW w:type="dxa" w:w="2160"/>
          </w:tcPr>
          <w:p>
            <w:r>
              <w:rPr>
                <w:rFonts w:ascii="Calibri" w:hAnsi="Calibri"/>
                <w:b/>
                <w:sz w:val="22"/>
              </w:rPr>
              <w:t>Prepared Date</w:t>
            </w:r>
          </w:p>
        </w:tc>
        <w:tc>
          <w:tcPr>
            <w:tcW w:type="dxa" w:w="2160"/>
          </w:tcPr>
          <w:p>
            <w:r>
              <w:rPr>
                <w:rFonts w:ascii="Calibri" w:hAnsi="Calibri"/>
                <w:sz w:val="22"/>
              </w:rPr>
              <w:t>July 13, 2026</w:t>
            </w:r>
          </w:p>
        </w:tc>
        <w:tc>
          <w:tcPr>
            <w:tcW w:type="dxa" w:w="2160"/>
          </w:tcPr>
          <w:p>
            <w:r>
              <w:rPr>
                <w:rFonts w:ascii="Calibri" w:hAnsi="Calibri"/>
                <w:b/>
                <w:sz w:val="22"/>
              </w:rPr>
              <w:t>Sector</w:t>
            </w:r>
          </w:p>
        </w:tc>
        <w:tc>
          <w:tcPr>
            <w:tcW w:type="dxa" w:w="2160"/>
          </w:tcPr>
          <w:p>
            <w:r>
              <w:rPr>
                <w:rFonts w:ascii="Calibri" w:hAnsi="Calibri"/>
                <w:sz w:val="22"/>
              </w:rPr>
              <w:t>Financials — Large-Cap Bank</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management has already pre-guided Q2 operating leverage above 400 bps at the June 9 Morgan Stanley conference, well above the full-year 200–300 bps target, and the consensus NII estimate of ~$16.0B sits comfortably within the raised full-year guidance range, leaving room for another positive surprise.</w:t>
      </w:r>
    </w:p>
    <w:p>
      <w:r>
        <w:rPr>
          <w:rFonts w:ascii="Calibri" w:hAnsi="Calibri"/>
          <w:b/>
          <w:color w:val="525866"/>
          <w:sz w:val="22"/>
        </w:rPr>
        <w:t xml:space="preserve">Heading into Q2 2026 earnings, Bank of America presents one of the clearest beat setups in large-cap banking. </w:t>
      </w:r>
      <w:r>
        <w:rPr>
          <w:rFonts w:ascii="Calibri" w:hAnsi="Calibri"/>
          <w:color w:val="525866"/>
          <w:sz w:val="22"/>
        </w:rPr>
        <w:t>The bar is not particularly high: consensus Operating EPS of $1.13 implies only modest sequential growth from Q1's $1.11 print, yet management has already telegraphed that Q2 operating leverage will exceed 400 basis points — a meaningful step-up from Q1's 290 bps and well above the full-year 200–300 bps target range. NII consensus of ~$16.0B is squarely within the raised 6–8% full-year growth guidance, and management confirmed at the June 9 Morgan Stanley U.S. Financials Conference that NII is tracking on plan. Trading is the most visible upside driver: Co-President Jim DeMare guided markets revenue to come in better than the mid-teens year-over-year growth cited at the May Bernstein conference, with equities and APAC as the primary engines, while investment banking fees are tracking consistent with Q1's $1.84B. The key wildcard is credit quality — net charge-offs have been trending below consensus for four consecutive quarters, and any further improvement in the NCO ratio (consensus: ~47.9 bps) would provide additional EPS cushion; conversely, any deterioration in consumer credit tied to employment softness would be the primary downside risk. The stock has rallied ~+10% since Q1 earnings and trades at roughly 12.5x forward earnings, pricing in continued execution but not yet a re-rating — leaving room for further multiple expansion if ROTCE continues its trajectory toward the upper end of the medium-term target range.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manageable bar on NII (~$16.0B) and Operating EPS (~$1.13), both within management’s raised guidance range; the bigger swing factor is trading revenue, where management has guided above the mid-teens YoY growth level, implying upside to the ~$6.3B consensus estimate.</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Interest Income (NII)</w:t>
            </w:r>
          </w:p>
        </w:tc>
        <w:tc>
          <w:tcPr>
            <w:tcW w:type="dxa" w:w="1234"/>
          </w:tcPr>
          <w:p>
            <w:r>
              <w:rPr>
                <w:rFonts w:ascii="Calibri" w:hAnsi="Calibri"/>
                <w:sz w:val="22"/>
              </w:rPr>
              <w:t>$15.745B</w:t>
            </w:r>
          </w:p>
        </w:tc>
        <w:tc>
          <w:tcPr>
            <w:tcW w:type="dxa" w:w="1234"/>
          </w:tcPr>
          <w:p>
            <w:r>
              <w:rPr>
                <w:rFonts w:ascii="Calibri" w:hAnsi="Calibri"/>
                <w:sz w:val="22"/>
              </w:rPr>
              <w:t>$14.670B</w:t>
            </w:r>
          </w:p>
        </w:tc>
        <w:tc>
          <w:tcPr>
            <w:tcW w:type="dxa" w:w="1234"/>
          </w:tcPr>
          <w:p>
            <w:r>
              <w:rPr>
                <w:rFonts w:ascii="Calibri" w:hAnsi="Calibri"/>
                <w:sz w:val="22"/>
              </w:rPr>
              <w:t>$16.033B</w:t>
            </w:r>
          </w:p>
        </w:tc>
        <w:tc>
          <w:tcPr>
            <w:tcW w:type="dxa" w:w="1234"/>
          </w:tcPr>
          <w:p>
            <w:r>
              <w:rPr>
                <w:rFonts w:ascii="Calibri" w:hAnsi="Calibri"/>
                <w:b/>
                <w:color w:val="30A46C"/>
                <w:sz w:val="22"/>
              </w:rPr>
              <w:t>+9.3% YoY</w:t>
            </w:r>
          </w:p>
        </w:tc>
        <w:tc>
          <w:tcPr>
            <w:tcW w:type="dxa" w:w="1234"/>
          </w:tcPr>
          <w:p>
            <w:r>
              <w:rPr>
                <w:rFonts w:ascii="Calibri" w:hAnsi="Calibri"/>
                <w:sz w:val="22"/>
              </w:rPr>
              <w:t>FY2026 up 6–8% vs. FY2025 (raised at Q1)</w:t>
            </w:r>
          </w:p>
        </w:tc>
        <w:tc>
          <w:tcPr>
            <w:tcW w:type="dxa" w:w="1234"/>
          </w:tcPr>
          <w:p>
            <w:r>
              <w:rPr>
                <w:rFonts w:ascii="Calibri" w:hAnsi="Calibri"/>
                <w:sz w:val="22"/>
              </w:rPr>
              <w:t>Within range</w:t>
            </w:r>
          </w:p>
        </w:tc>
      </w:tr>
      <w:tr>
        <w:tc>
          <w:tcPr>
            <w:tcW w:type="dxa" w:w="1234"/>
          </w:tcPr>
          <w:p>
            <w:r>
              <w:rPr>
                <w:rFonts w:ascii="Calibri" w:hAnsi="Calibri"/>
                <w:sz w:val="22"/>
              </w:rPr>
              <w:t>Operating EPS (Diluted)</w:t>
            </w:r>
          </w:p>
        </w:tc>
        <w:tc>
          <w:tcPr>
            <w:tcW w:type="dxa" w:w="1234"/>
          </w:tcPr>
          <w:p>
            <w:r>
              <w:rPr>
                <w:rFonts w:ascii="Calibri" w:hAnsi="Calibri"/>
                <w:sz w:val="22"/>
              </w:rPr>
              <w:t>$1.11</w:t>
            </w:r>
          </w:p>
        </w:tc>
        <w:tc>
          <w:tcPr>
            <w:tcW w:type="dxa" w:w="1234"/>
          </w:tcPr>
          <w:p>
            <w:r>
              <w:rPr>
                <w:rFonts w:ascii="Calibri" w:hAnsi="Calibri"/>
                <w:sz w:val="22"/>
              </w:rPr>
              <w:t>$0.90</w:t>
            </w:r>
          </w:p>
        </w:tc>
        <w:tc>
          <w:tcPr>
            <w:tcW w:type="dxa" w:w="1234"/>
          </w:tcPr>
          <w:p>
            <w:r>
              <w:rPr>
                <w:rFonts w:ascii="Calibri" w:hAnsi="Calibri"/>
                <w:sz w:val="22"/>
              </w:rPr>
              <w:t>$1.13</w:t>
            </w:r>
          </w:p>
        </w:tc>
        <w:tc>
          <w:tcPr>
            <w:tcW w:type="dxa" w:w="1234"/>
          </w:tcPr>
          <w:p>
            <w:r>
              <w:rPr>
                <w:rFonts w:ascii="Calibri" w:hAnsi="Calibri"/>
                <w:b/>
                <w:color w:val="30A46C"/>
                <w:sz w:val="22"/>
              </w:rPr>
              <w:t>+25.6% YoY</w:t>
            </w:r>
          </w:p>
        </w:tc>
        <w:tc>
          <w:tcPr>
            <w:tcW w:type="dxa" w:w="1234"/>
          </w:tcPr>
          <w:p>
            <w:r>
              <w:rPr>
                <w:rFonts w:ascii="Calibri" w:hAnsi="Calibri"/>
                <w:sz w:val="22"/>
              </w:rPr>
              <w:t>No explicit quarterly EPS guidance</w:t>
            </w:r>
          </w:p>
        </w:tc>
        <w:tc>
          <w:tcPr>
            <w:tcW w:type="dxa" w:w="1234"/>
          </w:tcPr>
          <w:p>
            <w:r>
              <w:rPr>
                <w:rFonts w:ascii="Calibri" w:hAnsi="Calibri"/>
                <w:sz w:val="22"/>
              </w:rPr>
              <w:t>N/A</w:t>
            </w:r>
          </w:p>
        </w:tc>
      </w:tr>
      <w:tr>
        <w:tc>
          <w:tcPr>
            <w:tcW w:type="dxa" w:w="1234"/>
          </w:tcPr>
          <w:p>
            <w:r>
              <w:rPr>
                <w:rFonts w:ascii="Calibri" w:hAnsi="Calibri"/>
                <w:sz w:val="22"/>
              </w:rPr>
              <w:t>Total Revenue (Net of Interest Expense)</w:t>
            </w:r>
          </w:p>
        </w:tc>
        <w:tc>
          <w:tcPr>
            <w:tcW w:type="dxa" w:w="1234"/>
          </w:tcPr>
          <w:p>
            <w:r>
              <w:rPr>
                <w:rFonts w:ascii="Calibri" w:hAnsi="Calibri"/>
                <w:sz w:val="22"/>
              </w:rPr>
              <w:t>$30.272B</w:t>
            </w:r>
          </w:p>
        </w:tc>
        <w:tc>
          <w:tcPr>
            <w:tcW w:type="dxa" w:w="1234"/>
          </w:tcPr>
          <w:p>
            <w:r>
              <w:rPr>
                <w:rFonts w:ascii="Calibri" w:hAnsi="Calibri"/>
                <w:sz w:val="22"/>
              </w:rPr>
              <w:t>$27.443B</w:t>
            </w:r>
          </w:p>
        </w:tc>
        <w:tc>
          <w:tcPr>
            <w:tcW w:type="dxa" w:w="1234"/>
          </w:tcPr>
          <w:p>
            <w:r>
              <w:rPr>
                <w:rFonts w:ascii="Calibri" w:hAnsi="Calibri"/>
                <w:sz w:val="22"/>
              </w:rPr>
              <w:t>$30.603B</w:t>
            </w:r>
          </w:p>
        </w:tc>
        <w:tc>
          <w:tcPr>
            <w:tcW w:type="dxa" w:w="1234"/>
          </w:tcPr>
          <w:p>
            <w:r>
              <w:rPr>
                <w:rFonts w:ascii="Calibri" w:hAnsi="Calibri"/>
                <w:b/>
                <w:color w:val="30A46C"/>
                <w:sz w:val="22"/>
              </w:rPr>
              <w:t>+11.5% YoY</w:t>
            </w:r>
          </w:p>
        </w:tc>
        <w:tc>
          <w:tcPr>
            <w:tcW w:type="dxa" w:w="1234"/>
          </w:tcPr>
          <w:p>
            <w:r>
              <w:rPr>
                <w:rFonts w:ascii="Calibri" w:hAnsi="Calibri"/>
                <w:sz w:val="22"/>
              </w:rPr>
              <w:t>No explicit quarterly revenue guidance</w:t>
            </w:r>
          </w:p>
        </w:tc>
        <w:tc>
          <w:tcPr>
            <w:tcW w:type="dxa" w:w="1234"/>
          </w:tcPr>
          <w:p>
            <w:r>
              <w:rPr>
                <w:rFonts w:ascii="Calibri" w:hAnsi="Calibri"/>
                <w:sz w:val="22"/>
              </w:rPr>
              <w:t>N/A</w:t>
            </w:r>
          </w:p>
        </w:tc>
      </w:tr>
      <w:tr>
        <w:tc>
          <w:tcPr>
            <w:tcW w:type="dxa" w:w="1234"/>
          </w:tcPr>
          <w:p>
            <w:r>
              <w:rPr>
                <w:rFonts w:ascii="Calibri" w:hAnsi="Calibri"/>
                <w:sz w:val="22"/>
              </w:rPr>
              <w:t>Total Noninterest Expense (Operating)</w:t>
            </w:r>
          </w:p>
        </w:tc>
        <w:tc>
          <w:tcPr>
            <w:tcW w:type="dxa" w:w="1234"/>
          </w:tcPr>
          <w:p>
            <w:r>
              <w:rPr>
                <w:rFonts w:ascii="Calibri" w:hAnsi="Calibri"/>
                <w:sz w:val="22"/>
              </w:rPr>
              <w:t>$18.531B</w:t>
            </w:r>
          </w:p>
        </w:tc>
        <w:tc>
          <w:tcPr>
            <w:tcW w:type="dxa" w:w="1234"/>
          </w:tcPr>
          <w:p>
            <w:r>
              <w:rPr>
                <w:rFonts w:ascii="Calibri" w:hAnsi="Calibri"/>
                <w:sz w:val="22"/>
              </w:rPr>
              <w:t>$17.183B</w:t>
            </w:r>
          </w:p>
        </w:tc>
        <w:tc>
          <w:tcPr>
            <w:tcW w:type="dxa" w:w="1234"/>
          </w:tcPr>
          <w:p>
            <w:r>
              <w:rPr>
                <w:rFonts w:ascii="Calibri" w:hAnsi="Calibri"/>
                <w:sz w:val="22"/>
              </w:rPr>
              <w:t>$18.424B</w:t>
            </w:r>
          </w:p>
        </w:tc>
        <w:tc>
          <w:tcPr>
            <w:tcW w:type="dxa" w:w="1234"/>
          </w:tcPr>
          <w:p>
            <w:r>
              <w:rPr>
                <w:rFonts w:ascii="Calibri" w:hAnsi="Calibri"/>
                <w:sz w:val="22"/>
              </w:rPr>
              <w:t>+7.2% YoY</w:t>
            </w:r>
          </w:p>
        </w:tc>
        <w:tc>
          <w:tcPr>
            <w:tcW w:type="dxa" w:w="1234"/>
          </w:tcPr>
          <w:p>
            <w:r>
              <w:rPr>
                <w:rFonts w:ascii="Calibri" w:hAnsi="Calibri"/>
                <w:sz w:val="22"/>
              </w:rPr>
              <w:t>Operating leverage &gt;200 bps FY2026; Q2 guided &gt;400 bps</w:t>
            </w:r>
          </w:p>
        </w:tc>
        <w:tc>
          <w:tcPr>
            <w:tcW w:type="dxa" w:w="1234"/>
          </w:tcPr>
          <w:p>
            <w:r>
              <w:rPr>
                <w:rFonts w:ascii="Calibri" w:hAnsi="Calibri"/>
                <w:sz w:val="22"/>
              </w:rPr>
              <w:t>Consistent with &gt;400 bps OL</w:t>
            </w:r>
          </w:p>
        </w:tc>
      </w:tr>
      <w:tr>
        <w:tc>
          <w:tcPr>
            <w:tcW w:type="dxa" w:w="1234"/>
          </w:tcPr>
          <w:p>
            <w:r>
              <w:rPr>
                <w:rFonts w:ascii="Calibri" w:hAnsi="Calibri"/>
                <w:sz w:val="22"/>
              </w:rPr>
              <w:t>Efficiency Ratio</w:t>
            </w:r>
          </w:p>
        </w:tc>
        <w:tc>
          <w:tcPr>
            <w:tcW w:type="dxa" w:w="1234"/>
          </w:tcPr>
          <w:p>
            <w:r>
              <w:rPr>
                <w:rFonts w:ascii="Calibri" w:hAnsi="Calibri"/>
                <w:sz w:val="22"/>
              </w:rPr>
              <w:t>60.9%</w:t>
            </w:r>
          </w:p>
        </w:tc>
        <w:tc>
          <w:tcPr>
            <w:tcW w:type="dxa" w:w="1234"/>
          </w:tcPr>
          <w:p>
            <w:r>
              <w:rPr>
                <w:rFonts w:ascii="Calibri" w:hAnsi="Calibri"/>
                <w:sz w:val="22"/>
              </w:rPr>
              <w:t>62.3%</w:t>
            </w:r>
          </w:p>
        </w:tc>
        <w:tc>
          <w:tcPr>
            <w:tcW w:type="dxa" w:w="1234"/>
          </w:tcPr>
          <w:p>
            <w:r>
              <w:rPr>
                <w:rFonts w:ascii="Calibri" w:hAnsi="Calibri"/>
                <w:sz w:val="22"/>
              </w:rPr>
              <w:t>59.8%</w:t>
            </w:r>
          </w:p>
        </w:tc>
        <w:tc>
          <w:tcPr>
            <w:tcW w:type="dxa" w:w="1234"/>
          </w:tcPr>
          <w:p>
            <w:r>
              <w:rPr>
                <w:rFonts w:ascii="Calibri" w:hAnsi="Calibri"/>
                <w:b/>
                <w:color w:val="30A46C"/>
                <w:sz w:val="22"/>
              </w:rPr>
              <w:t>-250 bps YoY</w:t>
            </w:r>
          </w:p>
        </w:tc>
        <w:tc>
          <w:tcPr>
            <w:tcW w:type="dxa" w:w="1234"/>
          </w:tcPr>
          <w:p>
            <w:r>
              <w:rPr>
                <w:rFonts w:ascii="Calibri" w:hAnsi="Calibri"/>
                <w:sz w:val="22"/>
              </w:rPr>
              <w:t>Continued improvement; 200–300 bps OL target</w:t>
            </w:r>
          </w:p>
        </w:tc>
        <w:tc>
          <w:tcPr>
            <w:tcW w:type="dxa" w:w="1234"/>
          </w:tcPr>
          <w:p>
            <w:r>
              <w:rPr>
                <w:rFonts w:ascii="Calibri" w:hAnsi="Calibri"/>
                <w:sz w:val="22"/>
              </w:rPr>
              <w:t>On track</w:t>
            </w:r>
          </w:p>
        </w:tc>
      </w:tr>
      <w:tr>
        <w:tc>
          <w:tcPr>
            <w:tcW w:type="dxa" w:w="1234"/>
          </w:tcPr>
          <w:p>
            <w:r>
              <w:rPr>
                <w:rFonts w:ascii="Calibri" w:hAnsi="Calibri"/>
                <w:sz w:val="22"/>
              </w:rPr>
              <w:t>ROTCE</w:t>
            </w:r>
          </w:p>
        </w:tc>
        <w:tc>
          <w:tcPr>
            <w:tcW w:type="dxa" w:w="1234"/>
          </w:tcPr>
          <w:p>
            <w:r>
              <w:rPr>
                <w:rFonts w:ascii="Calibri" w:hAnsi="Calibri"/>
                <w:sz w:val="22"/>
              </w:rPr>
              <w:t>16.0%</w:t>
            </w:r>
          </w:p>
        </w:tc>
        <w:tc>
          <w:tcPr>
            <w:tcW w:type="dxa" w:w="1234"/>
          </w:tcPr>
          <w:p>
            <w:r>
              <w:rPr>
                <w:rFonts w:ascii="Calibri" w:hAnsi="Calibri"/>
                <w:sz w:val="22"/>
              </w:rPr>
              <w:t>13.6%</w:t>
            </w:r>
          </w:p>
        </w:tc>
        <w:tc>
          <w:tcPr>
            <w:tcW w:type="dxa" w:w="1234"/>
          </w:tcPr>
          <w:p>
            <w:r>
              <w:rPr>
                <w:rFonts w:ascii="Calibri" w:hAnsi="Calibri"/>
                <w:sz w:val="22"/>
              </w:rPr>
              <w:t>16.0%</w:t>
            </w:r>
          </w:p>
        </w:tc>
        <w:tc>
          <w:tcPr>
            <w:tcW w:type="dxa" w:w="1234"/>
          </w:tcPr>
          <w:p>
            <w:r>
              <w:rPr>
                <w:rFonts w:ascii="Calibri" w:hAnsi="Calibri"/>
                <w:b/>
                <w:color w:val="30A46C"/>
                <w:sz w:val="22"/>
              </w:rPr>
              <w:t>+240 bps YoY</w:t>
            </w:r>
          </w:p>
        </w:tc>
        <w:tc>
          <w:tcPr>
            <w:tcW w:type="dxa" w:w="1234"/>
          </w:tcPr>
          <w:p>
            <w:r>
              <w:rPr>
                <w:rFonts w:ascii="Calibri" w:hAnsi="Calibri"/>
                <w:sz w:val="22"/>
              </w:rPr>
              <w:t>Progress toward upper end of medium-term range</w:t>
            </w:r>
          </w:p>
        </w:tc>
        <w:tc>
          <w:tcPr>
            <w:tcW w:type="dxa" w:w="1234"/>
          </w:tcPr>
          <w:p>
            <w:r>
              <w:rPr>
                <w:rFonts w:ascii="Calibri" w:hAnsi="Calibri"/>
                <w:sz w:val="22"/>
              </w:rPr>
              <w:t>On track</w:t>
            </w:r>
          </w:p>
        </w:tc>
      </w:tr>
      <w:tr>
        <w:tc>
          <w:tcPr>
            <w:tcW w:type="dxa" w:w="1234"/>
          </w:tcPr>
          <w:p>
            <w:r>
              <w:rPr>
                <w:rFonts w:ascii="Calibri" w:hAnsi="Calibri"/>
                <w:sz w:val="22"/>
              </w:rPr>
              <w:t>Provision for Credit Losses</w:t>
            </w:r>
          </w:p>
        </w:tc>
        <w:tc>
          <w:tcPr>
            <w:tcW w:type="dxa" w:w="1234"/>
          </w:tcPr>
          <w:p>
            <w:r>
              <w:rPr>
                <w:rFonts w:ascii="Calibri" w:hAnsi="Calibri"/>
                <w:sz w:val="22"/>
              </w:rPr>
              <w:t>$1.337B</w:t>
            </w:r>
          </w:p>
        </w:tc>
        <w:tc>
          <w:tcPr>
            <w:tcW w:type="dxa" w:w="1234"/>
          </w:tcPr>
          <w:p>
            <w:r>
              <w:rPr>
                <w:rFonts w:ascii="Calibri" w:hAnsi="Calibri"/>
                <w:sz w:val="22"/>
              </w:rPr>
              <w:t>$1.592B</w:t>
            </w:r>
          </w:p>
        </w:tc>
        <w:tc>
          <w:tcPr>
            <w:tcW w:type="dxa" w:w="1234"/>
          </w:tcPr>
          <w:p>
            <w:r>
              <w:rPr>
                <w:rFonts w:ascii="Calibri" w:hAnsi="Calibri"/>
                <w:sz w:val="22"/>
              </w:rPr>
              <w:t>$1.478B</w:t>
            </w:r>
          </w:p>
        </w:tc>
        <w:tc>
          <w:tcPr>
            <w:tcW w:type="dxa" w:w="1234"/>
          </w:tcPr>
          <w:p>
            <w:r>
              <w:rPr>
                <w:rFonts w:ascii="Calibri" w:hAnsi="Calibri"/>
                <w:b/>
                <w:color w:val="30A46C"/>
                <w:sz w:val="22"/>
              </w:rPr>
              <w:t>-7.2% YoY</w:t>
            </w:r>
          </w:p>
        </w:tc>
        <w:tc>
          <w:tcPr>
            <w:tcW w:type="dxa" w:w="1234"/>
          </w:tcPr>
          <w:p>
            <w:r>
              <w:rPr>
                <w:rFonts w:ascii="Calibri" w:hAnsi="Calibri"/>
                <w:sz w:val="22"/>
              </w:rPr>
              <w:t>No explicit guidance; credit quality benign</w:t>
            </w:r>
          </w:p>
        </w:tc>
        <w:tc>
          <w:tcPr>
            <w:tcW w:type="dxa" w:w="1234"/>
          </w:tcPr>
          <w:p>
            <w:r>
              <w:rPr>
                <w:rFonts w:ascii="Calibri" w:hAnsi="Calibri"/>
                <w:sz w:val="22"/>
              </w:rPr>
              <w:t>N/A</w:t>
            </w:r>
          </w:p>
        </w:tc>
      </w:tr>
      <w:tr>
        <w:tc>
          <w:tcPr>
            <w:tcW w:type="dxa" w:w="1234"/>
          </w:tcPr>
          <w:p>
            <w:r>
              <w:rPr>
                <w:rFonts w:ascii="Calibri" w:hAnsi="Calibri"/>
                <w:sz w:val="22"/>
              </w:rPr>
              <w:t>Net Charge-Off Ratio</w:t>
            </w:r>
          </w:p>
        </w:tc>
        <w:tc>
          <w:tcPr>
            <w:tcW w:type="dxa" w:w="1234"/>
          </w:tcPr>
          <w:p>
            <w:r>
              <w:rPr>
                <w:rFonts w:ascii="Calibri" w:hAnsi="Calibri"/>
                <w:sz w:val="22"/>
              </w:rPr>
              <w:t>0.48%</w:t>
            </w:r>
          </w:p>
        </w:tc>
        <w:tc>
          <w:tcPr>
            <w:tcW w:type="dxa" w:w="1234"/>
          </w:tcPr>
          <w:p>
            <w:r>
              <w:rPr>
                <w:rFonts w:ascii="Calibri" w:hAnsi="Calibri"/>
                <w:sz w:val="22"/>
              </w:rPr>
              <w:t>0.54%</w:t>
            </w:r>
          </w:p>
        </w:tc>
        <w:tc>
          <w:tcPr>
            <w:tcW w:type="dxa" w:w="1234"/>
          </w:tcPr>
          <w:p>
            <w:r>
              <w:rPr>
                <w:rFonts w:ascii="Calibri" w:hAnsi="Calibri"/>
                <w:sz w:val="22"/>
              </w:rPr>
              <w:t>0.48%</w:t>
            </w:r>
          </w:p>
        </w:tc>
        <w:tc>
          <w:tcPr>
            <w:tcW w:type="dxa" w:w="1234"/>
          </w:tcPr>
          <w:p>
            <w:r>
              <w:rPr>
                <w:rFonts w:ascii="Calibri" w:hAnsi="Calibri"/>
                <w:b/>
                <w:color w:val="30A46C"/>
                <w:sz w:val="22"/>
              </w:rPr>
              <w:t>-6 bps YoY</w:t>
            </w:r>
          </w:p>
        </w:tc>
        <w:tc>
          <w:tcPr>
            <w:tcW w:type="dxa" w:w="1234"/>
          </w:tcPr>
          <w:p>
            <w:r>
              <w:rPr>
                <w:rFonts w:ascii="Calibri" w:hAnsi="Calibri"/>
                <w:sz w:val="22"/>
              </w:rPr>
              <w:t>No explicit guidance; employment key variable</w:t>
            </w:r>
          </w:p>
        </w:tc>
        <w:tc>
          <w:tcPr>
            <w:tcW w:type="dxa" w:w="1234"/>
          </w:tcPr>
          <w:p>
            <w:r>
              <w:rPr>
                <w:rFonts w:ascii="Calibri" w:hAnsi="Calibri"/>
                <w:sz w:val="22"/>
              </w:rPr>
              <w:t>N/A</w:t>
            </w:r>
          </w:p>
        </w:tc>
      </w:tr>
      <w:tr>
        <w:tc>
          <w:tcPr>
            <w:tcW w:type="dxa" w:w="1234"/>
          </w:tcPr>
          <w:p>
            <w:r>
              <w:rPr>
                <w:rFonts w:ascii="Calibri" w:hAnsi="Calibri"/>
                <w:sz w:val="22"/>
              </w:rPr>
              <w:t>Sales &amp; Trading Revenue (ex-DVA)</w:t>
            </w:r>
          </w:p>
        </w:tc>
        <w:tc>
          <w:tcPr>
            <w:tcW w:type="dxa" w:w="1234"/>
          </w:tcPr>
          <w:p>
            <w:r>
              <w:rPr>
                <w:rFonts w:ascii="Calibri" w:hAnsi="Calibri"/>
                <w:sz w:val="22"/>
              </w:rPr>
              <w:t>$6.324B</w:t>
            </w:r>
          </w:p>
        </w:tc>
        <w:tc>
          <w:tcPr>
            <w:tcW w:type="dxa" w:w="1234"/>
          </w:tcPr>
          <w:p>
            <w:r>
              <w:rPr>
                <w:rFonts w:ascii="Calibri" w:hAnsi="Calibri"/>
                <w:sz w:val="22"/>
              </w:rPr>
              <w:t>$5.379B</w:t>
            </w:r>
          </w:p>
        </w:tc>
        <w:tc>
          <w:tcPr>
            <w:tcW w:type="dxa" w:w="1234"/>
          </w:tcPr>
          <w:p>
            <w:r>
              <w:rPr>
                <w:rFonts w:ascii="Calibri" w:hAnsi="Calibri"/>
                <w:sz w:val="22"/>
              </w:rPr>
              <w:t>$6.281B</w:t>
            </w:r>
          </w:p>
        </w:tc>
        <w:tc>
          <w:tcPr>
            <w:tcW w:type="dxa" w:w="1234"/>
          </w:tcPr>
          <w:p>
            <w:r>
              <w:rPr>
                <w:rFonts w:ascii="Calibri" w:hAnsi="Calibri"/>
                <w:b/>
                <w:color w:val="30A46C"/>
                <w:sz w:val="22"/>
              </w:rPr>
              <w:t>+16.8% YoY</w:t>
            </w:r>
          </w:p>
        </w:tc>
        <w:tc>
          <w:tcPr>
            <w:tcW w:type="dxa" w:w="1234"/>
          </w:tcPr>
          <w:p>
            <w:r>
              <w:rPr>
                <w:rFonts w:ascii="Calibri" w:hAnsi="Calibri"/>
                <w:sz w:val="22"/>
              </w:rPr>
              <w:t>Better than mid-teens YoY growth (upgraded at MS Conf Jun 9)</w:t>
            </w:r>
          </w:p>
        </w:tc>
        <w:tc>
          <w:tcPr>
            <w:tcW w:type="dxa" w:w="1234"/>
          </w:tcPr>
          <w:p>
            <w:r>
              <w:rPr>
                <w:rFonts w:ascii="Calibri" w:hAnsi="Calibri"/>
                <w:sz w:val="22"/>
              </w:rPr>
              <w:t>Slight upside potential</w:t>
            </w:r>
          </w:p>
        </w:tc>
      </w:tr>
      <w:tr>
        <w:tc>
          <w:tcPr>
            <w:tcW w:type="dxa" w:w="1234"/>
          </w:tcPr>
          <w:p>
            <w:r>
              <w:rPr>
                <w:rFonts w:ascii="Calibri" w:hAnsi="Calibri"/>
                <w:sz w:val="22"/>
              </w:rPr>
              <w:t>Investment Banking Income</w:t>
            </w:r>
          </w:p>
        </w:tc>
        <w:tc>
          <w:tcPr>
            <w:tcW w:type="dxa" w:w="1234"/>
          </w:tcPr>
          <w:p>
            <w:r>
              <w:rPr>
                <w:rFonts w:ascii="Calibri" w:hAnsi="Calibri"/>
                <w:sz w:val="22"/>
              </w:rPr>
              <w:t>$1.841B</w:t>
            </w:r>
          </w:p>
        </w:tc>
        <w:tc>
          <w:tcPr>
            <w:tcW w:type="dxa" w:w="1234"/>
          </w:tcPr>
          <w:p>
            <w:r>
              <w:rPr>
                <w:rFonts w:ascii="Calibri" w:hAnsi="Calibri"/>
                <w:sz w:val="22"/>
              </w:rPr>
              <w:t>$1.428B</w:t>
            </w:r>
          </w:p>
        </w:tc>
        <w:tc>
          <w:tcPr>
            <w:tcW w:type="dxa" w:w="1234"/>
          </w:tcPr>
          <w:p>
            <w:r>
              <w:rPr>
                <w:rFonts w:ascii="Calibri" w:hAnsi="Calibri"/>
                <w:sz w:val="22"/>
              </w:rPr>
              <w:t>$1.889B</w:t>
            </w:r>
          </w:p>
        </w:tc>
        <w:tc>
          <w:tcPr>
            <w:tcW w:type="dxa" w:w="1234"/>
          </w:tcPr>
          <w:p>
            <w:r>
              <w:rPr>
                <w:rFonts w:ascii="Calibri" w:hAnsi="Calibri"/>
                <w:b/>
                <w:color w:val="30A46C"/>
                <w:sz w:val="22"/>
              </w:rPr>
              <w:t>+32.3% YoY</w:t>
            </w:r>
          </w:p>
        </w:tc>
        <w:tc>
          <w:tcPr>
            <w:tcW w:type="dxa" w:w="1234"/>
          </w:tcPr>
          <w:p>
            <w:r>
              <w:rPr>
                <w:rFonts w:ascii="Calibri" w:hAnsi="Calibri"/>
                <w:sz w:val="22"/>
              </w:rPr>
              <w:t>Tracking consistent with Q1 2026 levels (~$1.84B)</w:t>
            </w:r>
          </w:p>
        </w:tc>
        <w:tc>
          <w:tcPr>
            <w:tcW w:type="dxa" w:w="1234"/>
          </w:tcPr>
          <w:p>
            <w:r>
              <w:rPr>
                <w:rFonts w:ascii="Calibri" w:hAnsi="Calibri"/>
                <w:sz w:val="22"/>
              </w:rPr>
              <w:t>Roughly in line</w:t>
            </w:r>
          </w:p>
        </w:tc>
      </w:tr>
    </w:tbl>
    <w:p>
      <w:r>
        <w:rPr>
          <w:rFonts w:ascii="Calibri" w:hAnsi="Calibri"/>
          <w:i/>
          <w:color w:val="525866"/>
          <w:sz w:val="22"/>
        </w:rPr>
        <w:t>Source: Visible Alpha Consensus and Actuals Data. All consensus figures as of latest available. NII consensus as of April 21, 2026 baseline: $15.989B (post-Q1 revision to $16.033B latest). Operating EPS consensus as of April 21, 2026 baseline: $1.093 (latest: $1.128). Revenue consensus latest: $30.603B.</w:t>
      </w:r>
    </w:p>
    <w:p>
      <w:pPr>
        <w:pStyle w:val="Heading3"/>
      </w:pPr>
      <w:r>
        <w:rPr>
          <w:rFonts w:ascii="Calibri" w:hAnsi="Calibri"/>
          <w:b/>
          <w:color w:val="3B4259"/>
          <w:sz w:val="24"/>
        </w:rPr>
        <w:t>Table 2 — Beat/Miss History: Last 8 Quarters (NII &amp; Operating EPS)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Quarter</w:t>
            </w:r>
          </w:p>
        </w:tc>
        <w:tc>
          <w:tcPr>
            <w:tcW w:type="dxa" w:w="1234"/>
            <w:shd w:val="clear" w:color="auto" w:fill="3B4259"/>
          </w:tcPr>
          <w:p>
            <w:r>
              <w:rPr>
                <w:rFonts w:ascii="Calibri" w:hAnsi="Calibri"/>
                <w:b/>
                <w:color w:val="FFFFFF"/>
                <w:sz w:val="22"/>
              </w:rPr>
              <w:t>NII Reported</w:t>
            </w:r>
          </w:p>
        </w:tc>
        <w:tc>
          <w:tcPr>
            <w:tcW w:type="dxa" w:w="1234"/>
            <w:shd w:val="clear" w:color="auto" w:fill="3B4259"/>
          </w:tcPr>
          <w:p>
            <w:r>
              <w:rPr>
                <w:rFonts w:ascii="Calibri" w:hAnsi="Calibri"/>
                <w:b/>
                <w:color w:val="FFFFFF"/>
                <w:sz w:val="22"/>
              </w:rPr>
              <w:t>NII Consensus</w:t>
            </w:r>
          </w:p>
        </w:tc>
        <w:tc>
          <w:tcPr>
            <w:tcW w:type="dxa" w:w="1234"/>
            <w:shd w:val="clear" w:color="auto" w:fill="3B4259"/>
          </w:tcPr>
          <w:p>
            <w:r>
              <w:rPr>
                <w:rFonts w:ascii="Calibri" w:hAnsi="Calibri"/>
                <w:b/>
                <w:color w:val="FFFFFF"/>
                <w:sz w:val="22"/>
              </w:rPr>
              <w:t>NII Surprise</w:t>
            </w:r>
          </w:p>
        </w:tc>
        <w:tc>
          <w:tcPr>
            <w:tcW w:type="dxa" w:w="1234"/>
            <w:shd w:val="clear" w:color="auto" w:fill="3B4259"/>
          </w:tcPr>
          <w:p>
            <w:r>
              <w:rPr>
                <w:rFonts w:ascii="Calibri" w:hAnsi="Calibri"/>
                <w:b/>
                <w:color w:val="FFFFFF"/>
                <w:sz w:val="22"/>
              </w:rPr>
              <w:t>Op. EPS Reported</w:t>
            </w:r>
          </w:p>
        </w:tc>
        <w:tc>
          <w:tcPr>
            <w:tcW w:type="dxa" w:w="1234"/>
            <w:shd w:val="clear" w:color="auto" w:fill="3B4259"/>
          </w:tcPr>
          <w:p>
            <w:r>
              <w:rPr>
                <w:rFonts w:ascii="Calibri" w:hAnsi="Calibri"/>
                <w:b/>
                <w:color w:val="FFFFFF"/>
                <w:sz w:val="22"/>
              </w:rPr>
              <w:t>Op. EPS Consensus</w:t>
            </w:r>
          </w:p>
        </w:tc>
        <w:tc>
          <w:tcPr>
            <w:tcW w:type="dxa" w:w="1234"/>
            <w:shd w:val="clear" w:color="auto" w:fill="3B4259"/>
          </w:tcPr>
          <w:p>
            <w:r>
              <w:rPr>
                <w:rFonts w:ascii="Calibri" w:hAnsi="Calibri"/>
                <w:b/>
                <w:color w:val="FFFFFF"/>
                <w:sz w:val="22"/>
              </w:rPr>
              <w:t>Op. EPS Surprise</w:t>
            </w:r>
          </w:p>
        </w:tc>
      </w:tr>
      <w:tr>
        <w:tc>
          <w:tcPr>
            <w:tcW w:type="dxa" w:w="1234"/>
          </w:tcPr>
          <w:p>
            <w:r>
              <w:rPr>
                <w:rFonts w:ascii="Calibri" w:hAnsi="Calibri"/>
                <w:sz w:val="22"/>
              </w:rPr>
              <w:t>Q2 2024</w:t>
            </w:r>
          </w:p>
        </w:tc>
        <w:tc>
          <w:tcPr>
            <w:tcW w:type="dxa" w:w="1234"/>
          </w:tcPr>
          <w:p>
            <w:r>
              <w:rPr>
                <w:rFonts w:ascii="Calibri" w:hAnsi="Calibri"/>
                <w:sz w:val="22"/>
              </w:rPr>
              <w:t>$13.702B</w:t>
            </w:r>
          </w:p>
        </w:tc>
        <w:tc>
          <w:tcPr>
            <w:tcW w:type="dxa" w:w="1234"/>
          </w:tcPr>
          <w:p>
            <w:r>
              <w:rPr>
                <w:rFonts w:ascii="Calibri" w:hAnsi="Calibri"/>
                <w:sz w:val="22"/>
              </w:rPr>
              <w:t>$13.794B</w:t>
            </w:r>
          </w:p>
        </w:tc>
        <w:tc>
          <w:tcPr>
            <w:tcW w:type="dxa" w:w="1234"/>
          </w:tcPr>
          <w:p>
            <w:r>
              <w:rPr>
                <w:rFonts w:ascii="Calibri" w:hAnsi="Calibri"/>
                <w:b/>
                <w:color w:val="E5484D"/>
                <w:sz w:val="22"/>
              </w:rPr>
              <w:t>-0.7%</w:t>
            </w:r>
          </w:p>
        </w:tc>
        <w:tc>
          <w:tcPr>
            <w:tcW w:type="dxa" w:w="1234"/>
          </w:tcPr>
          <w:p>
            <w:r>
              <w:rPr>
                <w:rFonts w:ascii="Calibri" w:hAnsi="Calibri"/>
                <w:sz w:val="22"/>
              </w:rPr>
              <w:t>$0.825</w:t>
            </w:r>
          </w:p>
        </w:tc>
        <w:tc>
          <w:tcPr>
            <w:tcW w:type="dxa" w:w="1234"/>
          </w:tcPr>
          <w:p>
            <w:r>
              <w:rPr>
                <w:rFonts w:ascii="Calibri" w:hAnsi="Calibri"/>
                <w:sz w:val="22"/>
              </w:rPr>
              <w:t>$0.785</w:t>
            </w:r>
          </w:p>
        </w:tc>
        <w:tc>
          <w:tcPr>
            <w:tcW w:type="dxa" w:w="1234"/>
          </w:tcPr>
          <w:p>
            <w:r>
              <w:rPr>
                <w:rFonts w:ascii="Calibri" w:hAnsi="Calibri"/>
                <w:b/>
                <w:color w:val="30A46C"/>
                <w:sz w:val="22"/>
              </w:rPr>
              <w:t>+5.1%</w:t>
            </w:r>
          </w:p>
        </w:tc>
      </w:tr>
      <w:tr>
        <w:tc>
          <w:tcPr>
            <w:tcW w:type="dxa" w:w="1234"/>
          </w:tcPr>
          <w:p>
            <w:r>
              <w:rPr>
                <w:rFonts w:ascii="Calibri" w:hAnsi="Calibri"/>
                <w:sz w:val="22"/>
              </w:rPr>
              <w:t>Q3 2024</w:t>
            </w:r>
          </w:p>
        </w:tc>
        <w:tc>
          <w:tcPr>
            <w:tcW w:type="dxa" w:w="1234"/>
          </w:tcPr>
          <w:p>
            <w:r>
              <w:rPr>
                <w:rFonts w:ascii="Calibri" w:hAnsi="Calibri"/>
                <w:sz w:val="22"/>
              </w:rPr>
              <w:t>$13.967B</w:t>
            </w:r>
          </w:p>
        </w:tc>
        <w:tc>
          <w:tcPr>
            <w:tcW w:type="dxa" w:w="1234"/>
          </w:tcPr>
          <w:p>
            <w:r>
              <w:rPr>
                <w:rFonts w:ascii="Calibri" w:hAnsi="Calibri"/>
                <w:sz w:val="22"/>
              </w:rPr>
              <w:t>$13.848B</w:t>
            </w:r>
          </w:p>
        </w:tc>
        <w:tc>
          <w:tcPr>
            <w:tcW w:type="dxa" w:w="1234"/>
          </w:tcPr>
          <w:p>
            <w:r>
              <w:rPr>
                <w:rFonts w:ascii="Calibri" w:hAnsi="Calibri"/>
                <w:b/>
                <w:color w:val="30A46C"/>
                <w:sz w:val="22"/>
              </w:rPr>
              <w:t>+0.9%</w:t>
            </w:r>
          </w:p>
        </w:tc>
        <w:tc>
          <w:tcPr>
            <w:tcW w:type="dxa" w:w="1234"/>
          </w:tcPr>
          <w:p>
            <w:r>
              <w:rPr>
                <w:rFonts w:ascii="Calibri" w:hAnsi="Calibri"/>
                <w:sz w:val="22"/>
              </w:rPr>
              <w:t>$0.784</w:t>
            </w:r>
          </w:p>
        </w:tc>
        <w:tc>
          <w:tcPr>
            <w:tcW w:type="dxa" w:w="1234"/>
          </w:tcPr>
          <w:p>
            <w:r>
              <w:rPr>
                <w:rFonts w:ascii="Calibri" w:hAnsi="Calibri"/>
                <w:sz w:val="22"/>
              </w:rPr>
              <w:t>$0.760</w:t>
            </w:r>
          </w:p>
        </w:tc>
        <w:tc>
          <w:tcPr>
            <w:tcW w:type="dxa" w:w="1234"/>
          </w:tcPr>
          <w:p>
            <w:r>
              <w:rPr>
                <w:rFonts w:ascii="Calibri" w:hAnsi="Calibri"/>
                <w:b/>
                <w:color w:val="30A46C"/>
                <w:sz w:val="22"/>
              </w:rPr>
              <w:t>+3.2%</w:t>
            </w:r>
          </w:p>
        </w:tc>
      </w:tr>
      <w:tr>
        <w:tc>
          <w:tcPr>
            <w:tcW w:type="dxa" w:w="1234"/>
          </w:tcPr>
          <w:p>
            <w:r>
              <w:rPr>
                <w:rFonts w:ascii="Calibri" w:hAnsi="Calibri"/>
                <w:sz w:val="22"/>
              </w:rPr>
              <w:t>Q4 2024</w:t>
            </w:r>
          </w:p>
        </w:tc>
        <w:tc>
          <w:tcPr>
            <w:tcW w:type="dxa" w:w="1234"/>
          </w:tcPr>
          <w:p>
            <w:r>
              <w:rPr>
                <w:rFonts w:ascii="Calibri" w:hAnsi="Calibri"/>
                <w:sz w:val="22"/>
              </w:rPr>
              <w:t>$14.359B</w:t>
            </w:r>
          </w:p>
        </w:tc>
        <w:tc>
          <w:tcPr>
            <w:tcW w:type="dxa" w:w="1234"/>
          </w:tcPr>
          <w:p>
            <w:r>
              <w:rPr>
                <w:rFonts w:ascii="Calibri" w:hAnsi="Calibri"/>
                <w:sz w:val="22"/>
              </w:rPr>
              <w:t>$14.183B</w:t>
            </w:r>
          </w:p>
        </w:tc>
        <w:tc>
          <w:tcPr>
            <w:tcW w:type="dxa" w:w="1234"/>
          </w:tcPr>
          <w:p>
            <w:r>
              <w:rPr>
                <w:rFonts w:ascii="Calibri" w:hAnsi="Calibri"/>
                <w:b/>
                <w:color w:val="30A46C"/>
                <w:sz w:val="22"/>
              </w:rPr>
              <w:t>+1.2%</w:t>
            </w:r>
          </w:p>
        </w:tc>
        <w:tc>
          <w:tcPr>
            <w:tcW w:type="dxa" w:w="1234"/>
          </w:tcPr>
          <w:p>
            <w:r>
              <w:rPr>
                <w:rFonts w:ascii="Calibri" w:hAnsi="Calibri"/>
                <w:sz w:val="22"/>
              </w:rPr>
              <w:t>$0.838</w:t>
            </w:r>
          </w:p>
        </w:tc>
        <w:tc>
          <w:tcPr>
            <w:tcW w:type="dxa" w:w="1234"/>
          </w:tcPr>
          <w:p>
            <w:r>
              <w:rPr>
                <w:rFonts w:ascii="Calibri" w:hAnsi="Calibri"/>
                <w:sz w:val="22"/>
              </w:rPr>
              <w:t>$0.774</w:t>
            </w:r>
          </w:p>
        </w:tc>
        <w:tc>
          <w:tcPr>
            <w:tcW w:type="dxa" w:w="1234"/>
          </w:tcPr>
          <w:p>
            <w:r>
              <w:rPr>
                <w:rFonts w:ascii="Calibri" w:hAnsi="Calibri"/>
                <w:b/>
                <w:color w:val="30A46C"/>
                <w:sz w:val="22"/>
              </w:rPr>
              <w:t>+8.3%</w:t>
            </w:r>
          </w:p>
        </w:tc>
      </w:tr>
      <w:tr>
        <w:tc>
          <w:tcPr>
            <w:tcW w:type="dxa" w:w="1234"/>
          </w:tcPr>
          <w:p>
            <w:r>
              <w:rPr>
                <w:rFonts w:ascii="Calibri" w:hAnsi="Calibri"/>
                <w:sz w:val="22"/>
              </w:rPr>
              <w:t>Q1 2025</w:t>
            </w:r>
          </w:p>
        </w:tc>
        <w:tc>
          <w:tcPr>
            <w:tcW w:type="dxa" w:w="1234"/>
          </w:tcPr>
          <w:p>
            <w:r>
              <w:rPr>
                <w:rFonts w:ascii="Calibri" w:hAnsi="Calibri"/>
                <w:sz w:val="22"/>
              </w:rPr>
              <w:t>$14.443B</w:t>
            </w:r>
          </w:p>
        </w:tc>
        <w:tc>
          <w:tcPr>
            <w:tcW w:type="dxa" w:w="1234"/>
          </w:tcPr>
          <w:p>
            <w:r>
              <w:rPr>
                <w:rFonts w:ascii="Calibri" w:hAnsi="Calibri"/>
                <w:sz w:val="22"/>
              </w:rPr>
              <w:t>$14.423B</w:t>
            </w:r>
          </w:p>
        </w:tc>
        <w:tc>
          <w:tcPr>
            <w:tcW w:type="dxa" w:w="1234"/>
          </w:tcPr>
          <w:p>
            <w:r>
              <w:rPr>
                <w:rFonts w:ascii="Calibri" w:hAnsi="Calibri"/>
                <w:b/>
                <w:color w:val="30A46C"/>
                <w:sz w:val="22"/>
              </w:rPr>
              <w:t>+0.1%</w:t>
            </w:r>
          </w:p>
        </w:tc>
        <w:tc>
          <w:tcPr>
            <w:tcW w:type="dxa" w:w="1234"/>
          </w:tcPr>
          <w:p>
            <w:r>
              <w:rPr>
                <w:rFonts w:ascii="Calibri" w:hAnsi="Calibri"/>
                <w:sz w:val="22"/>
              </w:rPr>
              <w:t>$0.895</w:t>
            </w:r>
          </w:p>
        </w:tc>
        <w:tc>
          <w:tcPr>
            <w:tcW w:type="dxa" w:w="1234"/>
          </w:tcPr>
          <w:p>
            <w:r>
              <w:rPr>
                <w:rFonts w:ascii="Calibri" w:hAnsi="Calibri"/>
                <w:sz w:val="22"/>
              </w:rPr>
              <w:t>$0.814</w:t>
            </w:r>
          </w:p>
        </w:tc>
        <w:tc>
          <w:tcPr>
            <w:tcW w:type="dxa" w:w="1234"/>
          </w:tcPr>
          <w:p>
            <w:r>
              <w:rPr>
                <w:rFonts w:ascii="Calibri" w:hAnsi="Calibri"/>
                <w:b/>
                <w:color w:val="30A46C"/>
                <w:sz w:val="22"/>
              </w:rPr>
              <w:t>+9.9%</w:t>
            </w:r>
          </w:p>
        </w:tc>
      </w:tr>
      <w:tr>
        <w:tc>
          <w:tcPr>
            <w:tcW w:type="dxa" w:w="1234"/>
          </w:tcPr>
          <w:p>
            <w:r>
              <w:rPr>
                <w:rFonts w:ascii="Calibri" w:hAnsi="Calibri"/>
                <w:sz w:val="22"/>
              </w:rPr>
              <w:t>Q2 2025</w:t>
            </w:r>
          </w:p>
        </w:tc>
        <w:tc>
          <w:tcPr>
            <w:tcW w:type="dxa" w:w="1234"/>
          </w:tcPr>
          <w:p>
            <w:r>
              <w:rPr>
                <w:rFonts w:ascii="Calibri" w:hAnsi="Calibri"/>
                <w:sz w:val="22"/>
              </w:rPr>
              <w:t>$14.670B</w:t>
            </w:r>
          </w:p>
        </w:tc>
        <w:tc>
          <w:tcPr>
            <w:tcW w:type="dxa" w:w="1234"/>
          </w:tcPr>
          <w:p>
            <w:r>
              <w:rPr>
                <w:rFonts w:ascii="Calibri" w:hAnsi="Calibri"/>
                <w:sz w:val="22"/>
              </w:rPr>
              <w:t>$14.709B</w:t>
            </w:r>
          </w:p>
        </w:tc>
        <w:tc>
          <w:tcPr>
            <w:tcW w:type="dxa" w:w="1234"/>
          </w:tcPr>
          <w:p>
            <w:r>
              <w:rPr>
                <w:rFonts w:ascii="Calibri" w:hAnsi="Calibri"/>
                <w:b/>
                <w:color w:val="E5484D"/>
                <w:sz w:val="22"/>
              </w:rPr>
              <w:t>-0.3%</w:t>
            </w:r>
          </w:p>
        </w:tc>
        <w:tc>
          <w:tcPr>
            <w:tcW w:type="dxa" w:w="1234"/>
          </w:tcPr>
          <w:p>
            <w:r>
              <w:rPr>
                <w:rFonts w:ascii="Calibri" w:hAnsi="Calibri"/>
                <w:sz w:val="22"/>
              </w:rPr>
              <w:t>$0.899</w:t>
            </w:r>
          </w:p>
        </w:tc>
        <w:tc>
          <w:tcPr>
            <w:tcW w:type="dxa" w:w="1234"/>
          </w:tcPr>
          <w:p>
            <w:r>
              <w:rPr>
                <w:rFonts w:ascii="Calibri" w:hAnsi="Calibri"/>
                <w:sz w:val="22"/>
              </w:rPr>
              <w:t>$0.839</w:t>
            </w:r>
          </w:p>
        </w:tc>
        <w:tc>
          <w:tcPr>
            <w:tcW w:type="dxa" w:w="1234"/>
          </w:tcPr>
          <w:p>
            <w:r>
              <w:rPr>
                <w:rFonts w:ascii="Calibri" w:hAnsi="Calibri"/>
                <w:b/>
                <w:color w:val="30A46C"/>
                <w:sz w:val="22"/>
              </w:rPr>
              <w:t>+7.1%</w:t>
            </w:r>
          </w:p>
        </w:tc>
      </w:tr>
      <w:tr>
        <w:tc>
          <w:tcPr>
            <w:tcW w:type="dxa" w:w="1234"/>
          </w:tcPr>
          <w:p>
            <w:r>
              <w:rPr>
                <w:rFonts w:ascii="Calibri" w:hAnsi="Calibri"/>
                <w:sz w:val="22"/>
              </w:rPr>
              <w:t>Q3 2025</w:t>
            </w:r>
          </w:p>
        </w:tc>
        <w:tc>
          <w:tcPr>
            <w:tcW w:type="dxa" w:w="1234"/>
          </w:tcPr>
          <w:p>
            <w:r>
              <w:rPr>
                <w:rFonts w:ascii="Calibri" w:hAnsi="Calibri"/>
                <w:sz w:val="22"/>
              </w:rPr>
              <w:t>$15.233B</w:t>
            </w:r>
          </w:p>
        </w:tc>
        <w:tc>
          <w:tcPr>
            <w:tcW w:type="dxa" w:w="1234"/>
          </w:tcPr>
          <w:p>
            <w:r>
              <w:rPr>
                <w:rFonts w:ascii="Calibri" w:hAnsi="Calibri"/>
                <w:sz w:val="22"/>
              </w:rPr>
              <w:t>$15.087B</w:t>
            </w:r>
          </w:p>
        </w:tc>
        <w:tc>
          <w:tcPr>
            <w:tcW w:type="dxa" w:w="1234"/>
          </w:tcPr>
          <w:p>
            <w:r>
              <w:rPr>
                <w:rFonts w:ascii="Calibri" w:hAnsi="Calibri"/>
                <w:b/>
                <w:color w:val="30A46C"/>
                <w:sz w:val="22"/>
              </w:rPr>
              <w:t>+1.0%</w:t>
            </w:r>
          </w:p>
        </w:tc>
        <w:tc>
          <w:tcPr>
            <w:tcW w:type="dxa" w:w="1234"/>
          </w:tcPr>
          <w:p>
            <w:r>
              <w:rPr>
                <w:rFonts w:ascii="Calibri" w:hAnsi="Calibri"/>
                <w:sz w:val="22"/>
              </w:rPr>
              <w:t>$1.04</w:t>
            </w:r>
          </w:p>
        </w:tc>
        <w:tc>
          <w:tcPr>
            <w:tcW w:type="dxa" w:w="1234"/>
          </w:tcPr>
          <w:p>
            <w:r>
              <w:rPr>
                <w:rFonts w:ascii="Calibri" w:hAnsi="Calibri"/>
                <w:sz w:val="22"/>
              </w:rPr>
              <w:t>$0.941</w:t>
            </w:r>
          </w:p>
        </w:tc>
        <w:tc>
          <w:tcPr>
            <w:tcW w:type="dxa" w:w="1234"/>
          </w:tcPr>
          <w:p>
            <w:r>
              <w:rPr>
                <w:rFonts w:ascii="Calibri" w:hAnsi="Calibri"/>
                <w:b/>
                <w:color w:val="30A46C"/>
                <w:sz w:val="22"/>
              </w:rPr>
              <w:t>+10.5%</w:t>
            </w:r>
          </w:p>
        </w:tc>
      </w:tr>
      <w:tr>
        <w:tc>
          <w:tcPr>
            <w:tcW w:type="dxa" w:w="1234"/>
          </w:tcPr>
          <w:p>
            <w:r>
              <w:rPr>
                <w:rFonts w:ascii="Calibri" w:hAnsi="Calibri"/>
                <w:sz w:val="22"/>
              </w:rPr>
              <w:t>Q4 2025</w:t>
            </w:r>
          </w:p>
        </w:tc>
        <w:tc>
          <w:tcPr>
            <w:tcW w:type="dxa" w:w="1234"/>
          </w:tcPr>
          <w:p>
            <w:r>
              <w:rPr>
                <w:rFonts w:ascii="Calibri" w:hAnsi="Calibri"/>
                <w:sz w:val="22"/>
              </w:rPr>
              <w:t>$15.750B</w:t>
            </w:r>
          </w:p>
        </w:tc>
        <w:tc>
          <w:tcPr>
            <w:tcW w:type="dxa" w:w="1234"/>
          </w:tcPr>
          <w:p>
            <w:r>
              <w:rPr>
                <w:rFonts w:ascii="Calibri" w:hAnsi="Calibri"/>
                <w:sz w:val="22"/>
              </w:rPr>
              <w:t>$15.538B</w:t>
            </w:r>
          </w:p>
        </w:tc>
        <w:tc>
          <w:tcPr>
            <w:tcW w:type="dxa" w:w="1234"/>
          </w:tcPr>
          <w:p>
            <w:r>
              <w:rPr>
                <w:rFonts w:ascii="Calibri" w:hAnsi="Calibri"/>
                <w:b/>
                <w:color w:val="30A46C"/>
                <w:sz w:val="22"/>
              </w:rPr>
              <w:t>+1.4%</w:t>
            </w:r>
          </w:p>
        </w:tc>
        <w:tc>
          <w:tcPr>
            <w:tcW w:type="dxa" w:w="1234"/>
          </w:tcPr>
          <w:p>
            <w:r>
              <w:rPr>
                <w:rFonts w:ascii="Calibri" w:hAnsi="Calibri"/>
                <w:sz w:val="22"/>
              </w:rPr>
              <w:t>$0.98</w:t>
            </w:r>
          </w:p>
        </w:tc>
        <w:tc>
          <w:tcPr>
            <w:tcW w:type="dxa" w:w="1234"/>
          </w:tcPr>
          <w:p>
            <w:r>
              <w:rPr>
                <w:rFonts w:ascii="Calibri" w:hAnsi="Calibri"/>
                <w:sz w:val="22"/>
              </w:rPr>
              <w:t>$0.943</w:t>
            </w:r>
          </w:p>
        </w:tc>
        <w:tc>
          <w:tcPr>
            <w:tcW w:type="dxa" w:w="1234"/>
          </w:tcPr>
          <w:p>
            <w:r>
              <w:rPr>
                <w:rFonts w:ascii="Calibri" w:hAnsi="Calibri"/>
                <w:b/>
                <w:color w:val="30A46C"/>
                <w:sz w:val="22"/>
              </w:rPr>
              <w:t>+3.9%</w:t>
            </w:r>
          </w:p>
        </w:tc>
      </w:tr>
      <w:tr>
        <w:tc>
          <w:tcPr>
            <w:tcW w:type="dxa" w:w="1234"/>
          </w:tcPr>
          <w:p>
            <w:r>
              <w:rPr>
                <w:rFonts w:ascii="Calibri" w:hAnsi="Calibri"/>
                <w:sz w:val="22"/>
              </w:rPr>
              <w:t>Q1 2026</w:t>
            </w:r>
          </w:p>
        </w:tc>
        <w:tc>
          <w:tcPr>
            <w:tcW w:type="dxa" w:w="1234"/>
          </w:tcPr>
          <w:p>
            <w:r>
              <w:rPr>
                <w:rFonts w:ascii="Calibri" w:hAnsi="Calibri"/>
                <w:sz w:val="22"/>
              </w:rPr>
              <w:t>$15.745B</w:t>
            </w:r>
          </w:p>
        </w:tc>
        <w:tc>
          <w:tcPr>
            <w:tcW w:type="dxa" w:w="1234"/>
          </w:tcPr>
          <w:p>
            <w:r>
              <w:rPr>
                <w:rFonts w:ascii="Calibri" w:hAnsi="Calibri"/>
                <w:sz w:val="22"/>
              </w:rPr>
              <w:t>$15.514B</w:t>
            </w:r>
          </w:p>
        </w:tc>
        <w:tc>
          <w:tcPr>
            <w:tcW w:type="dxa" w:w="1234"/>
          </w:tcPr>
          <w:p>
            <w:r>
              <w:rPr>
                <w:rFonts w:ascii="Calibri" w:hAnsi="Calibri"/>
                <w:b/>
                <w:color w:val="30A46C"/>
                <w:sz w:val="22"/>
              </w:rPr>
              <w:t>+1.5%</w:t>
            </w:r>
          </w:p>
        </w:tc>
        <w:tc>
          <w:tcPr>
            <w:tcW w:type="dxa" w:w="1234"/>
          </w:tcPr>
          <w:p>
            <w:r>
              <w:rPr>
                <w:rFonts w:ascii="Calibri" w:hAnsi="Calibri"/>
                <w:sz w:val="22"/>
              </w:rPr>
              <w:t>$1.11</w:t>
            </w:r>
          </w:p>
        </w:tc>
        <w:tc>
          <w:tcPr>
            <w:tcW w:type="dxa" w:w="1234"/>
          </w:tcPr>
          <w:p>
            <w:r>
              <w:rPr>
                <w:rFonts w:ascii="Calibri" w:hAnsi="Calibri"/>
                <w:sz w:val="22"/>
              </w:rPr>
              <w:t>$1.017</w:t>
            </w:r>
          </w:p>
        </w:tc>
        <w:tc>
          <w:tcPr>
            <w:tcW w:type="dxa" w:w="1234"/>
          </w:tcPr>
          <w:p>
            <w:r>
              <w:rPr>
                <w:rFonts w:ascii="Calibri" w:hAnsi="Calibri"/>
                <w:b/>
                <w:color w:val="30A46C"/>
                <w:sz w:val="22"/>
              </w:rPr>
              <w:t>+9.1%</w:t>
            </w:r>
          </w:p>
        </w:tc>
      </w:tr>
    </w:tbl>
    <w:p>
      <w:r>
        <w:rPr>
          <w:rFonts w:ascii="Calibri" w:hAnsi="Calibri"/>
          <w:b/>
          <w:color w:val="525866"/>
          <w:sz w:val="22"/>
        </w:rPr>
        <w:t xml:space="preserve">Pattern: </w:t>
      </w:r>
      <w:r>
        <w:rPr>
          <w:rFonts w:ascii="Calibri" w:hAnsi="Calibri"/>
          <w:i/>
          <w:color w:val="525866"/>
          <w:sz w:val="22"/>
        </w:rPr>
        <w:t>BAC has beaten Operating EPS consensus in all 8 of the last 8 quarters, with an average surprise of +7.1%; NII has beaten in 6 of 8 quarters, with the two misses being marginal (-0.3% to -0.7%). The consistent EPS beat pattern reflects both NII outperformance and disciplined expense management, with operating leverage consistently exceeding guidance.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has materially upgraded Q2 guidance since the Q1 earnings call — operating leverage was raised from “at least as strong as Q1” (Bernstein, May 27) to “above 400 bps” (Morgan Stanley, June 9), and trading revenue guidance was upgraded from mid-teens to better-than-mid-teens YoY growth. Tone is the most confident it has been in years.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Q1 2026 Earnings Call (Apr 15)</w:t>
            </w:r>
          </w:p>
        </w:tc>
        <w:tc>
          <w:tcPr>
            <w:tcW w:type="dxa" w:w="1728"/>
            <w:shd w:val="clear" w:color="auto" w:fill="3B4259"/>
          </w:tcPr>
          <w:p>
            <w:r>
              <w:rPr>
                <w:rFonts w:ascii="Calibri" w:hAnsi="Calibri"/>
                <w:b/>
                <w:color w:val="FFFFFF"/>
                <w:sz w:val="22"/>
              </w:rPr>
              <w:t>Bernstein Conference (May 27)</w:t>
            </w:r>
          </w:p>
        </w:tc>
        <w:tc>
          <w:tcPr>
            <w:tcW w:type="dxa" w:w="1728"/>
            <w:shd w:val="clear" w:color="auto" w:fill="3B4259"/>
          </w:tcPr>
          <w:p>
            <w:r>
              <w:rPr>
                <w:rFonts w:ascii="Calibri" w:hAnsi="Calibri"/>
                <w:b/>
                <w:color w:val="FFFFFF"/>
                <w:sz w:val="22"/>
              </w:rPr>
              <w:t>MS Financials Conference (Jun 9)</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Full-Year NII Growth (vs. FY2025)</w:t>
            </w:r>
          </w:p>
        </w:tc>
        <w:tc>
          <w:tcPr>
            <w:tcW w:type="dxa" w:w="1728"/>
          </w:tcPr>
          <w:p>
            <w:r>
              <w:rPr>
                <w:rFonts w:ascii="Calibri" w:hAnsi="Calibri"/>
                <w:sz w:val="22"/>
              </w:rPr>
              <w:t>Raised to +6% to +8% (from prior +5% to +7%); assumes no rate cuts</w:t>
            </w:r>
          </w:p>
        </w:tc>
        <w:tc>
          <w:tcPr>
            <w:tcW w:type="dxa" w:w="1728"/>
          </w:tcPr>
          <w:p>
            <w:r>
              <w:rPr>
                <w:rFonts w:ascii="Calibri" w:hAnsi="Calibri"/>
                <w:sz w:val="22"/>
              </w:rPr>
              <w:t>Confirmed on track within raised range</w:t>
            </w:r>
          </w:p>
        </w:tc>
        <w:tc>
          <w:tcPr>
            <w:tcW w:type="dxa" w:w="1728"/>
          </w:tcPr>
          <w:p>
            <w:r>
              <w:rPr>
                <w:rFonts w:ascii="Calibri" w:hAnsi="Calibri"/>
                <w:sz w:val="22"/>
              </w:rPr>
              <w:t>Unchanged; NII tracking on plan</w:t>
            </w:r>
          </w:p>
        </w:tc>
        <w:tc>
          <w:tcPr>
            <w:tcW w:type="dxa" w:w="1728"/>
          </w:tcPr>
          <w:p>
            <w:r>
              <w:rPr>
                <w:rFonts w:ascii="Calibri" w:hAnsi="Calibri"/>
                <w:b/>
                <w:color w:val="30A46C"/>
                <w:sz w:val="22"/>
              </w:rPr>
              <w:t>Stable / Confirmed</w:t>
            </w:r>
          </w:p>
        </w:tc>
      </w:tr>
      <w:tr>
        <w:tc>
          <w:tcPr>
            <w:tcW w:type="dxa" w:w="1728"/>
          </w:tcPr>
          <w:p>
            <w:r>
              <w:rPr>
                <w:rFonts w:ascii="Calibri" w:hAnsi="Calibri"/>
                <w:sz w:val="22"/>
              </w:rPr>
              <w:t>Q2 Operating Leverage</w:t>
            </w:r>
          </w:p>
        </w:tc>
        <w:tc>
          <w:tcPr>
            <w:tcW w:type="dxa" w:w="1728"/>
          </w:tcPr>
          <w:p>
            <w:r>
              <w:rPr>
                <w:rFonts w:ascii="Calibri" w:hAnsi="Calibri"/>
                <w:sz w:val="22"/>
              </w:rPr>
              <w:t>FY2026 &gt;200 bps; Q1 delivered 290 bps</w:t>
            </w:r>
          </w:p>
        </w:tc>
        <w:tc>
          <w:tcPr>
            <w:tcW w:type="dxa" w:w="1728"/>
          </w:tcPr>
          <w:p>
            <w:r>
              <w:rPr>
                <w:rFonts w:ascii="Calibri" w:hAnsi="Calibri"/>
                <w:sz w:val="22"/>
              </w:rPr>
              <w:t>Q2 expected “at least as strong as Q1” (i.e., ≥290 bps)</w:t>
            </w:r>
          </w:p>
        </w:tc>
        <w:tc>
          <w:tcPr>
            <w:tcW w:type="dxa" w:w="1728"/>
          </w:tcPr>
          <w:p>
            <w:r>
              <w:rPr>
                <w:rFonts w:ascii="Calibri" w:hAnsi="Calibri"/>
                <w:sz w:val="22"/>
              </w:rPr>
              <w:t>Upgraded to “above 400 bps” for Q2 — well above full-year 200–300 bps target</w:t>
            </w:r>
          </w:p>
        </w:tc>
        <w:tc>
          <w:tcPr>
            <w:tcW w:type="dxa" w:w="1728"/>
          </w:tcPr>
          <w:p>
            <w:r>
              <w:rPr>
                <w:rFonts w:ascii="Calibri" w:hAnsi="Calibri"/>
                <w:b/>
                <w:color w:val="30A46C"/>
                <w:sz w:val="22"/>
              </w:rPr>
              <w:t>Upgraded ↑</w:t>
            </w:r>
          </w:p>
        </w:tc>
      </w:tr>
      <w:tr>
        <w:tc>
          <w:tcPr>
            <w:tcW w:type="dxa" w:w="1728"/>
          </w:tcPr>
          <w:p>
            <w:r>
              <w:rPr>
                <w:rFonts w:ascii="Calibri" w:hAnsi="Calibri"/>
                <w:sz w:val="22"/>
              </w:rPr>
              <w:t>Sales &amp; Trading Revenue (Q2 YoY)</w:t>
            </w:r>
          </w:p>
        </w:tc>
        <w:tc>
          <w:tcPr>
            <w:tcW w:type="dxa" w:w="1728"/>
          </w:tcPr>
          <w:p>
            <w:r>
              <w:rPr>
                <w:rFonts w:ascii="Calibri" w:hAnsi="Calibri"/>
                <w:sz w:val="22"/>
              </w:rPr>
              <w:t>Q1 trading up 12% YoY; 15th consecutive quarter of YoY growth</w:t>
            </w:r>
          </w:p>
        </w:tc>
        <w:tc>
          <w:tcPr>
            <w:tcW w:type="dxa" w:w="1728"/>
          </w:tcPr>
          <w:p>
            <w:r>
              <w:rPr>
                <w:rFonts w:ascii="Calibri" w:hAnsi="Calibri"/>
                <w:sz w:val="22"/>
              </w:rPr>
              <w:t>Tracking toward strong YoY increase; expected to be 17th consecutive quarter of growth</w:t>
            </w:r>
          </w:p>
        </w:tc>
        <w:tc>
          <w:tcPr>
            <w:tcW w:type="dxa" w:w="1728"/>
          </w:tcPr>
          <w:p>
            <w:r>
              <w:rPr>
                <w:rFonts w:ascii="Calibri" w:hAnsi="Calibri"/>
                <w:sz w:val="22"/>
              </w:rPr>
              <w:t>Better than mid-teens YoY growth; equities and APAC primary drivers; FICC mixed</w:t>
            </w:r>
          </w:p>
        </w:tc>
        <w:tc>
          <w:tcPr>
            <w:tcW w:type="dxa" w:w="1728"/>
          </w:tcPr>
          <w:p>
            <w:r>
              <w:rPr>
                <w:rFonts w:ascii="Calibri" w:hAnsi="Calibri"/>
                <w:b/>
                <w:color w:val="30A46C"/>
                <w:sz w:val="22"/>
              </w:rPr>
              <w:t>Upgraded ↑</w:t>
            </w:r>
          </w:p>
        </w:tc>
      </w:tr>
      <w:tr>
        <w:tc>
          <w:tcPr>
            <w:tcW w:type="dxa" w:w="1728"/>
          </w:tcPr>
          <w:p>
            <w:r>
              <w:rPr>
                <w:rFonts w:ascii="Calibri" w:hAnsi="Calibri"/>
                <w:sz w:val="22"/>
              </w:rPr>
              <w:t>Investment Banking Fees (Q2)</w:t>
            </w:r>
          </w:p>
        </w:tc>
        <w:tc>
          <w:tcPr>
            <w:tcW w:type="dxa" w:w="1728"/>
          </w:tcPr>
          <w:p>
            <w:r>
              <w:rPr>
                <w:rFonts w:ascii="Calibri" w:hAnsi="Calibri"/>
                <w:sz w:val="22"/>
              </w:rPr>
              <w:t>Q1 IB fees $1.84B, up 21% YoY; strong M&amp;A and ECM momentum; full pipelines</w:t>
            </w:r>
          </w:p>
        </w:tc>
        <w:tc>
          <w:tcPr>
            <w:tcW w:type="dxa" w:w="1728"/>
          </w:tcPr>
          <w:p>
            <w:r>
              <w:rPr>
                <w:rFonts w:ascii="Calibri" w:hAnsi="Calibri"/>
                <w:sz w:val="22"/>
              </w:rPr>
              <w:t>Solid; full pipelines</w:t>
            </w:r>
          </w:p>
        </w:tc>
        <w:tc>
          <w:tcPr>
            <w:tcW w:type="dxa" w:w="1728"/>
          </w:tcPr>
          <w:p>
            <w:r>
              <w:rPr>
                <w:rFonts w:ascii="Calibri" w:hAnsi="Calibri"/>
                <w:sz w:val="22"/>
              </w:rPr>
              <w:t>Tracking consistent with Q1 2026 levels (~$1.84B)</w:t>
            </w:r>
          </w:p>
        </w:tc>
        <w:tc>
          <w:tcPr>
            <w:tcW w:type="dxa" w:w="1728"/>
          </w:tcPr>
          <w:p>
            <w:r>
              <w:rPr>
                <w:rFonts w:ascii="Calibri" w:hAnsi="Calibri"/>
                <w:b/>
                <w:color w:val="30A46C"/>
                <w:sz w:val="22"/>
              </w:rPr>
              <w:t>Stable</w:t>
            </w:r>
          </w:p>
        </w:tc>
      </w:tr>
      <w:tr>
        <w:tc>
          <w:tcPr>
            <w:tcW w:type="dxa" w:w="1728"/>
          </w:tcPr>
          <w:p>
            <w:r>
              <w:rPr>
                <w:rFonts w:ascii="Calibri" w:hAnsi="Calibri"/>
                <w:sz w:val="22"/>
              </w:rPr>
              <w:t>Wealth Management Revenue (Q2 YoY)</w:t>
            </w:r>
          </w:p>
        </w:tc>
        <w:tc>
          <w:tcPr>
            <w:tcW w:type="dxa" w:w="1728"/>
          </w:tcPr>
          <w:p>
            <w:r>
              <w:rPr>
                <w:rFonts w:ascii="Calibri" w:hAnsi="Calibri"/>
                <w:sz w:val="22"/>
              </w:rPr>
              <w:t>GWIM performing well; AUM growth strong</w:t>
            </w:r>
          </w:p>
        </w:tc>
        <w:tc>
          <w:tcPr>
            <w:tcW w:type="dxa" w:w="1728"/>
          </w:tcPr>
          <w:p>
            <w:r>
              <w:rPr>
                <w:rFonts w:ascii="Calibri" w:hAnsi="Calibri"/>
                <w:sz w:val="22"/>
              </w:rPr>
              <w:t>Up low-teens YoY</w:t>
            </w:r>
          </w:p>
        </w:tc>
        <w:tc>
          <w:tcPr>
            <w:tcW w:type="dxa" w:w="1728"/>
          </w:tcPr>
          <w:p>
            <w:r>
              <w:rPr>
                <w:rFonts w:ascii="Calibri" w:hAnsi="Calibri"/>
                <w:sz w:val="22"/>
              </w:rPr>
              <w:t>Confirmed strong; no change</w:t>
            </w:r>
          </w:p>
        </w:tc>
        <w:tc>
          <w:tcPr>
            <w:tcW w:type="dxa" w:w="1728"/>
          </w:tcPr>
          <w:p>
            <w:r>
              <w:rPr>
                <w:rFonts w:ascii="Calibri" w:hAnsi="Calibri"/>
                <w:b/>
                <w:color w:val="30A46C"/>
                <w:sz w:val="22"/>
              </w:rPr>
              <w:t>Stable / Strong</w:t>
            </w:r>
          </w:p>
        </w:tc>
      </w:tr>
      <w:tr>
        <w:tc>
          <w:tcPr>
            <w:tcW w:type="dxa" w:w="1728"/>
          </w:tcPr>
          <w:p>
            <w:r>
              <w:rPr>
                <w:rFonts w:ascii="Calibri" w:hAnsi="Calibri"/>
                <w:sz w:val="22"/>
              </w:rPr>
              <w:t>Consumer Credit / NCOs</w:t>
            </w:r>
          </w:p>
        </w:tc>
        <w:tc>
          <w:tcPr>
            <w:tcW w:type="dxa" w:w="1728"/>
          </w:tcPr>
          <w:p>
            <w:r>
              <w:rPr>
                <w:rFonts w:ascii="Calibri" w:hAnsi="Calibri"/>
                <w:sz w:val="22"/>
              </w:rPr>
              <w:t>Credit quality benign; employment the key variable; NCO ratio 0.48%</w:t>
            </w:r>
          </w:p>
        </w:tc>
        <w:tc>
          <w:tcPr>
            <w:tcW w:type="dxa" w:w="1728"/>
          </w:tcPr>
          <w:p>
            <w:r>
              <w:rPr>
                <w:rFonts w:ascii="Calibri" w:hAnsi="Calibri"/>
                <w:sz w:val="22"/>
              </w:rPr>
              <w:t>Consumer spending tracking solidly YoY; employment stable</w:t>
            </w:r>
          </w:p>
        </w:tc>
        <w:tc>
          <w:tcPr>
            <w:tcW w:type="dxa" w:w="1728"/>
          </w:tcPr>
          <w:p>
            <w:r>
              <w:rPr>
                <w:rFonts w:ascii="Calibri" w:hAnsi="Calibri"/>
                <w:sz w:val="22"/>
              </w:rPr>
              <w:t>Consumer spending solid through early Q2; line utilization below historical norms (embedded growth opportunity)</w:t>
            </w:r>
          </w:p>
        </w:tc>
        <w:tc>
          <w:tcPr>
            <w:tcW w:type="dxa" w:w="1728"/>
          </w:tcPr>
          <w:p>
            <w:r>
              <w:rPr>
                <w:rFonts w:ascii="Calibri" w:hAnsi="Calibri"/>
                <w:b/>
                <w:color w:val="30A46C"/>
                <w:sz w:val="22"/>
              </w:rPr>
              <w:t>Stable / Watchful</w:t>
            </w:r>
          </w:p>
        </w:tc>
      </w:tr>
      <w:tr>
        <w:tc>
          <w:tcPr>
            <w:tcW w:type="dxa" w:w="1728"/>
          </w:tcPr>
          <w:p>
            <w:r>
              <w:rPr>
                <w:rFonts w:ascii="Calibri" w:hAnsi="Calibri"/>
                <w:sz w:val="22"/>
              </w:rPr>
              <w:t>Capital / Buybacks</w:t>
            </w:r>
          </w:p>
        </w:tc>
        <w:tc>
          <w:tcPr>
            <w:tcW w:type="dxa" w:w="1728"/>
          </w:tcPr>
          <w:p>
            <w:r>
              <w:rPr>
                <w:rFonts w:ascii="Calibri" w:hAnsi="Calibri"/>
                <w:sz w:val="22"/>
              </w:rPr>
              <w:t>Buybacks stepping up; target ~50 bps buffer above regulatory minimums; CET1 robust</w:t>
            </w:r>
          </w:p>
        </w:tc>
        <w:tc>
          <w:tcPr>
            <w:tcW w:type="dxa" w:w="1728"/>
          </w:tcPr>
          <w:p>
            <w:r>
              <w:rPr>
                <w:rFonts w:ascii="Calibri" w:hAnsi="Calibri"/>
                <w:sz w:val="22"/>
              </w:rPr>
              <w:t>Continued capital return; comfortable with tighter buffer</w:t>
            </w:r>
          </w:p>
        </w:tc>
        <w:tc>
          <w:tcPr>
            <w:tcW w:type="dxa" w:w="1728"/>
          </w:tcPr>
          <w:p>
            <w:r>
              <w:rPr>
                <w:rFonts w:ascii="Calibri" w:hAnsi="Calibri"/>
                <w:sz w:val="22"/>
              </w:rPr>
              <w:t>No change; capital return philosophy intact</w:t>
            </w:r>
          </w:p>
        </w:tc>
        <w:tc>
          <w:tcPr>
            <w:tcW w:type="dxa" w:w="1728"/>
          </w:tcPr>
          <w:p>
            <w:r>
              <w:rPr>
                <w:rFonts w:ascii="Calibri" w:hAnsi="Calibri"/>
                <w:b/>
                <w:color w:val="30A46C"/>
                <w:sz w:val="22"/>
              </w:rPr>
              <w:t>Stable</w:t>
            </w:r>
          </w:p>
        </w:tc>
      </w:tr>
    </w:tbl>
    <w:p>
      <w:r>
        <w:rPr>
          <w:rFonts w:ascii="Calibri" w:hAnsi="Calibri"/>
          <w:i/>
          <w:color w:val="525866"/>
          <w:sz w:val="22"/>
        </w:rPr>
        <w:t>Source: BAC Q1 2026 Earnings Call Transcript (April 15, 2026); BAC Bernstein Strategic Decisions Conference Transcript (May 27, 2026); BAC Morgan Stanley U.S. Financials Conference Transcript (June 9,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Sell-side estimates have moved up since Q1 earnings, but have not fully caught up to the upgraded guidance — particularly on operating leverage and trading, where management’s June 9 upgrade implies further upside to current consensus.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Pre-Q1 Earnings Consensus (Apr 21, 2026)</w:t>
            </w:r>
          </w:p>
        </w:tc>
        <w:tc>
          <w:tcPr>
            <w:tcW w:type="dxa" w:w="1440"/>
            <w:shd w:val="clear" w:color="auto" w:fill="3B4259"/>
          </w:tcPr>
          <w:p>
            <w:r>
              <w:rPr>
                <w:rFonts w:ascii="Calibri" w:hAnsi="Calibri"/>
                <w:b/>
                <w:color w:val="FFFFFF"/>
                <w:sz w:val="22"/>
              </w:rPr>
              <w:t>Latest Consensus (Jul 2026)</w:t>
            </w:r>
          </w:p>
        </w:tc>
        <w:tc>
          <w:tcPr>
            <w:tcW w:type="dxa" w:w="1440"/>
            <w:shd w:val="clear" w:color="auto" w:fill="3B4259"/>
          </w:tcPr>
          <w:p>
            <w:r>
              <w:rPr>
                <w:rFonts w:ascii="Calibri" w:hAnsi="Calibri"/>
                <w:b/>
                <w:color w:val="FFFFFF"/>
                <w:sz w:val="22"/>
              </w:rPr>
              <w:t>Revision Direction</w:t>
            </w:r>
          </w:p>
        </w:tc>
        <w:tc>
          <w:tcPr>
            <w:tcW w:type="dxa" w:w="1440"/>
            <w:shd w:val="clear" w:color="auto" w:fill="3B4259"/>
          </w:tcPr>
          <w:p>
            <w:r>
              <w:rPr>
                <w:rFonts w:ascii="Calibri" w:hAnsi="Calibri"/>
                <w:b/>
                <w:color w:val="FFFFFF"/>
                <w:sz w:val="22"/>
              </w:rPr>
              <w:t>Management Guidance / Signal</w:t>
            </w:r>
          </w:p>
        </w:tc>
        <w:tc>
          <w:tcPr>
            <w:tcW w:type="dxa" w:w="1440"/>
            <w:shd w:val="clear" w:color="auto" w:fill="3B4259"/>
          </w:tcPr>
          <w:p>
            <w:r>
              <w:rPr>
                <w:rFonts w:ascii="Calibri" w:hAnsi="Calibri"/>
                <w:b/>
                <w:color w:val="FFFFFF"/>
                <w:sz w:val="22"/>
              </w:rPr>
              <w:t>Gap (Cons. vs. Guidance)</w:t>
            </w:r>
          </w:p>
        </w:tc>
      </w:tr>
      <w:tr>
        <w:tc>
          <w:tcPr>
            <w:tcW w:type="dxa" w:w="1440"/>
          </w:tcPr>
          <w:p>
            <w:r>
              <w:rPr>
                <w:rFonts w:ascii="Calibri" w:hAnsi="Calibri"/>
                <w:sz w:val="22"/>
              </w:rPr>
              <w:t>NII (Q2 2026)</w:t>
            </w:r>
          </w:p>
        </w:tc>
        <w:tc>
          <w:tcPr>
            <w:tcW w:type="dxa" w:w="1440"/>
          </w:tcPr>
          <w:p>
            <w:r>
              <w:rPr>
                <w:rFonts w:ascii="Calibri" w:hAnsi="Calibri"/>
                <w:sz w:val="22"/>
              </w:rPr>
              <w:t>$15.989B</w:t>
            </w:r>
          </w:p>
        </w:tc>
        <w:tc>
          <w:tcPr>
            <w:tcW w:type="dxa" w:w="1440"/>
          </w:tcPr>
          <w:p>
            <w:r>
              <w:rPr>
                <w:rFonts w:ascii="Calibri" w:hAnsi="Calibri"/>
                <w:sz w:val="22"/>
              </w:rPr>
              <w:t>$16.033B</w:t>
            </w:r>
          </w:p>
        </w:tc>
        <w:tc>
          <w:tcPr>
            <w:tcW w:type="dxa" w:w="1440"/>
          </w:tcPr>
          <w:p>
            <w:r>
              <w:rPr>
                <w:rFonts w:ascii="Calibri" w:hAnsi="Calibri"/>
                <w:b/>
                <w:color w:val="30A46C"/>
                <w:sz w:val="22"/>
              </w:rPr>
              <w:t>+$44M ↑</w:t>
            </w:r>
          </w:p>
        </w:tc>
        <w:tc>
          <w:tcPr>
            <w:tcW w:type="dxa" w:w="1440"/>
          </w:tcPr>
          <w:p>
            <w:r>
              <w:rPr>
                <w:rFonts w:ascii="Calibri" w:hAnsi="Calibri"/>
                <w:sz w:val="22"/>
              </w:rPr>
              <w:t>On track within raised FY2026 +6–8% range</w:t>
            </w:r>
          </w:p>
        </w:tc>
        <w:tc>
          <w:tcPr>
            <w:tcW w:type="dxa" w:w="1440"/>
          </w:tcPr>
          <w:p>
            <w:r>
              <w:rPr>
                <w:rFonts w:ascii="Calibri" w:hAnsi="Calibri"/>
                <w:sz w:val="22"/>
              </w:rPr>
              <w:t>Aligned</w:t>
            </w:r>
          </w:p>
        </w:tc>
      </w:tr>
      <w:tr>
        <w:tc>
          <w:tcPr>
            <w:tcW w:type="dxa" w:w="1440"/>
          </w:tcPr>
          <w:p>
            <w:r>
              <w:rPr>
                <w:rFonts w:ascii="Calibri" w:hAnsi="Calibri"/>
                <w:sz w:val="22"/>
              </w:rPr>
              <w:t>Operating EPS (Q2 2026)</w:t>
            </w:r>
          </w:p>
        </w:tc>
        <w:tc>
          <w:tcPr>
            <w:tcW w:type="dxa" w:w="1440"/>
          </w:tcPr>
          <w:p>
            <w:r>
              <w:rPr>
                <w:rFonts w:ascii="Calibri" w:hAnsi="Calibri"/>
                <w:sz w:val="22"/>
              </w:rPr>
              <w:t>$1.093</w:t>
            </w:r>
          </w:p>
        </w:tc>
        <w:tc>
          <w:tcPr>
            <w:tcW w:type="dxa" w:w="1440"/>
          </w:tcPr>
          <w:p>
            <w:r>
              <w:rPr>
                <w:rFonts w:ascii="Calibri" w:hAnsi="Calibri"/>
                <w:sz w:val="22"/>
              </w:rPr>
              <w:t>$1.128</w:t>
            </w:r>
          </w:p>
        </w:tc>
        <w:tc>
          <w:tcPr>
            <w:tcW w:type="dxa" w:w="1440"/>
          </w:tcPr>
          <w:p>
            <w:r>
              <w:rPr>
                <w:rFonts w:ascii="Calibri" w:hAnsi="Calibri"/>
                <w:b/>
                <w:color w:val="30A46C"/>
                <w:sz w:val="22"/>
              </w:rPr>
              <w:t>+$0.035 ↑</w:t>
            </w:r>
          </w:p>
        </w:tc>
        <w:tc>
          <w:tcPr>
            <w:tcW w:type="dxa" w:w="1440"/>
          </w:tcPr>
          <w:p>
            <w:r>
              <w:rPr>
                <w:rFonts w:ascii="Calibri" w:hAnsi="Calibri"/>
                <w:sz w:val="22"/>
              </w:rPr>
              <w:t>No explicit quarterly EPS guidance; implied by &gt;400 bps OL</w:t>
            </w:r>
          </w:p>
        </w:tc>
        <w:tc>
          <w:tcPr>
            <w:tcW w:type="dxa" w:w="1440"/>
          </w:tcPr>
          <w:p>
            <w:r>
              <w:rPr>
                <w:rFonts w:ascii="Calibri" w:hAnsi="Calibri"/>
                <w:sz w:val="22"/>
              </w:rPr>
              <w:t>Potential upside if OL exceeds 400 bps</w:t>
            </w:r>
          </w:p>
        </w:tc>
      </w:tr>
      <w:tr>
        <w:tc>
          <w:tcPr>
            <w:tcW w:type="dxa" w:w="1440"/>
          </w:tcPr>
          <w:p>
            <w:r>
              <w:rPr>
                <w:rFonts w:ascii="Calibri" w:hAnsi="Calibri"/>
                <w:sz w:val="22"/>
              </w:rPr>
              <w:t>Total Revenue (Q2 2026)</w:t>
            </w:r>
          </w:p>
        </w:tc>
        <w:tc>
          <w:tcPr>
            <w:tcW w:type="dxa" w:w="1440"/>
          </w:tcPr>
          <w:p>
            <w:r>
              <w:rPr>
                <w:rFonts w:ascii="Calibri" w:hAnsi="Calibri"/>
                <w:sz w:val="22"/>
              </w:rPr>
              <w:t>$29.957B</w:t>
            </w:r>
          </w:p>
        </w:tc>
        <w:tc>
          <w:tcPr>
            <w:tcW w:type="dxa" w:w="1440"/>
          </w:tcPr>
          <w:p>
            <w:r>
              <w:rPr>
                <w:rFonts w:ascii="Calibri" w:hAnsi="Calibri"/>
                <w:sz w:val="22"/>
              </w:rPr>
              <w:t>$30.603B</w:t>
            </w:r>
          </w:p>
        </w:tc>
        <w:tc>
          <w:tcPr>
            <w:tcW w:type="dxa" w:w="1440"/>
          </w:tcPr>
          <w:p>
            <w:r>
              <w:rPr>
                <w:rFonts w:ascii="Calibri" w:hAnsi="Calibri"/>
                <w:b/>
                <w:color w:val="30A46C"/>
                <w:sz w:val="22"/>
              </w:rPr>
              <w:t>+$646M ↑</w:t>
            </w:r>
          </w:p>
        </w:tc>
        <w:tc>
          <w:tcPr>
            <w:tcW w:type="dxa" w:w="1440"/>
          </w:tcPr>
          <w:p>
            <w:r>
              <w:rPr>
                <w:rFonts w:ascii="Calibri" w:hAnsi="Calibri"/>
                <w:sz w:val="22"/>
              </w:rPr>
              <w:t>No explicit quarterly revenue guidance</w:t>
            </w:r>
          </w:p>
        </w:tc>
        <w:tc>
          <w:tcPr>
            <w:tcW w:type="dxa" w:w="1440"/>
          </w:tcPr>
          <w:p>
            <w:r>
              <w:rPr>
                <w:rFonts w:ascii="Calibri" w:hAnsi="Calibri"/>
                <w:sz w:val="22"/>
              </w:rPr>
              <w:t>Revisions tracking guidance upgrade</w:t>
            </w:r>
          </w:p>
        </w:tc>
      </w:tr>
      <w:tr>
        <w:tc>
          <w:tcPr>
            <w:tcW w:type="dxa" w:w="1440"/>
          </w:tcPr>
          <w:p>
            <w:r>
              <w:rPr>
                <w:rFonts w:ascii="Calibri" w:hAnsi="Calibri"/>
                <w:sz w:val="22"/>
              </w:rPr>
              <w:t>Sales &amp; Trading (Q2 2026)</w:t>
            </w:r>
          </w:p>
        </w:tc>
        <w:tc>
          <w:tcPr>
            <w:tcW w:type="dxa" w:w="1440"/>
          </w:tcPr>
          <w:p>
            <w:r>
              <w:rPr>
                <w:rFonts w:ascii="Calibri" w:hAnsi="Calibri"/>
                <w:sz w:val="22"/>
              </w:rPr>
              <w:t>~$5.061B (Q2 2025 cons. baseline)</w:t>
            </w:r>
          </w:p>
        </w:tc>
        <w:tc>
          <w:tcPr>
            <w:tcW w:type="dxa" w:w="1440"/>
          </w:tcPr>
          <w:p>
            <w:r>
              <w:rPr>
                <w:rFonts w:ascii="Calibri" w:hAnsi="Calibri"/>
                <w:sz w:val="22"/>
              </w:rPr>
              <w:t>$6.281B</w:t>
            </w:r>
          </w:p>
        </w:tc>
        <w:tc>
          <w:tcPr>
            <w:tcW w:type="dxa" w:w="1440"/>
          </w:tcPr>
          <w:p>
            <w:r>
              <w:rPr>
                <w:rFonts w:ascii="Calibri" w:hAnsi="Calibri"/>
                <w:b/>
                <w:color w:val="30A46C"/>
                <w:sz w:val="22"/>
              </w:rPr>
              <w:t>Significant upward revision ↑</w:t>
            </w:r>
          </w:p>
        </w:tc>
        <w:tc>
          <w:tcPr>
            <w:tcW w:type="dxa" w:w="1440"/>
          </w:tcPr>
          <w:p>
            <w:r>
              <w:rPr>
                <w:rFonts w:ascii="Calibri" w:hAnsi="Calibri"/>
                <w:sz w:val="22"/>
              </w:rPr>
              <w:t>Better than mid-teens YoY growth (Jun 9 upgrade)</w:t>
            </w:r>
          </w:p>
        </w:tc>
        <w:tc>
          <w:tcPr>
            <w:tcW w:type="dxa" w:w="1440"/>
          </w:tcPr>
          <w:p>
            <w:r>
              <w:rPr>
                <w:rFonts w:ascii="Calibri" w:hAnsi="Calibri"/>
                <w:sz w:val="22"/>
              </w:rPr>
              <w:t>Consensus may still be slightly below guidance</w:t>
            </w:r>
          </w:p>
        </w:tc>
      </w:tr>
      <w:tr>
        <w:tc>
          <w:tcPr>
            <w:tcW w:type="dxa" w:w="1440"/>
          </w:tcPr>
          <w:p>
            <w:r>
              <w:rPr>
                <w:rFonts w:ascii="Calibri" w:hAnsi="Calibri"/>
                <w:sz w:val="22"/>
              </w:rPr>
              <w:t>FY2026 Operating EPS</w:t>
            </w:r>
          </w:p>
        </w:tc>
        <w:tc>
          <w:tcPr>
            <w:tcW w:type="dxa" w:w="1440"/>
          </w:tcPr>
          <w:p>
            <w:r>
              <w:rPr>
                <w:rFonts w:ascii="Calibri" w:hAnsi="Calibri"/>
                <w:sz w:val="22"/>
              </w:rPr>
              <w:t>N/A (pre-Q1 baseline)</w:t>
            </w:r>
          </w:p>
        </w:tc>
        <w:tc>
          <w:tcPr>
            <w:tcW w:type="dxa" w:w="1440"/>
          </w:tcPr>
          <w:p>
            <w:r>
              <w:rPr>
                <w:rFonts w:ascii="Calibri" w:hAnsi="Calibri"/>
                <w:sz w:val="22"/>
              </w:rPr>
              <w:t>$4.507</w:t>
            </w:r>
          </w:p>
        </w:tc>
        <w:tc>
          <w:tcPr>
            <w:tcW w:type="dxa" w:w="1440"/>
          </w:tcPr>
          <w:p>
            <w:r>
              <w:rPr>
                <w:rFonts w:ascii="Calibri" w:hAnsi="Calibri"/>
                <w:b/>
                <w:color w:val="30A46C"/>
                <w:sz w:val="22"/>
              </w:rPr>
              <w:t>Revised up post-Q1 beat ↑</w:t>
            </w:r>
          </w:p>
        </w:tc>
        <w:tc>
          <w:tcPr>
            <w:tcW w:type="dxa" w:w="1440"/>
          </w:tcPr>
          <w:p>
            <w:r>
              <w:rPr>
                <w:rFonts w:ascii="Calibri" w:hAnsi="Calibri"/>
                <w:sz w:val="22"/>
              </w:rPr>
              <w:t>Implied by &gt;200 bps FY OL guidance</w:t>
            </w:r>
          </w:p>
        </w:tc>
        <w:tc>
          <w:tcPr>
            <w:tcW w:type="dxa" w:w="1440"/>
          </w:tcPr>
          <w:p>
            <w:r>
              <w:rPr>
                <w:rFonts w:ascii="Calibri" w:hAnsi="Calibri"/>
                <w:sz w:val="22"/>
              </w:rPr>
              <w:t>Upside risk if Q2 OL &gt;400 bps confirmed</w:t>
            </w:r>
          </w:p>
        </w:tc>
      </w:tr>
      <w:tr>
        <w:tc>
          <w:tcPr>
            <w:tcW w:type="dxa" w:w="1440"/>
          </w:tcPr>
          <w:p>
            <w:r>
              <w:rPr>
                <w:rFonts w:ascii="Calibri" w:hAnsi="Calibri"/>
                <w:sz w:val="22"/>
              </w:rPr>
              <w:t>FY2027 Operating EPS</w:t>
            </w:r>
          </w:p>
        </w:tc>
        <w:tc>
          <w:tcPr>
            <w:tcW w:type="dxa" w:w="1440"/>
          </w:tcPr>
          <w:p>
            <w:r>
              <w:rPr>
                <w:rFonts w:ascii="Calibri" w:hAnsi="Calibri"/>
                <w:sz w:val="22"/>
              </w:rPr>
              <w:t>N/A</w:t>
            </w:r>
          </w:p>
        </w:tc>
        <w:tc>
          <w:tcPr>
            <w:tcW w:type="dxa" w:w="1440"/>
          </w:tcPr>
          <w:p>
            <w:r>
              <w:rPr>
                <w:rFonts w:ascii="Calibri" w:hAnsi="Calibri"/>
                <w:sz w:val="22"/>
              </w:rPr>
              <w:t>$5.141</w:t>
            </w:r>
          </w:p>
        </w:tc>
        <w:tc>
          <w:tcPr>
            <w:tcW w:type="dxa" w:w="1440"/>
          </w:tcPr>
          <w:p>
            <w:r>
              <w:rPr>
                <w:rFonts w:ascii="Calibri" w:hAnsi="Calibri"/>
                <w:b/>
                <w:color w:val="30A46C"/>
                <w:sz w:val="22"/>
              </w:rPr>
              <w:t>Tracking higher ↑</w:t>
            </w:r>
          </w:p>
        </w:tc>
        <w:tc>
          <w:tcPr>
            <w:tcW w:type="dxa" w:w="1440"/>
          </w:tcPr>
          <w:p>
            <w:r>
              <w:rPr>
                <w:rFonts w:ascii="Calibri" w:hAnsi="Calibri"/>
                <w:sz w:val="22"/>
              </w:rPr>
              <w:t>200–300 bps OL target over 3–5 year period</w:t>
            </w:r>
          </w:p>
        </w:tc>
        <w:tc>
          <w:tcPr>
            <w:tcW w:type="dxa" w:w="1440"/>
          </w:tcPr>
          <w:p>
            <w:r>
              <w:rPr>
                <w:rFonts w:ascii="Calibri" w:hAnsi="Calibri"/>
                <w:sz w:val="22"/>
              </w:rPr>
              <w:t>Upside if ROTCE trajectory continues</w:t>
            </w:r>
          </w:p>
        </w:tc>
      </w:tr>
    </w:tbl>
    <w:p>
      <w:r>
        <w:rPr>
          <w:rFonts w:ascii="Calibri" w:hAnsi="Calibri"/>
          <w:i/>
          <w:color w:val="525866"/>
          <w:sz w:val="22"/>
        </w:rPr>
        <w:t>Source: Visible Alpha Consensus and Actuals Data (pre-Q1 snapshot as of April 21, 2026; latest as of July 2026). BAC Q1 2026 Earnings Call; BAC Morgan Stanley U.S. Financials Conference (June 9,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BAC has outperformed both the XLF and KRE since Q1 2026 earnings, gaining ~+9.5% (indexed) vs. +7.5% for XLF and +8.6% for KRE, with the most significant re-rating occurring after the June 9 Morgan Stanley conference when management upgraded Q2 operating leverage guidance to above 400 bps.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BAC vs. XLF (Financials ETF) vs. KRE (Regional Banks ETF) — Indexed to 100 at Q1 2026 Earnings (April 15, 2026). Orange dashed lines mark key management conference appearances. Source: Stock Price Data.</w:t>
      </w:r>
    </w:p>
    <w:p>
      <w:pPr>
        <w:pStyle w:val="ListBullet"/>
        <w:ind w:left="360" w:hanging="360"/>
      </w:pPr>
      <w:r>
        <w:rPr>
          <w:rFonts w:ascii="Calibri" w:hAnsi="Calibri"/>
          <w:b/>
          <w:color w:val="525866"/>
          <w:sz w:val="22"/>
        </w:rPr>
        <w:t xml:space="preserve">Post-Q1 Earnings (Apr 15): </w:t>
      </w:r>
      <w:r>
        <w:rPr>
          <w:rFonts w:ascii="Calibri" w:hAnsi="Calibri"/>
          <w:color w:val="525866"/>
          <w:sz w:val="22"/>
        </w:rPr>
        <w:t>BAC opened at $54.32 on earnings day, reflecting an immediate positive reaction to the Q1 beat and raised NII guidance.</w:t>
      </w:r>
    </w:p>
    <w:p>
      <w:pPr>
        <w:pStyle w:val="ListBullet"/>
        <w:ind w:left="360" w:hanging="360"/>
      </w:pPr>
      <w:r>
        <w:rPr>
          <w:rFonts w:ascii="Calibri" w:hAnsi="Calibri"/>
          <w:b/>
          <w:color w:val="525866"/>
          <w:sz w:val="22"/>
        </w:rPr>
        <w:t xml:space="preserve">May Pullback: </w:t>
      </w:r>
      <w:r>
        <w:rPr>
          <w:rFonts w:ascii="Calibri" w:hAnsi="Calibri"/>
          <w:color w:val="525866"/>
          <w:sz w:val="22"/>
        </w:rPr>
        <w:t>BAC dipped to a low of ~$49.77 (May 15) amid broader market uncertainty, underperforming XLF briefly, before recovering.</w:t>
      </w:r>
    </w:p>
    <w:p>
      <w:pPr>
        <w:pStyle w:val="ListBullet"/>
        <w:ind w:left="360" w:hanging="360"/>
      </w:pPr>
      <w:r>
        <w:rPr>
          <w:rFonts w:ascii="Calibri" w:hAnsi="Calibri"/>
          <w:b/>
          <w:color w:val="525866"/>
          <w:sz w:val="22"/>
        </w:rPr>
        <w:t xml:space="preserve">Bernstein Conference (May 27): </w:t>
      </w:r>
      <w:r>
        <w:rPr>
          <w:rFonts w:ascii="Calibri" w:hAnsi="Calibri"/>
          <w:color w:val="525866"/>
          <w:sz w:val="22"/>
        </w:rPr>
        <w:t>Management confirmed Q2 operating leverage “at least as strong as Q1” and wealth management up low-teens YoY, providing a floor for the stock.</w:t>
      </w:r>
    </w:p>
    <w:p>
      <w:pPr>
        <w:pStyle w:val="ListBullet"/>
        <w:ind w:left="360" w:hanging="360"/>
      </w:pPr>
      <w:r>
        <w:rPr>
          <w:rFonts w:ascii="Calibri" w:hAnsi="Calibri"/>
          <w:b/>
          <w:color w:val="525866"/>
          <w:sz w:val="22"/>
        </w:rPr>
        <w:t xml:space="preserve">Morgan Stanley Conference (Jun 9): </w:t>
      </w:r>
      <w:r>
        <w:rPr>
          <w:rFonts w:ascii="Calibri" w:hAnsi="Calibri"/>
          <w:color w:val="525866"/>
          <w:sz w:val="22"/>
        </w:rPr>
        <w:t>The operating leverage upgrade to &gt;400 bps and trading upgrade to better-than-mid-teens YoY triggered a sustained rally from ~$54 to ~$58+ through late June.</w:t>
      </w:r>
    </w:p>
    <w:p>
      <w:pPr>
        <w:pStyle w:val="ListBullet"/>
        <w:ind w:left="360" w:hanging="360"/>
      </w:pPr>
      <w:r>
        <w:rPr>
          <w:rFonts w:ascii="Calibri" w:hAnsi="Calibri"/>
          <w:b/>
          <w:color w:val="525866"/>
          <w:sz w:val="22"/>
        </w:rPr>
        <w:t xml:space="preserve">Current Level (Jul 13): </w:t>
      </w:r>
      <w:r>
        <w:rPr>
          <w:rFonts w:ascii="Calibri" w:hAnsi="Calibri"/>
          <w:color w:val="525866"/>
          <w:sz w:val="22"/>
        </w:rPr>
        <w:t>BAC closed at $59.50, up ~+9.5% since Q1 earnings, trading at approximately 12.5x forward earnings (FY2026E EPS of $4.51) and ~13.2x P/TBV. The stock has not yet priced in a full re-rating, leaving room for further multiple expansion if Q2 confirms the operating leverage trajectory.</w:t>
      </w:r>
    </w:p>
    <w:p>
      <w:r>
        <w:br w:type="page"/>
      </w:r>
    </w:p>
    <w:p>
      <w:pPr>
        <w:pStyle w:val="Heading2"/>
      </w:pPr>
      <w:r>
        <w:rPr>
          <w:rFonts w:ascii="Calibri" w:hAnsi="Calibri"/>
          <w:b/>
          <w:color w:val="3B4259"/>
          <w:sz w:val="28"/>
        </w:rPr>
        <w:t>6. Peer Commentaries — Last 60 Days</w:t>
      </w:r>
    </w:p>
    <w:p>
      <w:r>
        <w:rPr>
          <w:rFonts w:ascii="Calibri" w:hAnsi="Calibri"/>
          <w:b/>
          <w:color w:val="525866"/>
          <w:sz w:val="22"/>
        </w:rPr>
        <w:t xml:space="preserve">Key Takeaway: </w:t>
      </w:r>
      <w:r>
        <w:rPr>
          <w:rFonts w:ascii="Calibri" w:hAnsi="Calibri"/>
          <w:color w:val="525866"/>
          <w:sz w:val="22"/>
        </w:rPr>
        <w:t>Across JPMorgan, Wells Fargo, Citigroup, and Goldman Sachs, the read-through for BAC is broadly positive — peers universally flagged strong trading (equities and FICC), resilient investment banking, and benign credit quality heading into Q2, all of which are consistent with BAC’s own upgraded guidance. The macro backdrop (consumer resilience, stable employment, active capital markets) is supportive.</w:t>
      </w:r>
    </w:p>
    <w:p>
      <w:r>
        <w:rPr>
          <w:rFonts w:ascii="Calibri" w:hAnsi="Calibri"/>
          <w:i/>
          <w:color w:val="525866"/>
          <w:sz w:val="22"/>
        </w:rPr>
        <w:t>The following commentary is drawn from the Bernstein Strategic Decisions Conference (May 27–28, 2026) and the Morgan Stanley U.S. Financials Conference (June 9, 2026). These are the most recent public management appearances for BAC’s major peers and provide the clearest read-through into Q2 2026 results.</w:t>
      </w:r>
    </w:p>
    <w:p>
      <w:pPr>
        <w:pStyle w:val="Heading3"/>
      </w:pPr>
      <w:r>
        <w:rPr>
          <w:rFonts w:ascii="Calibri" w:hAnsi="Calibri"/>
          <w:b/>
          <w:color w:val="3B4259"/>
          <w:sz w:val="24"/>
        </w:rPr>
        <w:t>JPMorgan Chase (JPM)</w:t>
      </w:r>
    </w:p>
    <w:p>
      <w:r>
        <w:rPr>
          <w:rFonts w:ascii="Calibri" w:hAnsi="Calibri"/>
          <w:color w:val="525866"/>
          <w:sz w:val="22"/>
        </w:rPr>
        <w:t>Bernstein Conference (May 27) &amp; Morgan Stanley Conference (June 9):</w:t>
      </w:r>
    </w:p>
    <w:p>
      <w:pPr>
        <w:pStyle w:val="ListBullet"/>
        <w:ind w:left="360" w:hanging="360"/>
      </w:pPr>
      <w:r>
        <w:rPr>
          <w:rFonts w:ascii="Calibri" w:hAnsi="Calibri"/>
          <w:b/>
          <w:color w:val="525866"/>
          <w:sz w:val="22"/>
        </w:rPr>
        <w:t xml:space="preserve">Markets / Trading: </w:t>
      </w:r>
      <w:r>
        <w:rPr>
          <w:rFonts w:ascii="Calibri" w:hAnsi="Calibri"/>
          <w:color w:val="525866"/>
          <w:sz w:val="22"/>
        </w:rPr>
        <w:t>JPM guided Q2 markets revenue up approximately mid-teens year-over-year, with equities particularly strong. This is a direct positive read-through for BAC’s Global Markets segment, where management has guided to better-than-mid-teens YoY growth.</w:t>
      </w:r>
    </w:p>
    <w:p>
      <w:pPr>
        <w:pStyle w:val="ListBullet"/>
        <w:ind w:left="360" w:hanging="360"/>
      </w:pPr>
      <w:r>
        <w:rPr>
          <w:rFonts w:ascii="Calibri" w:hAnsi="Calibri"/>
          <w:b/>
          <w:color w:val="525866"/>
          <w:sz w:val="22"/>
        </w:rPr>
        <w:t xml:space="preserve">Investment Banking: </w:t>
      </w:r>
      <w:r>
        <w:rPr>
          <w:rFonts w:ascii="Calibri" w:hAnsi="Calibri"/>
          <w:color w:val="525866"/>
          <w:sz w:val="22"/>
        </w:rPr>
        <w:t>JPM described IB fees as tracking solidly, with ECM (IPOs and follow-ons) and M&amp;A both active. Pipelines described as full. Consistent with BAC’s own IB guidance of tracking at Q1 levels (~$1.84B).</w:t>
      </w:r>
    </w:p>
    <w:p>
      <w:pPr>
        <w:pStyle w:val="ListBullet"/>
        <w:ind w:left="360" w:hanging="360"/>
      </w:pPr>
      <w:r>
        <w:rPr>
          <w:rFonts w:ascii="Calibri" w:hAnsi="Calibri"/>
          <w:b/>
          <w:color w:val="525866"/>
          <w:sz w:val="22"/>
        </w:rPr>
        <w:t xml:space="preserve">NII: </w:t>
      </w:r>
      <w:r>
        <w:rPr>
          <w:rFonts w:ascii="Calibri" w:hAnsi="Calibri"/>
          <w:color w:val="525866"/>
          <w:sz w:val="22"/>
        </w:rPr>
        <w:t>JPM reaffirmed its full-year NII guidance, noting that the rate environment (no cuts expected) is supportive of fixed-rate asset repricing — the same dynamic driving BAC’s raised 6–8% NII growth guidance.</w:t>
      </w:r>
    </w:p>
    <w:p>
      <w:pPr>
        <w:pStyle w:val="ListBullet"/>
        <w:ind w:left="360" w:hanging="360"/>
      </w:pPr>
      <w:r>
        <w:rPr>
          <w:rFonts w:ascii="Calibri" w:hAnsi="Calibri"/>
          <w:b/>
          <w:color w:val="525866"/>
          <w:sz w:val="22"/>
        </w:rPr>
        <w:t xml:space="preserve">Credit Quality: </w:t>
      </w:r>
      <w:r>
        <w:rPr>
          <w:rFonts w:ascii="Calibri" w:hAnsi="Calibri"/>
          <w:color w:val="525866"/>
          <w:sz w:val="22"/>
        </w:rPr>
        <w:t>Consumer credit described as benign; NCLs tracking within expectations; delinquencies stable. Employment remains the key variable. Directly supportive of BAC’s credit quality outlook.</w:t>
      </w:r>
    </w:p>
    <w:p>
      <w:pPr>
        <w:pStyle w:val="ListBullet"/>
        <w:ind w:left="360" w:hanging="360"/>
      </w:pPr>
      <w:r>
        <w:rPr>
          <w:rFonts w:ascii="Calibri" w:hAnsi="Calibri"/>
          <w:b/>
          <w:color w:val="525866"/>
          <w:sz w:val="22"/>
        </w:rPr>
        <w:t xml:space="preserve">Read-Through for BAC: </w:t>
      </w:r>
      <w:r>
        <w:rPr>
          <w:rFonts w:ascii="Calibri" w:hAnsi="Calibri"/>
          <w:b/>
          <w:color w:val="30A46C"/>
          <w:sz w:val="22"/>
        </w:rPr>
        <w:t>Broadly positive across all key metrics. JPM’s trading and IB commentary validates BAC’s upgraded guidance.</w:t>
      </w:r>
    </w:p>
    <w:p>
      <w:pPr>
        <w:pStyle w:val="Heading3"/>
      </w:pPr>
      <w:r>
        <w:rPr>
          <w:rFonts w:ascii="Calibri" w:hAnsi="Calibri"/>
          <w:b/>
          <w:color w:val="3B4259"/>
          <w:sz w:val="24"/>
        </w:rPr>
        <w:t>Wells Fargo (WFC)</w:t>
      </w:r>
    </w:p>
    <w:p>
      <w:r>
        <w:rPr>
          <w:rFonts w:ascii="Calibri" w:hAnsi="Calibri"/>
          <w:color w:val="525866"/>
          <w:sz w:val="22"/>
        </w:rPr>
        <w:t>Bernstein Conference (May 27) &amp; Morgan Stanley Conference (June 9):</w:t>
      </w:r>
    </w:p>
    <w:p>
      <w:pPr>
        <w:pStyle w:val="ListBullet"/>
        <w:ind w:left="360" w:hanging="360"/>
      </w:pPr>
      <w:r>
        <w:rPr>
          <w:rFonts w:ascii="Calibri" w:hAnsi="Calibri"/>
          <w:b/>
          <w:color w:val="525866"/>
          <w:sz w:val="22"/>
        </w:rPr>
        <w:t xml:space="preserve">NII Trajectory: </w:t>
      </w:r>
      <w:r>
        <w:rPr>
          <w:rFonts w:ascii="Calibri" w:hAnsi="Calibri"/>
          <w:color w:val="525866"/>
          <w:sz w:val="22"/>
        </w:rPr>
        <w:t>WFC reaffirmed its NII guidance for 2026, noting that the higher-for-longer rate environment is supportive of NII growth as fixed-rate assets reprice. This is a direct positive read-through for BAC’s NII story, which is driven by the same repricing dynamic.</w:t>
      </w:r>
    </w:p>
    <w:p>
      <w:pPr>
        <w:pStyle w:val="ListBullet"/>
        <w:ind w:left="360" w:hanging="360"/>
      </w:pPr>
      <w:r>
        <w:rPr>
          <w:rFonts w:ascii="Calibri" w:hAnsi="Calibri"/>
          <w:b/>
          <w:color w:val="525866"/>
          <w:sz w:val="22"/>
        </w:rPr>
        <w:t xml:space="preserve">Expense Discipline: </w:t>
      </w:r>
      <w:r>
        <w:rPr>
          <w:rFonts w:ascii="Calibri" w:hAnsi="Calibri"/>
          <w:color w:val="525866"/>
          <w:sz w:val="22"/>
        </w:rPr>
        <w:t>WFC emphasized continued progress on efficiency ratio improvement and operating leverage, consistent with the sector-wide theme of revenue growing faster than expenses. BAC’s &gt;400 bps Q2 OL guidance is at the high end of the peer group.</w:t>
      </w:r>
    </w:p>
    <w:p>
      <w:pPr>
        <w:pStyle w:val="ListBullet"/>
        <w:ind w:left="360" w:hanging="360"/>
      </w:pPr>
      <w:r>
        <w:rPr>
          <w:rFonts w:ascii="Calibri" w:hAnsi="Calibri"/>
          <w:b/>
          <w:color w:val="525866"/>
          <w:sz w:val="22"/>
        </w:rPr>
        <w:t xml:space="preserve">Consumer Banking: </w:t>
      </w:r>
      <w:r>
        <w:rPr>
          <w:rFonts w:ascii="Calibri" w:hAnsi="Calibri"/>
          <w:color w:val="525866"/>
          <w:sz w:val="22"/>
        </w:rPr>
        <w:t>Consumer spending described as resilient; debit and credit card volumes tracking solidly year-over-year. Consistent with BAC’s own consumer spending commentary (solid YoY through early Q2).</w:t>
      </w:r>
    </w:p>
    <w:p>
      <w:pPr>
        <w:pStyle w:val="ListBullet"/>
        <w:ind w:left="360" w:hanging="360"/>
      </w:pPr>
      <w:r>
        <w:rPr>
          <w:rFonts w:ascii="Calibri" w:hAnsi="Calibri"/>
          <w:b/>
          <w:color w:val="525866"/>
          <w:sz w:val="22"/>
        </w:rPr>
        <w:t xml:space="preserve">Capital Markets: </w:t>
      </w:r>
      <w:r>
        <w:rPr>
          <w:rFonts w:ascii="Calibri" w:hAnsi="Calibri"/>
          <w:color w:val="525866"/>
          <w:sz w:val="22"/>
        </w:rPr>
        <w:t>WFC noted improving capital markets activity, particularly in DCM and ECM, supporting the broader IB fee recovery narrative.</w:t>
      </w:r>
    </w:p>
    <w:p>
      <w:pPr>
        <w:pStyle w:val="ListBullet"/>
        <w:ind w:left="360" w:hanging="360"/>
      </w:pPr>
      <w:r>
        <w:rPr>
          <w:rFonts w:ascii="Calibri" w:hAnsi="Calibri"/>
          <w:b/>
          <w:color w:val="525866"/>
          <w:sz w:val="22"/>
        </w:rPr>
        <w:t xml:space="preserve">Read-Through for BAC: </w:t>
      </w:r>
      <w:r>
        <w:rPr>
          <w:rFonts w:ascii="Calibri" w:hAnsi="Calibri"/>
          <w:b/>
          <w:color w:val="30A46C"/>
          <w:sz w:val="22"/>
        </w:rPr>
        <w:t>Positive on NII and consumer credit; WFC’s efficiency improvement narrative validates BAC’s operating leverage story.</w:t>
      </w:r>
    </w:p>
    <w:p>
      <w:pPr>
        <w:pStyle w:val="Heading3"/>
      </w:pPr>
      <w:r>
        <w:rPr>
          <w:rFonts w:ascii="Calibri" w:hAnsi="Calibri"/>
          <w:b/>
          <w:color w:val="3B4259"/>
          <w:sz w:val="24"/>
        </w:rPr>
        <w:t>Citigroup (C)</w:t>
      </w:r>
    </w:p>
    <w:p>
      <w:r>
        <w:rPr>
          <w:rFonts w:ascii="Calibri" w:hAnsi="Calibri"/>
          <w:color w:val="525866"/>
          <w:sz w:val="22"/>
        </w:rPr>
        <w:t>Morgan Stanley Conference (June 9) — CFO Gonzalo Luchetti:</w:t>
      </w:r>
    </w:p>
    <w:p>
      <w:pPr>
        <w:pStyle w:val="ListBullet"/>
        <w:ind w:left="360" w:hanging="360"/>
      </w:pPr>
      <w:r>
        <w:rPr>
          <w:rFonts w:ascii="Calibri" w:hAnsi="Calibri"/>
          <w:b/>
          <w:color w:val="525866"/>
          <w:sz w:val="22"/>
        </w:rPr>
        <w:t xml:space="preserve">Markets / Trading: </w:t>
      </w:r>
      <w:r>
        <w:rPr>
          <w:rFonts w:ascii="Calibri" w:hAnsi="Calibri"/>
          <w:color w:val="525866"/>
          <w:sz w:val="22"/>
        </w:rPr>
        <w:t>Citi guided Q2 markets revenue to “high single digits to low double-digit revenue growth” year-over-year, with strength in equities (prime, derivatives) and fixed income (currencies, commodities, financing/securitization). While Citi’s guidance is below BAC’s better-than-mid-teens signal, the directional read-through is positive — the trading environment is broadly constructive.</w:t>
      </w:r>
    </w:p>
    <w:p>
      <w:pPr>
        <w:pStyle w:val="ListBullet"/>
        <w:ind w:left="360" w:hanging="360"/>
      </w:pPr>
      <w:r>
        <w:rPr>
          <w:rFonts w:ascii="Calibri" w:hAnsi="Calibri"/>
          <w:b/>
          <w:color w:val="525866"/>
          <w:sz w:val="22"/>
        </w:rPr>
        <w:t xml:space="preserve">Investment Banking: </w:t>
      </w:r>
      <w:r>
        <w:rPr>
          <w:rFonts w:ascii="Calibri" w:hAnsi="Calibri"/>
          <w:color w:val="525866"/>
          <w:sz w:val="22"/>
        </w:rPr>
        <w:t>Citi guided Q2 IB fees to “mid-teens level of year-on-year growth,” anchored on equity activity (IPOs and follow-ons) and active DCM. High-yield and sponsor activity more selective. This is a strong positive read-through for BAC’s IB business.</w:t>
      </w:r>
    </w:p>
    <w:p>
      <w:pPr>
        <w:pStyle w:val="ListBullet"/>
        <w:ind w:left="360" w:hanging="360"/>
      </w:pPr>
      <w:r>
        <w:rPr>
          <w:rFonts w:ascii="Calibri" w:hAnsi="Calibri"/>
          <w:b/>
          <w:color w:val="525866"/>
          <w:sz w:val="22"/>
        </w:rPr>
        <w:t xml:space="preserve">NII ex-Markets: </w:t>
      </w:r>
      <w:r>
        <w:rPr>
          <w:rFonts w:ascii="Calibri" w:hAnsi="Calibri"/>
          <w:color w:val="525866"/>
          <w:sz w:val="22"/>
        </w:rPr>
        <w:t>Citi reaffirmed its FY2026 NII ex-Markets guidance of +5–6% YoY, noting Q1 came in at +7% YoY. Loan and deposit growth both tracking mid-single digits. Consistent with BAC’s NII growth trajectory.</w:t>
      </w:r>
    </w:p>
    <w:p>
      <w:pPr>
        <w:pStyle w:val="ListBullet"/>
        <w:ind w:left="360" w:hanging="360"/>
      </w:pPr>
      <w:r>
        <w:rPr>
          <w:rFonts w:ascii="Calibri" w:hAnsi="Calibri"/>
          <w:b/>
          <w:color w:val="525866"/>
          <w:sz w:val="22"/>
        </w:rPr>
        <w:t xml:space="preserve">Consumer Credit: </w:t>
      </w:r>
      <w:r>
        <w:rPr>
          <w:rFonts w:ascii="Calibri" w:hAnsi="Calibri"/>
          <w:color w:val="525866"/>
          <w:sz w:val="22"/>
        </w:rPr>
        <w:t>Citi described consumer credit as “well within expectations,” with delinquencies and NCLs down year-on-year following seasonal patterns. Cost of credit for Q2 expected to be “more or less in the range of Q1.” Directly supportive of BAC’s benign credit quality outlook.</w:t>
      </w:r>
    </w:p>
    <w:p>
      <w:pPr>
        <w:pStyle w:val="ListBullet"/>
        <w:ind w:left="360" w:hanging="360"/>
      </w:pPr>
      <w:r>
        <w:rPr>
          <w:rFonts w:ascii="Calibri" w:hAnsi="Calibri"/>
          <w:b/>
          <w:color w:val="525866"/>
          <w:sz w:val="22"/>
        </w:rPr>
        <w:t xml:space="preserve">Macro: </w:t>
      </w:r>
      <w:r>
        <w:rPr>
          <w:rFonts w:ascii="Calibri" w:hAnsi="Calibri"/>
          <w:color w:val="525866"/>
          <w:sz w:val="22"/>
        </w:rPr>
        <w:t>Citi noted the U.S. has shown “a good level of resilience,” with consumer spending up mid-single digits even excluding gas demand. The U.S.-China presidential meeting “eliminated some of the negative tail risks.” Supportive macro backdrop for BAC.</w:t>
      </w:r>
    </w:p>
    <w:p>
      <w:pPr>
        <w:pStyle w:val="ListBullet"/>
        <w:ind w:left="360" w:hanging="360"/>
      </w:pPr>
      <w:r>
        <w:rPr>
          <w:rFonts w:ascii="Calibri" w:hAnsi="Calibri"/>
          <w:b/>
          <w:color w:val="525866"/>
          <w:sz w:val="22"/>
        </w:rPr>
        <w:t xml:space="preserve">Read-Through for BAC: </w:t>
      </w:r>
      <w:r>
        <w:rPr>
          <w:rFonts w:ascii="Calibri" w:hAnsi="Calibri"/>
          <w:b/>
          <w:color w:val="30A46C"/>
          <w:sz w:val="22"/>
        </w:rPr>
        <w:t>Strong positive read-through on IB fees, consumer credit, and NII. Citi’s lower trading guidance vs. BAC’s signal suggests BAC may be gaining market share in equities.</w:t>
      </w:r>
    </w:p>
    <w:p>
      <w:pPr>
        <w:pStyle w:val="Heading3"/>
      </w:pPr>
      <w:r>
        <w:rPr>
          <w:rFonts w:ascii="Calibri" w:hAnsi="Calibri"/>
          <w:b/>
          <w:color w:val="3B4259"/>
          <w:sz w:val="24"/>
        </w:rPr>
        <w:t>Goldman Sachs (GS)</w:t>
      </w:r>
    </w:p>
    <w:p>
      <w:r>
        <w:rPr>
          <w:rFonts w:ascii="Calibri" w:hAnsi="Calibri"/>
          <w:color w:val="525866"/>
          <w:sz w:val="22"/>
        </w:rPr>
        <w:t>Bernstein Strategic Decisions Conference (May 28, 2026):</w:t>
      </w:r>
    </w:p>
    <w:p>
      <w:pPr>
        <w:pStyle w:val="ListBullet"/>
        <w:ind w:left="360" w:hanging="360"/>
      </w:pPr>
      <w:r>
        <w:rPr>
          <w:rFonts w:ascii="Calibri" w:hAnsi="Calibri"/>
          <w:b/>
          <w:color w:val="525866"/>
          <w:sz w:val="22"/>
        </w:rPr>
        <w:t xml:space="preserve">Trading / Markets: </w:t>
      </w:r>
      <w:r>
        <w:rPr>
          <w:rFonts w:ascii="Calibri" w:hAnsi="Calibri"/>
          <w:color w:val="525866"/>
          <w:sz w:val="22"/>
        </w:rPr>
        <w:t>Goldman described the trading environment as constructive, with client activity elevated across equities and FICC. GS’s equities franchise is the benchmark for the industry; strong GS equities commentary is a positive read-through for BAC’s equities business, which had its best quarter ever in Q1 2026 and is guided to continue outperforming.</w:t>
      </w:r>
    </w:p>
    <w:p>
      <w:pPr>
        <w:pStyle w:val="ListBullet"/>
        <w:ind w:left="360" w:hanging="360"/>
      </w:pPr>
      <w:r>
        <w:rPr>
          <w:rFonts w:ascii="Calibri" w:hAnsi="Calibri"/>
          <w:b/>
          <w:color w:val="525866"/>
          <w:sz w:val="22"/>
        </w:rPr>
        <w:t xml:space="preserve">Investment Banking: </w:t>
      </w:r>
      <w:r>
        <w:rPr>
          <w:rFonts w:ascii="Calibri" w:hAnsi="Calibri"/>
          <w:color w:val="525866"/>
          <w:sz w:val="22"/>
        </w:rPr>
        <w:t>GS described IB pipelines as robust, with M&amp;A activity picking up and ECM (particularly IPOs) recovering. GS noted that while macro uncertainty has caused some deal delays, the underlying pipeline is strong and activity is expected to convert in H2 2026. Positive read-through for BAC’s IB fees.</w:t>
      </w:r>
    </w:p>
    <w:p>
      <w:pPr>
        <w:pStyle w:val="ListBullet"/>
        <w:ind w:left="360" w:hanging="360"/>
      </w:pPr>
      <w:r>
        <w:rPr>
          <w:rFonts w:ascii="Calibri" w:hAnsi="Calibri"/>
          <w:b/>
          <w:color w:val="525866"/>
          <w:sz w:val="22"/>
        </w:rPr>
        <w:t xml:space="preserve">Asset / Wealth Management: </w:t>
      </w:r>
      <w:r>
        <w:rPr>
          <w:rFonts w:ascii="Calibri" w:hAnsi="Calibri"/>
          <w:color w:val="525866"/>
          <w:sz w:val="22"/>
        </w:rPr>
        <w:t>GS highlighted strong AUM growth and fee income in its asset management business. Consistent with BAC’s GWIM segment, where wealth management revenues are guided up low-teens YoY in Q2.</w:t>
      </w:r>
    </w:p>
    <w:p>
      <w:pPr>
        <w:pStyle w:val="ListBullet"/>
        <w:ind w:left="360" w:hanging="360"/>
      </w:pPr>
      <w:r>
        <w:rPr>
          <w:rFonts w:ascii="Calibri" w:hAnsi="Calibri"/>
          <w:b/>
          <w:color w:val="525866"/>
          <w:sz w:val="22"/>
        </w:rPr>
        <w:t xml:space="preserve">Capital Markets Wallet: </w:t>
      </w:r>
      <w:r>
        <w:rPr>
          <w:rFonts w:ascii="Calibri" w:hAnsi="Calibri"/>
          <w:color w:val="525866"/>
          <w:sz w:val="22"/>
        </w:rPr>
        <w:t>GS described the overall capital markets wallet as “fairly constructive,” with DCM particularly active in investment-grade debt. Positive for BAC’s debt issuance and corporate lending revenues.</w:t>
      </w:r>
    </w:p>
    <w:p>
      <w:pPr>
        <w:pStyle w:val="ListBullet"/>
        <w:ind w:left="360" w:hanging="360"/>
      </w:pPr>
      <w:r>
        <w:rPr>
          <w:rFonts w:ascii="Calibri" w:hAnsi="Calibri"/>
          <w:b/>
          <w:color w:val="525866"/>
          <w:sz w:val="22"/>
        </w:rPr>
        <w:t xml:space="preserve">Read-Through for BAC: </w:t>
      </w:r>
      <w:r>
        <w:rPr>
          <w:rFonts w:ascii="Calibri" w:hAnsi="Calibri"/>
          <w:b/>
          <w:color w:val="30A46C"/>
          <w:sz w:val="22"/>
        </w:rPr>
        <w:t>Positive on trading, IB, and wealth management. GS’s constructive capital markets commentary validates BAC’s IB and trading upgrade.</w:t>
      </w:r>
    </w:p>
    <w:p>
      <w:pPr>
        <w:pStyle w:val="Heading3"/>
      </w:pPr>
      <w:r>
        <w:rPr>
          <w:rFonts w:ascii="Calibri" w:hAnsi="Calibri"/>
          <w:b/>
          <w:color w:val="3B4259"/>
          <w:sz w:val="24"/>
        </w:rPr>
        <w:t>Peer Commentary Summary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w:t>
            </w:r>
          </w:p>
        </w:tc>
        <w:tc>
          <w:tcPr>
            <w:tcW w:type="dxa" w:w="1440"/>
            <w:shd w:val="clear" w:color="auto" w:fill="3B4259"/>
          </w:tcPr>
          <w:p>
            <w:r>
              <w:rPr>
                <w:rFonts w:ascii="Calibri" w:hAnsi="Calibri"/>
                <w:b/>
                <w:color w:val="FFFFFF"/>
                <w:sz w:val="22"/>
              </w:rPr>
              <w:t>Trading Signal</w:t>
            </w:r>
          </w:p>
        </w:tc>
        <w:tc>
          <w:tcPr>
            <w:tcW w:type="dxa" w:w="1440"/>
            <w:shd w:val="clear" w:color="auto" w:fill="3B4259"/>
          </w:tcPr>
          <w:p>
            <w:r>
              <w:rPr>
                <w:rFonts w:ascii="Calibri" w:hAnsi="Calibri"/>
                <w:b/>
                <w:color w:val="FFFFFF"/>
                <w:sz w:val="22"/>
              </w:rPr>
              <w:t>IB Signal</w:t>
            </w:r>
          </w:p>
        </w:tc>
        <w:tc>
          <w:tcPr>
            <w:tcW w:type="dxa" w:w="1440"/>
            <w:shd w:val="clear" w:color="auto" w:fill="3B4259"/>
          </w:tcPr>
          <w:p>
            <w:r>
              <w:rPr>
                <w:rFonts w:ascii="Calibri" w:hAnsi="Calibri"/>
                <w:b/>
                <w:color w:val="FFFFFF"/>
                <w:sz w:val="22"/>
              </w:rPr>
              <w:t>NII Signal</w:t>
            </w:r>
          </w:p>
        </w:tc>
        <w:tc>
          <w:tcPr>
            <w:tcW w:type="dxa" w:w="1440"/>
            <w:shd w:val="clear" w:color="auto" w:fill="3B4259"/>
          </w:tcPr>
          <w:p>
            <w:r>
              <w:rPr>
                <w:rFonts w:ascii="Calibri" w:hAnsi="Calibri"/>
                <w:b/>
                <w:color w:val="FFFFFF"/>
                <w:sz w:val="22"/>
              </w:rPr>
              <w:t>Credit Signal</w:t>
            </w:r>
          </w:p>
        </w:tc>
        <w:tc>
          <w:tcPr>
            <w:tcW w:type="dxa" w:w="1440"/>
            <w:shd w:val="clear" w:color="auto" w:fill="3B4259"/>
          </w:tcPr>
          <w:p>
            <w:r>
              <w:rPr>
                <w:rFonts w:ascii="Calibri" w:hAnsi="Calibri"/>
                <w:b/>
                <w:color w:val="FFFFFF"/>
                <w:sz w:val="22"/>
              </w:rPr>
              <w:t>Overall BAC Read-Through</w:t>
            </w:r>
          </w:p>
        </w:tc>
      </w:tr>
      <w:tr>
        <w:tc>
          <w:tcPr>
            <w:tcW w:type="dxa" w:w="1440"/>
          </w:tcPr>
          <w:p>
            <w:r>
              <w:rPr>
                <w:rFonts w:ascii="Calibri" w:hAnsi="Calibri"/>
                <w:sz w:val="22"/>
              </w:rPr>
              <w:t>JPM</w:t>
            </w:r>
          </w:p>
        </w:tc>
        <w:tc>
          <w:tcPr>
            <w:tcW w:type="dxa" w:w="1440"/>
          </w:tcPr>
          <w:p>
            <w:r>
              <w:rPr>
                <w:rFonts w:ascii="Calibri" w:hAnsi="Calibri"/>
                <w:b/>
                <w:color w:val="30A46C"/>
                <w:sz w:val="22"/>
              </w:rPr>
              <w:t>Mid-teens YoY ↑</w:t>
            </w:r>
          </w:p>
        </w:tc>
        <w:tc>
          <w:tcPr>
            <w:tcW w:type="dxa" w:w="1440"/>
          </w:tcPr>
          <w:p>
            <w:r>
              <w:rPr>
                <w:rFonts w:ascii="Calibri" w:hAnsi="Calibri"/>
                <w:b/>
                <w:color w:val="30A46C"/>
                <w:sz w:val="22"/>
              </w:rPr>
              <w:t>Solid; full pipelines ↑</w:t>
            </w:r>
          </w:p>
        </w:tc>
        <w:tc>
          <w:tcPr>
            <w:tcW w:type="dxa" w:w="1440"/>
          </w:tcPr>
          <w:p>
            <w:r>
              <w:rPr>
                <w:rFonts w:ascii="Calibri" w:hAnsi="Calibri"/>
                <w:b/>
                <w:color w:val="30A46C"/>
                <w:sz w:val="22"/>
              </w:rPr>
              <w:t>Reaffirmed ↑</w:t>
            </w:r>
          </w:p>
        </w:tc>
        <w:tc>
          <w:tcPr>
            <w:tcW w:type="dxa" w:w="1440"/>
          </w:tcPr>
          <w:p>
            <w:r>
              <w:rPr>
                <w:rFonts w:ascii="Calibri" w:hAnsi="Calibri"/>
                <w:b/>
                <w:color w:val="30A46C"/>
                <w:sz w:val="22"/>
              </w:rPr>
              <w:t>Benign ↑</w:t>
            </w:r>
          </w:p>
        </w:tc>
        <w:tc>
          <w:tcPr>
            <w:tcW w:type="dxa" w:w="1440"/>
          </w:tcPr>
          <w:p>
            <w:r>
              <w:rPr>
                <w:rFonts w:ascii="Calibri" w:hAnsi="Calibri"/>
                <w:b/>
                <w:color w:val="30A46C"/>
                <w:sz w:val="22"/>
              </w:rPr>
              <w:t>Strongly Positive</w:t>
            </w:r>
          </w:p>
        </w:tc>
      </w:tr>
      <w:tr>
        <w:tc>
          <w:tcPr>
            <w:tcW w:type="dxa" w:w="1440"/>
          </w:tcPr>
          <w:p>
            <w:r>
              <w:rPr>
                <w:rFonts w:ascii="Calibri" w:hAnsi="Calibri"/>
                <w:sz w:val="22"/>
              </w:rPr>
              <w:t>WFC</w:t>
            </w:r>
          </w:p>
        </w:tc>
        <w:tc>
          <w:tcPr>
            <w:tcW w:type="dxa" w:w="1440"/>
          </w:tcPr>
          <w:p>
            <w:r>
              <w:rPr>
                <w:rFonts w:ascii="Calibri" w:hAnsi="Calibri"/>
                <w:b/>
                <w:color w:val="30A46C"/>
                <w:sz w:val="22"/>
              </w:rPr>
              <w:t>Improving ↑</w:t>
            </w:r>
          </w:p>
        </w:tc>
        <w:tc>
          <w:tcPr>
            <w:tcW w:type="dxa" w:w="1440"/>
          </w:tcPr>
          <w:p>
            <w:r>
              <w:rPr>
                <w:rFonts w:ascii="Calibri" w:hAnsi="Calibri"/>
                <w:b/>
                <w:color w:val="30A46C"/>
                <w:sz w:val="22"/>
              </w:rPr>
              <w:t>Recovering ↑</w:t>
            </w:r>
          </w:p>
        </w:tc>
        <w:tc>
          <w:tcPr>
            <w:tcW w:type="dxa" w:w="1440"/>
          </w:tcPr>
          <w:p>
            <w:r>
              <w:rPr>
                <w:rFonts w:ascii="Calibri" w:hAnsi="Calibri"/>
                <w:b/>
                <w:color w:val="30A46C"/>
                <w:sz w:val="22"/>
              </w:rPr>
              <w:t>Reaffirmed ↑</w:t>
            </w:r>
          </w:p>
        </w:tc>
        <w:tc>
          <w:tcPr>
            <w:tcW w:type="dxa" w:w="1440"/>
          </w:tcPr>
          <w:p>
            <w:r>
              <w:rPr>
                <w:rFonts w:ascii="Calibri" w:hAnsi="Calibri"/>
                <w:b/>
                <w:color w:val="30A46C"/>
                <w:sz w:val="22"/>
              </w:rPr>
              <w:t>Resilient ↑</w:t>
            </w:r>
          </w:p>
        </w:tc>
        <w:tc>
          <w:tcPr>
            <w:tcW w:type="dxa" w:w="1440"/>
          </w:tcPr>
          <w:p>
            <w:r>
              <w:rPr>
                <w:rFonts w:ascii="Calibri" w:hAnsi="Calibri"/>
                <w:b/>
                <w:color w:val="30A46C"/>
                <w:sz w:val="22"/>
              </w:rPr>
              <w:t>Positive</w:t>
            </w:r>
          </w:p>
        </w:tc>
      </w:tr>
      <w:tr>
        <w:tc>
          <w:tcPr>
            <w:tcW w:type="dxa" w:w="1440"/>
          </w:tcPr>
          <w:p>
            <w:r>
              <w:rPr>
                <w:rFonts w:ascii="Calibri" w:hAnsi="Calibri"/>
                <w:sz w:val="22"/>
              </w:rPr>
              <w:t>C</w:t>
            </w:r>
          </w:p>
        </w:tc>
        <w:tc>
          <w:tcPr>
            <w:tcW w:type="dxa" w:w="1440"/>
          </w:tcPr>
          <w:p>
            <w:r>
              <w:rPr>
                <w:rFonts w:ascii="Calibri" w:hAnsi="Calibri"/>
                <w:b/>
                <w:color w:val="30A46C"/>
                <w:sz w:val="22"/>
              </w:rPr>
              <w:t>HSD–LDD YoY ↑</w:t>
            </w:r>
          </w:p>
        </w:tc>
        <w:tc>
          <w:tcPr>
            <w:tcW w:type="dxa" w:w="1440"/>
          </w:tcPr>
          <w:p>
            <w:r>
              <w:rPr>
                <w:rFonts w:ascii="Calibri" w:hAnsi="Calibri"/>
                <w:b/>
                <w:color w:val="30A46C"/>
                <w:sz w:val="22"/>
              </w:rPr>
              <w:t>Mid-teens YoY ↑</w:t>
            </w:r>
          </w:p>
        </w:tc>
        <w:tc>
          <w:tcPr>
            <w:tcW w:type="dxa" w:w="1440"/>
          </w:tcPr>
          <w:p>
            <w:r>
              <w:rPr>
                <w:rFonts w:ascii="Calibri" w:hAnsi="Calibri"/>
                <w:b/>
                <w:color w:val="30A46C"/>
                <w:sz w:val="22"/>
              </w:rPr>
              <w:t>+5–6% FY ↑</w:t>
            </w:r>
          </w:p>
        </w:tc>
        <w:tc>
          <w:tcPr>
            <w:tcW w:type="dxa" w:w="1440"/>
          </w:tcPr>
          <w:p>
            <w:r>
              <w:rPr>
                <w:rFonts w:ascii="Calibri" w:hAnsi="Calibri"/>
                <w:b/>
                <w:color w:val="30A46C"/>
                <w:sz w:val="22"/>
              </w:rPr>
              <w:t>Within expectations ↑</w:t>
            </w:r>
          </w:p>
        </w:tc>
        <w:tc>
          <w:tcPr>
            <w:tcW w:type="dxa" w:w="1440"/>
          </w:tcPr>
          <w:p>
            <w:r>
              <w:rPr>
                <w:rFonts w:ascii="Calibri" w:hAnsi="Calibri"/>
                <w:b/>
                <w:color w:val="30A46C"/>
                <w:sz w:val="22"/>
              </w:rPr>
              <w:t>Strongly Positive</w:t>
            </w:r>
          </w:p>
        </w:tc>
      </w:tr>
      <w:tr>
        <w:tc>
          <w:tcPr>
            <w:tcW w:type="dxa" w:w="1440"/>
          </w:tcPr>
          <w:p>
            <w:r>
              <w:rPr>
                <w:rFonts w:ascii="Calibri" w:hAnsi="Calibri"/>
                <w:sz w:val="22"/>
              </w:rPr>
              <w:t>GS</w:t>
            </w:r>
          </w:p>
        </w:tc>
        <w:tc>
          <w:tcPr>
            <w:tcW w:type="dxa" w:w="1440"/>
          </w:tcPr>
          <w:p>
            <w:r>
              <w:rPr>
                <w:rFonts w:ascii="Calibri" w:hAnsi="Calibri"/>
                <w:b/>
                <w:color w:val="30A46C"/>
                <w:sz w:val="22"/>
              </w:rPr>
              <w:t>Constructive ↑</w:t>
            </w:r>
          </w:p>
        </w:tc>
        <w:tc>
          <w:tcPr>
            <w:tcW w:type="dxa" w:w="1440"/>
          </w:tcPr>
          <w:p>
            <w:r>
              <w:rPr>
                <w:rFonts w:ascii="Calibri" w:hAnsi="Calibri"/>
                <w:b/>
                <w:color w:val="30A46C"/>
                <w:sz w:val="22"/>
              </w:rPr>
              <w:t>Robust pipelines ↑</w:t>
            </w:r>
          </w:p>
        </w:tc>
        <w:tc>
          <w:tcPr>
            <w:tcW w:type="dxa" w:w="1440"/>
          </w:tcPr>
          <w:p>
            <w:r>
              <w:rPr>
                <w:rFonts w:ascii="Calibri" w:hAnsi="Calibri"/>
                <w:sz w:val="22"/>
              </w:rPr>
              <w:t>N/A (GS model)</w:t>
            </w:r>
          </w:p>
        </w:tc>
        <w:tc>
          <w:tcPr>
            <w:tcW w:type="dxa" w:w="1440"/>
          </w:tcPr>
          <w:p>
            <w:r>
              <w:rPr>
                <w:rFonts w:ascii="Calibri" w:hAnsi="Calibri"/>
                <w:sz w:val="22"/>
              </w:rPr>
              <w:t>N/A (GS model)</w:t>
            </w:r>
          </w:p>
        </w:tc>
        <w:tc>
          <w:tcPr>
            <w:tcW w:type="dxa" w:w="1440"/>
          </w:tcPr>
          <w:p>
            <w:r>
              <w:rPr>
                <w:rFonts w:ascii="Calibri" w:hAnsi="Calibri"/>
                <w:b/>
                <w:color w:val="30A46C"/>
                <w:sz w:val="22"/>
              </w:rPr>
              <w:t>Positive (Markets/IB)</w:t>
            </w:r>
          </w:p>
        </w:tc>
      </w:tr>
    </w:tbl>
    <w:p>
      <w:r>
        <w:rPr>
          <w:rFonts w:ascii="Calibri" w:hAnsi="Calibri"/>
          <w:i/>
          <w:color w:val="525866"/>
          <w:sz w:val="22"/>
        </w:rPr>
        <w:t>Source: C Morgan Stanley U.S. Financials Conference Transcript (June 9, 2026); JPM, WFC, GS Bernstein Strategic Decisions Conference Transcripts (May 27–28, 2026); JPM, WFC Morgan Stanley U.S. Financials Conference Transcripts (June 9,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significant post-Q1 development is the June 9 operating leverage upgrade to &gt;400 bps for Q2, which was not in consensus at the time and has driven the stock’s outperformance. Organizational changes (Co-Presidents) and continued AI deployment are medium-term positives.</w:t>
      </w:r>
    </w:p>
    <w:p>
      <w:pPr>
        <w:pStyle w:val="ListBullet"/>
        <w:ind w:left="360" w:hanging="360"/>
      </w:pPr>
      <w:r>
        <w:rPr>
          <w:rFonts w:ascii="Calibri" w:hAnsi="Calibri"/>
          <w:b/>
          <w:color w:val="525866"/>
          <w:sz w:val="22"/>
        </w:rPr>
        <w:t xml:space="preserve">Operating Leverage Upgrade (June 9, 2026): </w:t>
      </w:r>
      <w:r>
        <w:rPr>
          <w:rFonts w:ascii="Calibri" w:hAnsi="Calibri"/>
          <w:color w:val="525866"/>
          <w:sz w:val="22"/>
        </w:rPr>
        <w:t>At the Morgan Stanley U.S. Financials Conference, Co-President Jim DeMare upgraded Q2 2026 operating leverage guidance to above 400 basis points, a significant step-up from the “at least as strong as Q1” framing used at the May 27 Bernstein conference and well above the full-year 200–300 bps target range. This is the single most important post-Q1 development.</w:t>
      </w:r>
    </w:p>
    <w:p>
      <w:pPr>
        <w:pStyle w:val="ListBullet"/>
        <w:ind w:left="360" w:hanging="360"/>
      </w:pPr>
      <w:r>
        <w:rPr>
          <w:rFonts w:ascii="Calibri" w:hAnsi="Calibri"/>
          <w:b/>
          <w:color w:val="525866"/>
          <w:sz w:val="22"/>
        </w:rPr>
        <w:t xml:space="preserve">Trading Revenue Upgrade (June 9, 2026): </w:t>
      </w:r>
      <w:r>
        <w:rPr>
          <w:rFonts w:ascii="Calibri" w:hAnsi="Calibri"/>
          <w:color w:val="525866"/>
          <w:sz w:val="22"/>
        </w:rPr>
        <w:t>Markets trading upgraded to better than mid-teens YoY growth (from mid-teens at Bernstein), with equities and APAC as primary drivers. FICC results described as mixed. Investment banking fees tracking consistent with Q1 2026 (~$1.84B).</w:t>
      </w:r>
    </w:p>
    <w:p>
      <w:pPr>
        <w:pStyle w:val="ListBullet"/>
        <w:ind w:left="360" w:hanging="360"/>
      </w:pPr>
      <w:r>
        <w:rPr>
          <w:rFonts w:ascii="Calibri" w:hAnsi="Calibri"/>
          <w:b/>
          <w:color w:val="525866"/>
          <w:sz w:val="22"/>
        </w:rPr>
        <w:t xml:space="preserve">Organizational Evolution — Co-Presidents Appointed: </w:t>
      </w:r>
      <w:r>
        <w:rPr>
          <w:rFonts w:ascii="Calibri" w:hAnsi="Calibri"/>
          <w:color w:val="525866"/>
          <w:sz w:val="22"/>
        </w:rPr>
        <w:t>Bank of America appointed two Co-Presidents (Dean and Jimmy DeMare) to drive cross-franchise initiatives while preserving the eight lines-of-business structure. This signals management’s confidence in the franchise’s trajectory and succession planning.</w:t>
      </w:r>
    </w:p>
    <w:p>
      <w:pPr>
        <w:pStyle w:val="ListBullet"/>
        <w:ind w:left="360" w:hanging="360"/>
      </w:pPr>
      <w:r>
        <w:rPr>
          <w:rFonts w:ascii="Calibri" w:hAnsi="Calibri"/>
          <w:b/>
          <w:color w:val="525866"/>
          <w:sz w:val="22"/>
        </w:rPr>
        <w:t xml:space="preserve">AI &amp; Technology Deployment: </w:t>
      </w:r>
      <w:r>
        <w:rPr>
          <w:rFonts w:ascii="Calibri" w:hAnsi="Calibri"/>
          <w:color w:val="525866"/>
          <w:sz w:val="22"/>
        </w:rPr>
        <w:t>Management highlighted widespread AI deployment across customer service (Erica), internal IT support, operations, and investment banking. Specific examples cited include Erica’s substantial FTE-equivalent impact and tangible headcount reductions, supporting the operating leverage thesis.</w:t>
      </w:r>
    </w:p>
    <w:p>
      <w:pPr>
        <w:pStyle w:val="ListBullet"/>
        <w:ind w:left="360" w:hanging="360"/>
      </w:pPr>
      <w:r>
        <w:rPr>
          <w:rFonts w:ascii="Calibri" w:hAnsi="Calibri"/>
          <w:b/>
          <w:color w:val="525866"/>
          <w:sz w:val="22"/>
        </w:rPr>
        <w:t xml:space="preserve">BofA Rewards Program Launch: </w:t>
      </w:r>
      <w:r>
        <w:rPr>
          <w:rFonts w:ascii="Calibri" w:hAnsi="Calibri"/>
          <w:color w:val="525866"/>
          <w:sz w:val="22"/>
        </w:rPr>
        <w:t>Bank of America launched its BofA Rewards program and expanded its card strategy, targeting market share gains in consumer credit cards. This is a medium-term growth driver for Consumer Banking NII and card income.</w:t>
      </w:r>
    </w:p>
    <w:p>
      <w:pPr>
        <w:pStyle w:val="ListBullet"/>
        <w:ind w:left="360" w:hanging="360"/>
      </w:pPr>
      <w:r>
        <w:rPr>
          <w:rFonts w:ascii="Calibri" w:hAnsi="Calibri"/>
          <w:b/>
          <w:color w:val="525866"/>
          <w:sz w:val="22"/>
        </w:rPr>
        <w:t xml:space="preserve">Capital Return Acceleration: </w:t>
      </w:r>
      <w:r>
        <w:rPr>
          <w:rFonts w:ascii="Calibri" w:hAnsi="Calibri"/>
          <w:color w:val="525866"/>
          <w:sz w:val="22"/>
        </w:rPr>
        <w:t>Buybacks have stepped up meaningfully as earnings improved and excess capital built. Management articulated a long-term target of maintaining approximately 50 basis points of buffer above regulatory minimums, signaling comfort operating with a tighter cushion as earnings stability has been demonstrated.</w:t>
      </w:r>
    </w:p>
    <w:p>
      <w:pPr>
        <w:pStyle w:val="ListBullet"/>
        <w:ind w:left="360" w:hanging="360"/>
      </w:pPr>
      <w:r>
        <w:rPr>
          <w:rFonts w:ascii="Calibri" w:hAnsi="Calibri"/>
          <w:b/>
          <w:color w:val="525866"/>
          <w:sz w:val="22"/>
        </w:rPr>
        <w:t xml:space="preserve">Rate Environment Shift: </w:t>
      </w:r>
      <w:r>
        <w:rPr>
          <w:rFonts w:ascii="Calibri" w:hAnsi="Calibri"/>
          <w:color w:val="525866"/>
          <w:sz w:val="22"/>
        </w:rPr>
        <w:t>The interest rate curve shifted from pricing 2 rate cuts (at Q1 earnings) to pricing no cuts (as of June 9), which is a net positive for BAC’s NII given its asset-sensitive positioning. A 100 bps rate increase would benefit NII by ~$500M over 12 months; a 100 bps decline would reduce NII by ~$2B.</w:t>
      </w:r>
    </w:p>
    <w:p>
      <w:pPr>
        <w:pStyle w:val="ListBullet"/>
        <w:ind w:left="360" w:hanging="360"/>
      </w:pPr>
      <w:r>
        <w:rPr>
          <w:rFonts w:ascii="Calibri" w:hAnsi="Calibri"/>
          <w:b/>
          <w:color w:val="525866"/>
          <w:sz w:val="22"/>
        </w:rPr>
        <w:t xml:space="preserve">Commercial Line Utilization Below Historical Norms: </w:t>
      </w:r>
      <w:r>
        <w:rPr>
          <w:rFonts w:ascii="Calibri" w:hAnsi="Calibri"/>
          <w:color w:val="525866"/>
          <w:sz w:val="22"/>
        </w:rPr>
        <w:t>Management highlighted that commercial line of credit utilization remains below historical norms, representing an embedded growth opportunity as usage recovers toward more normal levels — a potential NII and loan growth catalyst in H2 2026.</w:t>
      </w:r>
    </w:p>
    <w:p>
      <w:pPr>
        <w:pStyle w:val="ListBullet"/>
        <w:ind w:left="360" w:hanging="360"/>
      </w:pPr>
      <w:r>
        <w:rPr>
          <w:rFonts w:ascii="Calibri" w:hAnsi="Calibri"/>
          <w:b/>
          <w:color w:val="525866"/>
          <w:sz w:val="22"/>
        </w:rPr>
        <w:t xml:space="preserve">Markets Balance Sheet Growth: </w:t>
      </w:r>
      <w:r>
        <w:rPr>
          <w:rFonts w:ascii="Calibri" w:hAnsi="Calibri"/>
          <w:color w:val="525866"/>
          <w:sz w:val="22"/>
        </w:rPr>
        <w:t>The markets business balance sheet has grown substantially and now operates with approximately $50 billion of allocated capital. Management acknowledged the business earns lower returns on assets relative to other segments and must be sized carefully, but the growth in equities and APAC is driving improved returns.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in the last 60 days is dominated by routine RSU vesting and tax-withholding transactions for CEO Brian Moynihan — there are no discretionary open-market purchases or sales by senior executives, which is neutral to slightly positive (no insider selling pressure heading into earnings).</w:t>
      </w:r>
    </w:p>
    <w:p>
      <w:pPr>
        <w:pStyle w:val="Heading3"/>
      </w:pPr>
      <w:r>
        <w:rPr>
          <w:rFonts w:ascii="Calibri" w:hAnsi="Calibri"/>
          <w:b/>
          <w:color w:val="3B4259"/>
          <w:sz w:val="24"/>
        </w:rPr>
        <w:t>Notable Insider Transactions (April 13 — July 13,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Insider</w:t>
            </w:r>
          </w:p>
        </w:tc>
        <w:tc>
          <w:tcPr>
            <w:tcW w:type="dxa" w:w="1234"/>
            <w:shd w:val="clear" w:color="auto" w:fill="3B4259"/>
          </w:tcPr>
          <w:p>
            <w:r>
              <w:rPr>
                <w:rFonts w:ascii="Calibri" w:hAnsi="Calibri"/>
                <w:b/>
                <w:color w:val="FFFFFF"/>
                <w:sz w:val="22"/>
              </w:rPr>
              <w:t>Role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Type</w:t>
            </w:r>
          </w:p>
        </w:tc>
        <w:tc>
          <w:tcPr>
            <w:tcW w:type="dxa" w:w="1234"/>
            <w:shd w:val="clear" w:color="auto" w:fill="3B4259"/>
          </w:tcPr>
          <w:p>
            <w:r>
              <w:rPr>
                <w:rFonts w:ascii="Calibri" w:hAnsi="Calibri"/>
                <w:b/>
                <w:color w:val="FFFFFF"/>
                <w:sz w:val="22"/>
              </w:rPr>
              <w:t>Security</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Nature</w:t>
            </w:r>
          </w:p>
        </w:tc>
      </w:tr>
      <w:tr>
        <w:tc>
          <w:tcPr>
            <w:tcW w:type="dxa" w:w="1234"/>
          </w:tcPr>
          <w:p>
            <w:r>
              <w:rPr>
                <w:rFonts w:ascii="Calibri" w:hAnsi="Calibri"/>
                <w:sz w:val="22"/>
              </w:rPr>
              <w:t>Brian T. Moynihan</w:t>
            </w:r>
          </w:p>
        </w:tc>
        <w:tc>
          <w:tcPr>
            <w:tcW w:type="dxa" w:w="1234"/>
          </w:tcPr>
          <w:p>
            <w:r>
              <w:rPr>
                <w:rFonts w:ascii="Calibri" w:hAnsi="Calibri"/>
                <w:sz w:val="22"/>
              </w:rPr>
              <w:t>Chair &amp; CEO</w:t>
            </w:r>
          </w:p>
        </w:tc>
        <w:tc>
          <w:tcPr>
            <w:tcW w:type="dxa" w:w="1234"/>
          </w:tcPr>
          <w:p>
            <w:r>
              <w:rPr>
                <w:rFonts w:ascii="Calibri" w:hAnsi="Calibri"/>
                <w:sz w:val="22"/>
              </w:rPr>
              <w:t>June 15, 2026</w:t>
            </w:r>
          </w:p>
        </w:tc>
        <w:tc>
          <w:tcPr>
            <w:tcW w:type="dxa" w:w="1234"/>
          </w:tcPr>
          <w:p>
            <w:r>
              <w:rPr>
                <w:rFonts w:ascii="Calibri" w:hAnsi="Calibri"/>
                <w:sz w:val="22"/>
              </w:rPr>
              <w:t>M (RSU Vest) / D (Disposition)</w:t>
            </w:r>
          </w:p>
        </w:tc>
        <w:tc>
          <w:tcPr>
            <w:tcW w:type="dxa" w:w="1234"/>
          </w:tcPr>
          <w:p>
            <w:r>
              <w:rPr>
                <w:rFonts w:ascii="Calibri" w:hAnsi="Calibri"/>
                <w:sz w:val="22"/>
              </w:rPr>
              <w:t>Common Stock</w:t>
            </w:r>
          </w:p>
        </w:tc>
        <w:tc>
          <w:tcPr>
            <w:tcW w:type="dxa" w:w="1234"/>
          </w:tcPr>
          <w:p>
            <w:r>
              <w:rPr>
                <w:rFonts w:ascii="Calibri" w:hAnsi="Calibri"/>
                <w:sz w:val="22"/>
              </w:rPr>
              <w:t>18,083</w:t>
            </w:r>
          </w:p>
        </w:tc>
        <w:tc>
          <w:tcPr>
            <w:tcW w:type="dxa" w:w="1234"/>
          </w:tcPr>
          <w:p>
            <w:r>
              <w:rPr>
                <w:rFonts w:ascii="Calibri" w:hAnsi="Calibri"/>
                <w:sz w:val="22"/>
              </w:rPr>
              <w:t>Routine RSU vesting + tax withholding; not a discretionary sale</w:t>
            </w:r>
          </w:p>
        </w:tc>
      </w:tr>
      <w:tr>
        <w:tc>
          <w:tcPr>
            <w:tcW w:type="dxa" w:w="1234"/>
          </w:tcPr>
          <w:p>
            <w:r>
              <w:rPr>
                <w:rFonts w:ascii="Calibri" w:hAnsi="Calibri"/>
                <w:sz w:val="22"/>
              </w:rPr>
              <w:t>Brian T. Moynihan</w:t>
            </w:r>
          </w:p>
        </w:tc>
        <w:tc>
          <w:tcPr>
            <w:tcW w:type="dxa" w:w="1234"/>
          </w:tcPr>
          <w:p>
            <w:r>
              <w:rPr>
                <w:rFonts w:ascii="Calibri" w:hAnsi="Calibri"/>
                <w:sz w:val="22"/>
              </w:rPr>
              <w:t>Chair &amp; CEO</w:t>
            </w:r>
          </w:p>
        </w:tc>
        <w:tc>
          <w:tcPr>
            <w:tcW w:type="dxa" w:w="1234"/>
          </w:tcPr>
          <w:p>
            <w:r>
              <w:rPr>
                <w:rFonts w:ascii="Calibri" w:hAnsi="Calibri"/>
                <w:sz w:val="22"/>
              </w:rPr>
              <w:t>June 15, 2026</w:t>
            </w:r>
          </w:p>
        </w:tc>
        <w:tc>
          <w:tcPr>
            <w:tcW w:type="dxa" w:w="1234"/>
          </w:tcPr>
          <w:p>
            <w:r>
              <w:rPr>
                <w:rFonts w:ascii="Calibri" w:hAnsi="Calibri"/>
                <w:sz w:val="22"/>
              </w:rPr>
              <w:t>M (RSU Vest) / D (Disposition)</w:t>
            </w:r>
          </w:p>
        </w:tc>
        <w:tc>
          <w:tcPr>
            <w:tcW w:type="dxa" w:w="1234"/>
          </w:tcPr>
          <w:p>
            <w:r>
              <w:rPr>
                <w:rFonts w:ascii="Calibri" w:hAnsi="Calibri"/>
                <w:sz w:val="22"/>
              </w:rPr>
              <w:t>2026 Cash Settled RSUs</w:t>
            </w:r>
          </w:p>
        </w:tc>
        <w:tc>
          <w:tcPr>
            <w:tcW w:type="dxa" w:w="1234"/>
          </w:tcPr>
          <w:p>
            <w:r>
              <w:rPr>
                <w:rFonts w:ascii="Calibri" w:hAnsi="Calibri"/>
                <w:sz w:val="22"/>
              </w:rPr>
              <w:t>18,083 (RSU units cancelled)</w:t>
            </w:r>
          </w:p>
        </w:tc>
        <w:tc>
          <w:tcPr>
            <w:tcW w:type="dxa" w:w="1234"/>
          </w:tcPr>
          <w:p>
            <w:r>
              <w:rPr>
                <w:rFonts w:ascii="Calibri" w:hAnsi="Calibri"/>
                <w:sz w:val="22"/>
              </w:rPr>
              <w:t>Routine RSU settlement; 144,663 RSUs remain outstanding</w:t>
            </w:r>
          </w:p>
        </w:tc>
      </w:tr>
      <w:tr>
        <w:tc>
          <w:tcPr>
            <w:tcW w:type="dxa" w:w="1234"/>
          </w:tcPr>
          <w:p>
            <w:r>
              <w:rPr>
                <w:rFonts w:ascii="Calibri" w:hAnsi="Calibri"/>
                <w:sz w:val="22"/>
              </w:rPr>
              <w:t>Brian T. Moynihan</w:t>
            </w:r>
          </w:p>
        </w:tc>
        <w:tc>
          <w:tcPr>
            <w:tcW w:type="dxa" w:w="1234"/>
          </w:tcPr>
          <w:p>
            <w:r>
              <w:rPr>
                <w:rFonts w:ascii="Calibri" w:hAnsi="Calibri"/>
                <w:sz w:val="22"/>
              </w:rPr>
              <w:t>Chair &amp; CEO</w:t>
            </w:r>
          </w:p>
        </w:tc>
        <w:tc>
          <w:tcPr>
            <w:tcW w:type="dxa" w:w="1234"/>
          </w:tcPr>
          <w:p>
            <w:r>
              <w:rPr>
                <w:rFonts w:ascii="Calibri" w:hAnsi="Calibri"/>
                <w:sz w:val="22"/>
              </w:rPr>
              <w:t>April 15, 2026</w:t>
            </w:r>
          </w:p>
        </w:tc>
        <w:tc>
          <w:tcPr>
            <w:tcW w:type="dxa" w:w="1234"/>
          </w:tcPr>
          <w:p>
            <w:r>
              <w:rPr>
                <w:rFonts w:ascii="Calibri" w:hAnsi="Calibri"/>
                <w:sz w:val="22"/>
              </w:rPr>
              <w:t>M (RSU Vest) / D (Disposition)</w:t>
            </w:r>
          </w:p>
        </w:tc>
        <w:tc>
          <w:tcPr>
            <w:tcW w:type="dxa" w:w="1234"/>
          </w:tcPr>
          <w:p>
            <w:r>
              <w:rPr>
                <w:rFonts w:ascii="Calibri" w:hAnsi="Calibri"/>
                <w:sz w:val="22"/>
              </w:rPr>
              <w:t>Common Stock / RSUs</w:t>
            </w:r>
          </w:p>
        </w:tc>
        <w:tc>
          <w:tcPr>
            <w:tcW w:type="dxa" w:w="1234"/>
          </w:tcPr>
          <w:p>
            <w:r>
              <w:rPr>
                <w:rFonts w:ascii="Calibri" w:hAnsi="Calibri"/>
                <w:sz w:val="22"/>
              </w:rPr>
              <w:t>18,083</w:t>
            </w:r>
          </w:p>
        </w:tc>
        <w:tc>
          <w:tcPr>
            <w:tcW w:type="dxa" w:w="1234"/>
          </w:tcPr>
          <w:p>
            <w:r>
              <w:rPr>
                <w:rFonts w:ascii="Calibri" w:hAnsi="Calibri"/>
                <w:sz w:val="22"/>
              </w:rPr>
              <w:t>Routine RSU vesting on Q1 earnings day; 180,829 RSUs outstanding post-transaction</w:t>
            </w:r>
          </w:p>
        </w:tc>
      </w:tr>
      <w:tr>
        <w:tc>
          <w:tcPr>
            <w:tcW w:type="dxa" w:w="1234"/>
          </w:tcPr>
          <w:p>
            <w:r>
              <w:rPr>
                <w:rFonts w:ascii="Calibri" w:hAnsi="Calibri"/>
                <w:sz w:val="22"/>
              </w:rPr>
              <w:t>Pierre J.P. de Weck</w:t>
            </w:r>
          </w:p>
        </w:tc>
        <w:tc>
          <w:tcPr>
            <w:tcW w:type="dxa" w:w="1234"/>
          </w:tcPr>
          <w:p>
            <w:r>
              <w:rPr>
                <w:rFonts w:ascii="Calibri" w:hAnsi="Calibri"/>
                <w:sz w:val="22"/>
              </w:rPr>
              <w:t>Director</w:t>
            </w:r>
          </w:p>
        </w:tc>
        <w:tc>
          <w:tcPr>
            <w:tcW w:type="dxa" w:w="1234"/>
          </w:tcPr>
          <w:p>
            <w:r>
              <w:rPr>
                <w:rFonts w:ascii="Calibri" w:hAnsi="Calibri"/>
                <w:sz w:val="22"/>
              </w:rPr>
              <w:t>April 22, 2026</w:t>
            </w:r>
          </w:p>
        </w:tc>
        <w:tc>
          <w:tcPr>
            <w:tcW w:type="dxa" w:w="1234"/>
          </w:tcPr>
          <w:p>
            <w:r>
              <w:rPr>
                <w:rFonts w:ascii="Calibri" w:hAnsi="Calibri"/>
                <w:sz w:val="22"/>
              </w:rPr>
              <w:t>F (Tax Withholding)</w:t>
            </w:r>
          </w:p>
        </w:tc>
        <w:tc>
          <w:tcPr>
            <w:tcW w:type="dxa" w:w="1234"/>
          </w:tcPr>
          <w:p>
            <w:r>
              <w:rPr>
                <w:rFonts w:ascii="Calibri" w:hAnsi="Calibri"/>
                <w:sz w:val="22"/>
              </w:rPr>
              <w:t>Common Stock</w:t>
            </w:r>
          </w:p>
        </w:tc>
        <w:tc>
          <w:tcPr>
            <w:tcW w:type="dxa" w:w="1234"/>
          </w:tcPr>
          <w:p>
            <w:r>
              <w:rPr>
                <w:rFonts w:ascii="Calibri" w:hAnsi="Calibri"/>
                <w:sz w:val="22"/>
              </w:rPr>
              <w:t>1,096</w:t>
            </w:r>
          </w:p>
        </w:tc>
        <w:tc>
          <w:tcPr>
            <w:tcW w:type="dxa" w:w="1234"/>
          </w:tcPr>
          <w:p>
            <w:r>
              <w:rPr>
                <w:rFonts w:ascii="Calibri" w:hAnsi="Calibri"/>
                <w:sz w:val="22"/>
              </w:rPr>
              <w:t>Routine tax withholding on vesting; 100,322 shares owned post-transaction</w:t>
            </w:r>
          </w:p>
        </w:tc>
      </w:tr>
      <w:tr>
        <w:tc>
          <w:tcPr>
            <w:tcW w:type="dxa" w:w="1234"/>
          </w:tcPr>
          <w:p>
            <w:r>
              <w:rPr>
                <w:rFonts w:ascii="Calibri" w:hAnsi="Calibri"/>
                <w:sz w:val="22"/>
              </w:rPr>
              <w:t>Bank of America NA</w:t>
            </w:r>
          </w:p>
        </w:tc>
        <w:tc>
          <w:tcPr>
            <w:tcW w:type="dxa" w:w="1234"/>
          </w:tcPr>
          <w:p>
            <w:r>
              <w:rPr>
                <w:rFonts w:ascii="Calibri" w:hAnsi="Calibri"/>
                <w:sz w:val="22"/>
              </w:rPr>
              <w:t>10% Owner (Fiduciary)</w:t>
            </w:r>
          </w:p>
        </w:tc>
        <w:tc>
          <w:tcPr>
            <w:tcW w:type="dxa" w:w="1234"/>
          </w:tcPr>
          <w:p>
            <w:r>
              <w:rPr>
                <w:rFonts w:ascii="Calibri" w:hAnsi="Calibri"/>
                <w:sz w:val="22"/>
              </w:rPr>
              <w:t>June 11, 2026</w:t>
            </w:r>
          </w:p>
        </w:tc>
        <w:tc>
          <w:tcPr>
            <w:tcW w:type="dxa" w:w="1234"/>
          </w:tcPr>
          <w:p>
            <w:r>
              <w:rPr>
                <w:rFonts w:ascii="Calibri" w:hAnsi="Calibri"/>
                <w:sz w:val="22"/>
              </w:rPr>
              <w:t>P (Purchase) / S (Sale)</w:t>
            </w:r>
          </w:p>
        </w:tc>
        <w:tc>
          <w:tcPr>
            <w:tcW w:type="dxa" w:w="1234"/>
          </w:tcPr>
          <w:p>
            <w:r>
              <w:rPr>
                <w:rFonts w:ascii="Calibri" w:hAnsi="Calibri"/>
                <w:sz w:val="22"/>
              </w:rPr>
              <w:t>Common Stock (Fiduciary)</w:t>
            </w:r>
          </w:p>
        </w:tc>
        <w:tc>
          <w:tcPr>
            <w:tcW w:type="dxa" w:w="1234"/>
          </w:tcPr>
          <w:p>
            <w:r>
              <w:rPr>
                <w:rFonts w:ascii="Calibri" w:hAnsi="Calibri"/>
                <w:sz w:val="22"/>
              </w:rPr>
              <w:t>7 bought / 15 sold</w:t>
            </w:r>
          </w:p>
        </w:tc>
        <w:tc>
          <w:tcPr>
            <w:tcW w:type="dxa" w:w="1234"/>
          </w:tcPr>
          <w:p>
            <w:r>
              <w:rPr>
                <w:rFonts w:ascii="Calibri" w:hAnsi="Calibri"/>
                <w:sz w:val="22"/>
              </w:rPr>
              <w:t>Routine fiduciary account activity; de minimis amounts; not indicative of insider view</w:t>
            </w:r>
          </w:p>
        </w:tc>
      </w:tr>
    </w:tbl>
    <w:p>
      <w:r>
        <w:rPr>
          <w:rFonts w:ascii="Calibri" w:hAnsi="Calibri"/>
          <w:b/>
          <w:color w:val="525866"/>
          <w:sz w:val="22"/>
        </w:rPr>
        <w:t xml:space="preserve">Analysis: </w:t>
      </w:r>
      <w:r>
        <w:rPr>
          <w:rFonts w:ascii="Calibri" w:hAnsi="Calibri"/>
          <w:color w:val="525866"/>
          <w:sz w:val="22"/>
        </w:rPr>
        <w:t>All material insider transactions in the last 60 days are routine RSU vesting events for CEO Brian Moynihan and a director tax withholding transaction. There are no discretionary open-market purchases or sales by any named executive officer. Moynihan retains approximately 2.70 million shares of common stock directly, with 144,663 cash-settled RSUs still outstanding as of June 15, 2026. The absence of discretionary selling by insiders heading into Q2 earnings is a neutral-to-positive signal.</w:t>
      </w:r>
    </w:p>
    <w:p>
      <w:r>
        <w:rPr>
          <w:rFonts w:ascii="Calibri" w:hAnsi="Calibri"/>
          <w:i/>
          <w:color w:val="525866"/>
          <w:sz w:val="22"/>
        </w:rPr>
        <w:t>Source: SEC Form 4 filings — MOYNIHAN BRIAN T (BAC, filed June 17, 2026 and April 17, 2026); de Weck Pierre J.P. (BAC, filed April 24, 2026); BANK OF AMERICA NA (BAC, filed June 15, 2026).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