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BlackRock before writing the preview. Let me gather recent earnings materials, news, and stock data.Let me read the most recent earnings call and release, plus gather more recent news.I have the Q1 2026 call. Let me get the Q1 2026 release financials, the year-ago Q2 2025 figures for comparison, and recent news.I have strong Q1 2026 detail. Now let me get recent news and analyst expectations, plus the year-ago Q2 2025 numbers for comparison.I have what I need. Let me quickly compute price stats for context.# BlackRock (BLK) — Q2 2026 Earnings Preview</w:t>
      </w:r>
    </w:p>
    <w:bookmarkStart w:id="9" w:name="X10bc0683662d0d6348ca5b3f4392d5c036fdbed"/>
    <w:p>
      <w:pPr>
        <w:pStyle w:val="Heading3"/>
      </w:pPr>
      <w:r>
        <w:t xml:space="preserve">Reports Wednesday, July 15, 2026 (before open) · Call at 8:30 a.m. ET</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BlackRock enters its Q2 print riding one of the strongest stretches in its history — but with a stock that has</w:t>
      </w:r>
      <w:r>
        <w:t xml:space="preserve"> </w:t>
      </w:r>
      <w:r>
        <w:rPr>
          <w:i/>
          <w:iCs/>
        </w:rPr>
        <w:t xml:space="preserve">lagged</w:t>
      </w:r>
      <w:r>
        <w:t xml:space="preserve"> </w:t>
      </w:r>
      <w:r>
        <w:t xml:space="preserve">the tape. Shares are down ~5.5% YTD (to ~$1,025) and sit ~12% below the January high near $1,163, even as the last two earnings prints were positive catalysts (Q4 report +5.9% on the day; Q1 report +3.0%). The disconnect between fundamental momentum and share performance is the core tension going in: expectations are high, and the bar for a positive reaction may be, too.</w:t>
      </w:r>
    </w:p>
    <w:bookmarkEnd w:id="10"/>
    <w:bookmarkStart w:id="11" w:name="what-the-street-expects"/>
    <w:p>
      <w:pPr>
        <w:pStyle w:val="Heading2"/>
      </w:pPr>
      <w:r>
        <w:t xml:space="preserve">What the Street expects</w:t>
      </w:r>
    </w:p>
    <w:p>
      <w:pPr>
        <w:pStyle w:val="Compact"/>
        <w:numPr>
          <w:ilvl w:val="0"/>
          <w:numId w:val="1001"/>
        </w:numPr>
      </w:pPr>
      <w:r>
        <w:rPr>
          <w:b/>
          <w:bCs/>
        </w:rPr>
        <w:t xml:space="preserve">Adjusted EPS: ~$12.65</w:t>
      </w:r>
      <w:r>
        <w:t xml:space="preserve">, up ~5% YoY</w:t>
      </w:r>
    </w:p>
    <w:p>
      <w:pPr>
        <w:pStyle w:val="Compact"/>
        <w:numPr>
          <w:ilvl w:val="0"/>
          <w:numId w:val="1001"/>
        </w:numPr>
      </w:pPr>
      <w:r>
        <w:rPr>
          <w:b/>
          <w:bCs/>
        </w:rPr>
        <w:t xml:space="preserve">Revenue: ~$6.74B</w:t>
      </w:r>
      <w:r>
        <w:t xml:space="preserve">, up ~24% YoY</w:t>
      </w:r>
    </w:p>
    <w:p>
      <w:pPr>
        <w:pStyle w:val="Compact"/>
        <w:numPr>
          <w:ilvl w:val="0"/>
          <w:numId w:val="1001"/>
        </w:numPr>
      </w:pPr>
      <w:r>
        <w:t xml:space="preserve">BlackRock has</w:t>
      </w:r>
      <w:r>
        <w:t xml:space="preserve"> </w:t>
      </w:r>
      <w:r>
        <w:rPr>
          <w:b/>
          <w:bCs/>
        </w:rPr>
        <w:t xml:space="preserve">beaten EPS consensus in each of the last four quarters</w:t>
      </w:r>
      <w:r>
        <w:t xml:space="preserve"> </w:t>
      </w:r>
      <w:r>
        <w:t xml:space="preserve">and topped revenue in three of four.</w:t>
      </w:r>
    </w:p>
    <w:p>
      <w:pPr>
        <w:pStyle w:val="Compact"/>
        <w:numPr>
          <w:ilvl w:val="0"/>
          <w:numId w:val="1001"/>
        </w:numPr>
      </w:pPr>
      <w:r>
        <w:t xml:space="preserve">Estimate revisions have skewed positive into the print (roughly 7 up / 3 down on EPS over three months).</w:t>
      </w:r>
    </w:p>
    <w:p>
      <w:pPr>
        <w:pStyle w:val="FirstParagraph"/>
      </w:pPr>
      <w:r>
        <w:rPr>
          <w:b/>
          <w:bCs/>
        </w:rPr>
        <w:t xml:space="preserve">Important framing on the growth rates:</w:t>
      </w:r>
      <w:r>
        <w:t xml:space="preserve"> </w:t>
      </w:r>
      <w:r>
        <w:t xml:space="preserve">the eye-popping ~24% revenue growth is heavily flattered by the</w:t>
      </w:r>
      <w:r>
        <w:t xml:space="preserve"> </w:t>
      </w:r>
      <w:r>
        <w:rPr>
          <w:b/>
          <w:bCs/>
        </w:rPr>
        <w:t xml:space="preserve">HPS acquisition, which closed July 1, 2025</w:t>
      </w:r>
      <w:r>
        <w:t xml:space="preserve"> </w:t>
      </w:r>
      <w:r>
        <w:t xml:space="preserve">— so this is essentially the</w:t>
      </w:r>
      <w:r>
        <w:t xml:space="preserve"> </w:t>
      </w:r>
      <w:r>
        <w:rPr>
          <w:i/>
          <w:iCs/>
        </w:rPr>
        <w:t xml:space="preserve">first quarter</w:t>
      </w:r>
      <w:r>
        <w:t xml:space="preserve"> </w:t>
      </w:r>
      <w:r>
        <w:t xml:space="preserve">where HPS is in the current-period base but was absent a year ago. Preqin (closed March 2025) and ElmTree (September 2025) similarly pad the YoY. The cleaner signal is</w:t>
      </w:r>
      <w:r>
        <w:t xml:space="preserve"> </w:t>
      </w:r>
      <w:r>
        <w:rPr>
          <w:b/>
          <w:bCs/>
        </w:rPr>
        <w:t xml:space="preserve">organic base fee growth</w:t>
      </w:r>
      <w:r>
        <w:t xml:space="preserve">, margins, and the fee rate — not the headline revenue number.</w:t>
      </w:r>
    </w:p>
    <w:bookmarkEnd w:id="11"/>
    <w:bookmarkStart w:id="12" w:name="Xc37d073276b736703b6ad4b6db647ff6746dcff"/>
    <w:p>
      <w:pPr>
        <w:pStyle w:val="Heading2"/>
      </w:pPr>
      <w:r>
        <w:t xml:space="preserve">Momentum from Q1 2026 (the baseline to beat)</w:t>
      </w:r>
    </w:p>
    <w:p>
      <w:pPr>
        <w:pStyle w:val="FirstParagraph"/>
      </w:pPr>
      <w:r>
        <w:t xml:space="preserve">Q1 was described as "one of the strongest starts to a year in BlackRock's history":</w:t>
      </w:r>
    </w:p>
    <w:p>
      <w:pPr>
        <w:pStyle w:val="Compact"/>
        <w:numPr>
          <w:ilvl w:val="0"/>
          <w:numId w:val="1002"/>
        </w:numPr>
      </w:pPr>
      <w:r>
        <w:t xml:space="preserve">**</w:t>
      </w:r>
      <m:oMath>
        <m:r>
          <m:t>130</m:t>
        </m:r>
        <m:r>
          <m:t>B</m:t>
        </m:r>
        <m:r>
          <m:t>t</m:t>
        </m:r>
        <m:r>
          <m:t>o</m:t>
        </m:r>
        <m:r>
          <m:t>t</m:t>
        </m:r>
        <m:r>
          <m:t>a</m:t>
        </m:r>
        <m:r>
          <m:t>l</m:t>
        </m:r>
        <m:r>
          <m:t>n</m:t>
        </m:r>
        <m:r>
          <m:t>e</m:t>
        </m:r>
        <m:r>
          <m:t>t</m:t>
        </m:r>
        <m:r>
          <m:t>i</m:t>
        </m:r>
        <m:r>
          <m:t>n</m:t>
        </m:r>
        <m:r>
          <m:t>f</m:t>
        </m:r>
        <m:r>
          <m:t>l</m:t>
        </m:r>
        <m:r>
          <m:t>o</m:t>
        </m:r>
        <m:r>
          <m:t>w</m:t>
        </m:r>
        <m:r>
          <m:t>s</m:t>
        </m:r>
        <m:r>
          <m:rPr>
            <m:sty m:val="p"/>
          </m:rPr>
          <m:t>*</m:t>
        </m:r>
        <m:r>
          <m:rPr>
            <m:sty m:val="p"/>
          </m:rPr>
          <m:t>*</m:t>
        </m:r>
        <m:r>
          <m:rPr>
            <m:sty m:val="p"/>
          </m:rPr>
          <m:t>(</m:t>
        </m:r>
      </m:oMath>
      <w:r>
        <w:t xml:space="preserve">136B long-term);</w:t>
      </w:r>
      <w:r>
        <w:t xml:space="preserve"> </w:t>
      </w:r>
      <w:r>
        <w:rPr>
          <w:b/>
          <w:bCs/>
        </w:rPr>
        <w:t xml:space="preserve">$744B LTM net inflows</w:t>
      </w:r>
    </w:p>
    <w:p>
      <w:pPr>
        <w:pStyle w:val="Compact"/>
        <w:numPr>
          <w:ilvl w:val="0"/>
          <w:numId w:val="1002"/>
        </w:numPr>
      </w:pPr>
      <w:r>
        <w:rPr>
          <w:b/>
          <w:bCs/>
        </w:rPr>
        <w:t xml:space="preserve">8% annualized organic base fee growth</w:t>
      </w:r>
      <w:r>
        <w:t xml:space="preserve"> </w:t>
      </w:r>
      <w:r>
        <w:t xml:space="preserve">— the</w:t>
      </w:r>
      <w:r>
        <w:t xml:space="preserve"> </w:t>
      </w:r>
      <w:r>
        <w:rPr>
          <w:b/>
          <w:bCs/>
        </w:rPr>
        <w:t xml:space="preserve">7th straight quarter ≥5%</w:t>
      </w:r>
      <w:r>
        <w:t xml:space="preserve">;</w:t>
      </w:r>
      <w:r>
        <w:t xml:space="preserve"> </w:t>
      </w:r>
      <w:r>
        <w:rPr>
          <w:b/>
          <w:bCs/>
        </w:rPr>
        <w:t xml:space="preserve">10% over the LTM</w:t>
      </w:r>
    </w:p>
    <w:p>
      <w:pPr>
        <w:pStyle w:val="Compact"/>
        <w:numPr>
          <w:ilvl w:val="0"/>
          <w:numId w:val="1002"/>
        </w:numPr>
      </w:pPr>
      <w:r>
        <w:rPr>
          <w:b/>
          <w:bCs/>
        </w:rPr>
        <w:t xml:space="preserve">Adjusted operating margin 44.5%</w:t>
      </w:r>
      <w:r>
        <w:t xml:space="preserve">, +130 bps YoY (45.6% ex-performance fees)</w:t>
      </w:r>
    </w:p>
    <w:p>
      <w:pPr>
        <w:pStyle w:val="Compact"/>
        <w:numPr>
          <w:ilvl w:val="0"/>
          <w:numId w:val="1002"/>
        </w:numPr>
      </w:pPr>
      <w:r>
        <w:rPr>
          <w:b/>
          <w:bCs/>
        </w:rPr>
        <w:t xml:space="preserve">Adjusted EPS $12.53</w:t>
      </w:r>
      <w:r>
        <w:t xml:space="preserve"> </w:t>
      </w:r>
      <w:r>
        <w:t xml:space="preserve">(GAAP $14.06); revenue $6.7B, +27% YoY</w:t>
      </w:r>
    </w:p>
    <w:p>
      <w:pPr>
        <w:pStyle w:val="Compact"/>
        <w:numPr>
          <w:ilvl w:val="0"/>
          <w:numId w:val="1002"/>
        </w:numPr>
      </w:pPr>
      <w:r>
        <w:rPr>
          <w:b/>
          <w:bCs/>
        </w:rPr>
        <w:t xml:space="preserve">AUM $13.9T</w:t>
      </w:r>
      <w:r>
        <w:t xml:space="preserve"> </w:t>
      </w:r>
      <w:r>
        <w:t xml:space="preserve">(down slightly from $14.04T at YE 2025 on negative market/FX in the quarter)</w:t>
      </w:r>
    </w:p>
    <w:p>
      <w:pPr>
        <w:pStyle w:val="Compact"/>
        <w:numPr>
          <w:ilvl w:val="0"/>
          <w:numId w:val="1002"/>
        </w:numPr>
      </w:pPr>
      <w:r>
        <w:rPr>
          <w:b/>
          <w:bCs/>
        </w:rPr>
        <w:t xml:space="preserve">Technology ACV +14% YoY</w:t>
      </w:r>
      <w:r>
        <w:t xml:space="preserve">; dividend raised 10% to</w:t>
      </w:r>
      <w:r>
        <w:t xml:space="preserve"> </w:t>
      </w:r>
      <m:oMath>
        <m:r>
          <m:t>5.73</m:t>
        </m:r>
        <m:r>
          <m:rPr>
            <m:sty m:val="p"/>
          </m:rPr>
          <m:t>/</m:t>
        </m:r>
        <m:r>
          <m:t>q</m:t>
        </m:r>
        <m:r>
          <m:t>u</m:t>
        </m:r>
        <m:r>
          <m:t>a</m:t>
        </m:r>
        <m:r>
          <m:t>r</m:t>
        </m:r>
        <m:r>
          <m:t>t</m:t>
        </m:r>
        <m:r>
          <m:t>e</m:t>
        </m:r>
        <m:r>
          <m:t>r</m:t>
        </m:r>
        <m:r>
          <m:rPr>
            <m:sty m:val="p"/>
          </m:rPr>
          <m:t>;</m:t>
        </m:r>
        <m:r>
          <m:rPr>
            <m:sty m:val="p"/>
          </m:rPr>
          <m:t>*</m:t>
        </m:r>
        <m:r>
          <m:rPr>
            <m:sty m:val="p"/>
          </m:rPr>
          <m:t>*</m:t>
        </m:r>
      </m:oMath>
      <w:r>
        <w:t xml:space="preserve">450M buyback**</w:t>
      </w:r>
    </w:p>
    <w:p>
      <w:pPr>
        <w:pStyle w:val="FirstParagraph"/>
      </w:pPr>
      <w:r>
        <w:t xml:space="preserve">Notably, Q1 AUM finished</w:t>
      </w:r>
      <w:r>
        <w:t xml:space="preserve"> </w:t>
      </w:r>
      <w:r>
        <w:rPr>
          <w:i/>
          <w:iCs/>
        </w:rPr>
        <w:t xml:space="preserve">below</w:t>
      </w:r>
      <w:r>
        <w:t xml:space="preserve"> </w:t>
      </w:r>
      <w:r>
        <w:t xml:space="preserve">its quarterly average, so the exit base-fee rate entered Q2 ~2% below Q1's average — management said April market gains had already recovered that. Given equities recovered through Q2 (BLK bottomed near</w:t>
      </w:r>
      <w:r>
        <w:t xml:space="preserve"> </w:t>
      </w:r>
      <m:oMath>
        <m:r>
          <m:t>923</m:t>
        </m:r>
        <m:r>
          <m:t>i</m:t>
        </m:r>
        <m:r>
          <m:t>n</m:t>
        </m:r>
        <m:r>
          <m:t>M</m:t>
        </m:r>
        <m:r>
          <m:t>a</m:t>
        </m:r>
        <m:r>
          <m:t>r</m:t>
        </m:r>
        <m:r>
          <m:t>c</m:t>
        </m:r>
        <m:r>
          <m:t>h</m:t>
        </m:r>
        <m:r>
          <m:rPr>
            <m:sty m:val="p"/>
          </m:rPr>
          <m:t>,</m:t>
        </m:r>
        <m:r>
          <m:t>r</m:t>
        </m:r>
        <m:r>
          <m:t>e</m:t>
        </m:r>
        <m:r>
          <m:t>b</m:t>
        </m:r>
        <m:r>
          <m:t>o</m:t>
        </m:r>
        <m:r>
          <m:t>u</m:t>
        </m:r>
        <m:r>
          <m:t>n</m:t>
        </m:r>
        <m:r>
          <m:t>d</m:t>
        </m:r>
        <m:r>
          <m:t>e</m:t>
        </m:r>
        <m:r>
          <m:t>d</m:t>
        </m:r>
        <m:r>
          <m:t>t</m:t>
        </m:r>
        <m:r>
          <m:t>o</m:t>
        </m:r>
        <m:r>
          <m:t> </m:t>
        </m:r>
      </m:oMath>
      <w:r>
        <w:t xml:space="preserve">1,104 in May),</w:t>
      </w:r>
      <w:r>
        <w:t xml:space="preserve"> </w:t>
      </w:r>
      <w:r>
        <w:rPr>
          <w:b/>
          <w:bCs/>
        </w:rPr>
        <w:t xml:space="preserve">market beta should be a tailwind to average AUM this quarter.</w:t>
      </w:r>
    </w:p>
    <w:bookmarkEnd w:id="12"/>
    <w:bookmarkStart w:id="13" w:name="the-year-ago-comparison-to-keep-in-mind"/>
    <w:p>
      <w:pPr>
        <w:pStyle w:val="Heading2"/>
      </w:pPr>
      <w:r>
        <w:t xml:space="preserve">The year-ago comparison to keep in mind</w:t>
      </w:r>
    </w:p>
    <w:p>
      <w:pPr>
        <w:pStyle w:val="FirstParagraph"/>
      </w:pPr>
      <w:r>
        <w:t xml:space="preserve">Q2 2025 was a</w:t>
      </w:r>
      <w:r>
        <w:t xml:space="preserve"> </w:t>
      </w:r>
      <w:r>
        <w:rPr>
          <w:i/>
          <w:iCs/>
        </w:rPr>
        <w:t xml:space="preserve">messy-optics</w:t>
      </w:r>
      <w:r>
        <w:t xml:space="preserve"> </w:t>
      </w:r>
      <w:r>
        <w:t xml:space="preserve">quarter: total net inflows were</w:t>
      </w:r>
      <w:r>
        <w:t xml:space="preserve"> </w:t>
      </w:r>
      <m:oMath>
        <m:r>
          <m:t>68</m:t>
        </m:r>
        <m:r>
          <m:t>B</m:t>
        </m:r>
        <m:r>
          <m:rPr>
            <m:sty m:val="p"/>
          </m:rPr>
          <m:t>,</m:t>
        </m:r>
        <m:r>
          <m:t>b</m:t>
        </m:r>
        <m:r>
          <m:t>u</m:t>
        </m:r>
        <m:r>
          <m:t>t</m:t>
        </m:r>
        <m:r>
          <m:t>t</m:t>
        </m:r>
        <m:r>
          <m:t>h</m:t>
        </m:r>
        <m:r>
          <m:t>a</m:t>
        </m:r>
        <m:r>
          <m:t>t</m:t>
        </m:r>
        <m:r>
          <m:t>r</m:t>
        </m:r>
        <m:r>
          <m:t>e</m:t>
        </m:r>
        <m:r>
          <m:t>f</m:t>
        </m:r>
        <m:r>
          <m:t>l</m:t>
        </m:r>
        <m:r>
          <m:t>e</m:t>
        </m:r>
        <m:r>
          <m:t>c</m:t>
        </m:r>
        <m:r>
          <m:t>t</m:t>
        </m:r>
        <m:r>
          <m:t>e</m:t>
        </m:r>
        <m:r>
          <m:t>d</m:t>
        </m:r>
        <m:r>
          <m:rPr>
            <m:sty m:val="p"/>
          </m:rPr>
          <m:t>*</m:t>
        </m:r>
        <m:r>
          <m:rPr>
            <m:sty m:val="p"/>
          </m:rPr>
          <m:t>*</m:t>
        </m:r>
        <m:r>
          <m:t>a</m:t>
        </m:r>
        <m:r>
          <m:t>s</m:t>
        </m:r>
        <m:r>
          <m:t>i</m:t>
        </m:r>
        <m:r>
          <m:t>n</m:t>
        </m:r>
        <m:r>
          <m:t>g</m:t>
        </m:r>
        <m:r>
          <m:t>l</m:t>
        </m:r>
        <m:r>
          <m:t>e</m:t>
        </m:r>
        <m:r>
          <m:t>i</m:t>
        </m:r>
        <m:r>
          <m:t>n</m:t>
        </m:r>
        <m:r>
          <m:t>s</m:t>
        </m:r>
        <m:r>
          <m:t>t</m:t>
        </m:r>
        <m:r>
          <m:t>i</m:t>
        </m:r>
        <m:r>
          <m:t>t</m:t>
        </m:r>
        <m:r>
          <m:t>u</m:t>
        </m:r>
        <m:r>
          <m:t>t</m:t>
        </m:r>
        <m:r>
          <m:t>i</m:t>
        </m:r>
        <m:r>
          <m:t>o</m:t>
        </m:r>
        <m:r>
          <m:t>n</m:t>
        </m:r>
        <m:r>
          <m:t>a</m:t>
        </m:r>
        <m:r>
          <m:t>l</m:t>
        </m:r>
        <m:r>
          <m:t>c</m:t>
        </m:r>
        <m:r>
          <m:t>l</m:t>
        </m:r>
        <m:r>
          <m:t>i</m:t>
        </m:r>
        <m:r>
          <m:t>e</m:t>
        </m:r>
        <m:r>
          <m:t>n</m:t>
        </m:r>
        <m:sSup>
          <m:e>
            <m:r>
              <m:t>t</m:t>
            </m:r>
          </m:e>
          <m:sup>
            <m:r>
              <m:rPr>
                <m:sty m:val="p"/>
              </m:rPr>
              <m:t>′</m:t>
            </m:r>
          </m:sup>
        </m:sSup>
        <m:r>
          <m:t>s</m:t>
        </m:r>
        <m:r>
          <m:t> </m:t>
        </m:r>
      </m:oMath>
      <w:r>
        <w:t xml:space="preserve">52B lower-fee index partial redemption**. Because those were low-fee assets, the flow headline understated fee economics. So a strong-looking flow rebound YoY is likely — watch whether it's</w:t>
      </w:r>
      <w:r>
        <w:t xml:space="preserve"> </w:t>
      </w:r>
      <w:r>
        <w:rPr>
          <w:i/>
          <w:iCs/>
        </w:rPr>
        <w:t xml:space="preserve">base-fee accretive</w:t>
      </w:r>
      <w:r>
        <w:t xml:space="preserve"> </w:t>
      </w:r>
      <w:r>
        <w:t xml:space="preserve">flow, not just AUM.</w:t>
      </w:r>
    </w:p>
    <w:bookmarkEnd w:id="13"/>
    <w:bookmarkStart w:id="14" w:name="Xeb42468c38be55f96acfcd3d13e69e14b581e95"/>
    <w:p>
      <w:pPr>
        <w:pStyle w:val="Heading2"/>
      </w:pPr>
      <w:r>
        <w:t xml:space="preserve">Five things that actually matter on this print</w:t>
      </w:r>
    </w:p>
    <w:p>
      <w:pPr>
        <w:pStyle w:val="FirstParagraph"/>
      </w:pPr>
      <w:r>
        <w:rPr>
          <w:b/>
          <w:bCs/>
        </w:rPr>
        <w:t xml:space="preserve">1. Organic base fee growth (the key metric).</w:t>
      </w:r>
      <w:r>
        <w:t xml:space="preserve"> </w:t>
      </w:r>
      <w:r>
        <w:t xml:space="preserve">Can BlackRock extend its streak of ≥5% and stay near the 8–10% pace? Management targets 5%+ structurally and has said it can "confidently and consistently" deliver 6–7%. A print below ~5% would be the real disappointment regardless of the EPS beat.</w:t>
      </w:r>
    </w:p>
    <w:p>
      <w:pPr>
        <w:pStyle w:val="BodyText"/>
      </w:pPr>
      <w:r>
        <w:rPr>
          <w:b/>
          <w:bCs/>
        </w:rPr>
        <w:t xml:space="preserve">2. iShares / ETF flows and the fee-rate mix.</w:t>
      </w:r>
      <w:r>
        <w:t xml:space="preserve"> </w:t>
      </w:r>
      <w:r>
        <w:t xml:space="preserve">Q1 saw record first-quarter ETF inflows of $132B with iShares</w:t>
      </w:r>
      <w:r>
        <w:t xml:space="preserve"> </w:t>
      </w:r>
      <w:r>
        <w:rPr>
          <w:b/>
          <w:bCs/>
        </w:rPr>
        <w:t xml:space="preserve">net new base fees roughly double</w:t>
      </w:r>
      <w:r>
        <w:t xml:space="preserve"> </w:t>
      </w:r>
      <w:r>
        <w:t xml:space="preserve">the prior year, driven by rotation into higher-fee international, EM, and precision single-country exposures. The</w:t>
      </w:r>
      <w:r>
        <w:t xml:space="preserve"> </w:t>
      </w:r>
      <w:r>
        <w:rPr>
          <w:b/>
          <w:bCs/>
        </w:rPr>
        <w:t xml:space="preserve">effective fee rate rose 0.2 bps QoQ</w:t>
      </w:r>
      <w:r>
        <w:t xml:space="preserve"> </w:t>
      </w:r>
      <w:r>
        <w:t xml:space="preserve">on that mix — watch whether the international/premium-exposure rotation persists, as it's the swing factor for fee rate.</w:t>
      </w:r>
    </w:p>
    <w:p>
      <w:pPr>
        <w:pStyle w:val="BodyText"/>
      </w:pPr>
      <w:r>
        <w:rPr>
          <w:b/>
          <w:bCs/>
        </w:rPr>
        <w:t xml:space="preserve">3. Private markets &amp; private credit / HPS.</w:t>
      </w:r>
      <w:r>
        <w:t xml:space="preserve"> </w:t>
      </w:r>
      <w:r>
        <w:t xml:space="preserve">This is the most scrutinized area. Management acknowledged</w:t>
      </w:r>
      <w:r>
        <w:t xml:space="preserve"> </w:t>
      </w:r>
      <w:r>
        <w:rPr>
          <w:b/>
          <w:bCs/>
        </w:rPr>
        <w:t xml:space="preserve">elevated redemptions and more muted subscriptions in retail private-credit (BDC) vehicles</w:t>
      </w:r>
      <w:r>
        <w:t xml:space="preserve">, but stressed ~85–90% of private markets is institutional, where fundraising and deployment are</w:t>
      </w:r>
      <w:r>
        <w:t xml:space="preserve"> </w:t>
      </w:r>
      <w:r>
        <w:rPr>
          <w:i/>
          <w:iCs/>
        </w:rPr>
        <w:t xml:space="preserve">accelerating</w:t>
      </w:r>
      <w:r>
        <w:t xml:space="preserve"> </w:t>
      </w:r>
      <w:r>
        <w:t xml:space="preserve">into wider spreads. Watch: HLND BDC subscriptions (~$150M in the April window), the multi-billion insurance private-credit pipeline, GIP V deployment (closed above $25B target), and any performance-fee contribution from HPS.</w:t>
      </w:r>
    </w:p>
    <w:p>
      <w:pPr>
        <w:pStyle w:val="BodyText"/>
      </w:pPr>
      <w:r>
        <w:rPr>
          <w:b/>
          <w:bCs/>
        </w:rPr>
        <w:t xml:space="preserve">4. The DOL 401(k) private-markets rule.</w:t>
      </w:r>
      <w:r>
        <w:t xml:space="preserve"> </w:t>
      </w:r>
      <w:r>
        <w:t xml:space="preserve">The proposed rule to allow private assets in target-date funds is a potential multi-year structural driver. BlackRock — #1 in DCIO with a</w:t>
      </w:r>
      <w:r>
        <w:t xml:space="preserve"> </w:t>
      </w:r>
      <w:r>
        <w:rPr>
          <w:b/>
          <w:bCs/>
        </w:rPr>
        <w:t xml:space="preserve">~$600B LifePath franchise</w:t>
      </w:r>
      <w:r>
        <w:t xml:space="preserve">, top-5 private-markets manager, plus Preqin data for benchmarking — is arguably the best-positioned beneficiary. Expect updates on the LifePath-with-privates launch (with Great Gray) targeted for later in 2026. Commentary here can move sentiment more than the quarter's numbers.</w:t>
      </w:r>
    </w:p>
    <w:p>
      <w:pPr>
        <w:pStyle w:val="BodyText"/>
      </w:pPr>
      <w:r>
        <w:rPr>
          <w:b/>
          <w:bCs/>
        </w:rPr>
        <w:t xml:space="preserve">5. Margin, capital return, and tax.</w:t>
      </w:r>
      <w:r>
        <w:t xml:space="preserve"> </w:t>
      </w:r>
      <w:r>
        <w:t xml:space="preserve">Adjusted margin has run 44.5–45.0%; CFO Martin Small has flagged a path toward higher recurring-fee margins (acquired private-markets units came in &gt;50%) and reiterated the company has run at ~47% before. Guidance points to **≥</w:t>
      </w:r>
      <m:oMath>
        <m:r>
          <m:t>450</m:t>
        </m:r>
        <m:r>
          <m:t>M</m:t>
        </m:r>
        <m:r>
          <m:rPr>
            <m:sty m:val="p"/>
          </m:rPr>
          <m:t>/</m:t>
        </m:r>
        <m:r>
          <m:t>q</m:t>
        </m:r>
        <m:r>
          <m:t>u</m:t>
        </m:r>
        <m:r>
          <m:t>a</m:t>
        </m:r>
        <m:r>
          <m:t>r</m:t>
        </m:r>
        <m:r>
          <m:t>t</m:t>
        </m:r>
        <m:r>
          <m:t>e</m:t>
        </m:r>
        <m:r>
          <m:t>r</m:t>
        </m:r>
        <m:r>
          <m:t>b</m:t>
        </m:r>
        <m:r>
          <m:t>u</m:t>
        </m:r>
        <m:r>
          <m:t>y</m:t>
        </m:r>
        <m:r>
          <m:t>b</m:t>
        </m:r>
        <m:r>
          <m:t>a</m:t>
        </m:r>
        <m:r>
          <m:t>c</m:t>
        </m:r>
        <m:r>
          <m:t>k</m:t>
        </m:r>
        <m:r>
          <m:t>s</m:t>
        </m:r>
        <m:r>
          <m:rPr>
            <m:sty m:val="p"/>
          </m:rPr>
          <m:t>*</m:t>
        </m:r>
        <m:r>
          <m:rPr>
            <m:sty m:val="p"/>
          </m:rPr>
          <m:t>*</m:t>
        </m:r>
        <m:r>
          <m:t>a</m:t>
        </m:r>
        <m:r>
          <m:t>n</m:t>
        </m:r>
        <m:r>
          <m:t>d</m:t>
        </m:r>
        <m:r>
          <m:t>a</m:t>
        </m:r>
        <m:r>
          <m:rPr>
            <m:sty m:val="p"/>
          </m:rPr>
          <m:t>*</m:t>
        </m:r>
        <m:r>
          <m:rPr>
            <m:sty m:val="p"/>
          </m:rPr>
          <m:t>*</m:t>
        </m:r>
        <m:r>
          <m:t> </m:t>
        </m:r>
        <m:r>
          <m:t>25</m:t>
        </m:r>
      </m:oMath>
      <w:r>
        <w:t xml:space="preserve">57M of one-time stock-comp discrete items).</w:t>
      </w:r>
    </w:p>
    <w:bookmarkEnd w:id="14"/>
    <w:bookmarkStart w:id="15" w:name="recent-catalyst-to-note"/>
    <w:p>
      <w:pPr>
        <w:pStyle w:val="Heading2"/>
      </w:pPr>
      <w:r>
        <w:t xml:space="preserve">Recent catalyst to note</w:t>
      </w:r>
    </w:p>
    <w:p>
      <w:pPr>
        <w:pStyle w:val="FirstParagraph"/>
      </w:pPr>
      <w:r>
        <w:t xml:space="preserve">Ahead of the print, BlackRock</w:t>
      </w:r>
      <w:r>
        <w:t xml:space="preserve"> </w:t>
      </w:r>
      <w:r>
        <w:rPr>
          <w:b/>
          <w:bCs/>
        </w:rPr>
        <w:t xml:space="preserve">launched the iShares Nasdaq 100 ETF ("IQQ")</w:t>
      </w:r>
      <w:r>
        <w:t xml:space="preserve"> </w:t>
      </w:r>
      <w:r>
        <w:t xml:space="preserve">— a cheaper competitor to Invesco's QQQ and State Street's product — extending its low-cost core ETF land-grab. Expect questions on fee strategy and whether it expands the pie vs. cannibalizes.</w:t>
      </w:r>
    </w:p>
    <w:bookmarkEnd w:id="15"/>
    <w:bookmarkStart w:id="16" w:name="bottom-line"/>
    <w:p>
      <w:pPr>
        <w:pStyle w:val="Heading2"/>
      </w:pPr>
      <w:r>
        <w:t xml:space="preserve">Bottom line</w:t>
      </w:r>
    </w:p>
    <w:p>
      <w:pPr>
        <w:pStyle w:val="FirstParagraph"/>
      </w:pPr>
      <w:r>
        <w:t xml:space="preserve">The fundamental story is arguably as strong as it has ever been — durable organic growth, expanding margins, three transformational deals (GIP, Preqin, HPS) compounding, and a genuine option on the 401(k)/private-markets rule. Yet the stock's YTD underperformance signals the market may already discount much of this, and the HPS-inflated YoY optics could invite "beat-but-decelerating-organic" skepticism.</w:t>
      </w:r>
    </w:p>
    <w:p>
      <w:pPr>
        <w:pStyle w:val="BodyText"/>
      </w:pPr>
      <w:r>
        <w:rPr>
          <w:b/>
          <w:bCs/>
        </w:rPr>
        <w:t xml:space="preserve">Watch for a positive reaction if:</w:t>
      </w:r>
      <w:r>
        <w:t xml:space="preserve"> </w:t>
      </w:r>
      <w:r>
        <w:t xml:space="preserve">organic base fee growth holds ≥6–7%, the effective fee rate ticks up again, and margins beat ~44.5% — plus constructive DOL/private-credit commentary.</w:t>
      </w:r>
    </w:p>
    <w:p>
      <w:pPr>
        <w:pStyle w:val="BodyText"/>
      </w:pPr>
      <w:r>
        <w:rPr>
          <w:b/>
          <w:bCs/>
        </w:rPr>
        <w:t xml:space="preserve">Watch for a negative reaction if:</w:t>
      </w:r>
      <w:r>
        <w:t xml:space="preserve"> </w:t>
      </w:r>
      <w:r>
        <w:t xml:space="preserve">organic base fee growth slips toward/below 5%, private-credit retail redemptions worsen visibly, or the fee-rate mix reverses — any of which would let bears argue the premium multiple isn't earning its keep despite the headline EPS beat.</w:t>
      </w:r>
    </w:p>
    <w:p>
      <w:r>
        <w:pict>
          <v:rect style="width:0;height:1.5pt" o:hralign="center" o:hrstd="t" o:hr="t"/>
        </w:pict>
      </w:r>
    </w:p>
    <w:p>
      <w:pPr>
        <w:pStyle w:val="FirstParagraph"/>
      </w:pPr>
      <w:r>
        <w:rPr>
          <w:i/>
          <w:iCs/>
        </w:rPr>
        <w:t xml:space="preserve">Preview based on BlackRock's Q1 2026 earnings release and call, the Q2 2025 release, consensus estimates, and market data. Figures are as-adjusted unless noted GAAP. Not investment advice.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2026-07-15T00:15:06Z</dcterms:created>
  <dcterms:modified xsi:type="dcterms:W3CDTF">2026-07-15T00:15:06Z</dcterms:modified>
</cp:coreProperties>
</file>

<file path=docProps/custom.xml><?xml version="1.0" encoding="utf-8"?>
<Properties xmlns="http://schemas.openxmlformats.org/officeDocument/2006/custom-properties" xmlns:vt="http://schemas.openxmlformats.org/officeDocument/2006/docPropsVTypes"/>
</file>