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k-earnings-predictions--2026-07-15"/>
    <w:p>
      <w:pPr>
        <w:pStyle w:val="Heading1"/>
      </w:pPr>
      <w:r>
        <w:t xml:space="preserve">BLK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~$12.80 vs. cons $12.60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~$6.85B vs. cons $6.75B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inflows (organic growth)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~$95B vs. cons $115B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 vs. cons 25%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~$450M/qtr vs. cons $450M/qtr (Q3 2026 and beyond)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Adjusted/fee-related operating margin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~45-46% vs. cons 45.5% (Q3 2026), with longer-term aspiration toward 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HLEND (HPS Corporate Lending Fund) quarterly redemption requests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guide/trend ~15% requested vs. prior 13.3% (Q2 2026), worse than the stabilization the Street had hoped for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(FADE)</w:t>
            </w:r>
          </w:p>
        </w:tc>
        <w:tc>
          <w:tcPr/>
          <w:p>
            <w:pPr>
              <w:pStyle w:val="Compact"/>
            </w:pPr>
            <w:r>
              <w:t xml:space="preserve">Headline EPS/revenue likely beat on market-driven AUM tailwinds, but net flows likely undershoot the record Q1 pace as HLEND redemption requests (13.3%-&gt;higher) and TCPC/valuation-probe headlines dominate Q&amp;A; any initial pop from the beat should fade over the week as analysts trim H2 organic-growth and margin estimates on continued wealth-channel private-credit gating, echoing the pre-print MS target cut, rather than follow-through buying.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2026-07-15T00:17:52Z</dcterms:created>
  <dcterms:modified xsi:type="dcterms:W3CDTF">2026-07-15T00:17:52Z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