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lk-earnings-predictions--2026-07-15"/>
    <w:p>
      <w:pPr>
        <w:pStyle w:val="Heading1"/>
      </w:pPr>
      <w:r>
        <w:t xml:space="preserve">BLK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~$12.76 vs. cons $12.63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~$6.84B vs. cons $6.75B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inflows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~$125.0B vs. cons $115.96B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 base-fee growth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~7.0% vs. cons 6.5% (2H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operating-margin target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~45.0% vs. cons 45.0%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Technology-services ACV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~14.0% vs. cons 13.0%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BLK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+3.1% (FOLLOW-THROUGH)</w:t>
            </w:r>
          </w:p>
        </w:tc>
        <w:tc>
          <w:tcPr/>
          <w:p>
            <w:pPr>
              <w:pStyle w:val="Compact"/>
            </w:pPr>
            <w:r>
              <w:t xml:space="preserve">Positive EPS revisions should follow the out-period math from ~7.0% organic base-fee growth versus 6.5% expected and ~14.0% ACV growth versus 13.0% expected, while a maintained ~45.0% margin target versus 45.0% consensus limits downside to forward estimates.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2026-07-15T00:06:16Z</dcterms:created>
  <dcterms:modified xsi:type="dcterms:W3CDTF">2026-07-15T00:06:16Z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