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blackrock-blk-q2-2026-earnings-preview"/>
    <w:p>
      <w:pPr>
        <w:pStyle w:val="Heading1"/>
      </w:pPr>
      <w:r>
        <w:t xml:space="preserve">BlackRock (BLK) Q2 2026 Earnings Preview</w:t>
      </w:r>
    </w:p>
    <w:p>
      <w:pPr>
        <w:pStyle w:val="FirstParagraph"/>
      </w:pPr>
      <w:r>
        <w:rPr>
          <w:b/>
          <w:bCs/>
        </w:rPr>
        <w:t xml:space="preserve">Report:</w:t>
      </w:r>
      <w:r>
        <w:t xml:space="preserve"> </w:t>
      </w:r>
      <w:r>
        <w:t xml:space="preserve">Wednesday, July 15, 2026, before the market opens</w:t>
      </w:r>
      <w:r>
        <w:br/>
      </w:r>
      <w:r>
        <w:rPr>
          <w:b/>
          <w:bCs/>
        </w:rPr>
        <w:t xml:space="preserve">Conference call:</w:t>
      </w:r>
      <w:r>
        <w:t xml:space="preserve"> </w:t>
      </w:r>
      <w:r>
        <w:t xml:space="preserve">7:30 a.m. ET (</w:t>
      </w:r>
      <w:hyperlink r:id="rId9">
        <w:r>
          <w:rPr>
            <w:rStyle w:val="Hyperlink"/>
          </w:rPr>
          <w:t xml:space="preserve">ir.blackrock.com</w:t>
        </w:r>
      </w:hyperlink>
      <w:r>
        <w:t xml:space="preserve">)</w:t>
      </w:r>
    </w:p>
    <w:bookmarkStart w:id="11" w:name="the-setup"/>
    <w:p>
      <w:pPr>
        <w:pStyle w:val="Heading2"/>
      </w:pPr>
      <w:r>
        <w:t xml:space="preserve">The setup</w:t>
      </w:r>
    </w:p>
    <w:p>
      <w:pPr>
        <w:pStyle w:val="FirstParagraph"/>
      </w:pPr>
      <w:r>
        <w:t xml:space="preserve">BlackRock enters the report with a favorable public-markets backdrop, strong industry ETF flows and substantial year-over-year revenue contribution from HPS. The key question is not whether assets under management reached another record; it is whether</w:t>
      </w:r>
      <w:r>
        <w:t xml:space="preserve"> </w:t>
      </w:r>
      <w:r>
        <w:rPr>
          <w:b/>
          <w:bCs/>
        </w:rPr>
        <w:t xml:space="preserve">high-fee organic growth, private-markets momentum and operating leverage kept pace with the market-driven increase in AUM</w:t>
      </w:r>
      <w:r>
        <w:t xml:space="preserve">.</w:t>
      </w:r>
    </w:p>
    <w:p>
      <w:pPr>
        <w:pStyle w:val="BodyText"/>
      </w:pPr>
      <w:r>
        <w:t xml:space="preserve">Published estimates vary modestly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 range</w:t>
            </w:r>
          </w:p>
        </w:tc>
        <w:tc>
          <w:tcPr/>
          <w:p>
            <w:pPr>
              <w:pStyle w:val="Compact"/>
              <w:jc w:val="right"/>
            </w:pPr>
            <w:r>
              <w:t xml:space="preserve">Q2 2025 actual</w:t>
            </w:r>
          </w:p>
        </w:tc>
        <w:tc>
          <w:tcPr/>
          <w:p>
            <w:pPr>
              <w:pStyle w:val="Compact"/>
              <w:jc w:val="right"/>
            </w:pPr>
            <w:r>
              <w:t xml:space="preserve">Implied YoY growth</w:t>
            </w:r>
          </w:p>
        </w:tc>
      </w:tr>
      <w:tr>
        <w:tc>
          <w:tcPr/>
          <w:p>
            <w:pPr>
              <w:pStyle w:val="Compact"/>
            </w:pPr>
            <w:r>
              <w:t xml:space="preserve">Adjusted EPS</w:t>
            </w:r>
          </w:p>
        </w:tc>
        <w:tc>
          <w:tcPr/>
          <w:p>
            <w:pPr>
              <w:pStyle w:val="Compact"/>
              <w:jc w:val="right"/>
            </w:pPr>
            <m:oMath>
              <m:r>
                <m:t>12.55</m:t>
              </m:r>
              <m:r>
                <m:rPr>
                  <m:sty m:val="p"/>
                </m:rPr>
                <m:t>–</m:t>
              </m:r>
            </m:oMath>
            <w:r>
              <w:rPr>
                <w:b/>
                <w:bCs/>
              </w:rPr>
              <w:t xml:space="preserve">12.68</w:t>
            </w:r>
          </w:p>
        </w:tc>
        <w:tc>
          <w:tcPr/>
          <w:p>
            <w:pPr>
              <w:pStyle w:val="Compact"/>
              <w:jc w:val="right"/>
            </w:pPr>
            <w:r>
              <w:t xml:space="preserve">$12.05</w:t>
            </w:r>
          </w:p>
        </w:tc>
        <w:tc>
          <w:tcPr/>
          <w:p>
            <w:pPr>
              <w:pStyle w:val="Compact"/>
              <w:jc w:val="right"/>
            </w:pPr>
            <w:r>
              <w:t xml:space="preserve">Approximately 4%–5%</w:t>
            </w:r>
          </w:p>
        </w:tc>
      </w:tr>
      <w:tr>
        <w:tc>
          <w:tcPr/>
          <w:p>
            <w:pPr>
              <w:pStyle w:val="Compact"/>
            </w:pPr>
            <w:r>
              <w:t xml:space="preserve">Revenue</w:t>
            </w:r>
          </w:p>
        </w:tc>
        <w:tc>
          <w:tcPr/>
          <w:p>
            <w:pPr>
              <w:pStyle w:val="Compact"/>
              <w:jc w:val="right"/>
            </w:pPr>
            <m:oMath>
              <m:r>
                <m:t>6.68</m:t>
              </m:r>
              <m:r>
                <m:t>B</m:t>
              </m:r>
              <m:r>
                <m:rPr>
                  <m:sty m:val="p"/>
                </m:rPr>
                <m:t>–</m:t>
              </m:r>
            </m:oMath>
            <w:r>
              <w:rPr>
                <w:b/>
                <w:bCs/>
              </w:rPr>
              <w:t xml:space="preserve">6.71B</w:t>
            </w:r>
          </w:p>
        </w:tc>
        <w:tc>
          <w:tcPr/>
          <w:p>
            <w:pPr>
              <w:pStyle w:val="Compact"/>
              <w:jc w:val="right"/>
            </w:pPr>
            <w:r>
              <w:t xml:space="preserve">$5.42B</w:t>
            </w:r>
          </w:p>
        </w:tc>
        <w:tc>
          <w:tcPr/>
          <w:p>
            <w:pPr>
              <w:pStyle w:val="Compact"/>
              <w:jc w:val="right"/>
            </w:pPr>
            <w:r>
              <w:t xml:space="preserve">Approximately 23%–24%</w:t>
            </w:r>
          </w:p>
        </w:tc>
      </w:tr>
    </w:tbl>
    <w:p>
      <w:pPr>
        <w:pStyle w:val="BodyText"/>
      </w:pPr>
      <w:r>
        <w:t xml:space="preserve">Consensus therefore anticipates revenue roughly flat with Q1's $6.70 billion, while adjusted EPS rises only slightly from Q1's $12.53. The relatively modest EPS growth reflects the larger post-HPS diluted share count, a likely normalization in the tax rate and sensitivity to performance fees and nonoperating income. (</w:t>
      </w:r>
      <w:hyperlink r:id="rId10">
        <w:r>
          <w:rPr>
            <w:rStyle w:val="Hyperlink"/>
          </w:rPr>
          <w:t xml:space="preserve">tipranks.com</w:t>
        </w:r>
      </w:hyperlink>
      <w:r>
        <w:t xml:space="preserve">)</w:t>
      </w:r>
    </w:p>
    <w:bookmarkEnd w:id="11"/>
    <w:bookmarkStart w:id="21" w:name="what-matters-most"/>
    <w:p>
      <w:pPr>
        <w:pStyle w:val="Heading2"/>
      </w:pPr>
      <w:r>
        <w:t xml:space="preserve">What matters most</w:t>
      </w:r>
    </w:p>
    <w:bookmarkStart w:id="13" w:name="X505ee63b730383379ee48f621c7a893e4c55a64"/>
    <w:p>
      <w:pPr>
        <w:pStyle w:val="Heading3"/>
      </w:pPr>
      <w:r>
        <w:t xml:space="preserve">1. AUM should rebound sharply—but the composition matters</w:t>
      </w:r>
    </w:p>
    <w:p>
      <w:pPr>
        <w:pStyle w:val="FirstParagraph"/>
      </w:pPr>
      <w:r>
        <w:t xml:space="preserve">BlackRock finished Q1 with</w:t>
      </w:r>
      <w:r>
        <w:t xml:space="preserve"> </w:t>
      </w:r>
      <w:r>
        <w:rPr>
          <w:b/>
          <w:bCs/>
        </w:rPr>
        <w:t xml:space="preserve">$13.895 trillion of AUM</w:t>
      </w:r>
      <w:r>
        <w:t xml:space="preserve">, including $7.66 trillion in equity assets. Q1 ending AUM was below average AUM because markets weakened late in the quarter. That created a favorable starting point for Q2, during which U.S. and international equities recovered strongly while bonds were approximately flat. (</w:t>
      </w:r>
      <w:hyperlink r:id="rId12">
        <w:r>
          <w:rPr>
            <w:rStyle w:val="Hyperlink"/>
          </w:rPr>
          <w:t xml:space="preserve">s24.q4cdn.com</w:t>
        </w:r>
      </w:hyperlink>
      <w:r>
        <w:t xml:space="preserve">)</w:t>
      </w:r>
    </w:p>
    <w:p>
      <w:pPr>
        <w:pStyle w:val="BodyText"/>
      </w:pPr>
      <w:r>
        <w:t xml:space="preserve">That combination makes</w:t>
      </w:r>
      <w:r>
        <w:t xml:space="preserve"> </w:t>
      </w:r>
      <w:r>
        <w:rPr>
          <w:b/>
          <w:bCs/>
        </w:rPr>
        <w:t xml:space="preserve">AUM near or potentially above $15 trillion plausible</w:t>
      </w:r>
      <w:r>
        <w:t xml:space="preserve">, although this is an inference rather than a published estimate. A new record alone should not be enough to impress investors because much of the increase will be attributable to market appreciation.</w:t>
      </w:r>
    </w:p>
    <w:p>
      <w:pPr>
        <w:pStyle w:val="BodyText"/>
      </w:pPr>
      <w:r>
        <w:t xml:space="preserve">More important questions include:</w:t>
      </w:r>
    </w:p>
    <w:p>
      <w:pPr>
        <w:pStyle w:val="Compact"/>
        <w:numPr>
          <w:ilvl w:val="0"/>
          <w:numId w:val="1001"/>
        </w:numPr>
      </w:pPr>
      <w:r>
        <w:t xml:space="preserve">How much did</w:t>
      </w:r>
      <w:r>
        <w:t xml:space="preserve"> </w:t>
      </w:r>
      <w:r>
        <w:rPr>
          <w:b/>
          <w:bCs/>
        </w:rPr>
        <w:t xml:space="preserve">average AUM</w:t>
      </w:r>
      <w:r>
        <w:t xml:space="preserve"> </w:t>
      </w:r>
      <w:r>
        <w:t xml:space="preserve">increase, since average rather than ending AUM drives most base fees?</w:t>
      </w:r>
    </w:p>
    <w:p>
      <w:pPr>
        <w:pStyle w:val="Compact"/>
        <w:numPr>
          <w:ilvl w:val="0"/>
          <w:numId w:val="1001"/>
        </w:numPr>
      </w:pPr>
      <w:r>
        <w:t xml:space="preserve">Did the effective fee rate hold up?</w:t>
      </w:r>
    </w:p>
    <w:p>
      <w:pPr>
        <w:pStyle w:val="Compact"/>
        <w:numPr>
          <w:ilvl w:val="0"/>
          <w:numId w:val="1001"/>
        </w:numPr>
      </w:pPr>
      <w:r>
        <w:t xml:space="preserve">How much of the growth came from higher-fee active, private-markets and precision ETF products rather than low-fee index beta?</w:t>
      </w:r>
    </w:p>
    <w:p>
      <w:pPr>
        <w:pStyle w:val="Compact"/>
        <w:numPr>
          <w:ilvl w:val="0"/>
          <w:numId w:val="1001"/>
        </w:numPr>
      </w:pPr>
      <w:r>
        <w:t xml:space="preserve">Did currency movements help or hurt reported AUM?</w:t>
      </w:r>
    </w:p>
    <w:bookmarkEnd w:id="13"/>
    <w:bookmarkStart w:id="16" w:name="X65b18eda685c11f86280e340d66aec422ca11f0"/>
    <w:p>
      <w:pPr>
        <w:pStyle w:val="Heading3"/>
      </w:pPr>
      <w:r>
        <w:t xml:space="preserve">2. ETF flows should be strong, with some notable offsets</w:t>
      </w:r>
    </w:p>
    <w:p>
      <w:pPr>
        <w:pStyle w:val="FirstParagraph"/>
      </w:pPr>
      <w:r>
        <w:t xml:space="preserve">BlackRock generated a record</w:t>
      </w:r>
      <w:r>
        <w:t xml:space="preserve"> </w:t>
      </w:r>
      <w:r>
        <w:rPr>
          <w:b/>
          <w:bCs/>
        </w:rPr>
        <w:t xml:space="preserve">$132 billion of iShares net inflows in Q1</w:t>
      </w:r>
      <w:r>
        <w:t xml:space="preserve">, including $88 billion in equity ETFs and $45 billion in fixed-income ETFs. That drove 8% annualized organic base-fee growth for the company. (</w:t>
      </w:r>
      <w:hyperlink r:id="rId12">
        <w:r>
          <w:rPr>
            <w:rStyle w:val="Hyperlink"/>
          </w:rPr>
          <w:t xml:space="preserve">s24.q4cdn.com</w:t>
        </w:r>
      </w:hyperlink>
      <w:r>
        <w:t xml:space="preserve">)</w:t>
      </w:r>
    </w:p>
    <w:p>
      <w:pPr>
        <w:pStyle w:val="BodyText"/>
      </w:pPr>
      <w:r>
        <w:t xml:space="preserve">The Q2 industry backdrop remained favorable. U.S.-listed ETFs attracted</w:t>
      </w:r>
      <w:r>
        <w:t xml:space="preserve"> </w:t>
      </w:r>
      <m:oMath>
        <m:r>
          <m:t>210</m:t>
        </m:r>
        <m:r>
          <m:t>b</m:t>
        </m:r>
        <m:r>
          <m:t>i</m:t>
        </m:r>
        <m:r>
          <m:t>l</m:t>
        </m:r>
        <m:r>
          <m:t>l</m:t>
        </m:r>
        <m:r>
          <m:t>i</m:t>
        </m:r>
        <m:r>
          <m:t>o</m:t>
        </m:r>
        <m:r>
          <m:t>n</m:t>
        </m:r>
        <m:r>
          <m:t>i</m:t>
        </m:r>
        <m:r>
          <m:t>n</m:t>
        </m:r>
        <m:r>
          <m:t>J</m:t>
        </m:r>
        <m:r>
          <m:t>u</m:t>
        </m:r>
        <m:r>
          <m:t>n</m:t>
        </m:r>
        <m:r>
          <m:t>e</m:t>
        </m:r>
        <m:r>
          <m:t>a</m:t>
        </m:r>
        <m:r>
          <m:t>l</m:t>
        </m:r>
        <m:r>
          <m:t>o</m:t>
        </m:r>
        <m:r>
          <m:t>n</m:t>
        </m:r>
        <m:r>
          <m:t>e</m:t>
        </m:r>
        <m:r>
          <m:rPr>
            <m:sty m:val="p"/>
          </m:rPr>
          <m:t>,</m:t>
        </m:r>
        <m:r>
          <m:t>a</m:t>
        </m:r>
        <m:r>
          <m:t>n</m:t>
        </m:r>
        <m:r>
          <m:t>d</m:t>
        </m:r>
        <m:r>
          <m:t>i</m:t>
        </m:r>
        <m:r>
          <m:t>S</m:t>
        </m:r>
        <m:r>
          <m:t>h</m:t>
        </m:r>
        <m:r>
          <m:t>a</m:t>
        </m:r>
        <m:r>
          <m:t>r</m:t>
        </m:r>
        <m:r>
          <m:t>e</m:t>
        </m:r>
        <m:r>
          <m:t>s</m:t>
        </m:r>
        <m:r>
          <m:t>l</m:t>
        </m:r>
        <m:r>
          <m:t>e</m:t>
        </m:r>
        <m:r>
          <m:t>d</m:t>
        </m:r>
        <m:r>
          <m:t>b</m:t>
        </m:r>
        <m:r>
          <m:t>r</m:t>
        </m:r>
        <m:r>
          <m:t>a</m:t>
        </m:r>
        <m:r>
          <m:t>n</m:t>
        </m:r>
        <m:r>
          <m:t>d</m:t>
        </m:r>
        <m:r>
          <m:t>s</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t xml:space="preserve">70.7 billion of June inflows** and $300.8 billion year-to-date. Large BlackRock winners included IVV, SGOV, SOXX and the active IALT ETF. (</w:t>
      </w:r>
      <w:hyperlink r:id="rId14">
        <w:r>
          <w:rPr>
            <w:rStyle w:val="Hyperlink"/>
          </w:rPr>
          <w:t xml:space="preserve">etf.com</w:t>
        </w:r>
      </w:hyperlink>
      <w:r>
        <w:t xml:space="preserve">)</w:t>
      </w:r>
    </w:p>
    <w:p>
      <w:pPr>
        <w:pStyle w:val="BodyText"/>
      </w:pPr>
      <w:r>
        <w:t xml:space="preserve">There were, however, meaningful offsets:</w:t>
      </w:r>
    </w:p>
    <w:p>
      <w:pPr>
        <w:pStyle w:val="Compact"/>
        <w:numPr>
          <w:ilvl w:val="0"/>
          <w:numId w:val="1002"/>
        </w:numPr>
      </w:pPr>
      <w:r>
        <w:t xml:space="preserve">IBIT suffered substantial June redemptions as bitcoin weakened.</w:t>
      </w:r>
    </w:p>
    <w:p>
      <w:pPr>
        <w:pStyle w:val="Compact"/>
        <w:numPr>
          <w:ilvl w:val="0"/>
          <w:numId w:val="1002"/>
        </w:numPr>
      </w:pPr>
      <w:r>
        <w:t xml:space="preserve">Several factor and international iShares products saw large withdrawals.</w:t>
      </w:r>
    </w:p>
    <w:p>
      <w:pPr>
        <w:pStyle w:val="Compact"/>
        <w:numPr>
          <w:ilvl w:val="0"/>
          <w:numId w:val="1002"/>
        </w:numPr>
      </w:pPr>
      <w:r>
        <w:t xml:space="preserve">Commodity ETP sentiment deteriorated.</w:t>
      </w:r>
    </w:p>
    <w:p>
      <w:pPr>
        <w:pStyle w:val="Compact"/>
        <w:numPr>
          <w:ilvl w:val="0"/>
          <w:numId w:val="1002"/>
        </w:numPr>
      </w:pPr>
      <w:r>
        <w:t xml:space="preserve">The rotation toward broad U.S. equity exposure could be less favorable for BlackRock's effective fee rate than Q1's strength in international, precision and active exposures. (</w:t>
      </w:r>
      <w:hyperlink r:id="rId15">
        <w:r>
          <w:rPr>
            <w:rStyle w:val="Hyperlink"/>
          </w:rPr>
          <w:t xml:space="preserve">ishares.com</w:t>
        </w:r>
      </w:hyperlink>
      <w:r>
        <w:t xml:space="preserve">)</w:t>
      </w:r>
    </w:p>
    <w:p>
      <w:pPr>
        <w:pStyle w:val="FirstParagraph"/>
      </w:pPr>
      <w:r>
        <w:rPr>
          <w:b/>
          <w:bCs/>
        </w:rPr>
        <w:t xml:space="preserve">Investor takeaway:</w:t>
      </w:r>
      <w:r>
        <w:t xml:space="preserve"> </w:t>
      </w:r>
      <w:r>
        <w:t xml:space="preserve">total ETF flows are likely healthy, but</w:t>
      </w:r>
      <w:r>
        <w:t xml:space="preserve"> </w:t>
      </w:r>
      <w:r>
        <w:rPr>
          <w:b/>
          <w:bCs/>
        </w:rPr>
        <w:t xml:space="preserve">net new base fees and the flow-weighted fee rate</w:t>
      </w:r>
      <w:r>
        <w:t xml:space="preserve"> </w:t>
      </w:r>
      <w:r>
        <w:t xml:space="preserve">are more important than the headline dollar figure.</w:t>
      </w:r>
    </w:p>
    <w:bookmarkEnd w:id="16"/>
    <w:bookmarkStart w:id="18" w:name="Xe10a104db01d172aa8d7a59e8daea4ab07e752b"/>
    <w:p>
      <w:pPr>
        <w:pStyle w:val="Heading3"/>
      </w:pPr>
      <w:r>
        <w:t xml:space="preserve">3. Private credit is the main risk debate</w:t>
      </w:r>
    </w:p>
    <w:p>
      <w:pPr>
        <w:pStyle w:val="FirstParagraph"/>
      </w:pPr>
      <w:r>
        <w:t xml:space="preserve">BlackRock's private-markets business ended Q1 with $320 billion of AUM and generated $9.1 billion of quarterly net inflows, led by $6.6 billion in private credit. HPS also contributed approximately $230 million of quarterly base fees and $121 million of Q1 performance fees. (</w:t>
      </w:r>
      <w:hyperlink r:id="rId12">
        <w:r>
          <w:rPr>
            <w:rStyle w:val="Hyperlink"/>
          </w:rPr>
          <w:t xml:space="preserve">s24.q4cdn.com</w:t>
        </w:r>
      </w:hyperlink>
      <w:r>
        <w:t xml:space="preserve">)</w:t>
      </w:r>
    </w:p>
    <w:p>
      <w:pPr>
        <w:pStyle w:val="BodyText"/>
      </w:pPr>
      <w:r>
        <w:t xml:space="preserve">But Q2 occurred against a much more challenging private-credit narrative. HPS Corporate Lending Fund received Q1 redemption requests equal to 9.3% of shares and limited repurchases to 5%. Other BlackRock-affiliated credit vehicles also reported markdown pressure, while the wider industry experienced elevated redemption demand. (</w:t>
      </w:r>
      <w:hyperlink r:id="rId17">
        <w:r>
          <w:rPr>
            <w:rStyle w:val="Hyperlink"/>
          </w:rPr>
          <w:t xml:space="preserve">bloomberg.com</w:t>
        </w:r>
      </w:hyperlink>
      <w:r>
        <w:t xml:space="preserve">)</w:t>
      </w:r>
    </w:p>
    <w:p>
      <w:pPr>
        <w:pStyle w:val="BodyText"/>
      </w:pPr>
      <w:r>
        <w:t xml:space="preserve">Investors should listen for:</w:t>
      </w:r>
    </w:p>
    <w:p>
      <w:pPr>
        <w:pStyle w:val="Compact"/>
        <w:numPr>
          <w:ilvl w:val="0"/>
          <w:numId w:val="1003"/>
        </w:numPr>
      </w:pPr>
      <w:r>
        <w:rPr>
          <w:b/>
          <w:bCs/>
        </w:rPr>
        <w:t xml:space="preserve">Q2 redemption requests and subscription activity</w:t>
      </w:r>
      <w:r>
        <w:t xml:space="preserve"> </w:t>
      </w:r>
      <w:r>
        <w:t xml:space="preserve">in HPS evergreen products.</w:t>
      </w:r>
    </w:p>
    <w:p>
      <w:pPr>
        <w:pStyle w:val="Compact"/>
        <w:numPr>
          <w:ilvl w:val="0"/>
          <w:numId w:val="1003"/>
        </w:numPr>
      </w:pPr>
      <w:r>
        <w:t xml:space="preserve">Whether institutional private-credit fundraising remained strong enough to offset weaker retail demand.</w:t>
      </w:r>
    </w:p>
    <w:p>
      <w:pPr>
        <w:pStyle w:val="Compact"/>
        <w:numPr>
          <w:ilvl w:val="0"/>
          <w:numId w:val="1003"/>
        </w:numPr>
      </w:pPr>
      <w:r>
        <w:t xml:space="preserve">Any increase in nonaccruals, credit losses or valuation markdowns.</w:t>
      </w:r>
    </w:p>
    <w:p>
      <w:pPr>
        <w:pStyle w:val="Compact"/>
        <w:numPr>
          <w:ilvl w:val="0"/>
          <w:numId w:val="1003"/>
        </w:numPr>
      </w:pPr>
      <w:r>
        <w:t xml:space="preserve">Deployment rates and the size of the insurance/private-credit pipeline.</w:t>
      </w:r>
    </w:p>
    <w:p>
      <w:pPr>
        <w:pStyle w:val="Compact"/>
        <w:numPr>
          <w:ilvl w:val="0"/>
          <w:numId w:val="1003"/>
        </w:numPr>
      </w:pPr>
      <w:r>
        <w:t xml:space="preserve">Whether private-markets performance fees remained unusually strong after Q1.</w:t>
      </w:r>
    </w:p>
    <w:p>
      <w:pPr>
        <w:pStyle w:val="FirstParagraph"/>
      </w:pPr>
      <w:r>
        <w:t xml:space="preserve">A result showing continued positive private-markets flows, stable credit quality and strong institutional fundraising would materially reduce the market's concern that BlackRock bought HPS near a cyclical peak.</w:t>
      </w:r>
    </w:p>
    <w:bookmarkEnd w:id="18"/>
    <w:bookmarkStart w:id="19" w:name="X2f9bef77f52ce0de7ae11d20f63163ae589af7d"/>
    <w:p>
      <w:pPr>
        <w:pStyle w:val="Heading3"/>
      </w:pPr>
      <w:r>
        <w:t xml:space="preserve">4. Margin conversion will test the investment case</w:t>
      </w:r>
    </w:p>
    <w:p>
      <w:pPr>
        <w:pStyle w:val="FirstParagraph"/>
      </w:pPr>
      <w:r>
        <w:t xml:space="preserve">Q1 adjusted operating margin was</w:t>
      </w:r>
      <w:r>
        <w:t xml:space="preserve"> </w:t>
      </w:r>
      <w:r>
        <w:rPr>
          <w:b/>
          <w:bCs/>
        </w:rPr>
        <w:t xml:space="preserve">44.5%</w:t>
      </w:r>
      <w:r>
        <w:t xml:space="preserve">, up 130 basis points year over year, while adjusted operating income rose 31%. BlackRock's longer-term ambition is an adjusted margin of at least 45%. (</w:t>
      </w:r>
      <w:hyperlink r:id="rId12">
        <w:r>
          <w:rPr>
            <w:rStyle w:val="Hyperlink"/>
          </w:rPr>
          <w:t xml:space="preserve">s24.q4cdn.com</w:t>
        </w:r>
      </w:hyperlink>
      <w:r>
        <w:t xml:space="preserve">)</w:t>
      </w:r>
    </w:p>
    <w:p>
      <w:pPr>
        <w:pStyle w:val="BodyText"/>
      </w:pPr>
      <w:r>
        <w:t xml:space="preserve">Q2 should benefit from:</w:t>
      </w:r>
    </w:p>
    <w:p>
      <w:pPr>
        <w:pStyle w:val="Compact"/>
        <w:numPr>
          <w:ilvl w:val="0"/>
          <w:numId w:val="1004"/>
        </w:numPr>
      </w:pPr>
      <w:r>
        <w:t xml:space="preserve">Higher average equity AUM.</w:t>
      </w:r>
    </w:p>
    <w:p>
      <w:pPr>
        <w:pStyle w:val="Compact"/>
        <w:numPr>
          <w:ilvl w:val="0"/>
          <w:numId w:val="1004"/>
        </w:numPr>
      </w:pPr>
      <w:r>
        <w:t xml:space="preserve">One additional calendar day versus Q1.</w:t>
      </w:r>
    </w:p>
    <w:p>
      <w:pPr>
        <w:pStyle w:val="Compact"/>
        <w:numPr>
          <w:ilvl w:val="0"/>
          <w:numId w:val="1004"/>
        </w:numPr>
      </w:pPr>
      <w:r>
        <w:t xml:space="preserve">Continued organic base-fee growth.</w:t>
      </w:r>
    </w:p>
    <w:p>
      <w:pPr>
        <w:pStyle w:val="Compact"/>
        <w:numPr>
          <w:ilvl w:val="0"/>
          <w:numId w:val="1004"/>
        </w:numPr>
      </w:pPr>
      <w:r>
        <w:t xml:space="preserve">Full HPS and Preqin contributions.</w:t>
      </w:r>
    </w:p>
    <w:p>
      <w:pPr>
        <w:pStyle w:val="Compact"/>
        <w:numPr>
          <w:ilvl w:val="0"/>
          <w:numId w:val="1004"/>
        </w:numPr>
      </w:pPr>
      <w:r>
        <w:t xml:space="preserve">The high incremental margin of market-driven revenue.</w:t>
      </w:r>
    </w:p>
    <w:p>
      <w:pPr>
        <w:pStyle w:val="FirstParagraph"/>
      </w:pPr>
      <w:r>
        <w:t xml:space="preserve">Offsets include higher incentive compensation, distribution costs, direct fund expenses and ongoing spending to integrate and expand HPS, GIP, Preqin and Aladdin.</w:t>
      </w:r>
    </w:p>
    <w:p>
      <w:pPr>
        <w:pStyle w:val="BodyText"/>
      </w:pPr>
      <w:r>
        <w:rPr>
          <w:b/>
          <w:bCs/>
        </w:rPr>
        <w:t xml:space="preserve">A clean adjusted margin at or above 45% would be encouraging.</w:t>
      </w:r>
      <w:r>
        <w:t xml:space="preserve"> </w:t>
      </w:r>
      <w:r>
        <w:t xml:space="preserve">A margin below roughly 44%, despite the equity-market rebound, would raise questions about acquisition costs and BlackRock's ability to convert its expanded platform into EPS growth.</w:t>
      </w:r>
    </w:p>
    <w:bookmarkEnd w:id="19"/>
    <w:bookmarkStart w:id="20" w:name="Xbfd96eeff8215ff55b05dd9ff9c8ecc2c5c5694"/>
    <w:p>
      <w:pPr>
        <w:pStyle w:val="Heading3"/>
      </w:pPr>
      <w:r>
        <w:t xml:space="preserve">5. Aladdin and Preqin need to sustain double-digit growth</w:t>
      </w:r>
    </w:p>
    <w:p>
      <w:pPr>
        <w:pStyle w:val="FirstParagraph"/>
      </w:pPr>
      <w:r>
        <w:t xml:space="preserve">Q1 technology-services and subscription revenue increased 22% to</w:t>
      </w:r>
      <w:r>
        <w:t xml:space="preserve"> </w:t>
      </w:r>
      <w:r>
        <w:rPr>
          <w:b/>
          <w:bCs/>
        </w:rPr>
        <w:t xml:space="preserve">$530 million</w:t>
      </w:r>
      <w:r>
        <w:t xml:space="preserve">, including approximately $65 million from Preqin. Technology annual contract value grew 14%. (</w:t>
      </w:r>
      <w:hyperlink r:id="rId12">
        <w:r>
          <w:rPr>
            <w:rStyle w:val="Hyperlink"/>
          </w:rPr>
          <w:t xml:space="preserve">s24.q4cdn.com</w:t>
        </w:r>
      </w:hyperlink>
      <w:r>
        <w:t xml:space="preserve">)</w:t>
      </w:r>
    </w:p>
    <w:p>
      <w:pPr>
        <w:pStyle w:val="BodyText"/>
      </w:pPr>
      <w:r>
        <w:t xml:space="preserve">The most important indicators are:</w:t>
      </w:r>
    </w:p>
    <w:p>
      <w:pPr>
        <w:pStyle w:val="Compact"/>
        <w:numPr>
          <w:ilvl w:val="0"/>
          <w:numId w:val="1005"/>
        </w:numPr>
      </w:pPr>
      <w:r>
        <w:t xml:space="preserve">ACV growth remaining in the low-to-mid teens.</w:t>
      </w:r>
    </w:p>
    <w:p>
      <w:pPr>
        <w:pStyle w:val="Compact"/>
        <w:numPr>
          <w:ilvl w:val="0"/>
          <w:numId w:val="1005"/>
        </w:numPr>
      </w:pPr>
      <w:r>
        <w:t xml:space="preserve">Evidence that Aladdin, eFront and Preqin are winning integrated public/private-market mandates.</w:t>
      </w:r>
    </w:p>
    <w:p>
      <w:pPr>
        <w:pStyle w:val="Compact"/>
        <w:numPr>
          <w:ilvl w:val="0"/>
          <w:numId w:val="1005"/>
        </w:numPr>
      </w:pPr>
      <w:r>
        <w:t xml:space="preserve">Cross-selling into private-credit managers, insurers and wealth platforms.</w:t>
      </w:r>
    </w:p>
    <w:p>
      <w:pPr>
        <w:pStyle w:val="Compact"/>
        <w:numPr>
          <w:ilvl w:val="0"/>
          <w:numId w:val="1005"/>
        </w:numPr>
      </w:pPr>
      <w:r>
        <w:t xml:space="preserve">Stable implementation timelines and retention.</w:t>
      </w:r>
    </w:p>
    <w:p>
      <w:pPr>
        <w:pStyle w:val="FirstParagraph"/>
      </w:pPr>
      <w:r>
        <w:t xml:space="preserve">Technology is strategically important because it provides recurring revenue that is less directly tied to market levels than asset-management fees. A meaningful ACV deceleration would weaken part of the argument for BlackRock's premium valuation.</w:t>
      </w:r>
    </w:p>
    <w:bookmarkEnd w:id="20"/>
    <w:bookmarkEnd w:id="21"/>
    <w:bookmarkStart w:id="25" w:name="X1debb97398f4f6458fc5931c680d3247eeff0c5"/>
    <w:p>
      <w:pPr>
        <w:pStyle w:val="Heading2"/>
      </w:pPr>
      <w:r>
        <w:t xml:space="preserve">Two earnings complications to keep in mind</w:t>
      </w:r>
    </w:p>
    <w:bookmarkStart w:id="22" w:name="tax-and-nonoperating-income"/>
    <w:p>
      <w:pPr>
        <w:pStyle w:val="Heading3"/>
      </w:pPr>
      <w:r>
        <w:t xml:space="preserve">Tax and nonoperating income</w:t>
      </w:r>
    </w:p>
    <w:p>
      <w:pPr>
        <w:pStyle w:val="FirstParagraph"/>
      </w:pPr>
      <w:r>
        <w:t xml:space="preserve">Q1 adjusted EPS benefited from discrete tax items related to stock-based compensation. Q2 will likely carry a more normal tax rate, while gains and losses on seed investments and minority stakes can make nonoperating income difficult to forecast. Investors should therefore distinguish between an operating beat and an EPS beat driven by below-the-line items. (</w:t>
      </w:r>
      <w:hyperlink r:id="rId12">
        <w:r>
          <w:rPr>
            <w:rStyle w:val="Hyperlink"/>
          </w:rPr>
          <w:t xml:space="preserve">s24.q4cdn.com</w:t>
        </w:r>
      </w:hyperlink>
      <w:r>
        <w:t xml:space="preserve">)</w:t>
      </w:r>
    </w:p>
    <w:bookmarkEnd w:id="22"/>
    <w:bookmarkStart w:id="24" w:name="hps-share-issuance"/>
    <w:p>
      <w:pPr>
        <w:pStyle w:val="Heading3"/>
      </w:pPr>
      <w:r>
        <w:t xml:space="preserve">HPS share issuance</w:t>
      </w:r>
    </w:p>
    <w:p>
      <w:pPr>
        <w:pStyle w:val="FirstParagraph"/>
      </w:pPr>
      <w:r>
        <w:t xml:space="preserve">BlackRock registered up to 12.0 million common shares that may be issued upon redemption of HPS-related SubCo units. This may create a technical share-supply overhang, but it should not be confused with a new surprise in adjusted EPS dilution: BlackRock's adjusted EPS presentation already assumes outstanding SubCo units are exchanged one-for-one into common stock. (</w:t>
      </w:r>
      <w:hyperlink r:id="rId23">
        <w:r>
          <w:rPr>
            <w:rStyle w:val="Hyperlink"/>
          </w:rPr>
          <w:t xml:space="preserve">sec.gov</w:t>
        </w:r>
      </w:hyperlink>
      <w:r>
        <w:t xml:space="preserve">)</w:t>
      </w:r>
    </w:p>
    <w:bookmarkEnd w:id="24"/>
    <w:bookmarkEnd w:id="25"/>
    <w:bookmarkStart w:id="28" w:name="investor-scorecard"/>
    <w:p>
      <w:pPr>
        <w:pStyle w:val="Heading2"/>
      </w:pPr>
      <w:r>
        <w:t xml:space="preserve">Investor scorecard</w:t>
      </w:r>
    </w:p>
    <w:bookmarkStart w:id="26" w:name="a-clearly-positive-report-would-include"/>
    <w:p>
      <w:pPr>
        <w:pStyle w:val="Heading3"/>
      </w:pPr>
      <w:r>
        <w:t xml:space="preserve">A clearly positive report would include</w:t>
      </w:r>
    </w:p>
    <w:p>
      <w:pPr>
        <w:pStyle w:val="Compact"/>
        <w:numPr>
          <w:ilvl w:val="0"/>
          <w:numId w:val="1006"/>
        </w:numPr>
      </w:pPr>
      <w:r>
        <w:t xml:space="preserve">AUM approaching or exceeding $15 trillion.</w:t>
      </w:r>
    </w:p>
    <w:p>
      <w:pPr>
        <w:pStyle w:val="Compact"/>
        <w:numPr>
          <w:ilvl w:val="0"/>
          <w:numId w:val="1006"/>
        </w:numPr>
      </w:pPr>
      <w:r>
        <w:t xml:space="preserve">Total and long-term flows above roughly $100 billion.</w:t>
      </w:r>
    </w:p>
    <w:p>
      <w:pPr>
        <w:pStyle w:val="Compact"/>
        <w:numPr>
          <w:ilvl w:val="0"/>
          <w:numId w:val="1006"/>
        </w:numPr>
      </w:pPr>
      <w:r>
        <w:t xml:space="preserve">Continued strong ETF, active and private-markets inflows.</w:t>
      </w:r>
    </w:p>
    <w:p>
      <w:pPr>
        <w:pStyle w:val="Compact"/>
        <w:numPr>
          <w:ilvl w:val="0"/>
          <w:numId w:val="1006"/>
        </w:numPr>
      </w:pPr>
      <w:r>
        <w:t xml:space="preserve">Organic base-fee growth of at least 7%.</w:t>
      </w:r>
    </w:p>
    <w:p>
      <w:pPr>
        <w:pStyle w:val="Compact"/>
        <w:numPr>
          <w:ilvl w:val="0"/>
          <w:numId w:val="1006"/>
        </w:numPr>
      </w:pPr>
      <w:r>
        <w:t xml:space="preserve">Stable or improving effective fee rate.</w:t>
      </w:r>
    </w:p>
    <w:p>
      <w:pPr>
        <w:pStyle w:val="Compact"/>
        <w:numPr>
          <w:ilvl w:val="0"/>
          <w:numId w:val="1006"/>
        </w:numPr>
      </w:pPr>
      <w:r>
        <w:t xml:space="preserve">Adjusted operating margin of 45% or better.</w:t>
      </w:r>
    </w:p>
    <w:p>
      <w:pPr>
        <w:pStyle w:val="Compact"/>
        <w:numPr>
          <w:ilvl w:val="0"/>
          <w:numId w:val="1006"/>
        </w:numPr>
      </w:pPr>
      <w:r>
        <w:t xml:space="preserve">Technology ACV growth around 14% or higher.</w:t>
      </w:r>
    </w:p>
    <w:p>
      <w:pPr>
        <w:pStyle w:val="Compact"/>
        <w:numPr>
          <w:ilvl w:val="0"/>
          <w:numId w:val="1006"/>
        </w:numPr>
      </w:pPr>
      <w:r>
        <w:t xml:space="preserve">No material deterioration in HPS redemptions, credit marks or fundraising.</w:t>
      </w:r>
    </w:p>
    <w:p>
      <w:pPr>
        <w:pStyle w:val="Compact"/>
        <w:numPr>
          <w:ilvl w:val="0"/>
          <w:numId w:val="1006"/>
        </w:numPr>
      </w:pPr>
      <w:r>
        <w:t xml:space="preserve">Reaffirmation of at least $450 million of quarterly share repurchases.</w:t>
      </w:r>
    </w:p>
    <w:bookmarkEnd w:id="26"/>
    <w:bookmarkStart w:id="27" w:name="a-disappointing-report-would-include"/>
    <w:p>
      <w:pPr>
        <w:pStyle w:val="Heading3"/>
      </w:pPr>
      <w:r>
        <w:t xml:space="preserve">A disappointing report would include</w:t>
      </w:r>
    </w:p>
    <w:p>
      <w:pPr>
        <w:pStyle w:val="Compact"/>
        <w:numPr>
          <w:ilvl w:val="0"/>
          <w:numId w:val="1007"/>
        </w:numPr>
      </w:pPr>
      <w:r>
        <w:t xml:space="preserve">Record AUM but weak fee-bearing flows.</w:t>
      </w:r>
    </w:p>
    <w:p>
      <w:pPr>
        <w:pStyle w:val="Compact"/>
        <w:numPr>
          <w:ilvl w:val="0"/>
          <w:numId w:val="1007"/>
        </w:numPr>
      </w:pPr>
      <w:r>
        <w:t xml:space="preserve">Material institutional index redemptions that mask weaker underlying demand.</w:t>
      </w:r>
    </w:p>
    <w:p>
      <w:pPr>
        <w:pStyle w:val="Compact"/>
        <w:numPr>
          <w:ilvl w:val="0"/>
          <w:numId w:val="1007"/>
        </w:numPr>
      </w:pPr>
      <w:r>
        <w:t xml:space="preserve">Fee-rate compression as flows concentrate in low-cost core products.</w:t>
      </w:r>
    </w:p>
    <w:p>
      <w:pPr>
        <w:pStyle w:val="Compact"/>
        <w:numPr>
          <w:ilvl w:val="0"/>
          <w:numId w:val="1007"/>
        </w:numPr>
      </w:pPr>
      <w:r>
        <w:t xml:space="preserve">Private-markets outflows, weaker deployment or negative credit commentary.</w:t>
      </w:r>
    </w:p>
    <w:p>
      <w:pPr>
        <w:pStyle w:val="Compact"/>
        <w:numPr>
          <w:ilvl w:val="0"/>
          <w:numId w:val="1007"/>
        </w:numPr>
      </w:pPr>
      <w:r>
        <w:t xml:space="preserve">A sharp fall in performance fees without a corresponding expense adjustment.</w:t>
      </w:r>
    </w:p>
    <w:p>
      <w:pPr>
        <w:pStyle w:val="Compact"/>
        <w:numPr>
          <w:ilvl w:val="0"/>
          <w:numId w:val="1007"/>
        </w:numPr>
      </w:pPr>
      <w:r>
        <w:t xml:space="preserve">Technology ACV growth dropping into single digits.</w:t>
      </w:r>
    </w:p>
    <w:p>
      <w:pPr>
        <w:pStyle w:val="Compact"/>
        <w:numPr>
          <w:ilvl w:val="0"/>
          <w:numId w:val="1007"/>
        </w:numPr>
      </w:pPr>
      <w:r>
        <w:t xml:space="preserve">Adjusted margin below 44%.</w:t>
      </w:r>
    </w:p>
    <w:p>
      <w:pPr>
        <w:pStyle w:val="Compact"/>
        <w:numPr>
          <w:ilvl w:val="0"/>
          <w:numId w:val="1007"/>
        </w:numPr>
      </w:pPr>
      <w:r>
        <w:t xml:space="preserve">A cautious outlook on capital returns or acquisition integration.</w:t>
      </w:r>
    </w:p>
    <w:bookmarkEnd w:id="27"/>
    <w:bookmarkEnd w:id="28"/>
    <w:bookmarkStart w:id="29" w:name="bottom-line"/>
    <w:p>
      <w:pPr>
        <w:pStyle w:val="Heading2"/>
      </w:pPr>
      <w:r>
        <w:t xml:space="preserve">Bottom line</w:t>
      </w:r>
    </w:p>
    <w:p>
      <w:pPr>
        <w:pStyle w:val="FirstParagraph"/>
      </w:pPr>
      <w:r>
        <w:t xml:space="preserve">The near-term setup is constructive: strong equity markets and robust ETF industry flows should support record AUM, higher base fees and solid revenue growth. The bar, however, is higher than simply reporting an AUM record.</w:t>
      </w:r>
    </w:p>
    <w:p>
      <w:pPr>
        <w:pStyle w:val="BodyText"/>
      </w:pPr>
      <w:r>
        <w:t xml:space="preserve">The most important signal will be whether BlackRock can sustain</w:t>
      </w:r>
      <w:r>
        <w:t xml:space="preserve"> </w:t>
      </w:r>
      <w:r>
        <w:rPr>
          <w:b/>
          <w:bCs/>
        </w:rPr>
        <w:t xml:space="preserve">high-single-digit organic base-fee growth while expanding margins and navigating private-credit stress</w:t>
      </w:r>
      <w:r>
        <w:t xml:space="preserve">. If it does, the quarter will reinforce the thesis that the combination of iShares, active strategies, private markets and Aladdin is producing structurally higher growth. If the results rely primarily on market beta while fee rates, private-credit flows or margins soften, the headline numbers may look better than the underlying quarter.</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blackrock.com/news-and-events/press-releases/press-releases-details/2026/BlackRock-to-Report-Second-Quarter-2026-Earnings-on-July-15th/default.aspx?utm_source=openai" TargetMode="External" /><Relationship Type="http://schemas.openxmlformats.org/officeDocument/2006/relationships/hyperlink" Id="rId12" Target="https://s24.q4cdn.com/856567660/files/doc_financials/2026/Q1/BLK-1Q26-Earnings-Release.pdf" TargetMode="External" /><Relationship Type="http://schemas.openxmlformats.org/officeDocument/2006/relationships/hyperlink" Id="rId17" Target="https://www.bloomberg.com/news/articles/2026-03-06/blackrock-s-26-billion-private-credit-fund-limits-withdrawals?utm_source=openai" TargetMode="External" /><Relationship Type="http://schemas.openxmlformats.org/officeDocument/2006/relationships/hyperlink" Id="rId14" Target="https://www.etf.com/sections/monthly-etf-flows/etf-inflows-top-1-trillion-halfway-point-2026" TargetMode="External" /><Relationship Type="http://schemas.openxmlformats.org/officeDocument/2006/relationships/hyperlink" Id="rId15" Target="https://www.ishares.com/us/insights/inside-the-market/2026-etf-market-trends-and-flows-h1" TargetMode="External" /><Relationship Type="http://schemas.openxmlformats.org/officeDocument/2006/relationships/hyperlink" Id="rId23" Target="https://www.sec.gov/Archives/edgar/data/2012383/000119312526290830/d108689d8k.htm?utm_source=openai" TargetMode="External" /><Relationship Type="http://schemas.openxmlformats.org/officeDocument/2006/relationships/hyperlink" Id="rId10" Target="https://www.tipranks.com/stocks/blk/earnings" TargetMode="External" /></Relationships>
</file>

<file path=word/_rels/footnotes.xml.rels><?xml version="1.0" encoding="UTF-8"?><Relationships xmlns="http://schemas.openxmlformats.org/package/2006/relationships"><Relationship Type="http://schemas.openxmlformats.org/officeDocument/2006/relationships/hyperlink" Id="rId9" Target="https://ir.blackrock.com/news-and-events/press-releases/press-releases-details/2026/BlackRock-to-Report-Second-Quarter-2026-Earnings-on-July-15th/default.aspx?utm_source=openai" TargetMode="External" /><Relationship Type="http://schemas.openxmlformats.org/officeDocument/2006/relationships/hyperlink" Id="rId12" Target="https://s24.q4cdn.com/856567660/files/doc_financials/2026/Q1/BLK-1Q26-Earnings-Release.pdf" TargetMode="External" /><Relationship Type="http://schemas.openxmlformats.org/officeDocument/2006/relationships/hyperlink" Id="rId17" Target="https://www.bloomberg.com/news/articles/2026-03-06/blackrock-s-26-billion-private-credit-fund-limits-withdrawals?utm_source=openai" TargetMode="External" /><Relationship Type="http://schemas.openxmlformats.org/officeDocument/2006/relationships/hyperlink" Id="rId14" Target="https://www.etf.com/sections/monthly-etf-flows/etf-inflows-top-1-trillion-halfway-point-2026" TargetMode="External" /><Relationship Type="http://schemas.openxmlformats.org/officeDocument/2006/relationships/hyperlink" Id="rId15" Target="https://www.ishares.com/us/insights/inside-the-market/2026-etf-market-trends-and-flows-h1" TargetMode="External" /><Relationship Type="http://schemas.openxmlformats.org/officeDocument/2006/relationships/hyperlink" Id="rId23" Target="https://www.sec.gov/Archives/edgar/data/2012383/000119312526290830/d108689d8k.htm?utm_source=openai" TargetMode="External" /><Relationship Type="http://schemas.openxmlformats.org/officeDocument/2006/relationships/hyperlink" Id="rId10" Target="https://www.tipranks.com/stocks/blk/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2026-07-15T00:06:16Z</dcterms:created>
  <dcterms:modified xsi:type="dcterms:W3CDTF">2026-07-15T00:06:16Z</dcterms:modified>
</cp:coreProperties>
</file>

<file path=docProps/custom.xml><?xml version="1.0" encoding="utf-8"?>
<Properties xmlns="http://schemas.openxmlformats.org/officeDocument/2006/custom-properties" xmlns:vt="http://schemas.openxmlformats.org/officeDocument/2006/docPropsVTypes"/>
</file>