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8cfbdd6d329ee9016bd2c8698d35f5afcc2d28"/>
    <w:p>
      <w:pPr>
        <w:pStyle w:val="Heading1"/>
      </w:pPr>
      <w:r>
        <w:t xml:space="preserve">BlackRock (NYSE: BLK) — 2Q26 Earnings Preview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2026Q2 earnings call on</w:t>
      </w:r>
      <w:r>
        <w:t xml:space="preserve"> </w:t>
      </w:r>
      <w:r>
        <w:rPr>
          <w:b/>
          <w:bCs/>
        </w:rPr>
        <w:t xml:space="preserve">July 15, 2026</w:t>
      </w:r>
      <w:r>
        <w:br/>
      </w:r>
      <w:r>
        <w:rPr>
          <w:b/>
          <w:bCs/>
        </w:rPr>
        <w:t xml:space="preserve">Preview date:</w:t>
      </w:r>
      <w:r>
        <w:t xml:space="preserve"> </w:t>
      </w:r>
      <w:r>
        <w:t xml:space="preserve">July 14, 2026, after market close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BlackRock enters 2Q with</w:t>
      </w:r>
      <w:r>
        <w:t xml:space="preserve"> </w:t>
      </w:r>
      <w:r>
        <w:rPr>
          <w:b/>
          <w:bCs/>
        </w:rPr>
        <w:t xml:space="preserve">strong operating momentum but a demanding fundamental bar</w:t>
      </w:r>
      <w:r>
        <w:t xml:space="preserve">. The core debate is no longer whether the company can grow—it delivered 8% organic base-fee growth, $130 billion of quarterly net inflows, and a 44.5% adjusted operating margin in 1Q. The question for this print is whether it can sustain that momentum as investors scrutinize three issues: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ETF flow durability and mix</w:t>
      </w:r>
      <w:r>
        <w:t xml:space="preserve"> </w:t>
      </w:r>
      <w:r>
        <w:t xml:space="preserve">— particularly whether high-fee “precision,” active, fixed-income, and international exposures remain strong.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Private-markets execution</w:t>
      </w:r>
      <w:r>
        <w:t xml:space="preserve"> </w:t>
      </w:r>
      <w:r>
        <w:t xml:space="preserve">— whether HPS, GIP, and the broader private-credit platform are translating into fundraising, deployment, fee revenue, and favorable economics rather than just acquired AUM.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 and EPS quality</w:t>
      </w:r>
      <w:r>
        <w:t xml:space="preserve"> </w:t>
      </w:r>
      <w:r>
        <w:t xml:space="preserve">— with a normalized tax rate, performance-fee variability, acquisition-related accounting noise, and the higher post-HPS diluted share count all relevant.</w:t>
      </w:r>
    </w:p>
    <w:p>
      <w:pPr>
        <w:pStyle w:val="FirstParagraph"/>
      </w:pPr>
      <w:r>
        <w:t xml:space="preserve">My read is</w:t>
      </w:r>
      <w:r>
        <w:t xml:space="preserve"> </w:t>
      </w:r>
      <w:r>
        <w:rPr>
          <w:b/>
          <w:bCs/>
        </w:rPr>
        <w:t xml:space="preserve">constructive on the operating setup</w:t>
      </w:r>
      <w:r>
        <w:t xml:space="preserve">, helped by a much better broad-market environment in 2Q than BlackRock experienced in late 1Q. But the stock’s relative setup is more nuanced: BLK was essentially flat in 2Q through June 30 while the S&amp;P 500 rose 14.8% and the Nasdaq-100 rose 27.6%, before BLK recovered 6.6% from June 30 through July 14. A clean beat therefore likely requires more than market beta—it will require evidence that BlackRock is retaining share and converting its expanded private-markets and technology platform into durable fee growth.</w:t>
      </w:r>
    </w:p>
    <w:p>
      <w:r>
        <w:pict>
          <v:rect style="width:0;height:1.5pt" o:hralign="center" o:hrstd="t" o:hr="t"/>
        </w:pict>
      </w:r>
    </w:p>
    <w:bookmarkEnd w:id="9"/>
    <w:bookmarkStart w:id="14" w:name="what-matters-most-this-quarter"/>
    <w:p>
      <w:pPr>
        <w:pStyle w:val="Heading2"/>
      </w:pPr>
      <w:r>
        <w:t xml:space="preserve">What matters most this quarter</w:t>
      </w:r>
    </w:p>
    <w:bookmarkStart w:id="10" w:name="X622f1a38e67a7c1d37dab0a400e3a770496440f"/>
    <w:p>
      <w:pPr>
        <w:pStyle w:val="Heading3"/>
      </w:pPr>
      <w:r>
        <w:t xml:space="preserve">1. Flows: Can BlackRock extend its ETF-led growth streak?</w:t>
      </w:r>
    </w:p>
    <w:p>
      <w:pPr>
        <w:pStyle w:val="FirstParagraph"/>
      </w:pPr>
      <w:r>
        <w:t xml:space="preserve">In 1Q26, BlackRock generated</w:t>
      </w:r>
      <w:r>
        <w:t xml:space="preserve"> </w:t>
      </w:r>
      <m:oMath>
        <m:r>
          <m:t>130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n</m:t>
        </m:r>
        <m:r>
          <m:t>e</m:t>
        </m:r>
        <m:r>
          <m:t>t</m:t>
        </m:r>
        <m:r>
          <m:t>i</m:t>
        </m:r>
        <m:r>
          <m:t>n</m:t>
        </m:r>
        <m:r>
          <m:t>f</m:t>
        </m:r>
        <m:r>
          <m:t>l</m:t>
        </m:r>
        <m:r>
          <m:t>o</m:t>
        </m:r>
        <m:r>
          <m:t>w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136 billion of long-term net inflows</w:t>
      </w:r>
      <w:r>
        <w:t xml:space="preserve">. iShares ETFs supplied</w:t>
      </w:r>
      <w:r>
        <w:t xml:space="preserve"> </w:t>
      </w:r>
      <w:r>
        <w:rPr>
          <w:b/>
          <w:bCs/>
        </w:rPr>
        <w:t xml:space="preserve">$132 billion</w:t>
      </w:r>
      <w:r>
        <w:t xml:space="preserve">, including particularly strong fixed-income ETF, precision-exposure, core-equity, and active-ETF demand.</w:t>
      </w:r>
    </w:p>
    <w:p>
      <w:pPr>
        <w:pStyle w:val="BodyText"/>
      </w:pPr>
      <w:r>
        <w:t xml:space="preserve">That makes ETF flows the most important near-term KPI again in 2Q: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Equity and fixed-income ETF flows</w:t>
      </w:r>
      <w:r>
        <w:t xml:space="preserve"> </w:t>
      </w:r>
      <w:r>
        <w:t xml:space="preserve">should benefit from the quarter’s broad market rally and active positioning around rates, inflation, and geopolitical uncertainty.</w:t>
      </w:r>
    </w:p>
    <w:p>
      <w:pPr>
        <w:pStyle w:val="Compact"/>
        <w:numPr>
          <w:ilvl w:val="0"/>
          <w:numId w:val="1002"/>
        </w:numPr>
      </w:pPr>
      <w:r>
        <w:t xml:space="preserve">Investors should focus on</w:t>
      </w:r>
      <w:r>
        <w:t xml:space="preserve"> </w:t>
      </w:r>
      <w:r>
        <w:rPr>
          <w:b/>
          <w:bCs/>
        </w:rPr>
        <w:t xml:space="preserve">fee-bearing mix</w:t>
      </w:r>
      <w:r>
        <w:t xml:space="preserve">, not simply gross flow totals. Flows into international equity, precision exposures, active ETFs, fixed income, commodities, and digital assets carry better strategic significance than low-fee institutional index mandates.</w:t>
      </w:r>
    </w:p>
    <w:p>
      <w:pPr>
        <w:pStyle w:val="Compact"/>
        <w:numPr>
          <w:ilvl w:val="0"/>
          <w:numId w:val="1002"/>
        </w:numPr>
      </w:pPr>
      <w:r>
        <w:t xml:space="preserve">The July launch of an iShares Nasdaq-100 ETF creates a modest positive strategic read-through: it broadens BlackRock’s ability to compete in a marquee U.S. ETF category. The near-term earnings contribution should be limited, but the launch signals continued product expansion and willingness to compete on distribution and price.</w:t>
      </w:r>
    </w:p>
    <w:p>
      <w:pPr>
        <w:pStyle w:val="FirstParagraph"/>
      </w:pPr>
      <w:r>
        <w:rPr>
          <w:b/>
          <w:bCs/>
        </w:rPr>
        <w:t xml:space="preserve">What would be positive:</w:t>
      </w:r>
      <w:r>
        <w:t xml:space="preserve"> </w:t>
      </w:r>
      <w:r>
        <w:t xml:space="preserve">another quarter of very large ETF inflows, continued active-ETF momentum, and a mix that supports fee-rate stability or expansion.</w:t>
      </w:r>
    </w:p>
    <w:p>
      <w:pPr>
        <w:pStyle w:val="BodyText"/>
      </w:pPr>
      <w:r>
        <w:rPr>
          <w:b/>
          <w:bCs/>
        </w:rPr>
        <w:t xml:space="preserve">What would concern investors:</w:t>
      </w:r>
      <w:r>
        <w:t xml:space="preserve"> </w:t>
      </w:r>
      <w:r>
        <w:t xml:space="preserve">a return of material low-fee institutional-index redemptions, weaker fixed-income ETF demand, or strong total flows that are concentrated in lower-fee beta exposures.</w:t>
      </w:r>
    </w:p>
    <w:p>
      <w:r>
        <w:pict>
          <v:rect style="width:0;height:1.5pt" o:hralign="center" o:hrstd="t" o:hr="t"/>
        </w:pict>
      </w:r>
    </w:p>
    <w:bookmarkEnd w:id="10"/>
    <w:bookmarkStart w:id="11" w:name="X5b6f47a3eeb7749220b8cf59491b592270e8fa4"/>
    <w:p>
      <w:pPr>
        <w:pStyle w:val="Heading3"/>
      </w:pPr>
      <w:r>
        <w:t xml:space="preserve">2. AUM and market beta: 2Q should be a cleaner setup than 1Q</w:t>
      </w:r>
    </w:p>
    <w:p>
      <w:pPr>
        <w:pStyle w:val="FirstParagraph"/>
      </w:pPr>
      <w:r>
        <w:t xml:space="preserve">BlackRock exited 1Q with</w:t>
      </w:r>
      <w:r>
        <w:t xml:space="preserve"> </w:t>
      </w:r>
      <w:r>
        <w:rPr>
          <w:b/>
          <w:bCs/>
        </w:rPr>
        <w:t xml:space="preserve">$13.9 trillion of AUM</w:t>
      </w:r>
      <w:r>
        <w:t xml:space="preserve">, down modestly sequentially despite strong flows because market depreciation and FX more than offset subscriptions. The company’s revenue is driven primarily by</w:t>
      </w:r>
      <w:r>
        <w:t xml:space="preserve"> </w:t>
      </w:r>
      <w:r>
        <w:rPr>
          <w:b/>
          <w:bCs/>
        </w:rPr>
        <w:t xml:space="preserve">average</w:t>
      </w:r>
      <w:r>
        <w:t xml:space="preserve">, rather than ending, AUM—so the favorable 2Q market backdrop should improve the base-fee revenue setup even if quarter-end AUM is affected by late-period volatility.</w:t>
      </w:r>
    </w:p>
    <w:p>
      <w:pPr>
        <w:pStyle w:val="BodyText"/>
      </w:pPr>
      <w:r>
        <w:t xml:space="preserve">The key nuance is that BlackRock’s AUM is globally diversified:</w:t>
      </w:r>
    </w:p>
    <w:p>
      <w:pPr>
        <w:pStyle w:val="Compact"/>
        <w:numPr>
          <w:ilvl w:val="0"/>
          <w:numId w:val="1003"/>
        </w:numPr>
      </w:pPr>
      <w:r>
        <w:t xml:space="preserve">Equity-market appreciation should help, particularly given the size of its ETF and equity franchises.</w:t>
      </w:r>
    </w:p>
    <w:p>
      <w:pPr>
        <w:pStyle w:val="Compact"/>
        <w:numPr>
          <w:ilvl w:val="0"/>
          <w:numId w:val="1003"/>
        </w:numPr>
      </w:pPr>
      <w:r>
        <w:t xml:space="preserve">Fixed-income outcomes depend on the path of yields and credit spreads.</w:t>
      </w:r>
    </w:p>
    <w:p>
      <w:pPr>
        <w:pStyle w:val="Compact"/>
        <w:numPr>
          <w:ilvl w:val="0"/>
          <w:numId w:val="1003"/>
        </w:numPr>
      </w:pPr>
      <w:r>
        <w:t xml:space="preserve">FX can be meaningful; dollar strength was a material headwind to reported AUM in 1Q.</w:t>
      </w:r>
    </w:p>
    <w:p>
      <w:pPr>
        <w:pStyle w:val="Compact"/>
        <w:numPr>
          <w:ilvl w:val="0"/>
          <w:numId w:val="1003"/>
        </w:numPr>
      </w:pPr>
      <w:r>
        <w:t xml:space="preserve">Private-market realizations can partially offset gross fundraising and deployment.</w:t>
      </w:r>
    </w:p>
    <w:p>
      <w:pPr>
        <w:pStyle w:val="FirstParagraph"/>
      </w:pPr>
      <w:r>
        <w:t xml:space="preserve">The market backdrop should support sequential base-fee growth, but investors should avoid extrapolating directly from U.S. equity indices to reported AUM. BlackRock’s product mix, global exposures, fixed income, alternatives, and FX effects all matter.</w:t>
      </w:r>
    </w:p>
    <w:p>
      <w:r>
        <w:pict>
          <v:rect style="width:0;height:1.5pt" o:hralign="center" o:hrstd="t" o:hr="t"/>
        </w:pict>
      </w:r>
    </w:p>
    <w:bookmarkEnd w:id="11"/>
    <w:bookmarkStart w:id="12" w:name="X063503c3c9938d3cf4c937ae87900e3016d64a1"/>
    <w:p>
      <w:pPr>
        <w:pStyle w:val="Heading3"/>
      </w:pPr>
      <w:r>
        <w:t xml:space="preserve">3. Private markets: HPS is now the central incremental earnings driver</w:t>
      </w:r>
    </w:p>
    <w:p>
      <w:pPr>
        <w:pStyle w:val="FirstParagraph"/>
      </w:pPr>
      <w:r>
        <w:t xml:space="preserve">The HPS acquisition is becoming central to the BLK thesis. In 1Q, HPS contributed approximately: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$230 million of base fees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$121 million of performance fees</w:t>
      </w:r>
    </w:p>
    <w:p>
      <w:pPr>
        <w:pStyle w:val="FirstParagraph"/>
      </w:pPr>
      <w:r>
        <w:t xml:space="preserve">Private-credit AUM stood at</w:t>
      </w:r>
      <w:r>
        <w:t xml:space="preserve"> </w:t>
      </w:r>
      <w:r>
        <w:rPr>
          <w:b/>
          <w:bCs/>
        </w:rPr>
        <w:t xml:space="preserve">$147 billion</w:t>
      </w:r>
      <w:r>
        <w:t xml:space="preserve"> </w:t>
      </w:r>
      <w:r>
        <w:t xml:space="preserve">at the end of 1Q, with $6.6 billion of quarterly net inflows. Management highlighted a multibillion-dollar insurance pipeline, continuing institutional demand, and attractive new-investment spreads.</w:t>
      </w:r>
    </w:p>
    <w:p>
      <w:pPr>
        <w:pStyle w:val="BodyText"/>
      </w:pPr>
      <w:r>
        <w:t xml:space="preserve">For 2Q, investors should concentrate on: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Fundraising and deployment</w:t>
      </w:r>
      <w:r>
        <w:t xml:space="preserve"> </w:t>
      </w:r>
      <w:r>
        <w:t xml:space="preserve">in private credit and infrastructure;</w:t>
      </w:r>
    </w:p>
    <w:p>
      <w:pPr>
        <w:pStyle w:val="Compact"/>
        <w:numPr>
          <w:ilvl w:val="0"/>
          <w:numId w:val="1005"/>
        </w:numPr>
      </w:pPr>
      <w:r>
        <w:t xml:space="preserve">The balance between</w:t>
      </w:r>
      <w:r>
        <w:t xml:space="preserve"> </w:t>
      </w:r>
      <w:r>
        <w:rPr>
          <w:b/>
          <w:bCs/>
        </w:rPr>
        <w:t xml:space="preserve">institutional</w:t>
      </w:r>
      <w:r>
        <w:t xml:space="preserve"> </w:t>
      </w:r>
      <w:r>
        <w:t xml:space="preserve">demand and potentially less consistent retail/evergreen flows;</w:t>
      </w:r>
    </w:p>
    <w:p>
      <w:pPr>
        <w:pStyle w:val="Compact"/>
        <w:numPr>
          <w:ilvl w:val="0"/>
          <w:numId w:val="1005"/>
        </w:numPr>
      </w:pPr>
      <w:r>
        <w:t xml:space="preserve">HPS’s fee-related earnings and integration progress;</w:t>
      </w:r>
    </w:p>
    <w:p>
      <w:pPr>
        <w:pStyle w:val="Compact"/>
        <w:numPr>
          <w:ilvl w:val="0"/>
          <w:numId w:val="1005"/>
        </w:numPr>
      </w:pPr>
      <w:r>
        <w:t xml:space="preserve">Performance fees and realizations, which can be volatile;</w:t>
      </w:r>
    </w:p>
    <w:p>
      <w:pPr>
        <w:pStyle w:val="Compact"/>
        <w:numPr>
          <w:ilvl w:val="0"/>
          <w:numId w:val="1005"/>
        </w:numPr>
      </w:pPr>
      <w:r>
        <w:t xml:space="preserve">The economics of the broader GIP/HPS platform, including whether it is supporting BlackRock’s long-term margin trajectory.</w:t>
      </w:r>
    </w:p>
    <w:p>
      <w:pPr>
        <w:pStyle w:val="FirstParagraph"/>
      </w:pPr>
      <w:r>
        <w:t xml:space="preserve">The favorable case is that market uncertainty and wider lending spreads enhance BlackRock’s ability to win institutional private-credit mandates. The risk case is that wealth-channel flows slow, realizations remain pressured, or heightened credit concerns create more caution around deployment and valuation.</w:t>
      </w:r>
    </w:p>
    <w:p>
      <w:r>
        <w:pict>
          <v:rect style="width:0;height:1.5pt" o:hralign="center" o:hrstd="t" o:hr="t"/>
        </w:pict>
      </w:r>
    </w:p>
    <w:bookmarkEnd w:id="12"/>
    <w:bookmarkStart w:id="13" w:name="X35f534f420cb1b03d06a814ab31fd7634d7fe0d"/>
    <w:p>
      <w:pPr>
        <w:pStyle w:val="Heading3"/>
      </w:pPr>
      <w:r>
        <w:t xml:space="preserve">4. Technology: Aladdin and Preqin need to sustain a low-teens growth profile</w:t>
      </w:r>
    </w:p>
    <w:p>
      <w:pPr>
        <w:pStyle w:val="FirstParagraph"/>
      </w:pPr>
      <w:r>
        <w:t xml:space="preserve">Technology services and subscription revenue grew</w:t>
      </w:r>
      <w:r>
        <w:t xml:space="preserve"> </w:t>
      </w:r>
      <w:r>
        <w:rPr>
          <w:b/>
          <w:bCs/>
        </w:rPr>
        <w:t xml:space="preserve">22% year over year</w:t>
      </w:r>
      <w:r>
        <w:t xml:space="preserve"> </w:t>
      </w:r>
      <w:r>
        <w:t xml:space="preserve">in 1Q to</w:t>
      </w:r>
      <w:r>
        <w:t xml:space="preserve"> </w:t>
      </w:r>
      <w:r>
        <w:rPr>
          <w:b/>
          <w:bCs/>
        </w:rPr>
        <w:t xml:space="preserve">$530 million</w:t>
      </w:r>
      <w:r>
        <w:t xml:space="preserve">, aided by the full-quarter contribution from Preqin. Annual contract value grew</w:t>
      </w:r>
      <w:r>
        <w:t xml:space="preserve"> </w:t>
      </w:r>
      <w:r>
        <w:rPr>
          <w:b/>
          <w:bCs/>
        </w:rPr>
        <w:t xml:space="preserve">14%</w:t>
      </w:r>
      <w:r>
        <w:t xml:space="preserve">, and management reiterated a long-term goal of low- to mid-teens ACV growth.</w:t>
      </w:r>
    </w:p>
    <w:p>
      <w:pPr>
        <w:pStyle w:val="BodyText"/>
      </w:pPr>
      <w:r>
        <w:t xml:space="preserve">This segment matters because it:</w:t>
      </w:r>
    </w:p>
    <w:p>
      <w:pPr>
        <w:pStyle w:val="Compact"/>
        <w:numPr>
          <w:ilvl w:val="0"/>
          <w:numId w:val="1006"/>
        </w:numPr>
      </w:pPr>
      <w:r>
        <w:t xml:space="preserve">Diversifies BlackRock away from market-sensitive management fees;</w:t>
      </w:r>
    </w:p>
    <w:p>
      <w:pPr>
        <w:pStyle w:val="Compact"/>
        <w:numPr>
          <w:ilvl w:val="0"/>
          <w:numId w:val="1006"/>
        </w:numPr>
      </w:pPr>
      <w:r>
        <w:t xml:space="preserve">Supports its “whole portfolio” proposition across public and private markets;</w:t>
      </w:r>
    </w:p>
    <w:p>
      <w:pPr>
        <w:pStyle w:val="Compact"/>
        <w:numPr>
          <w:ilvl w:val="0"/>
          <w:numId w:val="1006"/>
        </w:numPr>
      </w:pPr>
      <w:r>
        <w:t xml:space="preserve">Raises switching costs and deepens client relationships;</w:t>
      </w:r>
    </w:p>
    <w:p>
      <w:pPr>
        <w:pStyle w:val="Compact"/>
        <w:numPr>
          <w:ilvl w:val="0"/>
          <w:numId w:val="1006"/>
        </w:numPr>
      </w:pPr>
      <w:r>
        <w:t xml:space="preserve">Is strategically linked to private-credit transparency, data, portfolio construction, and risk management.</w:t>
      </w:r>
    </w:p>
    <w:p>
      <w:pPr>
        <w:pStyle w:val="FirstParagraph"/>
      </w:pPr>
      <w:r>
        <w:rPr>
          <w:b/>
          <w:bCs/>
        </w:rPr>
        <w:t xml:space="preserve">Key 2Q question:</w:t>
      </w:r>
      <w:r>
        <w:t xml:space="preserve"> </w:t>
      </w:r>
      <w:r>
        <w:t xml:space="preserve">Can ACV growth stay in or near the low-teens despite a more uncertain macro environment? A sustained strong result would validate the Preqin acquisition thesis and improve confidence in BlackRock’s recurring-revenue mix.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8" w:name="earnings-quality-considerations"/>
    <w:p>
      <w:pPr>
        <w:pStyle w:val="Heading2"/>
      </w:pPr>
      <w:r>
        <w:t xml:space="preserve">Earnings-quality considerations</w:t>
      </w:r>
    </w:p>
    <w:bookmarkStart w:id="15" w:name="adjusted-eps-should-be-the-primary-focus"/>
    <w:p>
      <w:pPr>
        <w:pStyle w:val="Heading3"/>
      </w:pPr>
      <w:r>
        <w:t xml:space="preserve">Adjusted EPS should be the primary focus</w:t>
      </w:r>
    </w:p>
    <w:p>
      <w:pPr>
        <w:pStyle w:val="FirstParagraph"/>
      </w:pPr>
      <w:r>
        <w:t xml:space="preserve">1Q26 adjusted EPS was</w:t>
      </w:r>
      <w:r>
        <w:t xml:space="preserve"> </w:t>
      </w:r>
      <w:r>
        <w:rPr>
          <w:b/>
          <w:bCs/>
        </w:rPr>
        <w:t xml:space="preserve">$12.53</w:t>
      </w:r>
      <w:r>
        <w:t xml:space="preserve">, up 11% year over year. However, several items make GAAP EPS less useful as a measure of underlying progress:</w:t>
      </w:r>
    </w:p>
    <w:p>
      <w:pPr>
        <w:pStyle w:val="Compact"/>
        <w:numPr>
          <w:ilvl w:val="0"/>
          <w:numId w:val="1007"/>
        </w:numPr>
      </w:pPr>
      <w:r>
        <w:t xml:space="preserve">Acquisition-related amortization;</w:t>
      </w:r>
    </w:p>
    <w:p>
      <w:pPr>
        <w:pStyle w:val="Compact"/>
        <w:numPr>
          <w:ilvl w:val="0"/>
          <w:numId w:val="1007"/>
        </w:numPr>
      </w:pPr>
      <w:r>
        <w:t xml:space="preserve">Retention and transaction costs;</w:t>
      </w:r>
    </w:p>
    <w:p>
      <w:pPr>
        <w:pStyle w:val="Compact"/>
        <w:numPr>
          <w:ilvl w:val="0"/>
          <w:numId w:val="1007"/>
        </w:numPr>
      </w:pPr>
      <w:r>
        <w:t xml:space="preserve">Fair-value changes in contingent consideration tied to the GIP and HPS transactions;</w:t>
      </w:r>
    </w:p>
    <w:p>
      <w:pPr>
        <w:pStyle w:val="Compact"/>
        <w:numPr>
          <w:ilvl w:val="0"/>
          <w:numId w:val="1007"/>
        </w:numPr>
      </w:pPr>
      <w:r>
        <w:t xml:space="preserve">Market-related gains and losses on investments;</w:t>
      </w:r>
    </w:p>
    <w:p>
      <w:pPr>
        <w:pStyle w:val="Compact"/>
        <w:numPr>
          <w:ilvl w:val="0"/>
          <w:numId w:val="1007"/>
        </w:numPr>
      </w:pPr>
      <w:r>
        <w:t xml:space="preserve">Deferred-compensation hedge effects.</w:t>
      </w:r>
    </w:p>
    <w:p>
      <w:pPr>
        <w:pStyle w:val="FirstParagraph"/>
      </w:pPr>
      <w:r>
        <w:t xml:space="preserve">The contingent-consideration line can produce large GAAP volatility. Investors should therefore focus on:</w:t>
      </w:r>
    </w:p>
    <w:p>
      <w:pPr>
        <w:pStyle w:val="Compact"/>
        <w:numPr>
          <w:ilvl w:val="0"/>
          <w:numId w:val="1008"/>
        </w:numPr>
      </w:pPr>
      <w:r>
        <w:t xml:space="preserve">Adjusted operating income;</w:t>
      </w:r>
    </w:p>
    <w:p>
      <w:pPr>
        <w:pStyle w:val="Compact"/>
        <w:numPr>
          <w:ilvl w:val="0"/>
          <w:numId w:val="1008"/>
        </w:numPr>
      </w:pPr>
      <w:r>
        <w:t xml:space="preserve">Adjusted operating margin;</w:t>
      </w:r>
    </w:p>
    <w:p>
      <w:pPr>
        <w:pStyle w:val="Compact"/>
        <w:numPr>
          <w:ilvl w:val="0"/>
          <w:numId w:val="1008"/>
        </w:numPr>
      </w:pPr>
      <w:r>
        <w:t xml:space="preserve">Base-fee and securities-lending revenue;</w:t>
      </w:r>
    </w:p>
    <w:p>
      <w:pPr>
        <w:pStyle w:val="Compact"/>
        <w:numPr>
          <w:ilvl w:val="0"/>
          <w:numId w:val="1008"/>
        </w:numPr>
      </w:pPr>
      <w:r>
        <w:t xml:space="preserve">Technology revenue and ACV;</w:t>
      </w:r>
    </w:p>
    <w:p>
      <w:pPr>
        <w:pStyle w:val="Compact"/>
        <w:numPr>
          <w:ilvl w:val="0"/>
          <w:numId w:val="1008"/>
        </w:numPr>
      </w:pPr>
      <w:r>
        <w:t xml:space="preserve">Organic base-fee growth;</w:t>
      </w:r>
    </w:p>
    <w:p>
      <w:pPr>
        <w:pStyle w:val="Compact"/>
        <w:numPr>
          <w:ilvl w:val="0"/>
          <w:numId w:val="1008"/>
        </w:numPr>
      </w:pPr>
      <w:r>
        <w:t xml:space="preserve">Net flows and AUM mix.</w:t>
      </w:r>
    </w:p>
    <w:bookmarkEnd w:id="15"/>
    <w:bookmarkStart w:id="16" w:name="tax-rate-is-a-likely-sequential-headwind"/>
    <w:p>
      <w:pPr>
        <w:pStyle w:val="Heading3"/>
      </w:pPr>
      <w:r>
        <w:t xml:space="preserve">Tax rate is a likely sequential headwind</w:t>
      </w:r>
    </w:p>
    <w:p>
      <w:pPr>
        <w:pStyle w:val="FirstParagraph"/>
      </w:pPr>
      <w:r>
        <w:t xml:space="preserve">BlackRock’s adjusted tax rate was</w:t>
      </w:r>
      <w:r>
        <w:t xml:space="preserve"> </w:t>
      </w:r>
      <w:r>
        <w:rPr>
          <w:b/>
          <w:bCs/>
        </w:rPr>
        <w:t xml:space="preserve">23.2%</w:t>
      </w:r>
      <w:r>
        <w:t xml:space="preserve"> </w:t>
      </w:r>
      <w:r>
        <w:t xml:space="preserve">in 1Q, aided by a discrete stock-compensation tax benefit. Management indicated that</w:t>
      </w:r>
      <w:r>
        <w:t xml:space="preserve"> </w:t>
      </w:r>
      <w:r>
        <w:rPr>
          <w:b/>
          <w:bCs/>
        </w:rPr>
        <w:t xml:space="preserve">approximately 25%</w:t>
      </w:r>
      <w:r>
        <w:t xml:space="preserve"> </w:t>
      </w:r>
      <w:r>
        <w:t xml:space="preserve">is a reasonable tax-rate run rate for the rest of 2026.</w:t>
      </w:r>
    </w:p>
    <w:p>
      <w:pPr>
        <w:pStyle w:val="BodyText"/>
      </w:pPr>
      <w:r>
        <w:t xml:space="preserve">That means 2Q adjusted EPS may face a modest sequential tax headwind even if operating results improve. Investors should distinguish a tax-driven EPS variance from a change in the operating trajectory.</w:t>
      </w:r>
    </w:p>
    <w:bookmarkEnd w:id="16"/>
    <w:bookmarkStart w:id="17" w:name="performance-fees-remain-hard-to-model"/>
    <w:p>
      <w:pPr>
        <w:pStyle w:val="Heading3"/>
      </w:pPr>
      <w:r>
        <w:t xml:space="preserve">Performance fees remain hard to model</w:t>
      </w:r>
    </w:p>
    <w:p>
      <w:pPr>
        <w:pStyle w:val="FirstParagraph"/>
      </w:pPr>
      <w:r>
        <w:t xml:space="preserve">1Q performance fees were</w:t>
      </w:r>
      <w:r>
        <w:t xml:space="preserve"> </w:t>
      </w:r>
      <m:oMath>
        <m:r>
          <m:t>272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s</m:t>
        </m:r>
        <m:r>
          <m:t>h</m:t>
        </m:r>
        <m:r>
          <m:t>a</m:t>
        </m:r>
        <m:r>
          <m:t>r</m:t>
        </m:r>
        <m:r>
          <m:t>p</m:t>
        </m:r>
        <m:r>
          <m:t>l</m:t>
        </m:r>
        <m:r>
          <m:t>y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754 million in 4Q25</w:t>
      </w:r>
      <w:r>
        <w:t xml:space="preserve">, reflecting the seasonality and episodic nature of alternative-asset performance fees. They were still well above the prior-year level, aided by HPS.</w:t>
      </w:r>
    </w:p>
    <w:p>
      <w:pPr>
        <w:pStyle w:val="BodyText"/>
      </w:pPr>
      <w:r>
        <w:t xml:space="preserve">For 2Q, a strong result in performance fees would help reported earnings, but it should not be treated as the same quality of upside as recurring base-fee or technology revenue. The cleaner signal is recurring fee growth and margin performance excluding performance-fee volatility.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Xba38fe2f96846d02e7456ba5aec80463cdd91ad"/>
    <w:p>
      <w:pPr>
        <w:pStyle w:val="Heading2"/>
      </w:pPr>
      <w:r>
        <w:t xml:space="preserve">Margin framework: Can BLK hold the line near 45%?</w:t>
      </w:r>
    </w:p>
    <w:p>
      <w:pPr>
        <w:pStyle w:val="FirstParagraph"/>
      </w:pPr>
      <w:r>
        <w:t xml:space="preserve">BlackRock posted a</w:t>
      </w:r>
      <w:r>
        <w:t xml:space="preserve"> </w:t>
      </w:r>
      <w:r>
        <w:rPr>
          <w:b/>
          <w:bCs/>
        </w:rPr>
        <w:t xml:space="preserve">44.5% adjusted operating margin</w:t>
      </w:r>
      <w:r>
        <w:t xml:space="preserve"> </w:t>
      </w:r>
      <w:r>
        <w:t xml:space="preserve">in 1Q, up 130 basis points year over year. Management has targeted an adjusted margin of</w:t>
      </w:r>
      <w:r>
        <w:t xml:space="preserve"> </w:t>
      </w:r>
      <w:r>
        <w:rPr>
          <w:b/>
          <w:bCs/>
        </w:rPr>
        <w:t xml:space="preserve">45% or higher</w:t>
      </w:r>
      <w:r>
        <w:t xml:space="preserve"> </w:t>
      </w:r>
      <w:r>
        <w:t xml:space="preserve">over time and believes recurring-fee margins can move higher as private markets, ETFs, systematic strategies, and technology scale.</w:t>
      </w:r>
    </w:p>
    <w:p>
      <w:pPr>
        <w:pStyle w:val="BodyText"/>
      </w:pPr>
      <w:r>
        <w:t xml:space="preserve">The setup for 2Q is favorable if market beta and flows lift revenue faster than costs. However, investors should watch for:</w:t>
      </w:r>
    </w:p>
    <w:p>
      <w:pPr>
        <w:pStyle w:val="Compact"/>
        <w:numPr>
          <w:ilvl w:val="0"/>
          <w:numId w:val="1009"/>
        </w:numPr>
      </w:pPr>
      <w:r>
        <w:t xml:space="preserve">Compensation accruals rising alongside performance fees;</w:t>
      </w:r>
    </w:p>
    <w:p>
      <w:pPr>
        <w:pStyle w:val="Compact"/>
        <w:numPr>
          <w:ilvl w:val="0"/>
          <w:numId w:val="1009"/>
        </w:numPr>
      </w:pPr>
      <w:r>
        <w:t xml:space="preserve">Distribution and direct-fund expenses increasing with AUM;</w:t>
      </w:r>
    </w:p>
    <w:p>
      <w:pPr>
        <w:pStyle w:val="Compact"/>
        <w:numPr>
          <w:ilvl w:val="0"/>
          <w:numId w:val="1009"/>
        </w:numPr>
      </w:pPr>
      <w:r>
        <w:t xml:space="preserve">Continued integration and retention costs from HPS and Preqin;</w:t>
      </w:r>
    </w:p>
    <w:p>
      <w:pPr>
        <w:pStyle w:val="Compact"/>
        <w:numPr>
          <w:ilvl w:val="0"/>
          <w:numId w:val="1009"/>
        </w:numPr>
      </w:pPr>
      <w:r>
        <w:t xml:space="preserve">Any signal that the company is accelerating investment spending.</w:t>
      </w:r>
    </w:p>
    <w:p>
      <w:pPr>
        <w:pStyle w:val="FirstParagraph"/>
      </w:pPr>
      <w:r>
        <w:rPr>
          <w:b/>
          <w:bCs/>
        </w:rPr>
        <w:t xml:space="preserve">Best outcome:</w:t>
      </w:r>
      <w:r>
        <w:t xml:space="preserve"> </w:t>
      </w:r>
      <w:r>
        <w:t xml:space="preserve">revenue growth and mix more than offset normal expense growth, holding adjusted margin around the mid-40% range.</w:t>
      </w:r>
    </w:p>
    <w:p>
      <w:pPr>
        <w:pStyle w:val="BodyText"/>
      </w:pPr>
      <w:r>
        <w:rPr>
          <w:b/>
          <w:bCs/>
        </w:rPr>
        <w:t xml:space="preserve">Bearish outcome:</w:t>
      </w:r>
      <w:r>
        <w:t xml:space="preserve"> </w:t>
      </w:r>
      <w:r>
        <w:t xml:space="preserve">expense growth absorbs the market-related revenue benefit, suggesting operating leverage is less durable than investors expect.</w:t>
      </w:r>
    </w:p>
    <w:p>
      <w:r>
        <w:pict>
          <v:rect style="width:0;height:1.5pt" o:hralign="center" o:hrstd="t" o:hr="t"/>
        </w:pict>
      </w:r>
    </w:p>
    <w:bookmarkEnd w:id="19"/>
    <w:bookmarkStart w:id="20" w:name="X592df6da56531e9cc26632453567da2f5f7c30b"/>
    <w:p>
      <w:pPr>
        <w:pStyle w:val="Heading2"/>
      </w:pPr>
      <w:r>
        <w:t xml:space="preserve">Capital return and dilution: important, but secondary to flows</w:t>
      </w:r>
    </w:p>
    <w:p>
      <w:pPr>
        <w:pStyle w:val="FirstParagraph"/>
      </w:pPr>
      <w:r>
        <w:t xml:space="preserve">BlackRock repurchased</w:t>
      </w:r>
      <w:r>
        <w:t xml:space="preserve"> </w:t>
      </w:r>
      <m:oMath>
        <m:r>
          <m:t>450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i</m:t>
        </m:r>
        <m:r>
          <m:t>n</m:t>
        </m:r>
        <m:r>
          <m:t>1</m:t>
        </m:r>
        <m:r>
          <m:t>Q</m:t>
        </m:r>
        <m:r>
          <m:t>a</m:t>
        </m:r>
        <m:r>
          <m:t>n</m:t>
        </m:r>
        <m:r>
          <m:t>d</m:t>
        </m:r>
        <m:r>
          <m:t>i</m:t>
        </m:r>
        <m:r>
          <m:t>n</m:t>
        </m:r>
        <m:r>
          <m:t>d</m:t>
        </m:r>
        <m:r>
          <m:t>i</m:t>
        </m:r>
        <m:r>
          <m:t>c</m:t>
        </m:r>
        <m:r>
          <m:t>a</m:t>
        </m:r>
        <m:r>
          <m:t>t</m:t>
        </m:r>
        <m:r>
          <m:t>e</m:t>
        </m:r>
        <m:r>
          <m:t>d</m:t>
        </m:r>
        <m:r>
          <m:t>a</m:t>
        </m:r>
        <m:r>
          <m:t>n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t</m:t>
        </m:r>
        <m:r>
          <m:t>o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a</m:t>
        </m:r>
        <m:r>
          <m:t>t</m:t>
        </m:r>
        <m:r>
          <m:t>l</m:t>
        </m:r>
        <m:r>
          <m:t>e</m:t>
        </m:r>
        <m:r>
          <m:t>a</m:t>
        </m:r>
        <m:r>
          <m:t>s</m:t>
        </m:r>
        <m:r>
          <m:t>t</m:t>
        </m:r>
        <m:r>
          <m:t>t</m:t>
        </m:r>
        <m:r>
          <m:t>h</m:t>
        </m:r>
        <m:r>
          <m:t>a</m:t>
        </m:r>
        <m:r>
          <m:t>t</m:t>
        </m:r>
        <m:r>
          <m:t>a</m:t>
        </m:r>
        <m:r>
          <m:t>m</m:t>
        </m:r>
        <m:r>
          <m:t>o</m:t>
        </m:r>
        <m:r>
          <m:t>u</m:t>
        </m:r>
        <m:r>
          <m:t>n</m:t>
        </m:r>
        <m:r>
          <m:t>t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l</m:t>
        </m:r>
        <m:r>
          <m:t>y</m:t>
        </m:r>
        <m:r>
          <m:t>f</m:t>
        </m:r>
        <m:r>
          <m:t>o</m:t>
        </m:r>
        <m:r>
          <m:t>r</m:t>
        </m:r>
        <m:r>
          <m:t>t</m:t>
        </m:r>
        <m:r>
          <m:t>h</m:t>
        </m:r>
        <m:r>
          <m:t>e</m:t>
        </m:r>
        <m:r>
          <m:t>b</m:t>
        </m:r>
        <m:r>
          <m:t>a</m:t>
        </m:r>
        <m:r>
          <m:t>l</m:t>
        </m:r>
        <m:r>
          <m:t>a</m:t>
        </m:r>
        <m:r>
          <m:t>n</m:t>
        </m:r>
        <m:r>
          <m:t>c</m:t>
        </m:r>
        <m:r>
          <m:t>e</m:t>
        </m:r>
        <m:r>
          <m:t>o</m:t>
        </m:r>
        <m:r>
          <m:t>f</m:t>
        </m:r>
        <m:r>
          <m:t>2026</m:t>
        </m:r>
        <m:r>
          <m:rPr>
            <m:sty m:val="p"/>
          </m:rPr>
          <m:t>,</m:t>
        </m:r>
        <m:r>
          <m:t>s</m:t>
        </m:r>
        <m:r>
          <m:t>u</m:t>
        </m:r>
        <m:r>
          <m:t>b</m:t>
        </m:r>
        <m:r>
          <m:t>j</m:t>
        </m:r>
        <m:r>
          <m:t>e</m:t>
        </m:r>
        <m:r>
          <m:t>c</m:t>
        </m:r>
        <m:r>
          <m:t>t</m:t>
        </m:r>
        <m:r>
          <m:t>t</m:t>
        </m:r>
        <m:r>
          <m:t>o</m:t>
        </m:r>
        <m:r>
          <m:t>c</m:t>
        </m:r>
        <m:r>
          <m:t>o</m:t>
        </m:r>
        <m:r>
          <m:t>n</m:t>
        </m:r>
        <m:r>
          <m:t>d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l</m:t>
        </m:r>
        <m:r>
          <m:t>y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w</m:t>
        </m:r>
        <m:r>
          <m:t>a</m:t>
        </m:r>
        <m:r>
          <m:t>s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d</m:t>
        </m:r>
        <m:r>
          <m:t>10</m:t>
        </m:r>
      </m:oMath>
      <w:r>
        <w:rPr>
          <w:b/>
          <w:bCs/>
        </w:rPr>
        <w:t xml:space="preserve">5.73 per share</w:t>
      </w:r>
      <w:r>
        <w:t xml:space="preserve">.</w:t>
      </w:r>
    </w:p>
    <w:p>
      <w:pPr>
        <w:pStyle w:val="BodyText"/>
      </w:pPr>
      <w:r>
        <w:t xml:space="preserve">The HPS transaction changes the per-share framework:</w:t>
      </w:r>
    </w:p>
    <w:p>
      <w:pPr>
        <w:pStyle w:val="Compact"/>
        <w:numPr>
          <w:ilvl w:val="0"/>
          <w:numId w:val="1010"/>
        </w:numPr>
      </w:pPr>
      <w:r>
        <w:t xml:space="preserve">Adjusted EPS includes Subco Units on an as-converted basis.</w:t>
      </w:r>
    </w:p>
    <w:p>
      <w:pPr>
        <w:pStyle w:val="Compact"/>
        <w:numPr>
          <w:ilvl w:val="0"/>
          <w:numId w:val="1010"/>
        </w:numPr>
      </w:pPr>
      <w:r>
        <w:t xml:space="preserve">The company registered shares in late June associated with potential Subco-unit redemptions.</w:t>
      </w:r>
    </w:p>
    <w:p>
      <w:pPr>
        <w:pStyle w:val="Compact"/>
        <w:numPr>
          <w:ilvl w:val="0"/>
          <w:numId w:val="1010"/>
        </w:numPr>
      </w:pPr>
      <w:r>
        <w:t xml:space="preserve">Additional HPS contingent consideration could ultimately create incremental share issuance if performance conditions are achieved.</w:t>
      </w:r>
    </w:p>
    <w:p>
      <w:pPr>
        <w:pStyle w:val="FirstParagraph"/>
      </w:pPr>
      <w:r>
        <w:t xml:space="preserve">The key question is not simply whether BlackRock buys back stock, but whether organic earnings growth and repurchases more than offset the dilution embedded in its private-markets expansion strategy.</w:t>
      </w:r>
    </w:p>
    <w:p>
      <w:r>
        <w:pict>
          <v:rect style="width:0;height:1.5pt" o:hralign="center" o:hrstd="t" o:hr="t"/>
        </w:pict>
      </w:r>
    </w:p>
    <w:bookmarkEnd w:id="20"/>
    <w:bookmarkStart w:id="21" w:name="X2e4b388dde1ecaaf32bd8f2f05e1b4efab2c9aa"/>
    <w:p>
      <w:pPr>
        <w:pStyle w:val="Heading2"/>
      </w:pPr>
      <w:r>
        <w:t xml:space="preserve">2Q scorecard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Why it matters</w:t>
            </w:r>
          </w:p>
        </w:tc>
        <w:tc>
          <w:tcPr/>
          <w:p>
            <w:pPr>
              <w:pStyle w:val="Compact"/>
            </w:pPr>
            <w:r>
              <w:t xml:space="preserve">Constructive outcome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/ long-term net flows</w:t>
            </w:r>
          </w:p>
        </w:tc>
        <w:tc>
          <w:tcPr/>
          <w:p>
            <w:pPr>
              <w:pStyle w:val="Compact"/>
            </w:pPr>
            <w:r>
              <w:t xml:space="preserve">Best indicator of client demand and share gains</w:t>
            </w:r>
          </w:p>
        </w:tc>
        <w:tc>
          <w:tcPr/>
          <w:p>
            <w:pPr>
              <w:pStyle w:val="Compact"/>
            </w:pPr>
            <w:r>
              <w:t xml:space="preserve">Sustained large positive flows with broad product participation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ETF flows and mix</w:t>
            </w:r>
          </w:p>
        </w:tc>
        <w:tc>
          <w:tcPr/>
          <w:p>
            <w:pPr>
              <w:pStyle w:val="Compact"/>
            </w:pPr>
            <w:r>
              <w:t xml:space="preserve">Largest immediate earnings and AUM driver</w:t>
            </w:r>
          </w:p>
        </w:tc>
        <w:tc>
          <w:tcPr/>
          <w:p>
            <w:pPr>
              <w:pStyle w:val="Compact"/>
            </w:pPr>
            <w:r>
              <w:t xml:space="preserve">Strong fixed income, active, international, and precision exposure flows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Organic base-fee growth</w:t>
            </w:r>
          </w:p>
        </w:tc>
        <w:tc>
          <w:tcPr/>
          <w:p>
            <w:pPr>
              <w:pStyle w:val="Compact"/>
            </w:pPr>
            <w:r>
              <w:t xml:space="preserve">Core measure of durable growth</w:t>
            </w:r>
          </w:p>
        </w:tc>
        <w:tc>
          <w:tcPr/>
          <w:p>
            <w:pPr>
              <w:pStyle w:val="Compact"/>
            </w:pPr>
            <w:r>
              <w:t xml:space="preserve">Maintains a clearly above-target mid-single-digit to high-single-digit rate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Private-credit and infrastructure activity</w:t>
            </w:r>
          </w:p>
        </w:tc>
        <w:tc>
          <w:tcPr/>
          <w:p>
            <w:pPr>
              <w:pStyle w:val="Compact"/>
            </w:pPr>
            <w:r>
              <w:t xml:space="preserve">Tests the HPS/GIP strategic rationale</w:t>
            </w:r>
          </w:p>
        </w:tc>
        <w:tc>
          <w:tcPr/>
          <w:p>
            <w:pPr>
              <w:pStyle w:val="Compact"/>
            </w:pPr>
            <w:r>
              <w:t xml:space="preserve">Positive fundraising, deployment, and institutional pipeline commentary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Technology ACV growth</w:t>
            </w:r>
          </w:p>
        </w:tc>
        <w:tc>
          <w:tcPr/>
          <w:p>
            <w:pPr>
              <w:pStyle w:val="Compact"/>
            </w:pPr>
            <w:r>
              <w:t xml:space="preserve">Tests Aladdin/Preqin recurring-revenue trajectory</w:t>
            </w:r>
          </w:p>
        </w:tc>
        <w:tc>
          <w:tcPr/>
          <w:p>
            <w:pPr>
              <w:pStyle w:val="Compact"/>
            </w:pPr>
            <w:r>
              <w:t xml:space="preserve">Low-teens or better growth, with durable pipeline commentary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Measures operating leverage</w:t>
            </w:r>
          </w:p>
        </w:tc>
        <w:tc>
          <w:tcPr/>
          <w:p>
            <w:pPr>
              <w:pStyle w:val="Compact"/>
            </w:pPr>
            <w:r>
              <w:t xml:space="preserve">Around the mid-40% range despite investment and compensation costs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Adjusted tax rate</w:t>
            </w:r>
          </w:p>
        </w:tc>
        <w:tc>
          <w:tcPr/>
          <w:p>
            <w:pPr>
              <w:pStyle w:val="Compact"/>
            </w:pPr>
            <w:r>
              <w:t xml:space="preserve">Important for EPS comparability</w:t>
            </w:r>
          </w:p>
        </w:tc>
        <w:tc>
          <w:tcPr/>
          <w:p>
            <w:pPr>
              <w:pStyle w:val="Compact"/>
            </w:pPr>
            <w:r>
              <w:t xml:space="preserve">Near the company’s ~25% normalized framework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Capital return</w:t>
            </w:r>
          </w:p>
        </w:tc>
        <w:tc>
          <w:tcPr/>
          <w:p>
            <w:pPr>
              <w:pStyle w:val="Compact"/>
            </w:pPr>
            <w:r>
              <w:t xml:space="preserve">Helps per-share compounding</w:t>
            </w:r>
          </w:p>
        </w:tc>
        <w:tc>
          <w:tcPr/>
          <w:p>
            <w:pPr>
              <w:pStyle w:val="Compact"/>
            </w:pPr>
            <w:r>
              <w:t xml:space="preserve">At least the indicated $450M quarterly repurchase pace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questions-for-management"/>
    <w:p>
      <w:pPr>
        <w:pStyle w:val="Heading2"/>
      </w:pPr>
      <w:r>
        <w:t xml:space="preserve">Questions for management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ETF mix:</w:t>
      </w:r>
      <w:r>
        <w:t xml:space="preserve"> </w:t>
      </w:r>
      <w:r>
        <w:t xml:space="preserve">How much of 2Q ETF flow came from high-fee precision, active, fixed-income, international, commodity, and digital-asset products versus low-fee beta?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Institutional index outflows:</w:t>
      </w:r>
      <w:r>
        <w:t xml:space="preserve"> </w:t>
      </w:r>
      <w:r>
        <w:t xml:space="preserve">Were 1Q’s low-fee institutional-index redemptions isolated, or does the firm see additional mandate churn ahead?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Private credit:</w:t>
      </w:r>
      <w:r>
        <w:t xml:space="preserve"> </w:t>
      </w:r>
      <w:r>
        <w:t xml:space="preserve">What has changed in institutional fundraising, deployment pacing, underwriting terms, and spreads since the April call?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HPS economics:</w:t>
      </w:r>
      <w:r>
        <w:t xml:space="preserve"> </w:t>
      </w:r>
      <w:r>
        <w:t xml:space="preserve">How is HPS tracking against the revenue, fundraising, fee-related earnings, and performance assumptions embedded in contingent consideration?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Wealth-channel alternatives:</w:t>
      </w:r>
      <w:r>
        <w:t xml:space="preserve"> </w:t>
      </w:r>
      <w:r>
        <w:t xml:space="preserve">Have subscriptions and redemption trends in evergreen private-market vehicles changed during 2Q?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Technology:</w:t>
      </w:r>
      <w:r>
        <w:t xml:space="preserve"> </w:t>
      </w:r>
      <w:r>
        <w:t xml:space="preserve">Is Preqin meeting expectations for bookings, client retention, cross-selling, and contribution to Aladdin ACV growth?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Margins:</w:t>
      </w:r>
      <w:r>
        <w:t xml:space="preserve"> </w:t>
      </w:r>
      <w:r>
        <w:t xml:space="preserve">Does management still see a credible path to a sustained 45%+ adjusted margin and eventually higher recurring-fee margins?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Tax and share count:</w:t>
      </w:r>
      <w:r>
        <w:t xml:space="preserve"> </w:t>
      </w:r>
      <w:r>
        <w:t xml:space="preserve">Is the approximately 25% adjusted tax-rate framework still appropriate, and what should investors expect for diluted shares following HPS-related unit exchanges?</w:t>
      </w:r>
    </w:p>
    <w:p>
      <w:r>
        <w:pict>
          <v:rect style="width:0;height:1.5pt" o:hralign="center" o:hrstd="t" o:hr="t"/>
        </w:pict>
      </w:r>
    </w:p>
    <w:bookmarkEnd w:id="22"/>
    <w:bookmarkStart w:id="23" w:name="investment-framing"/>
    <w:p>
      <w:pPr>
        <w:pStyle w:val="Heading2"/>
      </w:pPr>
      <w:r>
        <w:t xml:space="preserve">Investment framing</w:t>
      </w:r>
    </w:p>
    <w:p>
      <w:pPr>
        <w:pStyle w:val="FirstParagraph"/>
      </w:pPr>
      <w:r>
        <w:rPr>
          <w:b/>
          <w:bCs/>
        </w:rPr>
        <w:t xml:space="preserve">Bull case:</w:t>
      </w:r>
      <w:r>
        <w:t xml:space="preserve"> </w:t>
      </w:r>
      <w:r>
        <w:t xml:space="preserve">BlackRock reports another quarter of strong ETF and private-market flows, market beta lifts average AUM and base fees, Aladdin/Preqin sustains low-teens ACV growth, and margin remains near 45%. That combination would reinforce the view that BlackRock has become a structurally broader compounder spanning ETFs, private markets, wealth solutions, and technology.</w:t>
      </w:r>
    </w:p>
    <w:p>
      <w:pPr>
        <w:pStyle w:val="BodyText"/>
      </w:pPr>
      <w:r>
        <w:rPr>
          <w:b/>
          <w:bCs/>
        </w:rPr>
        <w:t xml:space="preserve">Bear case:</w:t>
      </w:r>
      <w:r>
        <w:t xml:space="preserve"> </w:t>
      </w:r>
      <w:r>
        <w:t xml:space="preserve">The headline result is supported by market appreciation or volatile performance fees, while flow mix deteriorates, institutional index outflows persist, private-credit fundraising softens, and expenses limit operating leverage. In that case, investors may question whether the post-acquisition earnings profile is as durable as the strategic narrative suggests.</w:t>
      </w:r>
    </w:p>
    <w:p>
      <w:pPr>
        <w:pStyle w:val="BodyText"/>
      </w:pPr>
      <w:r>
        <w:rPr>
          <w:b/>
          <w:bCs/>
        </w:rPr>
        <w:t xml:space="preserve">Most important takeaway:</w:t>
      </w:r>
      <w:r>
        <w:t xml:space="preserve"> </w:t>
      </w:r>
      <w:r>
        <w:t xml:space="preserve">For this report, prioritize</w:t>
      </w:r>
      <w:r>
        <w:t xml:space="preserve"> </w:t>
      </w:r>
      <w:r>
        <w:rPr>
          <w:b/>
          <w:bCs/>
        </w:rPr>
        <w:t xml:space="preserve">organic base-fee growth, fee-bearing flow mix, private-market execution, and adjusted margin</w:t>
      </w:r>
      <w:r>
        <w:t xml:space="preserve"> </w:t>
      </w:r>
      <w:r>
        <w:t xml:space="preserve">over GAAP EPS. Those four indicators will provide the clearest read on whether BlackRock is converting its scale and acquisitions into higher-quality, durable per-share growth.</w:t>
      </w:r>
    </w:p>
    <w:p>
      <w:pPr>
        <w:pStyle w:val="BodyText"/>
      </w:pPr>
      <w:r>
        <w:rPr>
          <w:i/>
          <w:iCs/>
        </w:rPr>
        <w:t xml:space="preserve">Sources reviewed: BlackRock 1Q26 earnings release, 1Q26 earnings-call transcript, 1Q26 Form 10-Q, recent BLK news and filings, and BLK/SPY/QQQ price history through July 14, 2026.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2026-07-15T00:02:55Z</dcterms:created>
  <dcterms:modified xsi:type="dcterms:W3CDTF">2026-07-15T00:02:55Z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