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-earnings-predictions--2026-07-14"/>
    <w:p>
      <w:pPr>
        <w:pStyle w:val="Heading1"/>
      </w:pPr>
      <w:r>
        <w:t xml:space="preserve">C Earnings Predictions — 2026-07-14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~$2.85 vs. cons $2.72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~$23.9B vs. cons $23.5B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Markets trading revenue (FICC+Equities)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~$6.55B vs. cons $6.28B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NII ex-Markets growth (guide raise on AmEx/AA-Barclays card onboarding + deposit growth)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~6-7% vs. cons ~5-6%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RoTCE vs new Investor-Day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~11-13% vs. cons ~11.5%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expenses / efficiency ratio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~60% efficiency (~$53.4B) vs. cons ~60%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Buyback pace under $30B authorization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</m:t>
              </m:r>
              <m:r>
                <m:rPr>
                  <m:sty m:val="p"/>
                </m:rPr>
                <m:t>−</m:t>
              </m:r>
              <m:r>
                <m:t>5</m:t>
              </m:r>
              <m:r>
                <m:t>B</m:t>
              </m:r>
              <m:r>
                <m:rPr>
                  <m:sty m:val="p"/>
                </m:rPr>
                <m:t>/</m:t>
              </m:r>
              <m:r>
                <m:t>q</m:t>
              </m:r>
              <m:r>
                <m:t>t</m:t>
              </m:r>
              <m:r>
                <m:t>r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3.5-4B (Q2/H2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US card NCL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~4-4.5% vs. cons ~4.3%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Consent-order / transformation resolution signal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~90% programs at target vs. cons no resolution baked (2026-27)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Beat on EPS/trading plus a plausible NII guide bump drives a modest positive day-1 residual, but with the stock at multi-decade highs (beta ~1.4, +18% YTD, +60% y/y) expectations are elevated. The out-period math works against follow-through: Q2 is a seasonal step-down from Q1's decade-best Markets print, management stays cautious on H2 banking deferrals (Middle East/rate risk), and no clean consent-order resolution — so out-quarter estimates aren't revised meaningfully higher. Initial pop gives back most of its idiosyncratic gain into day 5 (sell-the-news), leaving a small positive residual.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2026-07-14T01:26:59Z</dcterms:created>
  <dcterms:modified xsi:type="dcterms:W3CDTF">2026-07-14T01:26:59Z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