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Citigroup before writing the preview. Let me gather recent earnings materials, news, and market data.Let me read the most recent earnings materials and get analyst expectations and stock performance.I have detailed Q1 2026 results. Now let me get the May Investor Day (new targets), recent news, and stock performance.Let me read the May Investor Day transcript (new targets) and the news on the profitability target reaction.I have comprehensive material. Let me compute a few precise performance figures before writing.I now have everything I need to write the preview.</w:t>
      </w:r>
    </w:p>
    <w:p>
      <w:r>
        <w:pict>
          <v:rect style="width:0;height:1.5pt" o:hralign="center" o:hrstd="t" o:hr="t"/>
        </w:pict>
      </w:r>
    </w:p>
    <w:bookmarkStart w:id="17" w:name="citigroup-c--q2-2026-earnings-preview"/>
    <w:p>
      <w:pPr>
        <w:pStyle w:val="Heading1"/>
      </w:pPr>
      <w:r>
        <w:t xml:space="preserve">Citigroup (C) — Q2 2026 Earnings Preview</w:t>
      </w:r>
    </w:p>
    <w:bookmarkStart w:id="9" w:name="X4563ee08cb94f6bdd5b869ecca1a7679c27152d"/>
    <w:p>
      <w:pPr>
        <w:pStyle w:val="Heading3"/>
      </w:pPr>
      <w:r>
        <w:t xml:space="preserve">Reports before the U.S. open, Tuesday, July 14, 2026 | 2026Q2 Earnings Call</w:t>
      </w:r>
    </w:p>
    <w:bookmarkEnd w:id="9"/>
    <w:bookmarkStart w:id="10" w:name="the-one-line-setup"/>
    <w:p>
      <w:pPr>
        <w:pStyle w:val="Heading2"/>
      </w:pPr>
      <w:r>
        <w:t xml:space="preserve">The one-line setup</w:t>
      </w:r>
    </w:p>
    <w:p>
      <w:pPr>
        <w:pStyle w:val="FirstParagraph"/>
      </w:pPr>
      <w:r>
        <w:t xml:space="preserve">This is the</w:t>
      </w:r>
      <w:r>
        <w:t xml:space="preserve"> </w:t>
      </w:r>
      <w:r>
        <w:rPr>
          <w:b/>
          <w:bCs/>
        </w:rPr>
        <w:t xml:space="preserve">first earnings report since Citi's May 7 Investor Day</w:t>
      </w:r>
      <w:r>
        <w:t xml:space="preserve">, where Jane Fraser and new CFO Gonzalo Luchetti laid out fresh, more aggressive return targets. Citigroup is expected to report another solid quarter, with CEO Jane Fraser having set more aggressive targets in May, and this earnings report marks the first since those targets were announced. The bar is now higher — this quarter is the first real "show me" print against the new framework.</w:t>
      </w:r>
    </w:p>
    <w:p>
      <w:r>
        <w:pict>
          <v:rect style="width:0;height:1.5pt" o:hralign="center" o:hrstd="t" o:hr="t"/>
        </w:pict>
      </w:r>
    </w:p>
    <w:bookmarkEnd w:id="10"/>
    <w:bookmarkStart w:id="11" w:name="what-the-street-expects"/>
    <w:p>
      <w:pPr>
        <w:pStyle w:val="Heading2"/>
      </w:pPr>
      <w:r>
        <w:t xml:space="preserve">What the Street expects</w:t>
      </w:r>
    </w:p>
    <w:p>
      <w:pPr>
        <w:pStyle w:val="FirstParagraph"/>
      </w:pPr>
      <w:r>
        <w:t xml:space="preserve">Per consensus compiled ahead of the print: the Street expects EPS to increase by 28% to $2.72, with revenue of $23.5B. Net Interest Income (NII) is projected to rise 4.8% to $15.93B. Equities Trading is seen up 13.5% to $1.8B, FICC Trading up 2.1% to $4.48B, and IB fees up 15.2% to $1.21B.</w:t>
      </w:r>
    </w:p>
    <w:p>
      <w:pPr>
        <w:pStyle w:val="BodyText"/>
      </w:pPr>
      <w:r>
        <w:t xml:space="preserve">For context, Q1 2026 set a high watermark: net income of $5.8 billion for the first quarter with an EPS of</w:t>
      </w:r>
      <w:r>
        <w:t xml:space="preserve"> </w:t>
      </w:r>
      <m:oMath>
        <m:r>
          <m:t>3.06</m:t>
        </m:r>
        <m:r>
          <m:t>a</m:t>
        </m:r>
        <m:r>
          <m:t>n</m:t>
        </m:r>
        <m:r>
          <m:t>d</m:t>
        </m:r>
        <m:r>
          <m:t>a</m:t>
        </m:r>
        <m:r>
          <m:t>n</m:t>
        </m:r>
        <m:r>
          <m:t>R</m:t>
        </m:r>
        <m:r>
          <m:t>o</m:t>
        </m:r>
        <m:r>
          <m:t>T</m:t>
        </m:r>
        <m:r>
          <m:t>C</m:t>
        </m:r>
        <m:r>
          <m:t>E</m:t>
        </m:r>
        <m:r>
          <m:t>o</m:t>
        </m:r>
        <m:r>
          <m:t>f</m:t>
        </m:r>
        <m:r>
          <m:t>13.1</m:t>
        </m:r>
      </m:oMath>
      <w:r>
        <w:t xml:space="preserve">2.72 is largely</w:t>
      </w:r>
      <w:r>
        <w:t xml:space="preserve"> </w:t>
      </w:r>
      <w:r>
        <w:rPr>
          <w:b/>
          <w:bCs/>
        </w:rPr>
        <w:t xml:space="preserve">seasonal</w:t>
      </w:r>
      <w:r>
        <w:t xml:space="preserve"> </w:t>
      </w:r>
      <w:r>
        <w:t xml:space="preserve">— management repeatedly flagged that Q1 (especially Markets) is the strongest quarter, warning modelers explicitly, as Fraser put it, that "one good-rate first quarter does not a full year make. The first quarter is always the strongest."</w:t>
      </w:r>
    </w:p>
    <w:p>
      <w:r>
        <w:pict>
          <v:rect style="width:0;height:1.5pt" o:hralign="center" o:hrstd="t" o:hr="t"/>
        </w:pict>
      </w:r>
    </w:p>
    <w:bookmarkEnd w:id="11"/>
    <w:bookmarkStart w:id="12" w:name="X1bd14b56d0b39f83ca5596019b83cf34f1dc3a1"/>
    <w:p>
      <w:pPr>
        <w:pStyle w:val="Heading2"/>
      </w:pPr>
      <w:r>
        <w:t xml:space="preserve">Framework #1: The new Investor Day targets you're now grading against</w:t>
      </w:r>
    </w:p>
    <w:p>
      <w:pPr>
        <w:pStyle w:val="FirstParagraph"/>
      </w:pPr>
      <w:r>
        <w:t xml:space="preserve">At the May 7 Investor Day, Citi reset the goalposts beyond the FY2026 10–11% RoTCE waypoint:</w:t>
      </w:r>
    </w:p>
    <w:p>
      <w:pPr>
        <w:pStyle w:val="Compact"/>
        <w:numPr>
          <w:ilvl w:val="0"/>
          <w:numId w:val="1001"/>
        </w:numPr>
      </w:pPr>
      <w:r>
        <w:t xml:space="preserve">We've set a near-term target of 11% to 13%. We expect to be within that range in both years, and we intend to move towards the higher end of that range in 2028. Over the medium term, we see a clear path to 14% to 15% returns.</w:t>
      </w:r>
    </w:p>
    <w:p>
      <w:pPr>
        <w:pStyle w:val="Compact"/>
        <w:numPr>
          <w:ilvl w:val="0"/>
          <w:numId w:val="1001"/>
        </w:numPr>
      </w:pPr>
      <w:r>
        <w:t xml:space="preserve">Efficiency ratio path: ~60% (2026) → 55–60% (near term) → below 55% (medium term).</w:t>
      </w:r>
    </w:p>
    <w:p>
      <w:pPr>
        <w:pStyle w:val="Compact"/>
        <w:numPr>
          <w:ilvl w:val="0"/>
          <w:numId w:val="1001"/>
        </w:numPr>
      </w:pPr>
      <w:r>
        <w:t xml:space="preserve">Business-level medium-term targets: services staying in the mid-20s RoTCE, markets driving towards 13% and above, banking at mid- to high teens, wealth moving above 20% and cards staying in the low end of the 20s.</w:t>
      </w:r>
    </w:p>
    <w:p>
      <w:pPr>
        <w:pStyle w:val="FirstParagraph"/>
      </w:pPr>
      <w:r>
        <w:rPr>
          <w:b/>
          <w:bCs/>
        </w:rPr>
        <w:t xml:space="preserve">The market's reaction was tepid.</w:t>
      </w:r>
      <w:r>
        <w:t xml:space="preserve"> </w:t>
      </w:r>
      <w:r>
        <w:t xml:space="preserve">The stock initially fell — investors were reacting to the bank issuing new guidance saying that it would take the lender more time to catch up to Wall Street peers. Even hitting 14–15% would leave Citi a couple of points short of where JPMorgan, BofA and Wells target. As Glenn Schorr pressed at the event, the four non-Markets businesses all carry targets above the firm-wide number, and the firm would still trail peers — Fraser leaned on business mix, taxation, and a deliberate step-by-step path as the explanation.</w:t>
      </w:r>
      <w:r>
        <w:t xml:space="preserve"> </w:t>
      </w:r>
      <w:r>
        <w:rPr>
          <w:b/>
          <w:bCs/>
        </w:rPr>
        <w:t xml:space="preserve">Watch whether management sounds more confident (or nudges toward the high end) now that a quarter has passed.</w:t>
      </w:r>
    </w:p>
    <w:p>
      <w:r>
        <w:pict>
          <v:rect style="width:0;height:1.5pt" o:hralign="center" o:hrstd="t" o:hr="t"/>
        </w:pict>
      </w:r>
    </w:p>
    <w:bookmarkEnd w:id="12"/>
    <w:bookmarkStart w:id="13" w:name="Xfffbee5574982a910b54a18ae29927686d9f82c"/>
    <w:p>
      <w:pPr>
        <w:pStyle w:val="Heading2"/>
      </w:pPr>
      <w:r>
        <w:t xml:space="preserve">Framework #2: The five things that will move the stock</w:t>
      </w:r>
    </w:p>
    <w:p>
      <w:pPr>
        <w:pStyle w:val="FirstParagraph"/>
      </w:pPr>
      <w:r>
        <w:rPr>
          <w:b/>
          <w:bCs/>
        </w:rPr>
        <w:t xml:space="preserve">1. NII trajectory — potential guide raise.</w:t>
      </w:r>
      <w:r>
        <w:t xml:space="preserve"> </w:t>
      </w:r>
      <w:r>
        <w:t xml:space="preserve">FY guide is NII ex-Markets up approximately 5% to 6%. But Q1 came in at 7%, and the CFO conceded when pushed that he was "comfortable" but not raising — yet. The American Airlines-Barclays portfolio coming in this second quarter is fully factored in. With that portfolio now onboarding in Q2 plus continued double-digit deposit growth in Services, a guide raise is a plausible positive catalyst.</w:t>
      </w:r>
    </w:p>
    <w:p>
      <w:pPr>
        <w:pStyle w:val="BodyText"/>
      </w:pPr>
      <w:r>
        <w:rPr>
          <w:b/>
          <w:bCs/>
        </w:rPr>
        <w:t xml:space="preserve">2. Markets &amp; Banking momentum.</w:t>
      </w:r>
      <w:r>
        <w:t xml:space="preserve"> </w:t>
      </w:r>
      <w:r>
        <w:t xml:space="preserve">Q1 was Markets' best quarter in a decade (Markets crossed $7 billion in revenues for the first time in a decade. Equities was up nearly 40%). Consensus expects Equities +13.5% and IB fees +15% in Q2. On the banking pipeline, the CFO was constructive but cautioned that if the conflict were protracted and deeper over a longer period of time, that may start introducing some risk of deferrals into the second half of the year. Watch M&amp;A/ECM commentary and whether the strong sponsor/IPO backdrop holds.</w:t>
      </w:r>
    </w:p>
    <w:p>
      <w:pPr>
        <w:pStyle w:val="BodyText"/>
      </w:pPr>
      <w:r>
        <w:rPr>
          <w:b/>
          <w:bCs/>
        </w:rPr>
        <w:t xml:space="preserve">3. Capital return under the new $30B buyback.</w:t>
      </w:r>
      <w:r>
        <w:t xml:space="preserve"> </w:t>
      </w:r>
      <w:r>
        <w:t xml:space="preserve">Citi announced a big step-up in May: Today, we are excited to announce a new buyback program for $30 billion. Q1 already featured a record repurchase of $6.3 billion of shares, ending at a CET1 ratio of 12.7%, which is 110 basis points above our regulatory capital requirement. Management targets holding around our target of 12.6% CET1 for the balance of the year. Pace of Q2 buybacks and any commentary on capital tailwinds (SCB, Basel/G-SIB NPRs) are key — note the CFO framed the NPRs as a "moderate net benefit" not yet baked into targets.</w:t>
      </w:r>
    </w:p>
    <w:p>
      <w:pPr>
        <w:pStyle w:val="BodyText"/>
      </w:pPr>
      <w:r>
        <w:rPr>
          <w:b/>
          <w:bCs/>
        </w:rPr>
        <w:t xml:space="preserve">4. Credit quality / cards.</w:t>
      </w:r>
      <w:r>
        <w:t xml:space="preserve"> </w:t>
      </w:r>
      <w:r>
        <w:t xml:space="preserve">FY guide: total U.S. credit card NCL rate of between 4% and 4.5%. Q1 credit was benign — delinquencies and credit losses declined and are well in line with expectations, with the card book approximately 85% of balances extended to consumers with FICO scores of 660 or higher. Watch the ACL build tied to the American Airlines portfolio onboarding and any change to the reserve macro assumptions (Q1 embedded a ~5.4% 8-quarter unemployment rate).</w:t>
      </w:r>
    </w:p>
    <w:p>
      <w:pPr>
        <w:pStyle w:val="BodyText"/>
      </w:pPr>
      <w:r>
        <w:rPr>
          <w:b/>
          <w:bCs/>
        </w:rPr>
        <w:t xml:space="preserve">5. DTA burn-down.</w:t>
      </w:r>
      <w:r>
        <w:t xml:space="preserve"> </w:t>
      </w:r>
      <w:r>
        <w:t xml:space="preserve">A structural drag on returns and a management KPI. Guidance for 2026 is a reduction in excess of $800 million, driven by rising U.S. earnings. Progress here is the quiet lever behind the medium-term 14–15% story.</w:t>
      </w:r>
    </w:p>
    <w:p>
      <w:r>
        <w:pict>
          <v:rect style="width:0;height:1.5pt" o:hralign="center" o:hrstd="t" o:hr="t"/>
        </w:pict>
      </w:r>
    </w:p>
    <w:bookmarkEnd w:id="13"/>
    <w:bookmarkStart w:id="14" w:name="X3c6578a7c431f25b49cd04c99582722c58ac873"/>
    <w:p>
      <w:pPr>
        <w:pStyle w:val="Heading2"/>
      </w:pPr>
      <w:r>
        <w:t xml:space="preserve">Framework #3: Strategic milestones to track on the call</w:t>
      </w:r>
    </w:p>
    <w:p>
      <w:pPr>
        <w:pStyle w:val="Compact"/>
        <w:numPr>
          <w:ilvl w:val="0"/>
          <w:numId w:val="1002"/>
        </w:numPr>
      </w:pPr>
      <w:r>
        <w:rPr>
          <w:b/>
          <w:bCs/>
        </w:rPr>
        <w:t xml:space="preserve">Divestitures — final phase.</w:t>
      </w:r>
      <w:r>
        <w:t xml:space="preserve"> </w:t>
      </w:r>
      <w:r>
        <w:t xml:space="preserve">We completed our exit from Russia. We have entered into agreements to sell an additional 24% of Banamex... and we're on track to close the sale of our consumer business in Poland this summer. Poland should close around now; Banamex deconsolidation is guided to early 2027 (with a ~$8.5B CTA hit that is capital-neutral), IPO thereafter.</w:t>
      </w:r>
    </w:p>
    <w:p>
      <w:pPr>
        <w:pStyle w:val="Compact"/>
        <w:numPr>
          <w:ilvl w:val="0"/>
          <w:numId w:val="1002"/>
        </w:numPr>
      </w:pPr>
      <w:r>
        <w:rPr>
          <w:b/>
          <w:bCs/>
        </w:rPr>
        <w:t xml:space="preserve">Transformation &amp; consent orders.</w:t>
      </w:r>
      <w:r>
        <w:t xml:space="preserve"> </w:t>
      </w:r>
      <w:r>
        <w:t xml:space="preserve">90% of our programs are now at or near our target state, with the remaining work primarily data used in regulatory reporting. Importantly, sentiment has shifted — Jane Fraser's turnaround strategy is yielding strong results, with the bank's shares up 80% in the past year and a regulatory consent order potentially nearing an end. Any hint of a consent-order resolution would be a major catalyst.</w:t>
      </w:r>
    </w:p>
    <w:p>
      <w:pPr>
        <w:pStyle w:val="Compact"/>
        <w:numPr>
          <w:ilvl w:val="0"/>
          <w:numId w:val="1002"/>
        </w:numPr>
      </w:pPr>
      <w:r>
        <w:rPr>
          <w:b/>
          <w:bCs/>
        </w:rPr>
        <w:t xml:space="preserve">AI narrative.</w:t>
      </w:r>
      <w:r>
        <w:t xml:space="preserve"> </w:t>
      </w:r>
      <w:r>
        <w:t xml:space="preserve">Expect continued emphasis on AI as both a revenue and efficiency driver, following heavy Investor Day airtime (Citi Sky in Wealth, Services use cases, self-funded $5B investment program).</w:t>
      </w:r>
    </w:p>
    <w:p>
      <w:r>
        <w:pict>
          <v:rect style="width:0;height:1.5pt" o:hralign="center" o:hrstd="t" o:hr="t"/>
        </w:pict>
      </w:r>
    </w:p>
    <w:bookmarkEnd w:id="14"/>
    <w:bookmarkStart w:id="15" w:name="the-bull-vs-the-skeptic"/>
    <w:p>
      <w:pPr>
        <w:pStyle w:val="Heading2"/>
      </w:pPr>
      <w:r>
        <w:t xml:space="preserve">The bull vs. the skeptic</w:t>
      </w:r>
    </w:p>
    <w:p>
      <w:pPr>
        <w:pStyle w:val="FirstParagraph"/>
      </w:pPr>
      <w:r>
        <w:rPr>
          <w:b/>
          <w:bCs/>
        </w:rPr>
        <w:t xml:space="preserve">Bull case:</w:t>
      </w:r>
      <w:r>
        <w:t xml:space="preserve"> </w:t>
      </w:r>
      <w:r>
        <w:t xml:space="preserve">Momentum across all five businesses, seasonal-but-solid Q2, a potential NII guide raise, a fresh $30B buyback shrinking the share count, transformation costs rolling off, and a possible consent-order milestone. The stock reflects this — Citi is up</w:t>
      </w:r>
      <w:r>
        <w:t xml:space="preserve"> </w:t>
      </w:r>
      <w:r>
        <w:rPr>
          <w:b/>
          <w:bCs/>
        </w:rPr>
        <w:t xml:space="preserve">~61% over the past year</w:t>
      </w:r>
      <w:r>
        <w:t xml:space="preserve"> </w:t>
      </w:r>
      <w:r>
        <w:t xml:space="preserve">and</w:t>
      </w:r>
      <w:r>
        <w:t xml:space="preserve"> </w:t>
      </w:r>
      <w:r>
        <w:rPr>
          <w:b/>
          <w:bCs/>
        </w:rPr>
        <w:t xml:space="preserve">~21% YTD 2026</w:t>
      </w:r>
      <w:r>
        <w:t xml:space="preserve"> </w:t>
      </w:r>
      <w:r>
        <w:t xml:space="preserve">(my calc from price data), and Citigroup's stock price has reached its highest level since 2008, more than doubling since election day in 2024. Fraser has even won an unusual political tailwind: Fraser has secured a major political pivot, winning over President Donald Trump... Trump congratulated Jane Fraser and Citigroup on their big comeback.</w:t>
      </w:r>
    </w:p>
    <w:p>
      <w:pPr>
        <w:pStyle w:val="BodyText"/>
      </w:pPr>
      <w:r>
        <w:rPr>
          <w:b/>
          <w:bCs/>
        </w:rPr>
        <w:t xml:space="preserve">Skeptic case:</w:t>
      </w:r>
      <w:r>
        <w:t xml:space="preserve"> </w:t>
      </w:r>
      <w:r>
        <w:t xml:space="preserve">The valuation now bakes in a lot of good news, and the fundamental gap remains. The stock has experienced strong share price performance... However, Citigroup still lags behind peers in terms of scale, profitability and share price. Even the ambitious new targets leave Citi trailing peer returns, Q2 seasonality means a visible sequential decline, and the Middle East conflict / rate path add macro risk to the second-half banking pipeline.</w:t>
      </w:r>
    </w:p>
    <w:p>
      <w:r>
        <w:pict>
          <v:rect style="width:0;height:1.5pt" o:hralign="center" o:hrstd="t" o:hr="t"/>
        </w:pict>
      </w:r>
    </w:p>
    <w:bookmarkEnd w:id="15"/>
    <w:bookmarkStart w:id="16" w:name="bottom-line"/>
    <w:p>
      <w:pPr>
        <w:pStyle w:val="Heading2"/>
      </w:pPr>
      <w:r>
        <w:t xml:space="preserve">Bottom line</w:t>
      </w:r>
    </w:p>
    <w:p>
      <w:pPr>
        <w:pStyle w:val="FirstParagraph"/>
      </w:pPr>
      <w:r>
        <w:t xml:space="preserve">Numbers likely matter less this quarter than</w:t>
      </w:r>
      <w:r>
        <w:t xml:space="preserve"> </w:t>
      </w:r>
      <w:r>
        <w:rPr>
          <w:b/>
          <w:bCs/>
        </w:rPr>
        <w:t xml:space="preserve">tone against the new Investor Day framework.</w:t>
      </w:r>
      <w:r>
        <w:t xml:space="preserve"> </w:t>
      </w:r>
      <w:r>
        <w:t xml:space="preserve">The setup: consensus ~</w:t>
      </w:r>
      <m:oMath>
        <m:r>
          <m:t>2.72</m:t>
        </m:r>
        <m:r>
          <m:t>E</m:t>
        </m:r>
        <m:r>
          <m:t>P</m:t>
        </m:r>
        <m:r>
          <m:t>S</m:t>
        </m:r>
        <m:r>
          <m:t>o</m:t>
        </m:r>
        <m:r>
          <m:t>n</m:t>
        </m:r>
        <m:r>
          <m:t> </m:t>
        </m:r>
      </m:oMath>
      <w:r>
        <w:t xml:space="preserve">23.5B revenue, a seasonal step-down from Q1's blowout, and heavy execution momentum. The swing factors are (1) whether NII guidance gets raised now that the American Airlines portfolio has landed, (2) the pace of buybacks under the new $30B authorization, (3) credit behavior around the card book, and (4) any progress signal on the consent orders. With the stock near multi-decade highs and expectations elevated, the risk/reward hinges on management delivering another positive-operating-leverage quarter</w:t>
      </w:r>
      <w:r>
        <w:t xml:space="preserve"> </w:t>
      </w:r>
      <w:r>
        <w:rPr>
          <w:i/>
          <w:iCs/>
        </w:rPr>
        <w:t xml:space="preserve">and</w:t>
      </w:r>
      <w:r>
        <w:t xml:space="preserve"> </w:t>
      </w:r>
      <w:r>
        <w:t xml:space="preserve">sounding confident about closing the return gap to peers.</w:t>
      </w:r>
    </w:p>
    <w:p>
      <w:pPr>
        <w:pStyle w:val="BodyText"/>
      </w:pPr>
      <w:r>
        <w:rPr>
          <w:i/>
          <w:iCs/>
        </w:rPr>
        <w:t xml:space="preserve">Note: Prices and estimates reflect data available through July 13, 2026; actual results and forward guidance may differ.</w:t>
      </w:r>
    </w:p>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2026-07-14T01:26:59Z</dcterms:created>
  <dcterms:modified xsi:type="dcterms:W3CDTF">2026-07-14T01:26:59Z</dcterms:modified>
</cp:coreProperties>
</file>

<file path=docProps/custom.xml><?xml version="1.0" encoding="utf-8"?>
<Properties xmlns="http://schemas.openxmlformats.org/officeDocument/2006/custom-properties" xmlns:vt="http://schemas.openxmlformats.org/officeDocument/2006/docPropsVTypes"/>
</file>