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citigroup-c-q2-2026-earnings-preview"/>
    <w:p>
      <w:pPr>
        <w:pStyle w:val="Heading1"/>
      </w:pPr>
      <w:r>
        <w:t xml:space="preserve">Citigroup (C) Q2 2026 Earnings Preview</w:t>
      </w:r>
    </w:p>
    <w:p>
      <w:pPr>
        <w:pStyle w:val="FirstParagraph"/>
      </w:pPr>
      <w:r>
        <w:rPr>
          <w:b/>
          <w:bCs/>
        </w:rPr>
        <w:t xml:space="preserve">Reports: Tuesday, July 14, 2026, before market open | Conference call: 11:00 AM ET</w:t>
      </w:r>
    </w:p>
    <w:bookmarkStart w:id="9" w:name="setting-the-stage"/>
    <w:p>
      <w:pPr>
        <w:pStyle w:val="Heading2"/>
      </w:pPr>
      <w:r>
        <w:t xml:space="preserve">Setting the Stage</w:t>
      </w:r>
    </w:p>
    <w:p>
      <w:pPr>
        <w:pStyle w:val="FirstParagraph"/>
      </w:pPr>
      <w:r>
        <w:t xml:space="preserve">Citigroup heads into tomorrow's print riding significant momentum. The stock has more than doubled off its 2025 lows and recently touched levels last seen in 2008, trading around $140-145 in the past few weeks after a run from roughly $86 a year ago. Citigroup's stock price has reached its highest level since 2008, more than doubling since election day in 2024. The rally has been underpinned by an improving earnings trajectory, a friendlier political backdrop, and a newly aggressive set of return targets laid out at May's Investor Day.</w:t>
      </w:r>
    </w:p>
    <w:p>
      <w:pPr>
        <w:pStyle w:val="BodyText"/>
      </w:pPr>
      <w:r>
        <w:t xml:space="preserve">This earnings report marks the first since those targets were announced in May, so investors will be watching closely for early proof points that management's ambitious roadmap is tracking.</w:t>
      </w:r>
    </w:p>
    <w:bookmarkEnd w:id="9"/>
    <w:bookmarkStart w:id="10" w:name="wall-streets-expectations"/>
    <w:p>
      <w:pPr>
        <w:pStyle w:val="Heading2"/>
      </w:pPr>
      <w:r>
        <w:t xml:space="preserve">Wall Street's Expectations</w:t>
      </w:r>
    </w:p>
    <w:p>
      <w:pPr>
        <w:pStyle w:val="FirstParagraph"/>
      </w:pPr>
      <w:r>
        <w:t xml:space="preserve">Consensus estimates for Q2 2026, per the Street: EPS to increase by 28% to $2.72, with revenue of $23.5B. Net Interest Income (NII) is projected to rise 4.8% to $15.93B. Equities Trading is seen up 13.5% to $1.8B, FICC Trading up 2.1% to $4.48B, and IB fees up 15.2% to $1.21B.</w:t>
      </w:r>
    </w:p>
    <w:bookmarkEnd w:id="10"/>
    <w:bookmarkStart w:id="11" w:name="q1-2026-a-strong-launching-pad"/>
    <w:p>
      <w:pPr>
        <w:pStyle w:val="Heading2"/>
      </w:pPr>
      <w:r>
        <w:t xml:space="preserve">Q1 2026: A Strong Launching Pad</w:t>
      </w:r>
    </w:p>
    <w:p>
      <w:pPr>
        <w:pStyle w:val="FirstParagraph"/>
      </w:pPr>
      <w:r>
        <w:t xml:space="preserve">Citi's first quarter set a high bar. The company reported **net income of</w:t>
      </w:r>
      <w:r>
        <w:t xml:space="preserve"> </w:t>
      </w:r>
      <m:oMath>
        <m:r>
          <m:t>5.8</m:t>
        </m:r>
        <m:r>
          <m:t>b</m:t>
        </m:r>
        <m:r>
          <m:t>i</m:t>
        </m:r>
        <m:r>
          <m:t>l</m:t>
        </m:r>
        <m:r>
          <m:t>l</m:t>
        </m:r>
        <m:r>
          <m:t>i</m:t>
        </m:r>
        <m:r>
          <m:t>o</m:t>
        </m:r>
        <m:r>
          <m:t>n</m:t>
        </m:r>
        <m:r>
          <m:rPr>
            <m:sty m:val="p"/>
          </m:rPr>
          <m:t>*</m:t>
        </m:r>
        <m:r>
          <m:rPr>
            <m:sty m:val="p"/>
          </m:rPr>
          <m:t>*</m:t>
        </m:r>
        <m:r>
          <m:rPr>
            <m:sty m:val="p"/>
          </m:rPr>
          <m:t>(</m:t>
        </m:r>
      </m:oMath>
      <w:r>
        <w:t xml:space="preserve">3.06 EPS) on</w:t>
      </w:r>
      <w:r>
        <w:t xml:space="preserve"> </w:t>
      </w:r>
      <w:r>
        <w:rPr>
          <w:b/>
          <w:bCs/>
        </w:rPr>
        <w:t xml:space="preserve">$24.6 billion of revenue</w:t>
      </w:r>
      <w:r>
        <w:t xml:space="preserve">, up 14% year-over-year, with net income up 42% and RoTCE reaching 13.1% — well above the firm's 10-11% full-year target. Every one of Citi's five core businesses grew revenue, led by Markets crossing $7 billion for the first time in a decade and Services delivering its best first quarter in a decade with 17% revenue growth. The bank returned $7.4 billion to shareholders via buybacks and dividends, including a record $6.3 billion of repurchases, partly funded by a $4 billion capital release from completing its Russia exit.</w:t>
      </w:r>
    </w:p>
    <w:p>
      <w:pPr>
        <w:pStyle w:val="BodyText"/>
      </w:pPr>
      <w:r>
        <w:t xml:space="preserve">Management guided for full-year 2026: NII ex-Markets growth of 5-6%, an efficiency ratio around 60%, and a U.S. card NCL rate of 4-4.5%. On the Q1 call, CFO Gonzalo Luchetti confirmed the American Airlines-Barclays card portfolio addition is factored into guidance and that management remains comfortable with (not raising) the NII outlook despite Q1 coming in above the range.</w:t>
      </w:r>
    </w:p>
    <w:bookmarkEnd w:id="11"/>
    <w:bookmarkStart w:id="12" w:name="Xc87e34a81c9d4f494701016caa5604cc70825a6"/>
    <w:p>
      <w:pPr>
        <w:pStyle w:val="Heading2"/>
      </w:pPr>
      <w:r>
        <w:t xml:space="preserve">May Investor Day: New, More Ambitious Targets</w:t>
      </w:r>
    </w:p>
    <w:p>
      <w:pPr>
        <w:pStyle w:val="FirstParagraph"/>
      </w:pPr>
      <w:r>
        <w:t xml:space="preserve">The critical context for this quarter is Citi's May 2026 Investor Day, where CEO Jane Fraser laid out a two-phase path beyond the current 10-11% RoTCE target:</w:t>
      </w:r>
      <w:r>
        <w:t xml:space="preserve"> </w:t>
      </w:r>
      <w:r>
        <w:rPr>
          <w:b/>
          <w:bCs/>
        </w:rPr>
        <w:t xml:space="preserve">11-13% RoTCE for 2027 and 2028</w:t>
      </w:r>
      <w:r>
        <w:t xml:space="preserve"> </w:t>
      </w:r>
      <w:r>
        <w:t xml:space="preserve">(trending toward the high end by 2028), and a</w:t>
      </w:r>
      <w:r>
        <w:t xml:space="preserve"> </w:t>
      </w:r>
      <w:r>
        <w:rPr>
          <w:b/>
          <w:bCs/>
        </w:rPr>
        <w:t xml:space="preserve">medium-term target of 14-15% RoTCE</w:t>
      </w:r>
      <w:r>
        <w:t xml:space="preserve">. Fraser also announced Citi is 90% of Transformation programs are now at or near their target state, and the company unveiled a</w:t>
      </w:r>
      <w:r>
        <w:t xml:space="preserve"> </w:t>
      </w:r>
      <w:r>
        <w:rPr>
          <w:b/>
          <w:bCs/>
        </w:rPr>
        <w:t xml:space="preserve">new $30 billion share buyback authorization</w:t>
      </w:r>
      <w:r>
        <w:t xml:space="preserve">, following the near-completion of the prior $20 billion program.</w:t>
      </w:r>
    </w:p>
    <w:p>
      <w:pPr>
        <w:pStyle w:val="BodyText"/>
      </w:pPr>
      <w:r>
        <w:t xml:space="preserve">Segment-level targets set at the Investor Day give a framework for judging Q2 results:</w:t>
      </w:r>
    </w:p>
    <w:p>
      <w:pPr>
        <w:pStyle w:val="Compact"/>
        <w:numPr>
          <w:ilvl w:val="0"/>
          <w:numId w:val="1001"/>
        </w:numPr>
      </w:pPr>
      <w:r>
        <w:rPr>
          <w:b/>
          <w:bCs/>
        </w:rPr>
        <w:t xml:space="preserve">Services</w:t>
      </w:r>
      <w:r>
        <w:t xml:space="preserve">: mid-20s RoTCE through the cycle, low-to-mid single digit revenue CAGR</w:t>
      </w:r>
    </w:p>
    <w:p>
      <w:pPr>
        <w:pStyle w:val="Compact"/>
        <w:numPr>
          <w:ilvl w:val="0"/>
          <w:numId w:val="1001"/>
        </w:numPr>
      </w:pPr>
      <w:r>
        <w:rPr>
          <w:b/>
          <w:bCs/>
        </w:rPr>
        <w:t xml:space="preserve">Markets</w:t>
      </w:r>
      <w:r>
        <w:t xml:space="preserve">: 13%+ RoTCE over the medium term (11.6% in 2025, 18.7% in Q1'26)</w:t>
      </w:r>
    </w:p>
    <w:p>
      <w:pPr>
        <w:pStyle w:val="Compact"/>
        <w:numPr>
          <w:ilvl w:val="0"/>
          <w:numId w:val="1001"/>
        </w:numPr>
      </w:pPr>
      <w:r>
        <w:rPr>
          <w:b/>
          <w:bCs/>
        </w:rPr>
        <w:t xml:space="preserve">Banking</w:t>
      </w:r>
      <w:r>
        <w:t xml:space="preserve">: RoTCE moving from 10% toward mid-teens near-term, mid-to-high teens medium-term</w:t>
      </w:r>
    </w:p>
    <w:p>
      <w:pPr>
        <w:pStyle w:val="Compact"/>
        <w:numPr>
          <w:ilvl w:val="0"/>
          <w:numId w:val="1001"/>
        </w:numPr>
      </w:pPr>
      <w:r>
        <w:rPr>
          <w:b/>
          <w:bCs/>
        </w:rPr>
        <w:t xml:space="preserve">Wealth</w:t>
      </w:r>
      <w:r>
        <w:t xml:space="preserve">: 15-20% RoTCE near-term, above 20% medium-term (10.8% in Q1'26)</w:t>
      </w:r>
    </w:p>
    <w:p>
      <w:pPr>
        <w:pStyle w:val="Compact"/>
        <w:numPr>
          <w:ilvl w:val="0"/>
          <w:numId w:val="1001"/>
        </w:numPr>
      </w:pPr>
      <w:r>
        <w:rPr>
          <w:b/>
          <w:bCs/>
        </w:rPr>
        <w:t xml:space="preserve">U.S. Consumer Cards</w:t>
      </w:r>
      <w:r>
        <w:t xml:space="preserve">: sustained low-20s RoTCE with mid-single-digit loan/revenue growth</w:t>
      </w:r>
    </w:p>
    <w:p>
      <w:pPr>
        <w:pStyle w:val="FirstParagraph"/>
      </w:pPr>
      <w:r>
        <w:t xml:space="preserve">CFO Luchetti also flagged incremental drivers: an incremental</w:t>
      </w:r>
      <w:r>
        <w:t xml:space="preserve"> </w:t>
      </w:r>
      <w:r>
        <w:rPr>
          <w:b/>
          <w:bCs/>
        </w:rPr>
        <w:t xml:space="preserve">$5 billion of strategic investment</w:t>
      </w:r>
      <w:r>
        <w:t xml:space="preserve"> </w:t>
      </w:r>
      <w:r>
        <w:t xml:space="preserve">across businesses (largely self-funded), efficiency ratio improving from ~60% in 2026 toward 55-60% near-term and below 55% medium-term, and continued DTA burn-down (expected to reduce the disallowed DTA by more than $800 million in 2026) as a capital-productivity lever.</w:t>
      </w:r>
    </w:p>
    <w:bookmarkEnd w:id="12"/>
    <w:bookmarkStart w:id="13" w:name="key-themes-to-watch-in-the-print"/>
    <w:p>
      <w:pPr>
        <w:pStyle w:val="Heading2"/>
      </w:pPr>
      <w:r>
        <w:t xml:space="preserve">Key Themes to Watch in the Print</w:t>
      </w:r>
    </w:p>
    <w:p>
      <w:pPr>
        <w:pStyle w:val="FirstParagraph"/>
      </w:pPr>
      <w:r>
        <w:rPr>
          <w:b/>
          <w:bCs/>
        </w:rPr>
        <w:t xml:space="preserve">1. Markets and Investment Banking momentum.</w:t>
      </w:r>
      <w:r>
        <w:t xml:space="preserve"> </w:t>
      </w:r>
      <w:r>
        <w:t xml:space="preserve">Consensus calls for Equities trading up 13.5% and FICC up 2.1%, with IB fees up 15.2%. Citi's Q1 was boosted by record M&amp;A activity (advised on the three largest deals of the year: Paramount, McCormick, and EQT-AES) and equities revenue up 39%. Watch for continued advisory strength, ECM momentum, and whether elevated market volatility (tied to Middle East tensions and shifting Fed policy expectations) sustained trading revenue into Q2.</w:t>
      </w:r>
    </w:p>
    <w:p>
      <w:pPr>
        <w:pStyle w:val="BodyText"/>
      </w:pPr>
      <w:r>
        <w:rPr>
          <w:b/>
          <w:bCs/>
        </w:rPr>
        <w:t xml:space="preserve">2. Net interest income trajectory.</w:t>
      </w:r>
      <w:r>
        <w:t xml:space="preserve"> </w:t>
      </w:r>
      <w:r>
        <w:t xml:space="preserve">With NII ex-Markets guided at 5-6% growth for the year and consensus modeling $15.93B in total NII (up 4.8%), investors will assess whether deposit growth in Services and Wealth, and loan growth across segments, remain on pace.</w:t>
      </w:r>
    </w:p>
    <w:p>
      <w:pPr>
        <w:pStyle w:val="BodyText"/>
      </w:pPr>
      <w:r>
        <w:rPr>
          <w:b/>
          <w:bCs/>
        </w:rPr>
        <w:t xml:space="preserve">3. Credit quality and USCC.</w:t>
      </w:r>
      <w:r>
        <w:t xml:space="preserve"> </w:t>
      </w:r>
      <w:r>
        <w:t xml:space="preserve">Management guided full-year U.S. card NCL rate to 4-4.5%. The integration of the Barclays-American Airlines co-brand portfolio (which closed last quarter) adds volume; watch reserve builds tied to "increased uncertainty in the macroeconomic outlook" that were a recurring theme in Q1 commentary.</w:t>
      </w:r>
    </w:p>
    <w:p>
      <w:pPr>
        <w:pStyle w:val="BodyText"/>
      </w:pPr>
      <w:r>
        <w:rPr>
          <w:b/>
          <w:bCs/>
        </w:rPr>
        <w:t xml:space="preserve">4. Capital return and CET1.</w:t>
      </w:r>
      <w:r>
        <w:t xml:space="preserve"> </w:t>
      </w:r>
      <w:r>
        <w:t xml:space="preserve">Citi ended Q1 at a 12.7% CET1 ratio, guided to run around 12.6% for the balance of the year, with a 100bp management buffer above regulatory minimums. Investors will watch the pace of buybacks against the new $30 billion authorization, as well as any updated commentary on Basel III endgame/G-SIB reform, which Fraser has characterized as a "moderate net benefit" to Citi but still not fully reflective of the firm's reduced risk profile.</w:t>
      </w:r>
    </w:p>
    <w:p>
      <w:pPr>
        <w:pStyle w:val="BodyText"/>
      </w:pPr>
      <w:r>
        <w:rPr>
          <w:b/>
          <w:bCs/>
        </w:rPr>
        <w:t xml:space="preserve">5. Macro/geopolitical backdrop.</w:t>
      </w:r>
      <w:r>
        <w:t xml:space="preserve"> </w:t>
      </w:r>
      <w:r>
        <w:t xml:space="preserve">The operating environment has shifted somewhat since Q1. New Fed Chair Kevin Warsh's first major decision as Fed chair will involve whether to reverse the most recent 50 basis points of rate cuts amid persistent inflation pressures and healthy labor fundamentals, adding uncertainty to the rate path that directly affects Citi's NII outlook and trading conditions. Peer JPMorgan also reports Tuesday, with analysts expecting robust trading revenue (&gt;$10B, up ~15% YoY), suggesting a supportive capital-markets backdrop industry-wide.</w:t>
      </w:r>
    </w:p>
    <w:p>
      <w:pPr>
        <w:pStyle w:val="BodyText"/>
      </w:pPr>
      <w:r>
        <w:rPr>
          <w:b/>
          <w:bCs/>
        </w:rPr>
        <w:t xml:space="preserve">6. The political/reputational narrative.</w:t>
      </w:r>
      <w:r>
        <w:t xml:space="preserve"> </w:t>
      </w:r>
      <w:r>
        <w:t xml:space="preserve">Citigroup CEO Jane Fraser has secured a major political pivot, winning over President Donald Trump and charting a reputational comeback for the nation's third largest lender. Since Trump's return, Fraser swiftly rolled back diversity initiatives, lifted restrictions on dealing with firearms companies, and built respect from the White House. This narrative shift has coincided with the stock's outperformance but doesn't change the fundamental story — execution against the Investor Day targets is what matters now.</w:t>
      </w:r>
    </w:p>
    <w:bookmarkEnd w:id="13"/>
    <w:bookmarkStart w:id="14" w:name="the-overhang-consent-orders"/>
    <w:p>
      <w:pPr>
        <w:pStyle w:val="Heading2"/>
      </w:pPr>
      <w:r>
        <w:t xml:space="preserve">The Overhang: Consent Orders</w:t>
      </w:r>
    </w:p>
    <w:p>
      <w:pPr>
        <w:pStyle w:val="FirstParagraph"/>
      </w:pPr>
      <w:r>
        <w:t xml:space="preserve">Despite the operational turnaround, Citigroup still lags behind peers in terms of scale, profitability and share price. The bank remains under two consent orders from banking regulators related to a 2020 erroneous payment incident involving creditors of cosmetics group Revlon, which continues to weigh on its reputation and stock. On the Q1 call, Fraser noted the remaining transformation work is primarily related to regulatory reporting data, and that "completing the work is just the beginning of the end" — regulators, not Citi, control the timeline for consent order removal.</w:t>
      </w:r>
    </w:p>
    <w:bookmarkEnd w:id="14"/>
    <w:bookmarkStart w:id="15" w:name="bottom-line"/>
    <w:p>
      <w:pPr>
        <w:pStyle w:val="Heading2"/>
      </w:pPr>
      <w:r>
        <w:t xml:space="preserve">Bottom Line</w:t>
      </w:r>
    </w:p>
    <w:p>
      <w:pPr>
        <w:pStyle w:val="FirstParagraph"/>
      </w:pPr>
      <w:r>
        <w:t xml:space="preserve">Given the magnitude of Citi's re-rating over the past year — the stock is up roughly 60% since this time last year — expectations are high heading into this print. The bar isn't just "beat the quarter" but "show visible progress toward the 11-13% near-term RoTCE target" just introduced at Investor Day. Key swing factors: Markets/IB revenue durability after a blowout Q1, NII trajectory amid a shifting rate outlook, credit cost discipline in cards, and continued capital return via the new $30 billion buyback. Any signs of deceleration in Services (Citi's "crown jewel," which grew 17% in Q1) or a miss on the mid-single-digit fee growth targets across Banking and Wealth would likely draw scrutiny given how much good news is now priced into the stock.</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2026-07-14T01:49:31Z</dcterms:created>
  <dcterms:modified xsi:type="dcterms:W3CDTF">2026-07-14T01:49:31Z</dcterms:modified>
</cp:coreProperties>
</file>

<file path=docProps/custom.xml><?xml version="1.0" encoding="utf-8"?>
<Properties xmlns="http://schemas.openxmlformats.org/officeDocument/2006/custom-properties" xmlns:vt="http://schemas.openxmlformats.org/officeDocument/2006/docPropsVTypes"/>
</file>