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citigroup-c--2026q2-earnings-preview"/>
    <w:p>
      <w:pPr>
        <w:pStyle w:val="Heading1"/>
      </w:pPr>
      <w:r>
        <w:t xml:space="preserve">Citigroup (C) — 2026Q2 Earnings Preview</w:t>
      </w:r>
    </w:p>
    <w:p>
      <w:pPr>
        <w:pStyle w:val="FirstParagraph"/>
      </w:pPr>
      <w:r>
        <w:rPr>
          <w:b/>
          <w:bCs/>
        </w:rPr>
        <w:t xml:space="preserve">Report date:</w:t>
      </w:r>
      <w:r>
        <w:t xml:space="preserve"> </w:t>
      </w:r>
      <w:r>
        <w:t xml:space="preserve">Tuesday, July 14, 2026, at approximately 8:00 a.m. ET</w:t>
      </w:r>
      <w:r>
        <w:br/>
      </w:r>
      <w:r>
        <w:rPr>
          <w:b/>
          <w:bCs/>
        </w:rPr>
        <w:t xml:space="preserve">Conference call:</w:t>
      </w:r>
      <w:r>
        <w:t xml:space="preserve"> </w:t>
      </w:r>
      <w:r>
        <w:t xml:space="preserve">11:00 a.m. ET (</w:t>
      </w:r>
      <w:hyperlink r:id="rId9">
        <w:r>
          <w:rPr>
            <w:rStyle w:val="Hyperlink"/>
          </w:rPr>
          <w:t xml:space="preserve">citigroup.com</w:t>
        </w:r>
      </w:hyperlink>
      <w:r>
        <w:t xml:space="preserve">)</w:t>
      </w:r>
    </w:p>
    <w:bookmarkStart w:id="11" w:name="executive-view"/>
    <w:p>
      <w:pPr>
        <w:pStyle w:val="Heading2"/>
      </w:pPr>
      <w:r>
        <w:t xml:space="preserve">Executive view</w:t>
      </w:r>
    </w:p>
    <w:p>
      <w:pPr>
        <w:pStyle w:val="FirstParagraph"/>
      </w:pPr>
      <w:r>
        <w:t xml:space="preserve">Citigroup enters the quarter with considerably more momentum—and a much higher valuation—than it had a year ago. The first quarter featured unusually strong Markets revenue, 14% firmwide revenue growth and a 13.1% return on tangible common equity, while May’s Investor Day raised the longer-term return ambition.</w:t>
      </w:r>
    </w:p>
    <w:p>
      <w:pPr>
        <w:pStyle w:val="BodyText"/>
      </w:pPr>
      <w:r>
        <w:t xml:space="preserve">The key question tomorrow is therefore</w:t>
      </w:r>
      <w:r>
        <w:t xml:space="preserve"> </w:t>
      </w:r>
      <w:r>
        <w:rPr>
          <w:b/>
          <w:bCs/>
        </w:rPr>
        <w:t xml:space="preserve">not simply whether Citi beats the quarterly EPS estimate</w:t>
      </w:r>
      <w:r>
        <w:t xml:space="preserve">. Investors need evidence that:</w:t>
      </w:r>
    </w:p>
    <w:p>
      <w:pPr>
        <w:pStyle w:val="Compact"/>
        <w:numPr>
          <w:ilvl w:val="0"/>
          <w:numId w:val="1001"/>
        </w:numPr>
      </w:pPr>
      <w:r>
        <w:t xml:space="preserve">Revenue growth is broad enough to survive normalization in trading.</w:t>
      </w:r>
    </w:p>
    <w:p>
      <w:pPr>
        <w:pStyle w:val="Compact"/>
        <w:numPr>
          <w:ilvl w:val="0"/>
          <w:numId w:val="1001"/>
        </w:numPr>
      </w:pPr>
      <w:r>
        <w:t xml:space="preserve">Expenses remain controlled while Citi increases investment.</w:t>
      </w:r>
    </w:p>
    <w:p>
      <w:pPr>
        <w:pStyle w:val="Compact"/>
        <w:numPr>
          <w:ilvl w:val="0"/>
          <w:numId w:val="1001"/>
        </w:numPr>
      </w:pPr>
      <w:r>
        <w:t xml:space="preserve">Credit quality, especially in cards, remains benign.</w:t>
      </w:r>
    </w:p>
    <w:p>
      <w:pPr>
        <w:pStyle w:val="Compact"/>
        <w:numPr>
          <w:ilvl w:val="0"/>
          <w:numId w:val="1001"/>
        </w:numPr>
      </w:pPr>
      <w:r>
        <w:t xml:space="preserve">The 10%–11% 2026 RoTCE target is becoming conservative rather than merely achievable.</w:t>
      </w:r>
    </w:p>
    <w:p>
      <w:pPr>
        <w:pStyle w:val="Compact"/>
        <w:numPr>
          <w:ilvl w:val="0"/>
          <w:numId w:val="1001"/>
        </w:numPr>
      </w:pPr>
      <w:r>
        <w:t xml:space="preserve">The new 2027–2028 targets are supported by tangible quarterly progress.</w:t>
      </w:r>
    </w:p>
    <w:p>
      <w:pPr>
        <w:pStyle w:val="FirstParagraph"/>
      </w:pPr>
      <w:r>
        <w:t xml:space="preserve">With the stock around</w:t>
      </w:r>
      <w:r>
        <w:t xml:space="preserve"> </w:t>
      </w:r>
      <w:r>
        <w:rPr>
          <w:b/>
          <w:bCs/>
        </w:rPr>
        <w:t xml:space="preserve">$141</w:t>
      </w:r>
      <w:r>
        <w:t xml:space="preserve">, expectations have risen sharply. Citi now trades at approximately</w:t>
      </w:r>
      <w:r>
        <w:t xml:space="preserve"> </w:t>
      </w:r>
      <w:r>
        <w:rPr>
          <w:b/>
          <w:bCs/>
        </w:rPr>
        <w:t xml:space="preserve">1.4 times its first-quarter tangible book value of $99.01</w:t>
      </w:r>
      <w:r>
        <w:t xml:space="preserve">, meaning the old thesis of buying a deeply discounted balance sheet has evolved into an execution and earnings-growth story. (</w:t>
      </w:r>
      <w:hyperlink r:id="rId10">
        <w:r>
          <w:rPr>
            <w:rStyle w:val="Hyperlink"/>
          </w:rPr>
          <w:t xml:space="preserve">citigroup.com</w:t>
        </w:r>
      </w:hyperlink>
      <w:r>
        <w:t xml:space="preserve">)</w:t>
      </w:r>
    </w:p>
    <w:p>
      <w:r>
        <w:pict>
          <v:rect style="width:0;height:1.5pt" o:hralign="center" o:hrstd="t" o:hr="t"/>
        </w:pict>
      </w:r>
    </w:p>
    <w:bookmarkEnd w:id="11"/>
    <w:bookmarkStart w:id="13" w:name="consensus-snapshot"/>
    <w:p>
      <w:pPr>
        <w:pStyle w:val="Heading2"/>
      </w:pPr>
      <w:r>
        <w:t xml:space="preserve">Consensus snapshot</w:t>
      </w:r>
    </w:p>
    <w:p>
      <w:pPr>
        <w:pStyle w:val="FirstParagraph"/>
      </w:pPr>
      <w:r>
        <w:t xml:space="preserve">Published estimates cluster around: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2026Q2 consensus</w:t>
            </w:r>
          </w:p>
        </w:tc>
        <w:tc>
          <w:tcPr/>
          <w:p>
            <w:pPr>
              <w:pStyle w:val="Compact"/>
              <w:jc w:val="right"/>
            </w:pPr>
            <w:r>
              <w:t xml:space="preserve">2025Q2 actual</w:t>
            </w:r>
          </w:p>
        </w:tc>
        <w:tc>
          <w:tcPr/>
          <w:p>
            <w:pPr>
              <w:pStyle w:val="Compact"/>
              <w:jc w:val="right"/>
            </w:pPr>
            <w:r>
              <w:t xml:space="preserve">Approx. change</w:t>
            </w:r>
          </w:p>
        </w:tc>
      </w:tr>
      <w:tr>
        <w:tc>
          <w:tcPr/>
          <w:p>
            <w:pPr>
              <w:pStyle w:val="Compact"/>
            </w:pPr>
            <w:r>
              <w:t xml:space="preserve">EPS</w:t>
            </w:r>
          </w:p>
        </w:tc>
        <w:tc>
          <w:tcPr/>
          <w:p>
            <w:pPr>
              <w:pStyle w:val="Compact"/>
              <w:jc w:val="right"/>
            </w:pPr>
            <w:r>
              <w:rPr>
                <w:b/>
                <w:bCs/>
              </w:rPr>
              <w:t xml:space="preserve">$2.72</w:t>
            </w:r>
          </w:p>
        </w:tc>
        <w:tc>
          <w:tcPr/>
          <w:p>
            <w:pPr>
              <w:pStyle w:val="Compact"/>
              <w:jc w:val="right"/>
            </w:pPr>
            <w:r>
              <w:t xml:space="preserve">$1.96</w:t>
            </w:r>
          </w:p>
        </w:tc>
        <w:tc>
          <w:tcPr/>
          <w:p>
            <w:pPr>
              <w:pStyle w:val="Compact"/>
              <w:jc w:val="right"/>
            </w:pPr>
            <w:r>
              <w:t xml:space="preserve">+39%</w:t>
            </w:r>
          </w:p>
        </w:tc>
      </w:tr>
      <w:tr>
        <w:tc>
          <w:tcPr/>
          <w:p>
            <w:pPr>
              <w:pStyle w:val="Compact"/>
            </w:pPr>
            <w:r>
              <w:t xml:space="preserve">Revenue</w:t>
            </w:r>
          </w:p>
        </w:tc>
        <w:tc>
          <w:tcPr/>
          <w:p>
            <w:pPr>
              <w:pStyle w:val="Compact"/>
              <w:jc w:val="right"/>
            </w:pPr>
            <m:oMath>
              <m:r>
                <m:t>23.5</m:t>
              </m:r>
              <m:r>
                <m:t>B</m:t>
              </m:r>
              <m:r>
                <m:rPr>
                  <m:sty m:val="p"/>
                </m:rPr>
                <m:t>–</m:t>
              </m:r>
            </m:oMath>
            <w:r>
              <w:rPr>
                <w:b/>
                <w:bCs/>
              </w:rPr>
              <w:t xml:space="preserve">23.7B</w:t>
            </w:r>
          </w:p>
        </w:tc>
        <w:tc>
          <w:tcPr/>
          <w:p>
            <w:pPr>
              <w:pStyle w:val="Compact"/>
              <w:jc w:val="right"/>
            </w:pPr>
            <w:r>
              <w:t xml:space="preserve">$21.7B</w:t>
            </w:r>
          </w:p>
        </w:tc>
        <w:tc>
          <w:tcPr/>
          <w:p>
            <w:pPr>
              <w:pStyle w:val="Compact"/>
              <w:jc w:val="right"/>
            </w:pPr>
            <w:r>
              <w:t xml:space="preserve">+8%–9%</w:t>
            </w:r>
          </w:p>
        </w:tc>
      </w:tr>
    </w:tbl>
    <w:p>
      <w:pPr>
        <w:pStyle w:val="BodyText"/>
      </w:pPr>
      <w:r>
        <w:t xml:space="preserve">Consensus sources agree on approximately $2.72 of EPS, although revenue estimates vary modestly by provider. (</w:t>
      </w:r>
      <w:hyperlink r:id="rId12">
        <w:r>
          <w:rPr>
            <w:rStyle w:val="Hyperlink"/>
          </w:rPr>
          <w:t xml:space="preserve">marketbeat.com</w:t>
        </w:r>
      </w:hyperlink>
      <w:r>
        <w:t xml:space="preserve">)</w:t>
      </w:r>
    </w:p>
    <w:p>
      <w:pPr>
        <w:pStyle w:val="BodyText"/>
      </w:pPr>
      <w:r>
        <w:t xml:space="preserve">A headline beat would be welcome, but the quality of the beat will matter. An EPS upside driven by a low tax rate, reserve releases or episodic marks would likely receive less credit than upside from Services fees, net interest income, investment banking and operating leverage.</w:t>
      </w:r>
    </w:p>
    <w:p>
      <w:r>
        <w:pict>
          <v:rect style="width:0;height:1.5pt" o:hralign="center" o:hrstd="t" o:hr="t"/>
        </w:pict>
      </w:r>
    </w:p>
    <w:bookmarkEnd w:id="13"/>
    <w:bookmarkStart w:id="24" w:name="the-five-things-that-matter-most"/>
    <w:p>
      <w:pPr>
        <w:pStyle w:val="Heading2"/>
      </w:pPr>
      <w:r>
        <w:t xml:space="preserve">The five things that matter most</w:t>
      </w:r>
    </w:p>
    <w:bookmarkStart w:id="16" w:name="X3d1b8f589be81822778620c0605de621874c6de"/>
    <w:p>
      <w:pPr>
        <w:pStyle w:val="Heading3"/>
      </w:pPr>
      <w:r>
        <w:t xml:space="preserve">1. Can Markets normalize without undermining the earnings story?</w:t>
      </w:r>
    </w:p>
    <w:p>
      <w:pPr>
        <w:pStyle w:val="FirstParagraph"/>
      </w:pPr>
      <w:r>
        <w:t xml:space="preserve">Markets generated</w:t>
      </w:r>
      <w:r>
        <w:t xml:space="preserve"> </w:t>
      </w:r>
      <w:r>
        <w:rPr>
          <w:b/>
          <w:bCs/>
        </w:rPr>
        <w:t xml:space="preserve">$7.25 billion</w:t>
      </w:r>
      <w:r>
        <w:t xml:space="preserve"> </w:t>
      </w:r>
      <w:r>
        <w:t xml:space="preserve">of revenue in the first quarter, the best quarter in more than a decade. Fixed income rose 13% and equities rose 39%, with equities exceeding $2 billion and prime balances growing more than 50%. That performance is not an appropriate quarterly run rate, and management explicitly cautioned against annualizing the seasonally strong first quarter. (</w:t>
      </w:r>
      <w:hyperlink r:id="rId14">
        <w:r>
          <w:rPr>
            <w:rStyle w:val="Hyperlink"/>
          </w:rPr>
          <w:t xml:space="preserve">citigroup.com</w:t>
        </w:r>
      </w:hyperlink>
      <w:r>
        <w:t xml:space="preserve">)</w:t>
      </w:r>
    </w:p>
    <w:p>
      <w:pPr>
        <w:pStyle w:val="BodyText"/>
      </w:pPr>
      <w:r>
        <w:t xml:space="preserve">A sequential decline is therefore expected. The more important tests are:</w:t>
      </w:r>
    </w:p>
    <w:p>
      <w:pPr>
        <w:pStyle w:val="Compact"/>
        <w:numPr>
          <w:ilvl w:val="0"/>
          <w:numId w:val="1002"/>
        </w:numPr>
      </w:pPr>
      <w:r>
        <w:t xml:space="preserve">Whether equities continues taking share through prime brokerage and derivatives.</w:t>
      </w:r>
    </w:p>
    <w:p>
      <w:pPr>
        <w:pStyle w:val="Compact"/>
        <w:numPr>
          <w:ilvl w:val="0"/>
          <w:numId w:val="1002"/>
        </w:numPr>
      </w:pPr>
      <w:r>
        <w:t xml:space="preserve">Whether fixed income holds up amid volatile rates, currencies and commodities.</w:t>
      </w:r>
    </w:p>
    <w:p>
      <w:pPr>
        <w:pStyle w:val="Compact"/>
        <w:numPr>
          <w:ilvl w:val="0"/>
          <w:numId w:val="1002"/>
        </w:numPr>
      </w:pPr>
      <w:r>
        <w:t xml:space="preserve">Whether Markets produces positive operating leverage despite ongoing platform investment.</w:t>
      </w:r>
    </w:p>
    <w:p>
      <w:pPr>
        <w:pStyle w:val="Compact"/>
        <w:numPr>
          <w:ilvl w:val="0"/>
          <w:numId w:val="1002"/>
        </w:numPr>
      </w:pPr>
      <w:r>
        <w:t xml:space="preserve">Whether management maintains confidence in the Investor Day target of</w:t>
      </w:r>
      <w:r>
        <w:t xml:space="preserve"> </w:t>
      </w:r>
      <w:r>
        <w:rPr>
          <w:b/>
          <w:bCs/>
        </w:rPr>
        <w:t xml:space="preserve">13%+ medium-term Markets RoTCE</w:t>
      </w:r>
      <w:r>
        <w:t xml:space="preserve">.</w:t>
      </w:r>
    </w:p>
    <w:p>
      <w:pPr>
        <w:pStyle w:val="FirstParagraph"/>
      </w:pPr>
      <w:r>
        <w:t xml:space="preserve">The bullish outcome is not another $7 billion quarter; it is evidence that Citi’s Markets franchise can produce steadier, capital-efficient earnings at a structurally higher level than in the past. Citi says prime balances more than doubled between 2022 and 2025, with more than half of the increase coming from new client balances rather than market appreciation. (</w:t>
      </w:r>
      <w:hyperlink r:id="rId15">
        <w:r>
          <w:rPr>
            <w:rStyle w:val="Hyperlink"/>
          </w:rPr>
          <w:t xml:space="preserve">citigroup.com</w:t>
        </w:r>
      </w:hyperlink>
      <w:r>
        <w:t xml:space="preserve">)</w:t>
      </w:r>
    </w:p>
    <w:bookmarkEnd w:id="16"/>
    <w:bookmarkStart w:id="18" w:name="Xc01c730a248cf8cea69c3be2e769432d7feb319"/>
    <w:p>
      <w:pPr>
        <w:pStyle w:val="Heading3"/>
      </w:pPr>
      <w:r>
        <w:t xml:space="preserve">2. Services must remain the anchor</w:t>
      </w:r>
    </w:p>
    <w:p>
      <w:pPr>
        <w:pStyle w:val="FirstParagraph"/>
      </w:pPr>
      <w:r>
        <w:t xml:space="preserve">Services is Citi’s highest-quality business and the central support for the valuation rerating. First-quarter revenue rose 17%, with fee revenue up 14%, average deposits up 16% and assets under custody and administration up 21%. The segment generated a 27% RoTCE. (</w:t>
      </w:r>
      <w:hyperlink r:id="rId17">
        <w:r>
          <w:rPr>
            <w:rStyle w:val="Hyperlink"/>
          </w:rPr>
          <w:t xml:space="preserve">tipranks.com</w:t>
        </w:r>
      </w:hyperlink>
      <w:r>
        <w:t xml:space="preserve">)</w:t>
      </w:r>
    </w:p>
    <w:p>
      <w:pPr>
        <w:pStyle w:val="BodyText"/>
      </w:pPr>
      <w:r>
        <w:t xml:space="preserve">Investors should focus on:</w:t>
      </w:r>
    </w:p>
    <w:p>
      <w:pPr>
        <w:pStyle w:val="Compact"/>
        <w:numPr>
          <w:ilvl w:val="0"/>
          <w:numId w:val="1003"/>
        </w:numPr>
      </w:pPr>
      <w:r>
        <w:t xml:space="preserve">Deposit growth and deposit spreads.</w:t>
      </w:r>
    </w:p>
    <w:p>
      <w:pPr>
        <w:pStyle w:val="Compact"/>
        <w:numPr>
          <w:ilvl w:val="0"/>
          <w:numId w:val="1003"/>
        </w:numPr>
      </w:pPr>
      <w:r>
        <w:t xml:space="preserve">Cross-border transaction values.</w:t>
      </w:r>
    </w:p>
    <w:p>
      <w:pPr>
        <w:pStyle w:val="Compact"/>
        <w:numPr>
          <w:ilvl w:val="0"/>
          <w:numId w:val="1003"/>
        </w:numPr>
      </w:pPr>
      <w:r>
        <w:t xml:space="preserve">Securities Services fee growth.</w:t>
      </w:r>
    </w:p>
    <w:p>
      <w:pPr>
        <w:pStyle w:val="Compact"/>
        <w:numPr>
          <w:ilvl w:val="0"/>
          <w:numId w:val="1003"/>
        </w:numPr>
      </w:pPr>
      <w:r>
        <w:t xml:space="preserve">Assets under custody and administration.</w:t>
      </w:r>
    </w:p>
    <w:p>
      <w:pPr>
        <w:pStyle w:val="Compact"/>
        <w:numPr>
          <w:ilvl w:val="0"/>
          <w:numId w:val="1003"/>
        </w:numPr>
      </w:pPr>
      <w:r>
        <w:t xml:space="preserve">The mix between net interest income and recurring fees.</w:t>
      </w:r>
    </w:p>
    <w:p>
      <w:pPr>
        <w:pStyle w:val="Compact"/>
        <w:numPr>
          <w:ilvl w:val="0"/>
          <w:numId w:val="1003"/>
        </w:numPr>
      </w:pPr>
      <w:r>
        <w:t xml:space="preserve">Whether revenue growth remains comfortably above the low-to-mid-single-digit near-term target introduced at Investor Day.</w:t>
      </w:r>
    </w:p>
    <w:p>
      <w:pPr>
        <w:pStyle w:val="FirstParagraph"/>
      </w:pPr>
      <w:r>
        <w:t xml:space="preserve">The recent expansion of Citi’s instant cross-border payment capabilities reinforces the strategic argument, but tomorrow’s numbers need to show that technology and network investments are translating into durable fees and wallet share—not merely product announcements.</w:t>
      </w:r>
    </w:p>
    <w:bookmarkEnd w:id="18"/>
    <w:bookmarkStart w:id="20" w:name="X32a9831cccd8906a35b9192781578e0f0a22ddf"/>
    <w:p>
      <w:pPr>
        <w:pStyle w:val="Heading3"/>
      </w:pPr>
      <w:r>
        <w:t xml:space="preserve">3. Expense discipline and the 60% efficiency target</w:t>
      </w:r>
    </w:p>
    <w:p>
      <w:pPr>
        <w:pStyle w:val="FirstParagraph"/>
      </w:pPr>
      <w:r>
        <w:t xml:space="preserve">Citi’s first-quarter efficiency ratio was</w:t>
      </w:r>
      <w:r>
        <w:t xml:space="preserve"> </w:t>
      </w:r>
      <w:r>
        <w:rPr>
          <w:b/>
          <w:bCs/>
        </w:rPr>
        <w:t xml:space="preserve">58.1%</w:t>
      </w:r>
      <w:r>
        <w:t xml:space="preserve">, but management maintained its full-year target of approximately</w:t>
      </w:r>
      <w:r>
        <w:t xml:space="preserve"> </w:t>
      </w:r>
      <w:r>
        <w:rPr>
          <w:b/>
          <w:bCs/>
        </w:rPr>
        <w:t xml:space="preserve">60%</w:t>
      </w:r>
      <w:r>
        <w:t xml:space="preserve">, citing normal seasonality, lower Markets revenue after the first quarter and continued business investment.</w:t>
      </w:r>
    </w:p>
    <w:p>
      <w:pPr>
        <w:pStyle w:val="BodyText"/>
      </w:pPr>
      <w:r>
        <w:t xml:space="preserve">The expense discussion may be the most important part of the call. Citi is simultaneously:</w:t>
      </w:r>
    </w:p>
    <w:p>
      <w:pPr>
        <w:pStyle w:val="Compact"/>
        <w:numPr>
          <w:ilvl w:val="0"/>
          <w:numId w:val="1004"/>
        </w:numPr>
      </w:pPr>
      <w:r>
        <w:t xml:space="preserve">Reducing transformation and stranded costs.</w:t>
      </w:r>
    </w:p>
    <w:p>
      <w:pPr>
        <w:pStyle w:val="Compact"/>
        <w:numPr>
          <w:ilvl w:val="0"/>
          <w:numId w:val="1004"/>
        </w:numPr>
      </w:pPr>
      <w:r>
        <w:t xml:space="preserve">Investing in Banking and Wealth personnel.</w:t>
      </w:r>
    </w:p>
    <w:p>
      <w:pPr>
        <w:pStyle w:val="Compact"/>
        <w:numPr>
          <w:ilvl w:val="0"/>
          <w:numId w:val="1004"/>
        </w:numPr>
      </w:pPr>
      <w:r>
        <w:t xml:space="preserve">Expanding card marketing.</w:t>
      </w:r>
    </w:p>
    <w:p>
      <w:pPr>
        <w:pStyle w:val="Compact"/>
        <w:numPr>
          <w:ilvl w:val="0"/>
          <w:numId w:val="1004"/>
        </w:numPr>
      </w:pPr>
      <w:r>
        <w:t xml:space="preserve">Funding technology, AI and Markets platforms.</w:t>
      </w:r>
    </w:p>
    <w:p>
      <w:pPr>
        <w:pStyle w:val="Compact"/>
        <w:numPr>
          <w:ilvl w:val="0"/>
          <w:numId w:val="1004"/>
        </w:numPr>
      </w:pPr>
      <w:r>
        <w:t xml:space="preserve">Working toward an eventual efficiency ratio below 55%.</w:t>
      </w:r>
    </w:p>
    <w:p>
      <w:pPr>
        <w:pStyle w:val="FirstParagraph"/>
      </w:pPr>
      <w:r>
        <w:t xml:space="preserve">At Investor Day, management said stranded costs should decline from approximately $1.3 billion in 2025 to nearly zero by 2028, while transformation spending in Corporate/Other should roll off as programs reach completion. Citi nevertheless plans roughly $5 billion of incremental strategic investment over the near term, largely funded through structural savings. (</w:t>
      </w:r>
      <w:hyperlink r:id="rId19">
        <w:r>
          <w:rPr>
            <w:rStyle w:val="Hyperlink"/>
          </w:rPr>
          <w:t xml:space="preserve">citigroup.com</w:t>
        </w:r>
      </w:hyperlink>
      <w:r>
        <w:t xml:space="preserve">)</w:t>
      </w:r>
    </w:p>
    <w:p>
      <w:pPr>
        <w:pStyle w:val="BodyText"/>
      </w:pPr>
      <w:r>
        <w:t xml:space="preserve">A good quarter would combine revenue growth with contained expenses and declining Corporate/Other drag. A beat accompanied by materially higher core expenses would be less convincing.</w:t>
      </w:r>
    </w:p>
    <w:bookmarkEnd w:id="20"/>
    <w:bookmarkStart w:id="21" w:name="Xfc4916e3ac5618fd2ac8b107bf5ff58d0eb95fc"/>
    <w:p>
      <w:pPr>
        <w:pStyle w:val="Heading3"/>
      </w:pPr>
      <w:r>
        <w:t xml:space="preserve">4. Cards, credit costs and the American Airlines portfolio</w:t>
      </w:r>
    </w:p>
    <w:p>
      <w:pPr>
        <w:pStyle w:val="FirstParagraph"/>
      </w:pPr>
      <w:r>
        <w:t xml:space="preserve">First-quarter U.S. Consumer Cards revenue rose 4%, while net credit losses declined 11%. Management lowered its 2026 U.S. card net-credit-loss-rate expectation to</w:t>
      </w:r>
      <w:r>
        <w:t xml:space="preserve"> </w:t>
      </w:r>
      <w:r>
        <w:rPr>
          <w:b/>
          <w:bCs/>
        </w:rPr>
        <w:t xml:space="preserve">4%–4.5%</w:t>
      </w:r>
      <w:r>
        <w:t xml:space="preserve"> </w:t>
      </w:r>
      <w:r>
        <w:t xml:space="preserve">and said the acquired Barclays American Airlines portfolio was incorporated into its outlook. The portfolio was converted during the second quarter, making this report an important first look at its balance-sheet and reserve effects. (</w:t>
      </w:r>
      <w:hyperlink r:id="rId17">
        <w:r>
          <w:rPr>
            <w:rStyle w:val="Hyperlink"/>
          </w:rPr>
          <w:t xml:space="preserve">tipranks.com</w:t>
        </w:r>
      </w:hyperlink>
      <w:r>
        <w:t xml:space="preserve">)</w:t>
      </w:r>
    </w:p>
    <w:p>
      <w:pPr>
        <w:pStyle w:val="BodyText"/>
      </w:pPr>
      <w:r>
        <w:t xml:space="preserve">Watch for:</w:t>
      </w:r>
    </w:p>
    <w:p>
      <w:pPr>
        <w:pStyle w:val="Compact"/>
        <w:numPr>
          <w:ilvl w:val="0"/>
          <w:numId w:val="1005"/>
        </w:numPr>
      </w:pPr>
      <w:r>
        <w:t xml:space="preserve">Card loan and spending growth.</w:t>
      </w:r>
    </w:p>
    <w:p>
      <w:pPr>
        <w:pStyle w:val="Compact"/>
        <w:numPr>
          <w:ilvl w:val="0"/>
          <w:numId w:val="1005"/>
        </w:numPr>
      </w:pPr>
      <w:r>
        <w:t xml:space="preserve">General-purpose versus private-label performance.</w:t>
      </w:r>
    </w:p>
    <w:p>
      <w:pPr>
        <w:pStyle w:val="Compact"/>
        <w:numPr>
          <w:ilvl w:val="0"/>
          <w:numId w:val="1005"/>
        </w:numPr>
      </w:pPr>
      <w:r>
        <w:t xml:space="preserve">The net credit loss rate.</w:t>
      </w:r>
    </w:p>
    <w:p>
      <w:pPr>
        <w:pStyle w:val="Compact"/>
        <w:numPr>
          <w:ilvl w:val="0"/>
          <w:numId w:val="1005"/>
        </w:numPr>
      </w:pPr>
      <w:r>
        <w:t xml:space="preserve">Delinquencies and reserve coverage.</w:t>
      </w:r>
    </w:p>
    <w:p>
      <w:pPr>
        <w:pStyle w:val="Compact"/>
        <w:numPr>
          <w:ilvl w:val="0"/>
          <w:numId w:val="1005"/>
        </w:numPr>
      </w:pPr>
      <w:r>
        <w:t xml:space="preserve">Acquisition and rewards costs associated with American Airlines.</w:t>
      </w:r>
    </w:p>
    <w:p>
      <w:pPr>
        <w:pStyle w:val="Compact"/>
        <w:numPr>
          <w:ilvl w:val="0"/>
          <w:numId w:val="1005"/>
        </w:numPr>
      </w:pPr>
      <w:r>
        <w:t xml:space="preserve">Any change in the consumer outlook following higher energy prices and persistent inflation.</w:t>
      </w:r>
    </w:p>
    <w:p>
      <w:pPr>
        <w:pStyle w:val="FirstParagraph"/>
      </w:pPr>
      <w:r>
        <w:t xml:space="preserve">The first quarter included a $350 million card reserve build, partly related to the American Airlines commitment and macroeconomic uncertainty. Investors should distinguish between portfolio-acquisition accounting and genuine deterioration in underlying borrowers.</w:t>
      </w:r>
    </w:p>
    <w:p>
      <w:pPr>
        <w:pStyle w:val="BodyText"/>
      </w:pPr>
      <w:r>
        <w:t xml:space="preserve">Corporate credit also bears watching: first-quarter corporate non-accrual loans rose year over year because of several idiosyncratic downgrades, although Citi’s wholesale exposure remains predominantly investment grade.</w:t>
      </w:r>
    </w:p>
    <w:bookmarkEnd w:id="21"/>
    <w:bookmarkStart w:id="23" w:name="X04347a170b38e2ca1e60b7f7f34ff37474ac070"/>
    <w:p>
      <w:pPr>
        <w:pStyle w:val="Heading3"/>
      </w:pPr>
      <w:r>
        <w:t xml:space="preserve">5. Guidance, capital and tangible book value</w:t>
      </w:r>
    </w:p>
    <w:p>
      <w:pPr>
        <w:pStyle w:val="FirstParagraph"/>
      </w:pPr>
      <w:r>
        <w:t xml:space="preserve">Management entered the quarter with the following 2026 objectives:</w:t>
      </w:r>
    </w:p>
    <w:p>
      <w:pPr>
        <w:pStyle w:val="Compact"/>
        <w:numPr>
          <w:ilvl w:val="0"/>
          <w:numId w:val="1006"/>
        </w:numPr>
      </w:pPr>
      <w:r>
        <w:rPr>
          <w:b/>
          <w:bCs/>
        </w:rPr>
        <w:t xml:space="preserve">10%–11% RoTCE</w:t>
      </w:r>
    </w:p>
    <w:p>
      <w:pPr>
        <w:pStyle w:val="Compact"/>
        <w:numPr>
          <w:ilvl w:val="0"/>
          <w:numId w:val="1006"/>
        </w:numPr>
      </w:pPr>
      <w:r>
        <w:rPr>
          <w:b/>
          <w:bCs/>
        </w:rPr>
        <w:t xml:space="preserve">5%–6% growth in net interest income excluding Markets</w:t>
      </w:r>
    </w:p>
    <w:p>
      <w:pPr>
        <w:pStyle w:val="Compact"/>
        <w:numPr>
          <w:ilvl w:val="0"/>
          <w:numId w:val="1006"/>
        </w:numPr>
      </w:pPr>
      <w:r>
        <w:t xml:space="preserve">Growth in noninterest revenue excluding Markets, led by Services, Banking and Wealth</w:t>
      </w:r>
    </w:p>
    <w:p>
      <w:pPr>
        <w:pStyle w:val="Compact"/>
        <w:numPr>
          <w:ilvl w:val="0"/>
          <w:numId w:val="1006"/>
        </w:numPr>
      </w:pPr>
      <w:r>
        <w:t xml:space="preserve">An efficiency ratio of approximately</w:t>
      </w:r>
      <w:r>
        <w:t xml:space="preserve"> </w:t>
      </w:r>
      <w:r>
        <w:rPr>
          <w:b/>
          <w:bCs/>
        </w:rPr>
        <w:t xml:space="preserve">60%</w:t>
      </w:r>
    </w:p>
    <w:p>
      <w:pPr>
        <w:pStyle w:val="Compact"/>
        <w:numPr>
          <w:ilvl w:val="0"/>
          <w:numId w:val="1006"/>
        </w:numPr>
      </w:pPr>
      <w:r>
        <w:t xml:space="preserve">CET1 near its target level, previously indicated around 12.6%</w:t>
      </w:r>
    </w:p>
    <w:p>
      <w:pPr>
        <w:pStyle w:val="FirstParagraph"/>
      </w:pPr>
      <w:r>
        <w:t xml:space="preserve">At May’s Investor Day, Citi added targets of</w:t>
      </w:r>
      <w:r>
        <w:t xml:space="preserve"> </w:t>
      </w:r>
      <w:r>
        <w:rPr>
          <w:b/>
          <w:bCs/>
        </w:rPr>
        <w:t xml:space="preserve">11%–13% RoTCE in both 2027 and 2028</w:t>
      </w:r>
      <w:r>
        <w:t xml:space="preserve">, with movement toward the high end in 2028, and a medium-term goal of</w:t>
      </w:r>
      <w:r>
        <w:t xml:space="preserve"> </w:t>
      </w:r>
      <w:r>
        <w:rPr>
          <w:b/>
          <w:bCs/>
        </w:rPr>
        <w:t xml:space="preserve">14%–15%</w:t>
      </w:r>
      <w:r>
        <w:t xml:space="preserve">. The longer-term plan relies on mid-single-digit revenue growth, lower transformation and stranded costs, greater DTA utilization and improved returns in Markets, Banking and Wealth. (</w:t>
      </w:r>
      <w:hyperlink r:id="rId22">
        <w:r>
          <w:rPr>
            <w:rStyle w:val="Hyperlink"/>
          </w:rPr>
          <w:t xml:space="preserve">citigroup.com</w:t>
        </w:r>
      </w:hyperlink>
      <w:r>
        <w:t xml:space="preserve">)</w:t>
      </w:r>
    </w:p>
    <w:p>
      <w:pPr>
        <w:pStyle w:val="BodyText"/>
      </w:pPr>
      <w:r>
        <w:t xml:space="preserve">Management also announced a new</w:t>
      </w:r>
      <w:r>
        <w:t xml:space="preserve"> </w:t>
      </w:r>
      <w:r>
        <w:rPr>
          <w:b/>
          <w:bCs/>
        </w:rPr>
        <w:t xml:space="preserve">$30 billion repurchase authorization</w:t>
      </w:r>
      <w:r>
        <w:t xml:space="preserve"> </w:t>
      </w:r>
      <w:r>
        <w:t xml:space="preserve">after nearly completing the prior $20 billion program. But buybacks now occur above tangible book value: unlike the repurchases made when Citi traded at a discount, current repurchases can reduce tangible book value per share even while supporting EPS.</w:t>
      </w:r>
    </w:p>
    <w:p>
      <w:pPr>
        <w:pStyle w:val="BodyText"/>
      </w:pPr>
      <w:r>
        <w:t xml:space="preserve">Tomorrow’s capital questions should include:</w:t>
      </w:r>
    </w:p>
    <w:p>
      <w:pPr>
        <w:pStyle w:val="Compact"/>
        <w:numPr>
          <w:ilvl w:val="0"/>
          <w:numId w:val="1007"/>
        </w:numPr>
      </w:pPr>
      <w:r>
        <w:t xml:space="preserve">The pace of buybacks at the current valuation.</w:t>
      </w:r>
    </w:p>
    <w:p>
      <w:pPr>
        <w:pStyle w:val="Compact"/>
        <w:numPr>
          <w:ilvl w:val="0"/>
          <w:numId w:val="1007"/>
        </w:numPr>
      </w:pPr>
      <w:r>
        <w:t xml:space="preserve">CET1 following second-quarter risk-weighted-asset growth.</w:t>
      </w:r>
    </w:p>
    <w:p>
      <w:pPr>
        <w:pStyle w:val="Compact"/>
        <w:numPr>
          <w:ilvl w:val="0"/>
          <w:numId w:val="1007"/>
        </w:numPr>
      </w:pPr>
      <w:r>
        <w:t xml:space="preserve">Progress on deferred-tax-asset utilization.</w:t>
      </w:r>
    </w:p>
    <w:p>
      <w:pPr>
        <w:pStyle w:val="Compact"/>
        <w:numPr>
          <w:ilvl w:val="0"/>
          <w:numId w:val="1007"/>
        </w:numPr>
      </w:pPr>
      <w:r>
        <w:t xml:space="preserve">Updated expectations for Banamex deconsolidation.</w:t>
      </w:r>
    </w:p>
    <w:p>
      <w:pPr>
        <w:pStyle w:val="Compact"/>
        <w:numPr>
          <w:ilvl w:val="0"/>
          <w:numId w:val="1007"/>
        </w:numPr>
      </w:pPr>
      <w:r>
        <w:t xml:space="preserve">Whether regulatory capital reform could eventually lower Citi’s required capital stack.</w:t>
      </w:r>
    </w:p>
    <w:p>
      <w:r>
        <w:pict>
          <v:rect style="width:0;height:1.5pt" o:hralign="center" o:hrstd="t" o:hr="t"/>
        </w:pict>
      </w:r>
    </w:p>
    <w:bookmarkEnd w:id="23"/>
    <w:bookmarkEnd w:id="24"/>
    <w:bookmarkStart w:id="25" w:name="business-scorecard"/>
    <w:p>
      <w:pPr>
        <w:pStyle w:val="Heading2"/>
      </w:pPr>
      <w:r>
        <w:t xml:space="preserve">Business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Business</w:t>
            </w:r>
          </w:p>
        </w:tc>
        <w:tc>
          <w:tcPr/>
          <w:p>
            <w:pPr>
              <w:pStyle w:val="Compact"/>
            </w:pPr>
            <w:r>
              <w:t xml:space="preserve">What would be encouraging</w:t>
            </w:r>
          </w:p>
        </w:tc>
        <w:tc>
          <w:tcPr/>
          <w:p>
            <w:pPr>
              <w:pStyle w:val="Compact"/>
            </w:pPr>
            <w:r>
              <w:t xml:space="preserve">Principal risk</w:t>
            </w:r>
          </w:p>
        </w:tc>
      </w:tr>
      <w:tr>
        <w:tc>
          <w:tcPr/>
          <w:p>
            <w:pPr>
              <w:pStyle w:val="Compact"/>
            </w:pPr>
            <w:r>
              <w:rPr>
                <w:b/>
                <w:bCs/>
              </w:rPr>
              <w:t xml:space="preserve">Services</w:t>
            </w:r>
          </w:p>
        </w:tc>
        <w:tc>
          <w:tcPr/>
          <w:p>
            <w:pPr>
              <w:pStyle w:val="Compact"/>
            </w:pPr>
            <w:r>
              <w:t xml:space="preserve">Strong deposits, fees and transaction volumes; continued mid-20s returns</w:t>
            </w:r>
          </w:p>
        </w:tc>
        <w:tc>
          <w:tcPr/>
          <w:p>
            <w:pPr>
              <w:pStyle w:val="Compact"/>
            </w:pPr>
            <w:r>
              <w:t xml:space="preserve">Slower deposit growth or pressure on spreads</w:t>
            </w:r>
          </w:p>
        </w:tc>
      </w:tr>
      <w:tr>
        <w:tc>
          <w:tcPr/>
          <w:p>
            <w:pPr>
              <w:pStyle w:val="Compact"/>
            </w:pPr>
            <w:r>
              <w:rPr>
                <w:b/>
                <w:bCs/>
              </w:rPr>
              <w:t xml:space="preserve">Markets</w:t>
            </w:r>
          </w:p>
        </w:tc>
        <w:tc>
          <w:tcPr/>
          <w:p>
            <w:pPr>
              <w:pStyle w:val="Compact"/>
            </w:pPr>
            <w:r>
              <w:t xml:space="preserve">Equities share gains and resilient FICC despite Q1 normalization</w:t>
            </w:r>
          </w:p>
        </w:tc>
        <w:tc>
          <w:tcPr/>
          <w:p>
            <w:pPr>
              <w:pStyle w:val="Compact"/>
            </w:pPr>
            <w:r>
              <w:t xml:space="preserve">Revenue decline greater than normal seasonality</w:t>
            </w:r>
          </w:p>
        </w:tc>
      </w:tr>
      <w:tr>
        <w:tc>
          <w:tcPr/>
          <w:p>
            <w:pPr>
              <w:pStyle w:val="Compact"/>
            </w:pPr>
            <w:r>
              <w:rPr>
                <w:b/>
                <w:bCs/>
              </w:rPr>
              <w:t xml:space="preserve">Banking</w:t>
            </w:r>
          </w:p>
        </w:tc>
        <w:tc>
          <w:tcPr/>
          <w:p>
            <w:pPr>
              <w:pStyle w:val="Compact"/>
            </w:pPr>
            <w:r>
              <w:t xml:space="preserve">Double-digit fee growth and share gains in M&amp;A/ECM</w:t>
            </w:r>
          </w:p>
        </w:tc>
        <w:tc>
          <w:tcPr/>
          <w:p>
            <w:pPr>
              <w:pStyle w:val="Compact"/>
            </w:pPr>
            <w:r>
              <w:t xml:space="preserve">Deal delays from geopolitical or rate uncertainty</w:t>
            </w:r>
          </w:p>
        </w:tc>
      </w:tr>
      <w:tr>
        <w:tc>
          <w:tcPr/>
          <w:p>
            <w:pPr>
              <w:pStyle w:val="Compact"/>
            </w:pPr>
            <w:r>
              <w:rPr>
                <w:b/>
                <w:bCs/>
              </w:rPr>
              <w:t xml:space="preserve">Wealth</w:t>
            </w:r>
          </w:p>
        </w:tc>
        <w:tc>
          <w:tcPr/>
          <w:p>
            <w:pPr>
              <w:pStyle w:val="Compact"/>
            </w:pPr>
            <w:r>
              <w:t xml:space="preserve">Strong net new investment assets, fee growth and margin expansion</w:t>
            </w:r>
          </w:p>
        </w:tc>
        <w:tc>
          <w:tcPr/>
          <w:p>
            <w:pPr>
              <w:pStyle w:val="Compact"/>
            </w:pPr>
            <w:r>
              <w:t xml:space="preserve">Investment spending outpaces revenue growth</w:t>
            </w:r>
          </w:p>
        </w:tc>
      </w:tr>
      <w:tr>
        <w:tc>
          <w:tcPr/>
          <w:p>
            <w:pPr>
              <w:pStyle w:val="Compact"/>
            </w:pPr>
            <w:r>
              <w:rPr>
                <w:b/>
                <w:bCs/>
              </w:rPr>
              <w:t xml:space="preserve">Cards</w:t>
            </w:r>
          </w:p>
        </w:tc>
        <w:tc>
          <w:tcPr/>
          <w:p>
            <w:pPr>
              <w:pStyle w:val="Compact"/>
            </w:pPr>
            <w:r>
              <w:t xml:space="preserve">Mid-single-digit growth with stable or improving losses</w:t>
            </w:r>
          </w:p>
        </w:tc>
        <w:tc>
          <w:tcPr/>
          <w:p>
            <w:pPr>
              <w:pStyle w:val="Compact"/>
            </w:pPr>
            <w:r>
              <w:t xml:space="preserve">American Airlines integration costs or rising delinquencies</w:t>
            </w:r>
          </w:p>
        </w:tc>
      </w:tr>
      <w:tr>
        <w:tc>
          <w:tcPr/>
          <w:p>
            <w:pPr>
              <w:pStyle w:val="Compact"/>
            </w:pPr>
            <w:r>
              <w:rPr>
                <w:b/>
                <w:bCs/>
              </w:rPr>
              <w:t xml:space="preserve">Corporate/Other</w:t>
            </w:r>
          </w:p>
        </w:tc>
        <w:tc>
          <w:tcPr/>
          <w:p>
            <w:pPr>
              <w:pStyle w:val="Compact"/>
            </w:pPr>
            <w:r>
              <w:t xml:space="preserve">Falling transformation and stranded costs</w:t>
            </w:r>
          </w:p>
        </w:tc>
        <w:tc>
          <w:tcPr/>
          <w:p>
            <w:pPr>
              <w:pStyle w:val="Compact"/>
            </w:pPr>
            <w:r>
              <w:t xml:space="preserve">Persistent drag offsets core-business improvement</w:t>
            </w:r>
          </w:p>
        </w:tc>
      </w:tr>
    </w:tbl>
    <w:p>
      <w:r>
        <w:pict>
          <v:rect style="width:0;height:1.5pt" o:hralign="center" o:hrstd="t" o:hr="t"/>
        </w:pict>
      </w:r>
    </w:p>
    <w:bookmarkEnd w:id="25"/>
    <w:bookmarkStart w:id="29" w:name="what-could-move-the-stock"/>
    <w:p>
      <w:pPr>
        <w:pStyle w:val="Heading2"/>
      </w:pPr>
      <w:r>
        <w:t xml:space="preserve">What could move the stock</w:t>
      </w:r>
    </w:p>
    <w:bookmarkStart w:id="26" w:name="bullish-outcome"/>
    <w:p>
      <w:pPr>
        <w:pStyle w:val="Heading3"/>
      </w:pPr>
      <w:r>
        <w:t xml:space="preserve">Bullish outcome</w:t>
      </w:r>
    </w:p>
    <w:p>
      <w:pPr>
        <w:pStyle w:val="Compact"/>
        <w:numPr>
          <w:ilvl w:val="0"/>
          <w:numId w:val="1008"/>
        </w:numPr>
      </w:pPr>
      <w:r>
        <w:t xml:space="preserve">EPS and revenue comfortably exceed consensus.</w:t>
      </w:r>
    </w:p>
    <w:p>
      <w:pPr>
        <w:pStyle w:val="Compact"/>
        <w:numPr>
          <w:ilvl w:val="0"/>
          <w:numId w:val="1008"/>
        </w:numPr>
      </w:pPr>
      <w:r>
        <w:t xml:space="preserve">Services remains strong and Markets beats normalized expectations.</w:t>
      </w:r>
    </w:p>
    <w:p>
      <w:pPr>
        <w:pStyle w:val="Compact"/>
        <w:numPr>
          <w:ilvl w:val="0"/>
          <w:numId w:val="1008"/>
        </w:numPr>
      </w:pPr>
      <w:r>
        <w:t xml:space="preserve">Full-year NII and efficiency guidance is maintained or raised.</w:t>
      </w:r>
    </w:p>
    <w:p>
      <w:pPr>
        <w:pStyle w:val="Compact"/>
        <w:numPr>
          <w:ilvl w:val="0"/>
          <w:numId w:val="1008"/>
        </w:numPr>
      </w:pPr>
      <w:r>
        <w:t xml:space="preserve">Card credit remains stable.</w:t>
      </w:r>
    </w:p>
    <w:p>
      <w:pPr>
        <w:pStyle w:val="Compact"/>
        <w:numPr>
          <w:ilvl w:val="0"/>
          <w:numId w:val="1008"/>
        </w:numPr>
      </w:pPr>
      <w:r>
        <w:t xml:space="preserve">Management suggests 2026 RoTCE could land above the 10%–11% target.</w:t>
      </w:r>
    </w:p>
    <w:p>
      <w:pPr>
        <w:pStyle w:val="Compact"/>
        <w:numPr>
          <w:ilvl w:val="0"/>
          <w:numId w:val="1008"/>
        </w:numPr>
      </w:pPr>
      <w:r>
        <w:t xml:space="preserve">Tangible book value continues to grow despite repurchases.</w:t>
      </w:r>
    </w:p>
    <w:bookmarkEnd w:id="26"/>
    <w:bookmarkStart w:id="27" w:name="mixed-outcome"/>
    <w:p>
      <w:pPr>
        <w:pStyle w:val="Heading3"/>
      </w:pPr>
      <w:r>
        <w:t xml:space="preserve">Mixed outcome</w:t>
      </w:r>
    </w:p>
    <w:p>
      <w:pPr>
        <w:pStyle w:val="Compact"/>
        <w:numPr>
          <w:ilvl w:val="0"/>
          <w:numId w:val="1009"/>
        </w:numPr>
      </w:pPr>
      <w:r>
        <w:t xml:space="preserve">Headline EPS beats, but Markets or tax benefits drive most of the upside.</w:t>
      </w:r>
    </w:p>
    <w:p>
      <w:pPr>
        <w:pStyle w:val="Compact"/>
        <w:numPr>
          <w:ilvl w:val="0"/>
          <w:numId w:val="1009"/>
        </w:numPr>
      </w:pPr>
      <w:r>
        <w:t xml:space="preserve">Expenses rise faster than expected.</w:t>
      </w:r>
    </w:p>
    <w:p>
      <w:pPr>
        <w:pStyle w:val="Compact"/>
        <w:numPr>
          <w:ilvl w:val="0"/>
          <w:numId w:val="1009"/>
        </w:numPr>
      </w:pPr>
      <w:r>
        <w:t xml:space="preserve">Guidance is maintained without increased confidence.</w:t>
      </w:r>
    </w:p>
    <w:p>
      <w:pPr>
        <w:pStyle w:val="Compact"/>
        <w:numPr>
          <w:ilvl w:val="0"/>
          <w:numId w:val="1009"/>
        </w:numPr>
      </w:pPr>
      <w:r>
        <w:t xml:space="preserve">Credit remains stable but reserve builds stay elevated.</w:t>
      </w:r>
    </w:p>
    <w:bookmarkEnd w:id="27"/>
    <w:bookmarkStart w:id="28" w:name="bearish-outcome"/>
    <w:p>
      <w:pPr>
        <w:pStyle w:val="Heading3"/>
      </w:pPr>
      <w:r>
        <w:t xml:space="preserve">Bearish outcome</w:t>
      </w:r>
    </w:p>
    <w:p>
      <w:pPr>
        <w:pStyle w:val="Compact"/>
        <w:numPr>
          <w:ilvl w:val="0"/>
          <w:numId w:val="1010"/>
        </w:numPr>
      </w:pPr>
      <w:r>
        <w:t xml:space="preserve">Weak trading or investment-banking revenue.</w:t>
      </w:r>
    </w:p>
    <w:p>
      <w:pPr>
        <w:pStyle w:val="Compact"/>
        <w:numPr>
          <w:ilvl w:val="0"/>
          <w:numId w:val="1010"/>
        </w:numPr>
      </w:pPr>
      <w:r>
        <w:t xml:space="preserve">Services deposit or fee growth slows materially.</w:t>
      </w:r>
    </w:p>
    <w:p>
      <w:pPr>
        <w:pStyle w:val="Compact"/>
        <w:numPr>
          <w:ilvl w:val="0"/>
          <w:numId w:val="1010"/>
        </w:numPr>
      </w:pPr>
      <w:r>
        <w:t xml:space="preserve">Expenses jeopardize the 60% efficiency target.</w:t>
      </w:r>
    </w:p>
    <w:p>
      <w:pPr>
        <w:pStyle w:val="Compact"/>
        <w:numPr>
          <w:ilvl w:val="0"/>
          <w:numId w:val="1010"/>
        </w:numPr>
      </w:pPr>
      <w:r>
        <w:t xml:space="preserve">Card losses or delinquencies rise.</w:t>
      </w:r>
    </w:p>
    <w:p>
      <w:pPr>
        <w:pStyle w:val="Compact"/>
        <w:numPr>
          <w:ilvl w:val="0"/>
          <w:numId w:val="1010"/>
        </w:numPr>
      </w:pPr>
      <w:r>
        <w:t xml:space="preserve">NII guidance is reduced.</w:t>
      </w:r>
    </w:p>
    <w:p>
      <w:pPr>
        <w:pStyle w:val="Compact"/>
        <w:numPr>
          <w:ilvl w:val="0"/>
          <w:numId w:val="1010"/>
        </w:numPr>
      </w:pPr>
      <w:r>
        <w:t xml:space="preserve">Buybacks slow because of higher risk-weighted assets or capital requirements.</w:t>
      </w:r>
    </w:p>
    <w:p>
      <w:r>
        <w:pict>
          <v:rect style="width:0;height:1.5pt" o:hralign="center" o:hrstd="t" o:hr="t"/>
        </w:pict>
      </w:r>
    </w:p>
    <w:bookmarkEnd w:id="28"/>
    <w:bookmarkEnd w:id="29"/>
    <w:bookmarkStart w:id="30" w:name="bottom-line"/>
    <w:p>
      <w:pPr>
        <w:pStyle w:val="Heading2"/>
      </w:pPr>
      <w:r>
        <w:t xml:space="preserve">Bottom line</w:t>
      </w:r>
    </w:p>
    <w:p>
      <w:pPr>
        <w:pStyle w:val="FirstParagraph"/>
      </w:pPr>
      <w:r>
        <w:t xml:space="preserve">Citi is no longer priced as a broken bank. The market is increasingly underwriting Jane Fraser’s turnaround and the new 14%–15% medium-term return ambition. That raises the standard for tomorrow’s report.</w:t>
      </w:r>
    </w:p>
    <w:p>
      <w:pPr>
        <w:pStyle w:val="BodyText"/>
      </w:pPr>
      <w:r>
        <w:t xml:space="preserve">The most constructive result would be</w:t>
      </w:r>
      <w:r>
        <w:t xml:space="preserve"> </w:t>
      </w:r>
      <w:r>
        <w:rPr>
          <w:b/>
          <w:bCs/>
        </w:rPr>
        <w:t xml:space="preserve">broad-based revenue growth, disciplined expenses, stable credit and stronger confidence in full-year returns</w:t>
      </w:r>
      <w:r>
        <w:t xml:space="preserve">, even if Markets declines sequentially from an exceptional first quarter. Conversely, an ordinary EPS beat with weaker operating leverage would not adequately support the stock’s premium to tangible book value.</w:t>
      </w:r>
    </w:p>
    <w:p>
      <w:pPr>
        <w:pStyle w:val="BodyText"/>
      </w:pPr>
      <w:r>
        <w:t xml:space="preserve">The decisive metric is likely to be less about</w:t>
      </w:r>
      <w:r>
        <w:t xml:space="preserve"> </w:t>
      </w:r>
      <w:r>
        <w:rPr>
          <w:b/>
          <w:bCs/>
        </w:rPr>
        <w:t xml:space="preserve">$2.72 versus the reported EPS number</w:t>
      </w:r>
      <w:r>
        <w:t xml:space="preserve"> </w:t>
      </w:r>
      <w:r>
        <w:t xml:space="preserve">and more about whether the quarter demonstrates that Citi can move from a one-quarter 13% RoTCE performance toward sustainable double-digit—and ultimately mid-teens—returns.</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www.citigroup.com/global/investors/events-and-presentations/investor-day-2026?utm_source=openai" TargetMode="External" /><Relationship Type="http://schemas.openxmlformats.org/officeDocument/2006/relationships/hyperlink" Id="rId9" Target="https://www.citigroup.com/global/news/press-release/2026/citi-second-quarter-2026-earnings-call?utm_source=openai" TargetMode="External" /><Relationship Type="http://schemas.openxmlformats.org/officeDocument/2006/relationships/hyperlink" Id="rId10" Target="https://www.citigroup.com/global/news/press-release/2026/first-quarter-2026-results-key-metrics?utm_source=openai" TargetMode="External" /><Relationship Type="http://schemas.openxmlformats.org/officeDocument/2006/relationships/hyperlink" Id="rId14" Target="https://www.citigroup.com/rcs/citigpa/storage/public/Earnings/Q12026/2026psqtr1rslt.pdf?_bhlid=f5c2910af0496cf03b970c691104009db1f96cfa&amp;utm_source=openai" TargetMode="External" /><Relationship Type="http://schemas.openxmlformats.org/officeDocument/2006/relationships/hyperlink" Id="rId22" Target="https://www.citigroup.com/rcs/citigpa/storage/public/investor-day/citi-ID26-ceo-presentation-transcript.pdf?utm_source=openai" TargetMode="External" /><Relationship Type="http://schemas.openxmlformats.org/officeDocument/2006/relationships/hyperlink" Id="rId15" Target="https://www.citigroup.com/rcs/citigpa/storage/public/investor-day/citi-ID26-markets-presentation-transcript.pdf?utm_source=openai" TargetMode="External" /><Relationship Type="http://schemas.openxmlformats.org/officeDocument/2006/relationships/hyperlink" Id="rId12" Target="https://www.marketbeat.com/earnings/reports/2026-7-14-citigroup-inc-stock/?utm_source=openai" TargetMode="External" /><Relationship Type="http://schemas.openxmlformats.org/officeDocument/2006/relationships/hyperlink" Id="rId17" Target="https://www.tipranks.com/stocks/c/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19" Target="https://www.citigroup.com/global/investors/events-and-presentations/investor-day-2026?utm_source=openai" TargetMode="External" /><Relationship Type="http://schemas.openxmlformats.org/officeDocument/2006/relationships/hyperlink" Id="rId9" Target="https://www.citigroup.com/global/news/press-release/2026/citi-second-quarter-2026-earnings-call?utm_source=openai" TargetMode="External" /><Relationship Type="http://schemas.openxmlformats.org/officeDocument/2006/relationships/hyperlink" Id="rId10" Target="https://www.citigroup.com/global/news/press-release/2026/first-quarter-2026-results-key-metrics?utm_source=openai" TargetMode="External" /><Relationship Type="http://schemas.openxmlformats.org/officeDocument/2006/relationships/hyperlink" Id="rId14" Target="https://www.citigroup.com/rcs/citigpa/storage/public/Earnings/Q12026/2026psqtr1rslt.pdf?_bhlid=f5c2910af0496cf03b970c691104009db1f96cfa&amp;utm_source=openai" TargetMode="External" /><Relationship Type="http://schemas.openxmlformats.org/officeDocument/2006/relationships/hyperlink" Id="rId22" Target="https://www.citigroup.com/rcs/citigpa/storage/public/investor-day/citi-ID26-ceo-presentation-transcript.pdf?utm_source=openai" TargetMode="External" /><Relationship Type="http://schemas.openxmlformats.org/officeDocument/2006/relationships/hyperlink" Id="rId15" Target="https://www.citigroup.com/rcs/citigpa/storage/public/investor-day/citi-ID26-markets-presentation-transcript.pdf?utm_source=openai" TargetMode="External" /><Relationship Type="http://schemas.openxmlformats.org/officeDocument/2006/relationships/hyperlink" Id="rId12" Target="https://www.marketbeat.com/earnings/reports/2026-7-14-citigroup-inc-stock/?utm_source=openai" TargetMode="External" /><Relationship Type="http://schemas.openxmlformats.org/officeDocument/2006/relationships/hyperlink" Id="rId17" Target="https://www.tipranks.com/stocks/c/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2026-07-14T01:29:40Z</dcterms:created>
  <dcterms:modified xsi:type="dcterms:W3CDTF">2026-07-14T01:29:40Z</dcterms:modified>
</cp:coreProperties>
</file>

<file path=docProps/custom.xml><?xml version="1.0" encoding="utf-8"?>
<Properties xmlns="http://schemas.openxmlformats.org/officeDocument/2006/custom-properties" xmlns:vt="http://schemas.openxmlformats.org/officeDocument/2006/docPropsVTypes"/>
</file>