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citigroup-c--2q26-earnings-preview"/>
    <w:p>
      <w:pPr>
        <w:pStyle w:val="Heading1"/>
      </w:pPr>
      <w:r>
        <w:t xml:space="preserve">Citigroup (C) — 2Q26 Earnings Preview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2Q26 earnings,</w:t>
      </w:r>
      <w:r>
        <w:t xml:space="preserve"> </w:t>
      </w:r>
      <w:r>
        <w:rPr>
          <w:b/>
          <w:bCs/>
        </w:rPr>
        <w:t xml:space="preserve">Tuesday, July 14, 2026, before the U.S. market open</w:t>
      </w:r>
      <w:r>
        <w:br/>
      </w:r>
      <w:r>
        <w:rPr>
          <w:b/>
          <w:bCs/>
        </w:rPr>
        <w:t xml:space="preserve">Setup:</w:t>
      </w:r>
      <w:r>
        <w:t xml:space="preserve"> </w:t>
      </w:r>
      <w:r>
        <w:t xml:space="preserve">Citi enters the print with strong operating momentum, a much-improved strategic narrative following its May Investor Day, and a stock that has materially outperformed bank peers year-to-date. The key question is no longer whether the franchise is improving—it is whether 2Q results and forward commentary support the pace of earnings, return, and capital-distribution improvement now embedded in expectations.</w:t>
      </w:r>
    </w:p>
    <w:bookmarkStart w:id="9" w:name="what-the-street-expects"/>
    <w:p>
      <w:pPr>
        <w:pStyle w:val="Heading2"/>
      </w:pPr>
      <w:r>
        <w:t xml:space="preserve">What the Street expects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consensus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$23.5B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$15.93B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FICC trading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$4.48B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Equities trading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$1.80B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Investment-banking fees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$1.21B</w:t>
            </w:r>
          </w:p>
        </w:tc>
      </w:tr>
    </w:tbl>
    <w:p>
      <w:pPr>
        <w:pStyle w:val="BodyText"/>
      </w:pPr>
      <w:r>
        <w:t xml:space="preserve">Consensus implies roughly</w:t>
      </w:r>
      <w:r>
        <w:t xml:space="preserve"> </w:t>
      </w:r>
      <w:r>
        <w:rPr>
          <w:b/>
          <w:bCs/>
        </w:rPr>
        <w:t xml:space="preserve">28% year-over-year EPS growth</w:t>
      </w:r>
      <w:r>
        <w:t xml:space="preserve">, helped by improved operating leverage, stronger fee businesses, capital-markets activity, and a more productive capital base.</w:t>
      </w:r>
    </w:p>
    <w:bookmarkEnd w:id="9"/>
    <w:bookmarkStart w:id="10" w:name="the-core-investment-debate"/>
    <w:p>
      <w:pPr>
        <w:pStyle w:val="Heading2"/>
      </w:pPr>
      <w:r>
        <w:t xml:space="preserve">The core investment debate</w:t>
      </w:r>
    </w:p>
    <w:p>
      <w:pPr>
        <w:pStyle w:val="FirstParagraph"/>
      </w:pPr>
      <w:r>
        <w:t xml:space="preserve">Citi’s 1Q26 result demonstrated that the turnaround can produce strong earnings: revenue grew 14% year over year to</w:t>
      </w:r>
      <w:r>
        <w:t xml:space="preserve"> </w:t>
      </w:r>
      <m:oMath>
        <m:r>
          <m:t>24.6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E</m:t>
        </m:r>
        <m:r>
          <m:t>P</m:t>
        </m:r>
        <m:r>
          <m:t>S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3.06</w:t>
      </w:r>
      <w:r>
        <w:t xml:space="preserve">, and RoTCE reached</w:t>
      </w:r>
      <w:r>
        <w:t xml:space="preserve"> </w:t>
      </w:r>
      <w:r>
        <w:rPr>
          <w:b/>
          <w:bCs/>
        </w:rPr>
        <w:t xml:space="preserve">13.1%</w:t>
      </w:r>
      <w:r>
        <w:t xml:space="preserve">. But management was explicit that the first quarter is seasonally strong—particularly for Markets—and maintained its full-year</w:t>
      </w:r>
      <w:r>
        <w:t xml:space="preserve"> </w:t>
      </w:r>
      <w:r>
        <w:rPr>
          <w:b/>
          <w:bCs/>
        </w:rPr>
        <w:t xml:space="preserve">10%–11% RoTCE</w:t>
      </w:r>
      <w:r>
        <w:t xml:space="preserve"> </w:t>
      </w:r>
      <w:r>
        <w:t xml:space="preserve">outlook.</w:t>
      </w:r>
    </w:p>
    <w:p>
      <w:pPr>
        <w:pStyle w:val="BodyText"/>
      </w:pPr>
      <w:r>
        <w:t xml:space="preserve">For 2Q, investors will be looking for evidence that Citi can sustain progress outside of an unusually favorable first-quarter trading environment. The most important read-throughs will be: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Services maintain durable, client-led growth?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the capital-markets pipeline translate into Banking fees?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Markets revenues holding up better than seasonal expectations amid macro volatility?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Citi fund growth investments while continuing to lower its cost base?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credit remain benign enough to protect the return trajectory?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management’s Investor Day path to 11%–13% RoTCE in 2027–28 still intact?</w:t>
      </w:r>
    </w:p>
    <w:p>
      <w:r>
        <w:pict>
          <v:rect style="width:0;height:1.5pt" o:hralign="center" o:hrstd="t" o:hr="t"/>
        </w:pict>
      </w:r>
    </w:p>
    <w:bookmarkEnd w:id="10"/>
    <w:bookmarkStart w:id="15" w:name="why-the-setup-is-constructive"/>
    <w:p>
      <w:pPr>
        <w:pStyle w:val="Heading2"/>
      </w:pPr>
      <w:r>
        <w:t xml:space="preserve">Why the setup is constructive</w:t>
      </w:r>
    </w:p>
    <w:bookmarkStart w:id="11" w:name="X3b970e879fd2239b4834184d193b22695ef923d"/>
    <w:p>
      <w:pPr>
        <w:pStyle w:val="Heading3"/>
      </w:pPr>
      <w:r>
        <w:t xml:space="preserve">1. Services remains Citi’s differentiator—and the most important fundamental support</w:t>
      </w:r>
    </w:p>
    <w:p>
      <w:pPr>
        <w:pStyle w:val="FirstParagraph"/>
      </w:pPr>
      <w:r>
        <w:t xml:space="preserve">Services is the company’s crown-jewel business: a global transaction-banking, payments, liquidity, and securities-services platform that is deeply embedded in multinational-client operations. In 1Q26, Services revenue grew</w:t>
      </w:r>
      <w:r>
        <w:t xml:space="preserve"> </w:t>
      </w:r>
      <w:r>
        <w:rPr>
          <w:b/>
          <w:bCs/>
        </w:rPr>
        <w:t xml:space="preserve">17%</w:t>
      </w:r>
      <w:r>
        <w:t xml:space="preserve">, deposits rose</w:t>
      </w:r>
      <w:r>
        <w:t xml:space="preserve"> </w:t>
      </w:r>
      <w:r>
        <w:rPr>
          <w:b/>
          <w:bCs/>
        </w:rPr>
        <w:t xml:space="preserve">16%</w:t>
      </w:r>
      <w:r>
        <w:t xml:space="preserve">, and the business produced a</w:t>
      </w:r>
      <w:r>
        <w:t xml:space="preserve"> </w:t>
      </w:r>
      <w:r>
        <w:rPr>
          <w:b/>
          <w:bCs/>
        </w:rPr>
        <w:t xml:space="preserve">27% RoTCE</w:t>
      </w:r>
      <w:r>
        <w:t xml:space="preserve">.</w:t>
      </w:r>
    </w:p>
    <w:p>
      <w:pPr>
        <w:pStyle w:val="BodyText"/>
      </w:pPr>
      <w:r>
        <w:t xml:space="preserve">The 2Q print should test whether that momentum is repeatable. Key indicators include:</w:t>
      </w:r>
    </w:p>
    <w:p>
      <w:pPr>
        <w:pStyle w:val="Compact"/>
        <w:numPr>
          <w:ilvl w:val="0"/>
          <w:numId w:val="1002"/>
        </w:numPr>
      </w:pPr>
      <w:r>
        <w:t xml:space="preserve">Operating-deposit growth;</w:t>
      </w:r>
    </w:p>
    <w:p>
      <w:pPr>
        <w:pStyle w:val="Compact"/>
        <w:numPr>
          <w:ilvl w:val="0"/>
          <w:numId w:val="1002"/>
        </w:numPr>
      </w:pPr>
      <w:r>
        <w:t xml:space="preserve">Cross-border payment and transaction volumes;</w:t>
      </w:r>
    </w:p>
    <w:p>
      <w:pPr>
        <w:pStyle w:val="Compact"/>
        <w:numPr>
          <w:ilvl w:val="0"/>
          <w:numId w:val="1002"/>
        </w:numPr>
      </w:pPr>
      <w:r>
        <w:t xml:space="preserve">Securities-services assets under custody/administration;</w:t>
      </w:r>
    </w:p>
    <w:p>
      <w:pPr>
        <w:pStyle w:val="Compact"/>
        <w:numPr>
          <w:ilvl w:val="0"/>
          <w:numId w:val="1002"/>
        </w:numPr>
      </w:pPr>
      <w:r>
        <w:t xml:space="preserve">Fee-income growth versus NII growth;</w:t>
      </w:r>
    </w:p>
    <w:p>
      <w:pPr>
        <w:pStyle w:val="Compact"/>
        <w:numPr>
          <w:ilvl w:val="0"/>
          <w:numId w:val="1002"/>
        </w:numPr>
      </w:pPr>
      <w:r>
        <w:t xml:space="preserve">Progress in real-time payments and digital-asset infrastructure.</w:t>
      </w:r>
    </w:p>
    <w:p>
      <w:pPr>
        <w:pStyle w:val="FirstParagraph"/>
      </w:pPr>
      <w:r>
        <w:t xml:space="preserve">This matters because a healthy Services result reinforces the central Citi thesis: a differentiated global network can generate relatively resilient, high-return growth even as the interest-rate environment changes.</w:t>
      </w:r>
    </w:p>
    <w:bookmarkEnd w:id="11"/>
    <w:bookmarkStart w:id="12" w:name="Xf75f03005189fdbe9636c74c679352fde726063"/>
    <w:p>
      <w:pPr>
        <w:pStyle w:val="Heading3"/>
      </w:pPr>
      <w:r>
        <w:t xml:space="preserve">2. Banking has an improving share story</w:t>
      </w:r>
    </w:p>
    <w:p>
      <w:pPr>
        <w:pStyle w:val="FirstParagraph"/>
      </w:pPr>
      <w:r>
        <w:t xml:space="preserve">Citi’s Investment Banking franchise has been gaining traction, particularly in M&amp;A and equity capital markets. In 1Q26, investment-banking fees grew</w:t>
      </w:r>
      <w:r>
        <w:t xml:space="preserve"> </w:t>
      </w:r>
      <w:r>
        <w:rPr>
          <w:b/>
          <w:bCs/>
        </w:rPr>
        <w:t xml:space="preserve">12%</w:t>
      </w:r>
      <w:r>
        <w:t xml:space="preserve">, with M&amp;A up</w:t>
      </w:r>
      <w:r>
        <w:t xml:space="preserve"> </w:t>
      </w:r>
      <w:r>
        <w:rPr>
          <w:b/>
          <w:bCs/>
        </w:rPr>
        <w:t xml:space="preserve">19%</w:t>
      </w:r>
      <w:r>
        <w:t xml:space="preserve"> </w:t>
      </w:r>
      <w:r>
        <w:t xml:space="preserve">and ECM up</w:t>
      </w:r>
      <w:r>
        <w:t xml:space="preserve"> </w:t>
      </w:r>
      <w:r>
        <w:rPr>
          <w:b/>
          <w:bCs/>
        </w:rPr>
        <w:t xml:space="preserve">64%</w:t>
      </w:r>
      <w:r>
        <w:t xml:space="preserve">. Management also described the M&amp;A pipeline as strong, though it acknowledged that prolonged geopolitical disruption could defer activity later in the year.</w:t>
      </w:r>
    </w:p>
    <w:p>
      <w:pPr>
        <w:pStyle w:val="BodyText"/>
      </w:pPr>
      <w:r>
        <w:t xml:space="preserve">The Street expects</w:t>
      </w:r>
      <w:r>
        <w:t xml:space="preserve"> </w:t>
      </w:r>
      <w:r>
        <w:rPr>
          <w:b/>
          <w:bCs/>
        </w:rPr>
        <w:t xml:space="preserve">$1.21B</w:t>
      </w:r>
      <w:r>
        <w:t xml:space="preserve"> </w:t>
      </w:r>
      <w:r>
        <w:t xml:space="preserve">of 2Q investment-banking fees. A beat would validate Citi’s strategy of investing in senior talent, broadening sponsor coverage, and using its corporate-bank relationships to capture more advisory and financing wallet.</w:t>
      </w:r>
    </w:p>
    <w:p>
      <w:pPr>
        <w:pStyle w:val="BodyText"/>
      </w:pPr>
      <w:r>
        <w:t xml:space="preserve">For the call, watch for commentary on:</w:t>
      </w:r>
    </w:p>
    <w:p>
      <w:pPr>
        <w:pStyle w:val="Compact"/>
        <w:numPr>
          <w:ilvl w:val="0"/>
          <w:numId w:val="1003"/>
        </w:numPr>
      </w:pPr>
      <w:r>
        <w:t xml:space="preserve">M&amp;A conversion and backlog;</w:t>
      </w:r>
    </w:p>
    <w:p>
      <w:pPr>
        <w:pStyle w:val="Compact"/>
        <w:numPr>
          <w:ilvl w:val="0"/>
          <w:numId w:val="1003"/>
        </w:numPr>
      </w:pPr>
      <w:r>
        <w:t xml:space="preserve">ECM and IPO activity;</w:t>
      </w:r>
    </w:p>
    <w:p>
      <w:pPr>
        <w:pStyle w:val="Compact"/>
        <w:numPr>
          <w:ilvl w:val="0"/>
          <w:numId w:val="1003"/>
        </w:numPr>
      </w:pPr>
      <w:r>
        <w:t xml:space="preserve">DCM mix, particularly high-grade versus leveraged finance;</w:t>
      </w:r>
    </w:p>
    <w:p>
      <w:pPr>
        <w:pStyle w:val="Compact"/>
        <w:numPr>
          <w:ilvl w:val="0"/>
          <w:numId w:val="1003"/>
        </w:numPr>
      </w:pPr>
      <w:r>
        <w:t xml:space="preserve">Sponsor activity and financing appetite;</w:t>
      </w:r>
    </w:p>
    <w:p>
      <w:pPr>
        <w:pStyle w:val="Compact"/>
        <w:numPr>
          <w:ilvl w:val="0"/>
          <w:numId w:val="1003"/>
        </w:numPr>
      </w:pPr>
      <w:r>
        <w:t xml:space="preserve">North America share gains—the key geography for improving U.S. profitability and consuming Citi’s deferred tax asset.</w:t>
      </w:r>
    </w:p>
    <w:bookmarkEnd w:id="12"/>
    <w:bookmarkStart w:id="13" w:name="Xf3c03da3d412bc680264f137237d0bd8bb38d74"/>
    <w:p>
      <w:pPr>
        <w:pStyle w:val="Heading3"/>
      </w:pPr>
      <w:r>
        <w:t xml:space="preserve">3. Market volatility could remain an earnings tailwind</w:t>
      </w:r>
    </w:p>
    <w:p>
      <w:pPr>
        <w:pStyle w:val="FirstParagraph"/>
      </w:pPr>
      <w:r>
        <w:t xml:space="preserve">Markets delivered its best quarter in more than a decade in 1Q26, with revenue up</w:t>
      </w:r>
      <w:r>
        <w:t xml:space="preserve"> </w:t>
      </w:r>
      <w:r>
        <w:rPr>
          <w:b/>
          <w:bCs/>
        </w:rPr>
        <w:t xml:space="preserve">19%</w:t>
      </w:r>
      <w:r>
        <w:t xml:space="preserve">. The business benefited from heightened activity across FX, commodities, spread products, derivatives, and prime services.</w:t>
      </w:r>
    </w:p>
    <w:p>
      <w:pPr>
        <w:pStyle w:val="BodyText"/>
      </w:pPr>
      <w:r>
        <w:t xml:space="preserve">For 2Q, expectations appear more normalized, with consensus anticipating</w:t>
      </w:r>
      <w:r>
        <w:t xml:space="preserve"> </w:t>
      </w:r>
      <m:oMath>
        <m:r>
          <m:t>4.48</m:t>
        </m:r>
        <m:r>
          <m:t>B</m:t>
        </m:r>
        <m:r>
          <m:t>i</m:t>
        </m:r>
        <m:r>
          <m:t>n</m:t>
        </m:r>
        <m:r>
          <m:t>F</m:t>
        </m:r>
        <m:r>
          <m:t>I</m:t>
        </m:r>
        <m:r>
          <m:t>C</m:t>
        </m:r>
        <m:r>
          <m:t>C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1.80B in Equities</w:t>
      </w:r>
      <w:r>
        <w:t xml:space="preserve"> </w:t>
      </w:r>
      <w:r>
        <w:t xml:space="preserve">revenue. That still leaves room for upside if elevated rates, commodity, FX, and geopolitical volatility drove strong client flows into quarter-end.</w:t>
      </w:r>
    </w:p>
    <w:p>
      <w:pPr>
        <w:pStyle w:val="BodyText"/>
      </w:pPr>
      <w:r>
        <w:t xml:space="preserve">The nuance is important: Citi does not need another 1Q-style Markets result to support the stock. It needs a result that demonstrates that its global Markets franchise is structurally more durable, while keeping expenses and risk-weighted assets disciplined.</w:t>
      </w:r>
    </w:p>
    <w:bookmarkEnd w:id="13"/>
    <w:bookmarkStart w:id="14" w:name="X3a1df3ed47fc6e6fd068e498bbec8ade58ec5d4"/>
    <w:p>
      <w:pPr>
        <w:pStyle w:val="Heading3"/>
      </w:pPr>
      <w:r>
        <w:t xml:space="preserve">4. Capital return remains a major support</w:t>
      </w:r>
    </w:p>
    <w:p>
      <w:pPr>
        <w:pStyle w:val="FirstParagraph"/>
      </w:pPr>
      <w:r>
        <w:t xml:space="preserve">Citi repurchased</w:t>
      </w:r>
      <w:r>
        <w:t xml:space="preserve"> </w:t>
      </w:r>
      <m:oMath>
        <m:r>
          <m:t>6.3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t>i</m:t>
        </m:r>
        <m:r>
          <m:t>n</m:t>
        </m:r>
        <m:r>
          <m:t>1</m:t>
        </m:r>
        <m:r>
          <m:t>Q</m:t>
        </m:r>
        <m:r>
          <m:t>26</m:t>
        </m:r>
        <m:r>
          <m:t>a</m:t>
        </m:r>
        <m:r>
          <m:t>n</m:t>
        </m:r>
        <m:r>
          <m:t>d</m:t>
        </m:r>
        <m:r>
          <m:t>e</m:t>
        </m:r>
        <m:r>
          <m:t>n</m:t>
        </m:r>
        <m:r>
          <m:t>d</m:t>
        </m:r>
        <m:r>
          <m:t>e</m:t>
        </m:r>
        <m:r>
          <m:t>d</m:t>
        </m:r>
        <m:r>
          <m:t>t</m:t>
        </m:r>
        <m:r>
          <m:t>h</m:t>
        </m:r>
        <m:r>
          <m:t>e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a</m:t>
        </m:r>
        <m:r>
          <m:t>t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12.7</m:t>
        </m:r>
      </m:oMath>
      <w:r>
        <w:rPr>
          <w:b/>
          <w:bCs/>
        </w:rPr>
        <w:t xml:space="preserve">30B buyback authorization</w:t>
      </w:r>
      <w:r>
        <w:t xml:space="preserve"> </w:t>
      </w:r>
      <w:r>
        <w:t xml:space="preserve">after nearing completion of its prior $20B program.</w:t>
      </w:r>
    </w:p>
    <w:p>
      <w:pPr>
        <w:pStyle w:val="BodyText"/>
      </w:pPr>
      <w:r>
        <w:t xml:space="preserve">Investors will look for management to address:</w:t>
      </w:r>
    </w:p>
    <w:p>
      <w:pPr>
        <w:pStyle w:val="Compact"/>
        <w:numPr>
          <w:ilvl w:val="0"/>
          <w:numId w:val="1004"/>
        </w:numPr>
      </w:pPr>
      <w:r>
        <w:t xml:space="preserve">The expected pace of 2H26 buybacks;</w:t>
      </w:r>
    </w:p>
    <w:p>
      <w:pPr>
        <w:pStyle w:val="Compact"/>
        <w:numPr>
          <w:ilvl w:val="0"/>
          <w:numId w:val="1004"/>
        </w:numPr>
      </w:pPr>
      <w:r>
        <w:t xml:space="preserve">Capital impacts from the Banamex stake-sale process;</w:t>
      </w:r>
    </w:p>
    <w:p>
      <w:pPr>
        <w:pStyle w:val="Compact"/>
        <w:numPr>
          <w:ilvl w:val="0"/>
          <w:numId w:val="1004"/>
        </w:numPr>
      </w:pPr>
      <w:r>
        <w:t xml:space="preserve">The expected timing of Banamex deconsolidation;</w:t>
      </w:r>
    </w:p>
    <w:p>
      <w:pPr>
        <w:pStyle w:val="Compact"/>
        <w:numPr>
          <w:ilvl w:val="0"/>
          <w:numId w:val="1004"/>
        </w:numPr>
      </w:pPr>
      <w:r>
        <w:t xml:space="preserve">Any regulatory-capital reform upside;</w:t>
      </w:r>
    </w:p>
    <w:p>
      <w:pPr>
        <w:pStyle w:val="Compact"/>
        <w:numPr>
          <w:ilvl w:val="0"/>
          <w:numId w:val="1004"/>
        </w:numPr>
      </w:pPr>
      <w:r>
        <w:t xml:space="preserve">Whether the company maintains its approximately</w:t>
      </w:r>
      <w:r>
        <w:t xml:space="preserve"> </w:t>
      </w:r>
      <w:r>
        <w:rPr>
          <w:b/>
          <w:bCs/>
        </w:rPr>
        <w:t xml:space="preserve">12.6% CET1</w:t>
      </w:r>
      <w:r>
        <w:t xml:space="preserve"> </w:t>
      </w:r>
      <w:r>
        <w:t xml:space="preserve">operating target.</w:t>
      </w:r>
    </w:p>
    <w:p>
      <w:pPr>
        <w:pStyle w:val="FirstParagraph"/>
      </w:pPr>
      <w:r>
        <w:t xml:space="preserve">With C trading well above year-end levels, buyback execution may be less immediately accretive than it was earlier in the turnaround, but sustained capital return remains crucial to the equity story.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9" w:name="the-biggest-swing-factors"/>
    <w:p>
      <w:pPr>
        <w:pStyle w:val="Heading2"/>
      </w:pPr>
      <w:r>
        <w:t xml:space="preserve">The biggest swing factors</w:t>
      </w:r>
    </w:p>
    <w:bookmarkStart w:id="16" w:name="X492abbf4f67a5dc8ee1a358773c08a57f27468a"/>
    <w:p>
      <w:pPr>
        <w:pStyle w:val="Heading3"/>
      </w:pPr>
      <w:r>
        <w:t xml:space="preserve">Services and NII: growth quality matters more than the headline</w:t>
      </w:r>
    </w:p>
    <w:p>
      <w:pPr>
        <w:pStyle w:val="FirstParagraph"/>
      </w:pPr>
      <w:r>
        <w:t xml:space="preserve">Management’s 2026 outlook calls for</w:t>
      </w:r>
      <w:r>
        <w:t xml:space="preserve"> </w:t>
      </w:r>
      <w:r>
        <w:rPr>
          <w:b/>
          <w:bCs/>
        </w:rPr>
        <w:t xml:space="preserve">NII excluding Markets to grow approximately 5%–6%</w:t>
      </w:r>
      <w:r>
        <w:t xml:space="preserve">, supported principally by client-driven loan and deposit growth. Citi has deliberately reduced its U.S.-dollar asset sensitivity, so investors should focus less on a mechanical rate tailwind and more on volume, deposit mix, pricing, and fee growth.</w:t>
      </w:r>
    </w:p>
    <w:p>
      <w:pPr>
        <w:pStyle w:val="BodyText"/>
      </w:pPr>
      <w:r>
        <w:t xml:space="preserve">A strong quarter would show that Services and Wealth deposits are holding up and that NII growth remains durable even in an uncertain policy-rate environment.</w:t>
      </w:r>
    </w:p>
    <w:bookmarkEnd w:id="16"/>
    <w:bookmarkStart w:id="17" w:name="expense-discipline-versus-reinvestment"/>
    <w:p>
      <w:pPr>
        <w:pStyle w:val="Heading3"/>
      </w:pPr>
      <w:r>
        <w:t xml:space="preserve">Expense discipline versus reinvestment</w:t>
      </w:r>
    </w:p>
    <w:p>
      <w:pPr>
        <w:pStyle w:val="FirstParagraph"/>
      </w:pPr>
      <w:r>
        <w:t xml:space="preserve">Citi guided to an approximately</w:t>
      </w:r>
      <w:r>
        <w:t xml:space="preserve"> </w:t>
      </w:r>
      <w:r>
        <w:rPr>
          <w:b/>
          <w:bCs/>
        </w:rPr>
        <w:t xml:space="preserve">60% efficiency ratio</w:t>
      </w:r>
      <w:r>
        <w:t xml:space="preserve"> </w:t>
      </w:r>
      <w:r>
        <w:t xml:space="preserve">for 2026. That target incorporates continued business investment alongside declining transformation and stranded costs.</w:t>
      </w:r>
    </w:p>
    <w:p>
      <w:pPr>
        <w:pStyle w:val="BodyText"/>
      </w:pPr>
      <w:r>
        <w:t xml:space="preserve">The earnings call needs to show that Citi can simultaneously:</w:t>
      </w:r>
    </w:p>
    <w:p>
      <w:pPr>
        <w:pStyle w:val="Compact"/>
        <w:numPr>
          <w:ilvl w:val="0"/>
          <w:numId w:val="1005"/>
        </w:numPr>
      </w:pPr>
      <w:r>
        <w:t xml:space="preserve">Reduce residual transformation spending;</w:t>
      </w:r>
    </w:p>
    <w:p>
      <w:pPr>
        <w:pStyle w:val="Compact"/>
        <w:numPr>
          <w:ilvl w:val="0"/>
          <w:numId w:val="1005"/>
        </w:numPr>
      </w:pPr>
      <w:r>
        <w:t xml:space="preserve">Continue severance and productivity actions;</w:t>
      </w:r>
    </w:p>
    <w:p>
      <w:pPr>
        <w:pStyle w:val="Compact"/>
        <w:numPr>
          <w:ilvl w:val="0"/>
          <w:numId w:val="1005"/>
        </w:numPr>
      </w:pPr>
      <w:r>
        <w:t xml:space="preserve">Fund investment in Banking, Wealth, Cards, technology, and AI;</w:t>
      </w:r>
    </w:p>
    <w:p>
      <w:pPr>
        <w:pStyle w:val="Compact"/>
        <w:numPr>
          <w:ilvl w:val="0"/>
          <w:numId w:val="1005"/>
        </w:numPr>
      </w:pPr>
      <w:r>
        <w:t xml:space="preserve">Avoid letting revenue-related compensation and technology costs absorb the operating leverage.</w:t>
      </w:r>
    </w:p>
    <w:p>
      <w:pPr>
        <w:pStyle w:val="FirstParagraph"/>
      </w:pPr>
      <w:r>
        <w:t xml:space="preserve">This is especially important following Investor Day, where management outlined</w:t>
      </w:r>
      <w:r>
        <w:t xml:space="preserve"> </w:t>
      </w:r>
      <w:r>
        <w:rPr>
          <w:b/>
          <w:bCs/>
        </w:rPr>
        <w:t xml:space="preserve">$5B of incremental strategic investments</w:t>
      </w:r>
      <w:r>
        <w:t xml:space="preserve"> </w:t>
      </w:r>
      <w:r>
        <w:t xml:space="preserve">over the near term. The bull case depends on those investments being substantially self-funded through structural savings.</w:t>
      </w:r>
    </w:p>
    <w:bookmarkEnd w:id="17"/>
    <w:bookmarkStart w:id="18" w:name="Xb26e81cad899e019c245b5261db8b9d8269c947"/>
    <w:p>
      <w:pPr>
        <w:pStyle w:val="Heading3"/>
      </w:pPr>
      <w:r>
        <w:t xml:space="preserve">Credit: still stable, but the macro backdrop has become less comfortable</w:t>
      </w:r>
    </w:p>
    <w:p>
      <w:pPr>
        <w:pStyle w:val="FirstParagraph"/>
      </w:pPr>
      <w:r>
        <w:t xml:space="preserve">Citi’s card portfolio remains primarily prime, and management’s full-year guide calls for a total U.S. card net-charge-off rate of</w:t>
      </w:r>
      <w:r>
        <w:t xml:space="preserve"> </w:t>
      </w:r>
      <w:r>
        <w:rPr>
          <w:b/>
          <w:bCs/>
        </w:rPr>
        <w:t xml:space="preserve">4.0%–4.5%</w:t>
      </w:r>
      <w:r>
        <w:t xml:space="preserve">. In 1Q, card net credit losses declined year over year, though Citi also built reserves because of macro uncertainty and the pending American Airlines portfolio acquisition.</w:t>
      </w:r>
    </w:p>
    <w:p>
      <w:pPr>
        <w:pStyle w:val="BodyText"/>
      </w:pPr>
      <w:r>
        <w:t xml:space="preserve">The 2Q report will be closely watched for:</w:t>
      </w:r>
    </w:p>
    <w:p>
      <w:pPr>
        <w:pStyle w:val="Compact"/>
        <w:numPr>
          <w:ilvl w:val="0"/>
          <w:numId w:val="1006"/>
        </w:numPr>
      </w:pPr>
      <w:r>
        <w:t xml:space="preserve">Branded-card and private-label delinquencies;</w:t>
      </w:r>
    </w:p>
    <w:p>
      <w:pPr>
        <w:pStyle w:val="Compact"/>
        <w:numPr>
          <w:ilvl w:val="0"/>
          <w:numId w:val="1006"/>
        </w:numPr>
      </w:pPr>
      <w:r>
        <w:t xml:space="preserve">Net-charge-off trends;</w:t>
      </w:r>
    </w:p>
    <w:p>
      <w:pPr>
        <w:pStyle w:val="Compact"/>
        <w:numPr>
          <w:ilvl w:val="0"/>
          <w:numId w:val="1006"/>
        </w:numPr>
      </w:pPr>
      <w:r>
        <w:t xml:space="preserve">Card reserve changes;</w:t>
      </w:r>
    </w:p>
    <w:p>
      <w:pPr>
        <w:pStyle w:val="Compact"/>
        <w:numPr>
          <w:ilvl w:val="0"/>
          <w:numId w:val="1006"/>
        </w:numPr>
      </w:pPr>
      <w:r>
        <w:t xml:space="preserve">Corporate-credit performance;</w:t>
      </w:r>
    </w:p>
    <w:p>
      <w:pPr>
        <w:pStyle w:val="Compact"/>
        <w:numPr>
          <w:ilvl w:val="0"/>
          <w:numId w:val="1006"/>
        </w:numPr>
      </w:pPr>
      <w:r>
        <w:t xml:space="preserve">Any additional ACL build tied to macro, energy, or geopolitical scenarios.</w:t>
      </w:r>
    </w:p>
    <w:p>
      <w:pPr>
        <w:pStyle w:val="FirstParagraph"/>
      </w:pPr>
      <w:r>
        <w:t xml:space="preserve">A modestly higher provision may be manageable if tied to conservatism rather than actual deterioration. A material deterioration in card or corporate-credit trends would be more problematic, because it would challenge the path to sustainably higher returns.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Xf64ad1b7c60b6f2210cf9a2180d029b39137717"/>
    <w:p>
      <w:pPr>
        <w:pStyle w:val="Heading2"/>
      </w:pPr>
      <w:r>
        <w:t xml:space="preserve">Investor Day commitments: management must begin proving the bridge</w:t>
      </w:r>
    </w:p>
    <w:p>
      <w:pPr>
        <w:pStyle w:val="FirstParagraph"/>
      </w:pPr>
      <w:r>
        <w:t xml:space="preserve">At its May 2026 Investor Day, Citi set a more ambitious return framework: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2026:</w:t>
      </w:r>
      <w:r>
        <w:t xml:space="preserve"> </w:t>
      </w:r>
      <w:r>
        <w:t xml:space="preserve">10%–11% RoTCE;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2027–2028:</w:t>
      </w:r>
      <w:r>
        <w:t xml:space="preserve"> </w:t>
      </w:r>
      <w:r>
        <w:t xml:space="preserve">11%–13% RoTCE;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Medium term:</w:t>
      </w:r>
      <w:r>
        <w:t xml:space="preserve"> </w:t>
      </w:r>
      <w:r>
        <w:t xml:space="preserve">14%–15% RoTCE.</w:t>
      </w:r>
    </w:p>
    <w:p>
      <w:pPr>
        <w:pStyle w:val="FirstParagraph"/>
      </w:pPr>
      <w:r>
        <w:t xml:space="preserve">The company expects the next leg of improvement to come from mid-single-digit revenue growth, further reduction of transformation and stranded costs, stronger business-line returns, AI-enabled productivity, and deferred-tax-asset utilization through higher U.S. earnings.</w:t>
      </w:r>
    </w:p>
    <w:p>
      <w:pPr>
        <w:pStyle w:val="BodyText"/>
      </w:pPr>
      <w:r>
        <w:t xml:space="preserve">The July report is the first major checkpoint since those targets were introduced. Investors will want confirmation that:</w:t>
      </w:r>
    </w:p>
    <w:p>
      <w:pPr>
        <w:pStyle w:val="Compact"/>
        <w:numPr>
          <w:ilvl w:val="0"/>
          <w:numId w:val="1008"/>
        </w:numPr>
      </w:pPr>
      <w:r>
        <w:t xml:space="preserve">Services is tracking toward mid-20s through-cycle RoTCE;</w:t>
      </w:r>
    </w:p>
    <w:p>
      <w:pPr>
        <w:pStyle w:val="Compact"/>
        <w:numPr>
          <w:ilvl w:val="0"/>
          <w:numId w:val="1008"/>
        </w:numPr>
      </w:pPr>
      <w:r>
        <w:t xml:space="preserve">Markets can move toward 13%+ returns;</w:t>
      </w:r>
    </w:p>
    <w:p>
      <w:pPr>
        <w:pStyle w:val="Compact"/>
        <w:numPr>
          <w:ilvl w:val="0"/>
          <w:numId w:val="1008"/>
        </w:numPr>
      </w:pPr>
      <w:r>
        <w:t xml:space="preserve">Banking is improving toward mid-to-high-teens returns;</w:t>
      </w:r>
    </w:p>
    <w:p>
      <w:pPr>
        <w:pStyle w:val="Compact"/>
        <w:numPr>
          <w:ilvl w:val="0"/>
          <w:numId w:val="1008"/>
        </w:numPr>
      </w:pPr>
      <w:r>
        <w:t xml:space="preserve">Wealth continues its turnaround toward 15%–20% near-term RoTCE;</w:t>
      </w:r>
    </w:p>
    <w:p>
      <w:pPr>
        <w:pStyle w:val="Compact"/>
        <w:numPr>
          <w:ilvl w:val="0"/>
          <w:numId w:val="1008"/>
        </w:numPr>
      </w:pPr>
      <w:r>
        <w:t xml:space="preserve">Cards sustain low-20s returns;</w:t>
      </w:r>
    </w:p>
    <w:p>
      <w:pPr>
        <w:pStyle w:val="Compact"/>
        <w:numPr>
          <w:ilvl w:val="0"/>
          <w:numId w:val="1008"/>
        </w:numPr>
      </w:pPr>
      <w:r>
        <w:t xml:space="preserve">Transformation programs are nearing completion without slipping;</w:t>
      </w:r>
    </w:p>
    <w:p>
      <w:pPr>
        <w:pStyle w:val="Compact"/>
        <w:numPr>
          <w:ilvl w:val="0"/>
          <w:numId w:val="1008"/>
        </w:numPr>
      </w:pPr>
      <w:r>
        <w:t xml:space="preserve">Regulatory consent orders are not creating a new operating or expense burden.</w:t>
      </w:r>
    </w:p>
    <w:p>
      <w:r>
        <w:pict>
          <v:rect style="width:0;height:1.5pt" o:hralign="center" o:hrstd="t" o:hr="t"/>
        </w:pict>
      </w:r>
    </w:p>
    <w:bookmarkEnd w:id="20"/>
    <w:bookmarkStart w:id="21" w:name="stock-setup-and-expectations-risk"/>
    <w:p>
      <w:pPr>
        <w:pStyle w:val="Heading2"/>
      </w:pPr>
      <w:r>
        <w:t xml:space="preserve">Stock setup and expectations risk</w:t>
      </w:r>
    </w:p>
    <w:p>
      <w:pPr>
        <w:pStyle w:val="FirstParagraph"/>
      </w:pPr>
      <w:r>
        <w:t xml:space="preserve">C closed at</w:t>
      </w:r>
      <w:r>
        <w:t xml:space="preserve"> </w:t>
      </w:r>
      <w:r>
        <w:rPr>
          <w:b/>
          <w:bCs/>
        </w:rPr>
        <w:t xml:space="preserve">$140.74 on July 13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21% year to date</w:t>
      </w:r>
      <w:r>
        <w:t xml:space="preserve">, substantially outperforming the broader financial-sector ETF and several large-bank peers over the same period. The market is rewarding the combination of stronger execution, return targets, capital return, and the perception that Citi’s restructuring is reaching an inflection point.</w:t>
      </w:r>
    </w:p>
    <w:p>
      <w:pPr>
        <w:pStyle w:val="BodyText"/>
      </w:pPr>
      <w:r>
        <w:t xml:space="preserve">That creates a higher bar for the report. A simple EPS beat may not be enough if it is driven by volatile trading gains or a lower tax rate. The stock will likely respond best to a combination of:</w:t>
      </w:r>
    </w:p>
    <w:p>
      <w:pPr>
        <w:pStyle w:val="Compact"/>
        <w:numPr>
          <w:ilvl w:val="0"/>
          <w:numId w:val="1009"/>
        </w:numPr>
      </w:pPr>
      <w:r>
        <w:t xml:space="preserve">Revenue beat led by Services, Banking, or both;</w:t>
      </w:r>
    </w:p>
    <w:p>
      <w:pPr>
        <w:pStyle w:val="Compact"/>
        <w:numPr>
          <w:ilvl w:val="0"/>
          <w:numId w:val="1009"/>
        </w:numPr>
      </w:pPr>
      <w:r>
        <w:t xml:space="preserve">Stable-to-positive full-year NII and efficiency commentary;</w:t>
      </w:r>
    </w:p>
    <w:p>
      <w:pPr>
        <w:pStyle w:val="Compact"/>
        <w:numPr>
          <w:ilvl w:val="0"/>
          <w:numId w:val="1009"/>
        </w:numPr>
      </w:pPr>
      <w:r>
        <w:t xml:space="preserve">Controlled credit costs;</w:t>
      </w:r>
    </w:p>
    <w:p>
      <w:pPr>
        <w:pStyle w:val="Compact"/>
        <w:numPr>
          <w:ilvl w:val="0"/>
          <w:numId w:val="1009"/>
        </w:numPr>
      </w:pPr>
      <w:r>
        <w:t xml:space="preserve">Continued aggressive capital-return messaging;</w:t>
      </w:r>
    </w:p>
    <w:p>
      <w:pPr>
        <w:pStyle w:val="Compact"/>
        <w:numPr>
          <w:ilvl w:val="0"/>
          <w:numId w:val="1009"/>
        </w:numPr>
      </w:pPr>
      <w:r>
        <w:t xml:space="preserve">Clear evidence that Investor Day targets remain achievable.</w:t>
      </w:r>
    </w:p>
    <w:p>
      <w:pPr>
        <w:pStyle w:val="FirstParagraph"/>
      </w:pPr>
      <w:r>
        <w:t xml:space="preserve">Conversely, shares could be vulnerable if Citi delivers a modest beat but tempers expectations around investment-banking conversion, Services deposits, expenses, credit, or buybacks.</w:t>
      </w:r>
    </w:p>
    <w:p>
      <w:r>
        <w:pict>
          <v:rect style="width:0;height:1.5pt" o:hralign="center" o:hrstd="t" o:hr="t"/>
        </w:pict>
      </w:r>
    </w:p>
    <w:bookmarkEnd w:id="21"/>
    <w:bookmarkStart w:id="22" w:name="key-questions-for-management"/>
    <w:p>
      <w:pPr>
        <w:pStyle w:val="Heading2"/>
      </w:pPr>
      <w:r>
        <w:t xml:space="preserve">Key questions for management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Is the 5%–6% 2026 NII ex-Markets growth outlook unchanged?</w:t>
      </w:r>
      <w:r>
        <w:t xml:space="preserve"> </w:t>
      </w:r>
      <w:r>
        <w:t xml:space="preserve">What has changed in deposit pricing, loan growth, and rate assumptions?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How did 2Q Markets compare with normal seasonality?</w:t>
      </w:r>
      <w:r>
        <w:t xml:space="preserve"> </w:t>
      </w:r>
      <w:r>
        <w:t xml:space="preserve">Which products—FX, commodities, rates, spreads, equities, or prime—drove the result?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How is the Investment Banking pipeline converting?</w:t>
      </w:r>
      <w:r>
        <w:t xml:space="preserve"> </w:t>
      </w:r>
      <w:r>
        <w:t xml:space="preserve">Is M&amp;A resilient, and what is the outlook for ECM and leveraged finance?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What is the current run rate for transformation and stranded-cost reduction?</w:t>
      </w:r>
      <w:r>
        <w:t xml:space="preserve"> </w:t>
      </w:r>
      <w:r>
        <w:t xml:space="preserve">Is Citi on track for its approximately 60% 2026 efficiency-ratio target?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Are U.S. card credit metrics tracking within the 4.0%–4.5% full-year NCO guide?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What are the latest timing and capital implications for Banamex?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What additional evidence can management provide that the remaining regulatory-remediation work is progressing toward completion?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How should investors think about 2H26 buyback pace following the new $30B authorization?</w:t>
      </w:r>
    </w:p>
    <w:p>
      <w:r>
        <w:pict>
          <v:rect style="width:0;height:1.5pt" o:hralign="center" o:hrstd="t" o:hr="t"/>
        </w:pict>
      </w:r>
    </w:p>
    <w:bookmarkEnd w:id="22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Citi enters 2Q26 with the strongest strategic and operating setup it has had in years. The company has moved from a restructuring story to an execution-and-returns story, underpinned by a differentiated Services franchise, improving capital-markets share, accelerating Wealth and Cards initiatives, declining transformation costs, and significant buyback capacity.</w:t>
      </w:r>
    </w:p>
    <w:p>
      <w:pPr>
        <w:pStyle w:val="BodyText"/>
      </w:pPr>
      <w:r>
        <w:t xml:space="preserve">The near-term risk is that expectations have risen alongside the share price. For the report to reinforce the bullish thesis, Citi needs to show that revenue strength is broad-based, credit remains controlled, expense discipline is intact, and the path laid out at Investor Day remains credible. A strong result would shift the debate further from “can Citi improve?” to “how quickly can Citi close its return gap with the largest U.S. bank peers?”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2026-07-14T01:28:11Z</dcterms:created>
  <dcterms:modified xsi:type="dcterms:W3CDTF">2026-07-14T01:28:11Z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