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Citigroup Inc. (C)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Citigroup Inc.</w:t>
            </w:r>
          </w:p>
        </w:tc>
      </w:tr>
      <w:tr>
        <w:tc>
          <w:tcPr>
            <w:tcW w:type="dxa" w:w="4320"/>
          </w:tcPr>
          <w:p>
            <w:r>
              <w:rPr>
                <w:rFonts w:ascii="Calibri" w:hAnsi="Calibri"/>
                <w:b/>
                <w:sz w:val="22"/>
              </w:rPr>
              <w:t>Ticker</w:t>
            </w:r>
          </w:p>
        </w:tc>
        <w:tc>
          <w:tcPr>
            <w:tcW w:type="dxa" w:w="4320"/>
          </w:tcPr>
          <w:p>
            <w:r>
              <w:rPr>
                <w:rFonts w:ascii="Calibri" w:hAnsi="Calibri"/>
                <w:sz w:val="22"/>
              </w:rPr>
              <w:t>C (NYSE)</w:t>
            </w:r>
          </w:p>
        </w:tc>
      </w:tr>
      <w:tr>
        <w:tc>
          <w:tcPr>
            <w:tcW w:type="dxa" w:w="4320"/>
          </w:tcPr>
          <w:p>
            <w:r>
              <w:rPr>
                <w:rFonts w:ascii="Calibri" w:hAnsi="Calibri"/>
                <w:b/>
                <w:sz w:val="22"/>
              </w:rPr>
              <w:t>Upcoming Earnings Date</w:t>
            </w:r>
          </w:p>
        </w:tc>
        <w:tc>
          <w:tcPr>
            <w:tcW w:type="dxa" w:w="4320"/>
          </w:tcPr>
          <w:p>
            <w:r>
              <w:rPr>
                <w:rFonts w:ascii="Calibri" w:hAnsi="Calibri"/>
                <w:sz w:val="22"/>
              </w:rPr>
              <w:t>July 15,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13,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is a manageable bar and intra-quarter commentary from management points to broad-based outperformance, with the single biggest swing factor being whether </w:t>
      </w:r>
      <w:r>
        <w:rPr>
          <w:rFonts w:ascii="Calibri" w:hAnsi="Calibri"/>
          <w:b/>
          <w:color w:val="525866"/>
          <w:sz w:val="22"/>
        </w:rPr>
        <w:t>Markets revenue</w:t>
      </w:r>
      <w:r>
        <w:rPr>
          <w:rFonts w:ascii="Calibri" w:hAnsi="Calibri"/>
          <w:color w:val="525866"/>
          <w:sz w:val="22"/>
        </w:rPr>
        <w:t xml:space="preserve"> can sustain its momentum against a tough prior-year comp.</w:t>
      </w:r>
    </w:p>
    <w:p>
      <w:r>
        <w:rPr>
          <w:rFonts w:ascii="Calibri" w:hAnsi="Calibri"/>
          <w:color w:val="525866"/>
          <w:sz w:val="22"/>
        </w:rPr>
        <w:t xml:space="preserve">Heading into the Q2 2026 print, Citi's bar looks beatable. Consensus is modeling $23.7B in net revenues and $2.77 in operating EPS — both below the pace implied by Q1's blowout results, and management's own intra-quarter commentary at the June 9 Morgan Stanley Financials Conference pointed to </w:t>
      </w:r>
      <w:r>
        <w:rPr>
          <w:rFonts w:ascii="Calibri" w:hAnsi="Calibri"/>
          <w:b/>
          <w:color w:val="525866"/>
          <w:sz w:val="22"/>
        </w:rPr>
        <w:t>mid-teens IB fee growth year-over-year</w:t>
      </w:r>
      <w:r>
        <w:rPr>
          <w:rFonts w:ascii="Calibri" w:hAnsi="Calibri"/>
          <w:color w:val="525866"/>
          <w:sz w:val="22"/>
        </w:rPr>
        <w:t xml:space="preserve"> and </w:t>
      </w:r>
      <w:r>
        <w:rPr>
          <w:rFonts w:ascii="Calibri" w:hAnsi="Calibri"/>
          <w:b/>
          <w:color w:val="525866"/>
          <w:sz w:val="22"/>
        </w:rPr>
        <w:t>high single-digit to low double-digit Markets revenue growth</w:t>
      </w:r>
      <w:r>
        <w:rPr>
          <w:rFonts w:ascii="Calibri" w:hAnsi="Calibri"/>
          <w:color w:val="525866"/>
          <w:sz w:val="22"/>
        </w:rPr>
        <w:t xml:space="preserve"> — both ahead of where consensus was sitting at the time. Full-year guidance for NII ex-Markets of +5–6% was reaffirmed with confidence, and credit quality trends (NCLs down year-over-year, delinquencies following normal seasonal patterns) remove a key tail risk. The stock has rallied ~8.6% since Q1 earnings on April 14, roughly in line with XLF (+8.3%) and SPY (+7.9%), suggesting the market has not yet priced in a second consecutive blowout — leaving room for a positive reaction if results again exceed the maintained full-year guidance. The key wildcard is </w:t>
      </w:r>
      <w:r>
        <w:rPr>
          <w:rFonts w:ascii="Calibri" w:hAnsi="Calibri"/>
          <w:b/>
          <w:color w:val="525866"/>
          <w:sz w:val="22"/>
        </w:rPr>
        <w:t>Markets revenue</w:t>
      </w:r>
      <w:r>
        <w:rPr>
          <w:rFonts w:ascii="Calibri" w:hAnsi="Calibri"/>
          <w:color w:val="525866"/>
          <w:sz w:val="22"/>
        </w:rPr>
        <w:t>: Q2 2025 was elevated by tariff-driven volatility, making the year-over-year comp harder, and any softening in equities or FICC in the final weeks of June could compress the beat. The transformation narrative is firmly intact — the Investor Day on May 7 unveiled a $30B buyback program and a clear path to 14–15% ROTCE in the medium term — but the market will be watching whether Q2 efficiency ratio holds near the 60% target or drifts higher as seasonal Markets tailwinds fade.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across the board — management's own intra-quarter commentary implies revenues and IB fees tracking above street estimates. </w:t>
      </w:r>
      <w:r>
        <w:rPr>
          <w:rFonts w:ascii="Calibri" w:hAnsi="Calibri"/>
          <w:b/>
          <w:color w:val="525866"/>
          <w:sz w:val="22"/>
        </w:rPr>
        <w:t>Markets revenue</w:t>
      </w:r>
      <w:r>
        <w:rPr>
          <w:rFonts w:ascii="Calibri" w:hAnsi="Calibri"/>
          <w:color w:val="525866"/>
          <w:sz w:val="22"/>
        </w:rPr>
        <w:t xml:space="preserve"> is the bigger swing factor given the tough Q2 2025 comp; NII ex-Markets is the more predictable anchor.</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(Cons. vs. PY)</w:t>
            </w:r>
          </w:p>
        </w:tc>
        <w:tc>
          <w:tcPr>
            <w:tcW w:type="dxa" w:w="1234"/>
            <w:shd w:val="clear" w:color="auto" w:fill="3B4259"/>
          </w:tcPr>
          <w:p>
            <w:r>
              <w:rPr>
                <w:rFonts w:ascii="Calibri" w:hAnsi="Calibri"/>
                <w:b/>
                <w:color w:val="FFFFFF"/>
                <w:sz w:val="22"/>
              </w:rPr>
              <w:t>Management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Operating EPS ($)</w:t>
            </w:r>
          </w:p>
        </w:tc>
        <w:tc>
          <w:tcPr>
            <w:tcW w:type="dxa" w:w="1234"/>
          </w:tcPr>
          <w:p>
            <w:r>
              <w:rPr>
                <w:rFonts w:ascii="Calibri" w:hAnsi="Calibri"/>
                <w:sz w:val="22"/>
              </w:rPr>
              <w:t>$3.06</w:t>
            </w:r>
          </w:p>
        </w:tc>
        <w:tc>
          <w:tcPr>
            <w:tcW w:type="dxa" w:w="1234"/>
          </w:tcPr>
          <w:p>
            <w:r>
              <w:rPr>
                <w:rFonts w:ascii="Calibri" w:hAnsi="Calibri"/>
                <w:sz w:val="22"/>
              </w:rPr>
              <w:t>$1.96</w:t>
            </w:r>
          </w:p>
        </w:tc>
        <w:tc>
          <w:tcPr>
            <w:tcW w:type="dxa" w:w="1234"/>
          </w:tcPr>
          <w:p>
            <w:r>
              <w:rPr>
                <w:rFonts w:ascii="Calibri" w:hAnsi="Calibri"/>
                <w:sz w:val="22"/>
              </w:rPr>
              <w:t>$2.77</w:t>
            </w:r>
          </w:p>
        </w:tc>
        <w:tc>
          <w:tcPr>
            <w:tcW w:type="dxa" w:w="1234"/>
          </w:tcPr>
          <w:p>
            <w:r>
              <w:rPr>
                <w:rFonts w:ascii="Calibri" w:hAnsi="Calibri"/>
                <w:sz w:val="22"/>
              </w:rPr>
              <w:t>+41.4%</w:t>
            </w:r>
          </w:p>
        </w:tc>
        <w:tc>
          <w:tcPr>
            <w:tcW w:type="dxa" w:w="1234"/>
          </w:tcPr>
          <w:p>
            <w:r>
              <w:rPr>
                <w:rFonts w:ascii="Calibri" w:hAnsi="Calibri"/>
                <w:sz w:val="22"/>
              </w:rPr>
              <w:t>No specific Q2 guidance; FY 2026 ROTCE 10–11%</w:t>
            </w:r>
          </w:p>
        </w:tc>
        <w:tc>
          <w:tcPr>
            <w:tcW w:type="dxa" w:w="1234"/>
          </w:tcPr>
          <w:p>
            <w:r>
              <w:rPr>
                <w:rFonts w:ascii="Calibri" w:hAnsi="Calibri"/>
                <w:sz w:val="22"/>
              </w:rPr>
              <w:t>N/A (no Q2 EPS guide)</w:t>
            </w:r>
          </w:p>
        </w:tc>
      </w:tr>
      <w:tr>
        <w:tc>
          <w:tcPr>
            <w:tcW w:type="dxa" w:w="1234"/>
          </w:tcPr>
          <w:p>
            <w:r>
              <w:rPr>
                <w:rFonts w:ascii="Calibri" w:hAnsi="Calibri"/>
                <w:sz w:val="22"/>
              </w:rPr>
              <w:t>Revenues, Net of Interest Expense ($B)</w:t>
            </w:r>
          </w:p>
        </w:tc>
        <w:tc>
          <w:tcPr>
            <w:tcW w:type="dxa" w:w="1234"/>
          </w:tcPr>
          <w:p>
            <w:r>
              <w:rPr>
                <w:rFonts w:ascii="Calibri" w:hAnsi="Calibri"/>
                <w:sz w:val="22"/>
              </w:rPr>
              <w:t>$24.6B</w:t>
            </w:r>
          </w:p>
        </w:tc>
        <w:tc>
          <w:tcPr>
            <w:tcW w:type="dxa" w:w="1234"/>
          </w:tcPr>
          <w:p>
            <w:r>
              <w:rPr>
                <w:rFonts w:ascii="Calibri" w:hAnsi="Calibri"/>
                <w:sz w:val="22"/>
              </w:rPr>
              <w:t>$21.7B</w:t>
            </w:r>
          </w:p>
        </w:tc>
        <w:tc>
          <w:tcPr>
            <w:tcW w:type="dxa" w:w="1234"/>
          </w:tcPr>
          <w:p>
            <w:r>
              <w:rPr>
                <w:rFonts w:ascii="Calibri" w:hAnsi="Calibri"/>
                <w:sz w:val="22"/>
              </w:rPr>
              <w:t>$23.7B</w:t>
            </w:r>
          </w:p>
        </w:tc>
        <w:tc>
          <w:tcPr>
            <w:tcW w:type="dxa" w:w="1234"/>
          </w:tcPr>
          <w:p>
            <w:r>
              <w:rPr>
                <w:rFonts w:ascii="Calibri" w:hAnsi="Calibri"/>
                <w:sz w:val="22"/>
              </w:rPr>
              <w:t>+9.4%</w:t>
            </w:r>
          </w:p>
        </w:tc>
        <w:tc>
          <w:tcPr>
            <w:tcW w:type="dxa" w:w="1234"/>
          </w:tcPr>
          <w:p>
            <w:r>
              <w:rPr>
                <w:rFonts w:ascii="Calibri" w:hAnsi="Calibri"/>
                <w:sz w:val="22"/>
              </w:rPr>
              <w:t>FY 2026 NII ex-Markets +5–6% YoY; mid-single-digit revenue CAGR near-term</w:t>
            </w:r>
          </w:p>
        </w:tc>
        <w:tc>
          <w:tcPr>
            <w:tcW w:type="dxa" w:w="1234"/>
          </w:tcPr>
          <w:p>
            <w:r>
              <w:rPr>
                <w:rFonts w:ascii="Calibri" w:hAnsi="Calibri"/>
                <w:sz w:val="22"/>
              </w:rPr>
              <w:t>In line / slightly below implied run-rate</w:t>
            </w:r>
          </w:p>
        </w:tc>
      </w:tr>
      <w:tr>
        <w:tc>
          <w:tcPr>
            <w:tcW w:type="dxa" w:w="1234"/>
          </w:tcPr>
          <w:p>
            <w:r>
              <w:rPr>
                <w:rFonts w:ascii="Calibri" w:hAnsi="Calibri"/>
                <w:sz w:val="22"/>
              </w:rPr>
              <w:t>Net Interest Revenue ($B)</w:t>
            </w:r>
          </w:p>
        </w:tc>
        <w:tc>
          <w:tcPr>
            <w:tcW w:type="dxa" w:w="1234"/>
          </w:tcPr>
          <w:p>
            <w:r>
              <w:rPr>
                <w:rFonts w:ascii="Calibri" w:hAnsi="Calibri"/>
                <w:sz w:val="22"/>
              </w:rPr>
              <w:t>$15.7B</w:t>
            </w:r>
          </w:p>
        </w:tc>
        <w:tc>
          <w:tcPr>
            <w:tcW w:type="dxa" w:w="1234"/>
          </w:tcPr>
          <w:p>
            <w:r>
              <w:rPr>
                <w:rFonts w:ascii="Calibri" w:hAnsi="Calibri"/>
                <w:sz w:val="22"/>
              </w:rPr>
              <w:t>$15.2B</w:t>
            </w:r>
          </w:p>
        </w:tc>
        <w:tc>
          <w:tcPr>
            <w:tcW w:type="dxa" w:w="1234"/>
          </w:tcPr>
          <w:p>
            <w:r>
              <w:rPr>
                <w:rFonts w:ascii="Calibri" w:hAnsi="Calibri"/>
                <w:sz w:val="22"/>
              </w:rPr>
              <w:t>$16.0B</w:t>
            </w:r>
          </w:p>
        </w:tc>
        <w:tc>
          <w:tcPr>
            <w:tcW w:type="dxa" w:w="1234"/>
          </w:tcPr>
          <w:p>
            <w:r>
              <w:rPr>
                <w:rFonts w:ascii="Calibri" w:hAnsi="Calibri"/>
                <w:sz w:val="22"/>
              </w:rPr>
              <w:t>+5.5%</w:t>
            </w:r>
          </w:p>
        </w:tc>
        <w:tc>
          <w:tcPr>
            <w:tcW w:type="dxa" w:w="1234"/>
          </w:tcPr>
          <w:p>
            <w:r>
              <w:rPr>
                <w:rFonts w:ascii="Calibri" w:hAnsi="Calibri"/>
                <w:sz w:val="22"/>
              </w:rPr>
              <w:t>NII ex-Markets +5–6% FY 2026</w:t>
            </w:r>
          </w:p>
        </w:tc>
        <w:tc>
          <w:tcPr>
            <w:tcW w:type="dxa" w:w="1234"/>
          </w:tcPr>
          <w:p>
            <w:r>
              <w:rPr>
                <w:rFonts w:ascii="Calibri" w:hAnsi="Calibri"/>
                <w:sz w:val="22"/>
              </w:rPr>
              <w:t>~In line with guidance midpoint</w:t>
            </w:r>
          </w:p>
        </w:tc>
      </w:tr>
      <w:tr>
        <w:tc>
          <w:tcPr>
            <w:tcW w:type="dxa" w:w="1234"/>
          </w:tcPr>
          <w:p>
            <w:r>
              <w:rPr>
                <w:rFonts w:ascii="Calibri" w:hAnsi="Calibri"/>
                <w:sz w:val="22"/>
              </w:rPr>
              <w:t>ROTCE (%)</w:t>
            </w:r>
          </w:p>
        </w:tc>
        <w:tc>
          <w:tcPr>
            <w:tcW w:type="dxa" w:w="1234"/>
          </w:tcPr>
          <w:p>
            <w:r>
              <w:rPr>
                <w:rFonts w:ascii="Calibri" w:hAnsi="Calibri"/>
                <w:sz w:val="22"/>
              </w:rPr>
              <w:t>12.9%</w:t>
            </w:r>
          </w:p>
        </w:tc>
        <w:tc>
          <w:tcPr>
            <w:tcW w:type="dxa" w:w="1234"/>
          </w:tcPr>
          <w:p>
            <w:r>
              <w:rPr>
                <w:rFonts w:ascii="Calibri" w:hAnsi="Calibri"/>
                <w:sz w:val="22"/>
              </w:rPr>
              <w:t>8.6%</w:t>
            </w:r>
          </w:p>
        </w:tc>
        <w:tc>
          <w:tcPr>
            <w:tcW w:type="dxa" w:w="1234"/>
          </w:tcPr>
          <w:p>
            <w:r>
              <w:rPr>
                <w:rFonts w:ascii="Calibri" w:hAnsi="Calibri"/>
                <w:sz w:val="22"/>
              </w:rPr>
              <w:t>11.1%</w:t>
            </w:r>
          </w:p>
        </w:tc>
        <w:tc>
          <w:tcPr>
            <w:tcW w:type="dxa" w:w="1234"/>
          </w:tcPr>
          <w:p>
            <w:r>
              <w:rPr>
                <w:rFonts w:ascii="Calibri" w:hAnsi="Calibri"/>
                <w:sz w:val="22"/>
              </w:rPr>
              <w:t>+250 bps</w:t>
            </w:r>
          </w:p>
        </w:tc>
        <w:tc>
          <w:tcPr>
            <w:tcW w:type="dxa" w:w="1234"/>
          </w:tcPr>
          <w:p>
            <w:r>
              <w:rPr>
                <w:rFonts w:ascii="Calibri" w:hAnsi="Calibri"/>
                <w:sz w:val="22"/>
              </w:rPr>
              <w:t>FY 2026: 10–11%</w:t>
            </w:r>
          </w:p>
        </w:tc>
        <w:tc>
          <w:tcPr>
            <w:tcW w:type="dxa" w:w="1234"/>
          </w:tcPr>
          <w:p>
            <w:r>
              <w:rPr>
                <w:rFonts w:ascii="Calibri" w:hAnsi="Calibri"/>
                <w:sz w:val="22"/>
              </w:rPr>
              <w:t>~+10 bps above midpoint</w:t>
            </w:r>
          </w:p>
        </w:tc>
      </w:tr>
      <w:tr>
        <w:tc>
          <w:tcPr>
            <w:tcW w:type="dxa" w:w="1234"/>
          </w:tcPr>
          <w:p>
            <w:r>
              <w:rPr>
                <w:rFonts w:ascii="Calibri" w:hAnsi="Calibri"/>
                <w:sz w:val="22"/>
              </w:rPr>
              <w:t>Efficiency Ratio (%)</w:t>
            </w:r>
          </w:p>
        </w:tc>
        <w:tc>
          <w:tcPr>
            <w:tcW w:type="dxa" w:w="1234"/>
          </w:tcPr>
          <w:p>
            <w:r>
              <w:rPr>
                <w:rFonts w:ascii="Calibri" w:hAnsi="Calibri"/>
                <w:sz w:val="22"/>
              </w:rPr>
              <w:t>58.1%</w:t>
            </w:r>
          </w:p>
        </w:tc>
        <w:tc>
          <w:tcPr>
            <w:tcW w:type="dxa" w:w="1234"/>
          </w:tcPr>
          <w:p>
            <w:r>
              <w:rPr>
                <w:rFonts w:ascii="Calibri" w:hAnsi="Calibri"/>
                <w:sz w:val="22"/>
              </w:rPr>
              <w:t>62.7%</w:t>
            </w:r>
          </w:p>
        </w:tc>
        <w:tc>
          <w:tcPr>
            <w:tcW w:type="dxa" w:w="1234"/>
          </w:tcPr>
          <w:p>
            <w:r>
              <w:rPr>
                <w:rFonts w:ascii="Calibri" w:hAnsi="Calibri"/>
                <w:sz w:val="22"/>
              </w:rPr>
              <w:t>59.6%</w:t>
            </w:r>
          </w:p>
        </w:tc>
        <w:tc>
          <w:tcPr>
            <w:tcW w:type="dxa" w:w="1234"/>
          </w:tcPr>
          <w:p>
            <w:r>
              <w:rPr>
                <w:rFonts w:ascii="Calibri" w:hAnsi="Calibri"/>
                <w:sz w:val="22"/>
              </w:rPr>
              <w:t>-310 bps</w:t>
            </w:r>
          </w:p>
        </w:tc>
        <w:tc>
          <w:tcPr>
            <w:tcW w:type="dxa" w:w="1234"/>
          </w:tcPr>
          <w:p>
            <w:r>
              <w:rPr>
                <w:rFonts w:ascii="Calibri" w:hAnsi="Calibri"/>
                <w:sz w:val="22"/>
              </w:rPr>
              <w:t>FY 2026: ~60%</w:t>
            </w:r>
          </w:p>
        </w:tc>
        <w:tc>
          <w:tcPr>
            <w:tcW w:type="dxa" w:w="1234"/>
          </w:tcPr>
          <w:p>
            <w:r>
              <w:rPr>
                <w:rFonts w:ascii="Calibri" w:hAnsi="Calibri"/>
                <w:sz w:val="22"/>
              </w:rPr>
              <w:t>~40 bps below guidance midpoint</w:t>
            </w:r>
          </w:p>
        </w:tc>
      </w:tr>
      <w:tr>
        <w:tc>
          <w:tcPr>
            <w:tcW w:type="dxa" w:w="1234"/>
          </w:tcPr>
          <w:p>
            <w:r>
              <w:rPr>
                <w:rFonts w:ascii="Calibri" w:hAnsi="Calibri"/>
                <w:sz w:val="22"/>
              </w:rPr>
              <w:t>Markets Revenue ($B)</w:t>
            </w:r>
          </w:p>
        </w:tc>
        <w:tc>
          <w:tcPr>
            <w:tcW w:type="dxa" w:w="1234"/>
          </w:tcPr>
          <w:p>
            <w:r>
              <w:rPr>
                <w:rFonts w:ascii="Calibri" w:hAnsi="Calibri"/>
                <w:sz w:val="22"/>
              </w:rPr>
              <w:t>$7.2B</w:t>
            </w:r>
          </w:p>
        </w:tc>
        <w:tc>
          <w:tcPr>
            <w:tcW w:type="dxa" w:w="1234"/>
          </w:tcPr>
          <w:p>
            <w:r>
              <w:rPr>
                <w:rFonts w:ascii="Calibri" w:hAnsi="Calibri"/>
                <w:sz w:val="22"/>
              </w:rPr>
              <w:t>$6.0B</w:t>
            </w:r>
          </w:p>
        </w:tc>
        <w:tc>
          <w:tcPr>
            <w:tcW w:type="dxa" w:w="1234"/>
          </w:tcPr>
          <w:p>
            <w:r>
              <w:rPr>
                <w:rFonts w:ascii="Calibri" w:hAnsi="Calibri"/>
                <w:sz w:val="22"/>
              </w:rPr>
              <w:t>$6.6B</w:t>
            </w:r>
          </w:p>
        </w:tc>
        <w:tc>
          <w:tcPr>
            <w:tcW w:type="dxa" w:w="1234"/>
          </w:tcPr>
          <w:p>
            <w:r>
              <w:rPr>
                <w:rFonts w:ascii="Calibri" w:hAnsi="Calibri"/>
                <w:sz w:val="22"/>
              </w:rPr>
              <w:t>+10.3%</w:t>
            </w:r>
          </w:p>
        </w:tc>
        <w:tc>
          <w:tcPr>
            <w:tcW w:type="dxa" w:w="1234"/>
          </w:tcPr>
          <w:p>
            <w:r>
              <w:rPr>
                <w:rFonts w:ascii="Calibri" w:hAnsi="Calibri"/>
                <w:sz w:val="22"/>
              </w:rPr>
              <w:t>Q2 tracking high single-digit to low double-digit YoY growth (June 9 conf.)</w:t>
            </w:r>
          </w:p>
        </w:tc>
        <w:tc>
          <w:tcPr>
            <w:tcW w:type="dxa" w:w="1234"/>
          </w:tcPr>
          <w:p>
            <w:r>
              <w:rPr>
                <w:rFonts w:ascii="Calibri" w:hAnsi="Calibri"/>
                <w:sz w:val="22"/>
              </w:rPr>
              <w:t>Cons. at low end of mgmt. range</w:t>
            </w:r>
          </w:p>
        </w:tc>
      </w:tr>
      <w:tr>
        <w:tc>
          <w:tcPr>
            <w:tcW w:type="dxa" w:w="1234"/>
          </w:tcPr>
          <w:p>
            <w:r>
              <w:rPr>
                <w:rFonts w:ascii="Calibri" w:hAnsi="Calibri"/>
                <w:sz w:val="22"/>
              </w:rPr>
              <w:t>Services Revenue ($B)</w:t>
            </w:r>
          </w:p>
        </w:tc>
        <w:tc>
          <w:tcPr>
            <w:tcW w:type="dxa" w:w="1234"/>
          </w:tcPr>
          <w:p>
            <w:r>
              <w:rPr>
                <w:rFonts w:ascii="Calibri" w:hAnsi="Calibri"/>
                <w:sz w:val="22"/>
              </w:rPr>
              <w:t>$6.1B</w:t>
            </w:r>
          </w:p>
        </w:tc>
        <w:tc>
          <w:tcPr>
            <w:tcW w:type="dxa" w:w="1234"/>
          </w:tcPr>
          <w:p>
            <w:r>
              <w:rPr>
                <w:rFonts w:ascii="Calibri" w:hAnsi="Calibri"/>
                <w:sz w:val="22"/>
              </w:rPr>
              <w:t>$5.4B</w:t>
            </w:r>
          </w:p>
        </w:tc>
        <w:tc>
          <w:tcPr>
            <w:tcW w:type="dxa" w:w="1234"/>
          </w:tcPr>
          <w:p>
            <w:r>
              <w:rPr>
                <w:rFonts w:ascii="Calibri" w:hAnsi="Calibri"/>
                <w:sz w:val="22"/>
              </w:rPr>
              <w:t>$6.1B</w:t>
            </w:r>
          </w:p>
        </w:tc>
        <w:tc>
          <w:tcPr>
            <w:tcW w:type="dxa" w:w="1234"/>
          </w:tcPr>
          <w:p>
            <w:r>
              <w:rPr>
                <w:rFonts w:ascii="Calibri" w:hAnsi="Calibri"/>
                <w:sz w:val="22"/>
              </w:rPr>
              <w:t>+13.0%</w:t>
            </w:r>
          </w:p>
        </w:tc>
        <w:tc>
          <w:tcPr>
            <w:tcW w:type="dxa" w:w="1234"/>
          </w:tcPr>
          <w:p>
            <w:r>
              <w:rPr>
                <w:rFonts w:ascii="Calibri" w:hAnsi="Calibri"/>
                <w:sz w:val="22"/>
              </w:rPr>
              <w:t>Fee growth in Services; mid-single-digit deposit/loan growth</w:t>
            </w:r>
          </w:p>
        </w:tc>
        <w:tc>
          <w:tcPr>
            <w:tcW w:type="dxa" w:w="1234"/>
          </w:tcPr>
          <w:p>
            <w:r>
              <w:rPr>
                <w:rFonts w:ascii="Calibri" w:hAnsi="Calibri"/>
                <w:sz w:val="22"/>
              </w:rPr>
              <w:t>~In line</w:t>
            </w:r>
          </w:p>
        </w:tc>
      </w:tr>
      <w:tr>
        <w:tc>
          <w:tcPr>
            <w:tcW w:type="dxa" w:w="1234"/>
          </w:tcPr>
          <w:p>
            <w:r>
              <w:rPr>
                <w:rFonts w:ascii="Calibri" w:hAnsi="Calibri"/>
                <w:sz w:val="22"/>
              </w:rPr>
              <w:t>Banking Revenue ($B)</w:t>
            </w:r>
          </w:p>
        </w:tc>
        <w:tc>
          <w:tcPr>
            <w:tcW w:type="dxa" w:w="1234"/>
          </w:tcPr>
          <w:p>
            <w:r>
              <w:rPr>
                <w:rFonts w:ascii="Calibri" w:hAnsi="Calibri"/>
                <w:sz w:val="22"/>
              </w:rPr>
              <w:t>$1.8B</w:t>
            </w:r>
          </w:p>
        </w:tc>
        <w:tc>
          <w:tcPr>
            <w:tcW w:type="dxa" w:w="1234"/>
          </w:tcPr>
          <w:p>
            <w:r>
              <w:rPr>
                <w:rFonts w:ascii="Calibri" w:hAnsi="Calibri"/>
                <w:sz w:val="22"/>
              </w:rPr>
              <w:t>$1.4B</w:t>
            </w:r>
          </w:p>
        </w:tc>
        <w:tc>
          <w:tcPr>
            <w:tcW w:type="dxa" w:w="1234"/>
          </w:tcPr>
          <w:p>
            <w:r>
              <w:rPr>
                <w:rFonts w:ascii="Calibri" w:hAnsi="Calibri"/>
                <w:sz w:val="22"/>
              </w:rPr>
              <w:t>$1.8B</w:t>
            </w:r>
          </w:p>
        </w:tc>
        <w:tc>
          <w:tcPr>
            <w:tcW w:type="dxa" w:w="1234"/>
          </w:tcPr>
          <w:p>
            <w:r>
              <w:rPr>
                <w:rFonts w:ascii="Calibri" w:hAnsi="Calibri"/>
                <w:sz w:val="22"/>
              </w:rPr>
              <w:t>+24.2%</w:t>
            </w:r>
          </w:p>
        </w:tc>
        <w:tc>
          <w:tcPr>
            <w:tcW w:type="dxa" w:w="1234"/>
          </w:tcPr>
          <w:p>
            <w:r>
              <w:rPr>
                <w:rFonts w:ascii="Calibri" w:hAnsi="Calibri"/>
                <w:sz w:val="22"/>
              </w:rPr>
              <w:t>IB fees tracking mid-teens YoY growth in Q2 (June 9 conf.)</w:t>
            </w:r>
          </w:p>
        </w:tc>
        <w:tc>
          <w:tcPr>
            <w:tcW w:type="dxa" w:w="1234"/>
          </w:tcPr>
          <w:p>
            <w:r>
              <w:rPr>
                <w:rFonts w:ascii="Calibri" w:hAnsi="Calibri"/>
                <w:sz w:val="22"/>
              </w:rPr>
              <w:t>Cons. may be conservative vs. mgmt. signal</w:t>
            </w:r>
          </w:p>
        </w:tc>
      </w:tr>
      <w:tr>
        <w:tc>
          <w:tcPr>
            <w:tcW w:type="dxa" w:w="1234"/>
          </w:tcPr>
          <w:p>
            <w:r>
              <w:rPr>
                <w:rFonts w:ascii="Calibri" w:hAnsi="Calibri"/>
                <w:sz w:val="22"/>
              </w:rPr>
              <w:t>Wealth Management Revenue ($B)</w:t>
            </w:r>
          </w:p>
        </w:tc>
        <w:tc>
          <w:tcPr>
            <w:tcW w:type="dxa" w:w="1234"/>
          </w:tcPr>
          <w:p>
            <w:r>
              <w:rPr>
                <w:rFonts w:ascii="Calibri" w:hAnsi="Calibri"/>
                <w:sz w:val="22"/>
              </w:rPr>
              <w:t>$3.1B</w:t>
            </w:r>
          </w:p>
        </w:tc>
        <w:tc>
          <w:tcPr>
            <w:tcW w:type="dxa" w:w="1234"/>
          </w:tcPr>
          <w:p>
            <w:r>
              <w:rPr>
                <w:rFonts w:ascii="Calibri" w:hAnsi="Calibri"/>
                <w:sz w:val="22"/>
              </w:rPr>
              <w:t>$2.8B</w:t>
            </w:r>
          </w:p>
        </w:tc>
        <w:tc>
          <w:tcPr>
            <w:tcW w:type="dxa" w:w="1234"/>
          </w:tcPr>
          <w:p>
            <w:r>
              <w:rPr>
                <w:rFonts w:ascii="Calibri" w:hAnsi="Calibri"/>
                <w:sz w:val="22"/>
              </w:rPr>
              <w:t>$3.0B</w:t>
            </w:r>
          </w:p>
        </w:tc>
        <w:tc>
          <w:tcPr>
            <w:tcW w:type="dxa" w:w="1234"/>
          </w:tcPr>
          <w:p>
            <w:r>
              <w:rPr>
                <w:rFonts w:ascii="Calibri" w:hAnsi="Calibri"/>
                <w:sz w:val="22"/>
              </w:rPr>
              <w:t>+6.2%</w:t>
            </w:r>
          </w:p>
        </w:tc>
        <w:tc>
          <w:tcPr>
            <w:tcW w:type="dxa" w:w="1234"/>
          </w:tcPr>
          <w:p>
            <w:r>
              <w:rPr>
                <w:rFonts w:ascii="Calibri" w:hAnsi="Calibri"/>
                <w:sz w:val="22"/>
              </w:rPr>
              <w:t>Fee growth in Wealth; 8th consecutive quarter of revenue growth</w:t>
            </w:r>
          </w:p>
        </w:tc>
        <w:tc>
          <w:tcPr>
            <w:tcW w:type="dxa" w:w="1234"/>
          </w:tcPr>
          <w:p>
            <w:r>
              <w:rPr>
                <w:rFonts w:ascii="Calibri" w:hAnsi="Calibri"/>
                <w:sz w:val="22"/>
              </w:rPr>
              <w:t>~In line</w:t>
            </w:r>
          </w:p>
        </w:tc>
      </w:tr>
      <w:tr>
        <w:tc>
          <w:tcPr>
            <w:tcW w:type="dxa" w:w="1234"/>
          </w:tcPr>
          <w:p>
            <w:r>
              <w:rPr>
                <w:rFonts w:ascii="Calibri" w:hAnsi="Calibri"/>
                <w:sz w:val="22"/>
              </w:rPr>
              <w:t>US Consumer Card Revenue ($B)</w:t>
            </w:r>
          </w:p>
        </w:tc>
        <w:tc>
          <w:tcPr>
            <w:tcW w:type="dxa" w:w="1234"/>
          </w:tcPr>
          <w:p>
            <w:r>
              <w:rPr>
                <w:rFonts w:ascii="Calibri" w:hAnsi="Calibri"/>
                <w:sz w:val="22"/>
              </w:rPr>
              <w:t>$4.8B</w:t>
            </w:r>
          </w:p>
        </w:tc>
        <w:tc>
          <w:tcPr>
            <w:tcW w:type="dxa" w:w="1234"/>
          </w:tcPr>
          <w:p>
            <w:r>
              <w:rPr>
                <w:rFonts w:ascii="Calibri" w:hAnsi="Calibri"/>
                <w:sz w:val="22"/>
              </w:rPr>
              <w:t>$4.5B</w:t>
            </w:r>
          </w:p>
        </w:tc>
        <w:tc>
          <w:tcPr>
            <w:tcW w:type="dxa" w:w="1234"/>
          </w:tcPr>
          <w:p>
            <w:r>
              <w:rPr>
                <w:rFonts w:ascii="Calibri" w:hAnsi="Calibri"/>
                <w:sz w:val="22"/>
              </w:rPr>
              <w:t>$4.7B</w:t>
            </w:r>
          </w:p>
        </w:tc>
        <w:tc>
          <w:tcPr>
            <w:tcW w:type="dxa" w:w="1234"/>
          </w:tcPr>
          <w:p>
            <w:r>
              <w:rPr>
                <w:rFonts w:ascii="Calibri" w:hAnsi="Calibri"/>
                <w:sz w:val="22"/>
              </w:rPr>
              <w:t>+5.9%</w:t>
            </w:r>
          </w:p>
        </w:tc>
        <w:tc>
          <w:tcPr>
            <w:tcW w:type="dxa" w:w="1234"/>
          </w:tcPr>
          <w:p>
            <w:r>
              <w:rPr>
                <w:rFonts w:ascii="Calibri" w:hAnsi="Calibri"/>
                <w:sz w:val="22"/>
              </w:rPr>
              <w:t>NCL rate 4.0–4.5% FY 2026 (revised lower)</w:t>
            </w:r>
          </w:p>
        </w:tc>
        <w:tc>
          <w:tcPr>
            <w:tcW w:type="dxa" w:w="1234"/>
          </w:tcPr>
          <w:p>
            <w:r>
              <w:rPr>
                <w:rFonts w:ascii="Calibri" w:hAnsi="Calibri"/>
                <w:sz w:val="22"/>
              </w:rPr>
              <w:t>~In line</w:t>
            </w:r>
          </w:p>
        </w:tc>
      </w:tr>
      <w:tr>
        <w:tc>
          <w:tcPr>
            <w:tcW w:type="dxa" w:w="1234"/>
          </w:tcPr>
          <w:p>
            <w:r>
              <w:rPr>
                <w:rFonts w:ascii="Calibri" w:hAnsi="Calibri"/>
                <w:sz w:val="22"/>
              </w:rPr>
              <w:t>Provision for Loan Losses ($B)</w:t>
            </w:r>
          </w:p>
        </w:tc>
        <w:tc>
          <w:tcPr>
            <w:tcW w:type="dxa" w:w="1234"/>
          </w:tcPr>
          <w:p>
            <w:r>
              <w:rPr>
                <w:rFonts w:ascii="Calibri" w:hAnsi="Calibri"/>
                <w:sz w:val="22"/>
              </w:rPr>
              <w:t>$2.6B</w:t>
            </w:r>
          </w:p>
        </w:tc>
        <w:tc>
          <w:tcPr>
            <w:tcW w:type="dxa" w:w="1234"/>
          </w:tcPr>
          <w:p>
            <w:r>
              <w:rPr>
                <w:rFonts w:ascii="Calibri" w:hAnsi="Calibri"/>
                <w:sz w:val="22"/>
              </w:rPr>
              <w:t>$2.5B</w:t>
            </w:r>
          </w:p>
        </w:tc>
        <w:tc>
          <w:tcPr>
            <w:tcW w:type="dxa" w:w="1234"/>
          </w:tcPr>
          <w:p>
            <w:r>
              <w:rPr>
                <w:rFonts w:ascii="Calibri" w:hAnsi="Calibri"/>
                <w:sz w:val="22"/>
              </w:rPr>
              <w:t>$2.6B</w:t>
            </w:r>
          </w:p>
        </w:tc>
        <w:tc>
          <w:tcPr>
            <w:tcW w:type="dxa" w:w="1234"/>
          </w:tcPr>
          <w:p>
            <w:r>
              <w:rPr>
                <w:rFonts w:ascii="Calibri" w:hAnsi="Calibri"/>
                <w:sz w:val="22"/>
              </w:rPr>
              <w:t>+4.4%</w:t>
            </w:r>
          </w:p>
        </w:tc>
        <w:tc>
          <w:tcPr>
            <w:tcW w:type="dxa" w:w="1234"/>
          </w:tcPr>
          <w:p>
            <w:r>
              <w:rPr>
                <w:rFonts w:ascii="Calibri" w:hAnsi="Calibri"/>
                <w:sz w:val="22"/>
              </w:rPr>
              <w:t>Cost of credit Q2 broadly in line with Q1 (June 9 conf.)</w:t>
            </w:r>
          </w:p>
        </w:tc>
        <w:tc>
          <w:tcPr>
            <w:tcW w:type="dxa" w:w="1234"/>
          </w:tcPr>
          <w:p>
            <w:r>
              <w:rPr>
                <w:rFonts w:ascii="Calibri" w:hAnsi="Calibri"/>
                <w:sz w:val="22"/>
              </w:rPr>
              <w:t>~In line with guidance</w:t>
            </w:r>
          </w:p>
        </w:tc>
      </w:tr>
      <w:tr>
        <w:tc>
          <w:tcPr>
            <w:tcW w:type="dxa" w:w="1234"/>
          </w:tcPr>
          <w:p>
            <w:r>
              <w:rPr>
                <w:rFonts w:ascii="Calibri" w:hAnsi="Calibri"/>
                <w:sz w:val="22"/>
              </w:rPr>
              <w:t>Net Charge-Off Rate (%)</w:t>
            </w:r>
          </w:p>
        </w:tc>
        <w:tc>
          <w:tcPr>
            <w:tcW w:type="dxa" w:w="1234"/>
          </w:tcPr>
          <w:p>
            <w:r>
              <w:rPr>
                <w:rFonts w:ascii="Calibri" w:hAnsi="Calibri"/>
                <w:sz w:val="22"/>
              </w:rPr>
              <w:t>1.17%</w:t>
            </w:r>
          </w:p>
        </w:tc>
        <w:tc>
          <w:tcPr>
            <w:tcW w:type="dxa" w:w="1234"/>
          </w:tcPr>
          <w:p>
            <w:r>
              <w:rPr>
                <w:rFonts w:ascii="Calibri" w:hAnsi="Calibri"/>
                <w:sz w:val="22"/>
              </w:rPr>
              <w:t>1.25%</w:t>
            </w:r>
          </w:p>
        </w:tc>
        <w:tc>
          <w:tcPr>
            <w:tcW w:type="dxa" w:w="1234"/>
          </w:tcPr>
          <w:p>
            <w:r>
              <w:rPr>
                <w:rFonts w:ascii="Calibri" w:hAnsi="Calibri"/>
                <w:sz w:val="22"/>
              </w:rPr>
              <w:t>1.23%</w:t>
            </w:r>
          </w:p>
        </w:tc>
        <w:tc>
          <w:tcPr>
            <w:tcW w:type="dxa" w:w="1234"/>
          </w:tcPr>
          <w:p>
            <w:r>
              <w:rPr>
                <w:rFonts w:ascii="Calibri" w:hAnsi="Calibri"/>
                <w:sz w:val="22"/>
              </w:rPr>
              <w:t>-2 bps</w:t>
            </w:r>
          </w:p>
        </w:tc>
        <w:tc>
          <w:tcPr>
            <w:tcW w:type="dxa" w:w="1234"/>
          </w:tcPr>
          <w:p>
            <w:r>
              <w:rPr>
                <w:rFonts w:ascii="Calibri" w:hAnsi="Calibri"/>
                <w:sz w:val="22"/>
              </w:rPr>
              <w:t>NCLs following normal seasonal patterns; down YoY</w:t>
            </w:r>
          </w:p>
        </w:tc>
        <w:tc>
          <w:tcPr>
            <w:tcW w:type="dxa" w:w="1234"/>
          </w:tcPr>
          <w:p>
            <w:r>
              <w:rPr>
                <w:rFonts w:ascii="Calibri" w:hAnsi="Calibri"/>
                <w:sz w:val="22"/>
              </w:rPr>
              <w:t>~In line / slightly better</w:t>
            </w:r>
          </w:p>
        </w:tc>
      </w:tr>
      <w:tr>
        <w:tc>
          <w:tcPr>
            <w:tcW w:type="dxa" w:w="1234"/>
          </w:tcPr>
          <w:p>
            <w:r>
              <w:rPr>
                <w:rFonts w:ascii="Calibri" w:hAnsi="Calibri"/>
                <w:sz w:val="22"/>
              </w:rPr>
              <w:t>CET1 Ratio — SA (%)</w:t>
            </w:r>
          </w:p>
        </w:tc>
        <w:tc>
          <w:tcPr>
            <w:tcW w:type="dxa" w:w="1234"/>
          </w:tcPr>
          <w:p>
            <w:r>
              <w:rPr>
                <w:rFonts w:ascii="Calibri" w:hAnsi="Calibri"/>
                <w:sz w:val="22"/>
              </w:rPr>
              <w:t>12.7%</w:t>
            </w:r>
          </w:p>
        </w:tc>
        <w:tc>
          <w:tcPr>
            <w:tcW w:type="dxa" w:w="1234"/>
          </w:tcPr>
          <w:p>
            <w:r>
              <w:rPr>
                <w:rFonts w:ascii="Calibri" w:hAnsi="Calibri"/>
                <w:sz w:val="22"/>
              </w:rPr>
              <w:t>13.5%</w:t>
            </w:r>
          </w:p>
        </w:tc>
        <w:tc>
          <w:tcPr>
            <w:tcW w:type="dxa" w:w="1234"/>
          </w:tcPr>
          <w:p>
            <w:r>
              <w:rPr>
                <w:rFonts w:ascii="Calibri" w:hAnsi="Calibri"/>
                <w:sz w:val="22"/>
              </w:rPr>
              <w:t>12.7%</w:t>
            </w:r>
          </w:p>
        </w:tc>
        <w:tc>
          <w:tcPr>
            <w:tcW w:type="dxa" w:w="1234"/>
          </w:tcPr>
          <w:p>
            <w:r>
              <w:rPr>
                <w:rFonts w:ascii="Calibri" w:hAnsi="Calibri"/>
                <w:sz w:val="22"/>
              </w:rPr>
              <w:t>-80 bps</w:t>
            </w:r>
          </w:p>
        </w:tc>
        <w:tc>
          <w:tcPr>
            <w:tcW w:type="dxa" w:w="1234"/>
          </w:tcPr>
          <w:p>
            <w:r>
              <w:rPr>
                <w:rFonts w:ascii="Calibri" w:hAnsi="Calibri"/>
                <w:sz w:val="22"/>
              </w:rPr>
              <w:t>~12.6% management target; ~13.1% from 2028 under current rules</w:t>
            </w:r>
          </w:p>
        </w:tc>
        <w:tc>
          <w:tcPr>
            <w:tcW w:type="dxa" w:w="1234"/>
          </w:tcPr>
          <w:p>
            <w:r>
              <w:rPr>
                <w:rFonts w:ascii="Calibri" w:hAnsi="Calibri"/>
                <w:sz w:val="22"/>
              </w:rPr>
              <w:t>~At target</w:t>
            </w:r>
          </w:p>
        </w:tc>
      </w:tr>
    </w:tbl>
    <w:p>
      <w:r>
        <w:rPr>
          <w:rFonts w:ascii="Calibri" w:hAnsi="Calibri"/>
          <w:i/>
          <w:color w:val="525866"/>
          <w:sz w:val="22"/>
        </w:rPr>
        <w:t>Source: Visible Alpha Consensus and Actuals Data; Citigroup Q1 2026 Earnings Call (April 14, 2026); Morgan Stanley U.S. Financials Conference (June 9, 2026). All consensus figures as of July 13, 2026.</w:t>
      </w:r>
    </w:p>
    <w:p>
      <w:pPr>
        <w:pStyle w:val="Heading3"/>
      </w:pPr>
      <w:r>
        <w:rPr>
          <w:rFonts w:ascii="Calibri" w:hAnsi="Calibri"/>
          <w:b/>
          <w:color w:val="3B4259"/>
          <w:sz w:val="24"/>
        </w:rPr>
        <w:t>Table 2 — Beat/Miss History: Last 8 Quarters (Top 2 KPIs: Operating EPS &amp; Total Revenue)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$3.06</w:t>
            </w:r>
          </w:p>
        </w:tc>
        <w:tc>
          <w:tcPr>
            <w:tcW w:type="dxa" w:w="1440"/>
          </w:tcPr>
          <w:p>
            <w:r>
              <w:rPr>
                <w:rFonts w:ascii="Calibri" w:hAnsi="Calibri"/>
                <w:sz w:val="22"/>
              </w:rPr>
              <w:t>$2.67</w:t>
            </w:r>
          </w:p>
        </w:tc>
        <w:tc>
          <w:tcPr>
            <w:tcW w:type="dxa" w:w="1440"/>
          </w:tcPr>
          <w:p>
            <w:r>
              <w:rPr>
                <w:rFonts w:ascii="Calibri" w:hAnsi="Calibri"/>
                <w:b/>
                <w:color w:val="30A46C"/>
                <w:sz w:val="22"/>
              </w:rPr>
              <w:t>+14.7%</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$24.6B</w:t>
            </w:r>
          </w:p>
        </w:tc>
        <w:tc>
          <w:tcPr>
            <w:tcW w:type="dxa" w:w="1440"/>
          </w:tcPr>
          <w:p>
            <w:r>
              <w:rPr>
                <w:rFonts w:ascii="Calibri" w:hAnsi="Calibri"/>
                <w:sz w:val="22"/>
              </w:rPr>
              <w:t>$23.5B</w:t>
            </w:r>
          </w:p>
        </w:tc>
        <w:tc>
          <w:tcPr>
            <w:tcW w:type="dxa" w:w="1440"/>
          </w:tcPr>
          <w:p>
            <w:r>
              <w:rPr>
                <w:rFonts w:ascii="Calibri" w:hAnsi="Calibri"/>
                <w:b/>
                <w:color w:val="30A46C"/>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$1.66</w:t>
            </w:r>
          </w:p>
        </w:tc>
        <w:tc>
          <w:tcPr>
            <w:tcW w:type="dxa" w:w="1440"/>
          </w:tcPr>
          <w:p>
            <w:r>
              <w:rPr>
                <w:rFonts w:ascii="Calibri" w:hAnsi="Calibri"/>
                <w:sz w:val="22"/>
              </w:rPr>
              <w:t>$1.62</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$19.9B</w:t>
            </w:r>
          </w:p>
        </w:tc>
        <w:tc>
          <w:tcPr>
            <w:tcW w:type="dxa" w:w="1440"/>
          </w:tcPr>
          <w:p>
            <w:r>
              <w:rPr>
                <w:rFonts w:ascii="Calibri" w:hAnsi="Calibri"/>
                <w:sz w:val="22"/>
              </w:rPr>
              <w:t>$20.4B</w:t>
            </w:r>
          </w:p>
        </w:tc>
        <w:tc>
          <w:tcPr>
            <w:tcW w:type="dxa" w:w="1440"/>
          </w:tcPr>
          <w:p>
            <w:r>
              <w:rPr>
                <w:rFonts w:ascii="Calibri" w:hAnsi="Calibri"/>
                <w:b/>
                <w:color w:val="E5484D"/>
                <w:sz w:val="22"/>
              </w:rPr>
              <w:t>-2.4%</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$2.19</w:t>
            </w:r>
          </w:p>
        </w:tc>
        <w:tc>
          <w:tcPr>
            <w:tcW w:type="dxa" w:w="1440"/>
          </w:tcPr>
          <w:p>
            <w:r>
              <w:rPr>
                <w:rFonts w:ascii="Calibri" w:hAnsi="Calibri"/>
                <w:sz w:val="22"/>
              </w:rPr>
              <w:t>$1.92</w:t>
            </w:r>
          </w:p>
        </w:tc>
        <w:tc>
          <w:tcPr>
            <w:tcW w:type="dxa" w:w="1440"/>
          </w:tcPr>
          <w:p>
            <w:r>
              <w:rPr>
                <w:rFonts w:ascii="Calibri" w:hAnsi="Calibri"/>
                <w:b/>
                <w:color w:val="30A46C"/>
                <w:sz w:val="22"/>
              </w:rPr>
              <w:t>+14.1%</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$22.1B</w:t>
            </w:r>
          </w:p>
        </w:tc>
        <w:tc>
          <w:tcPr>
            <w:tcW w:type="dxa" w:w="1440"/>
          </w:tcPr>
          <w:p>
            <w:r>
              <w:rPr>
                <w:rFonts w:ascii="Calibri" w:hAnsi="Calibri"/>
                <w:sz w:val="22"/>
              </w:rPr>
              <w:t>$21.1B</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$1.96</w:t>
            </w:r>
          </w:p>
        </w:tc>
        <w:tc>
          <w:tcPr>
            <w:tcW w:type="dxa" w:w="1440"/>
          </w:tcPr>
          <w:p>
            <w:r>
              <w:rPr>
                <w:rFonts w:ascii="Calibri" w:hAnsi="Calibri"/>
                <w:sz w:val="22"/>
              </w:rPr>
              <w:t>$1.63</w:t>
            </w:r>
          </w:p>
        </w:tc>
        <w:tc>
          <w:tcPr>
            <w:tcW w:type="dxa" w:w="1440"/>
          </w:tcPr>
          <w:p>
            <w:r>
              <w:rPr>
                <w:rFonts w:ascii="Calibri" w:hAnsi="Calibri"/>
                <w:b/>
                <w:color w:val="30A46C"/>
                <w:sz w:val="22"/>
              </w:rPr>
              <w:t>+20.2%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$21.7B</w:t>
            </w:r>
          </w:p>
        </w:tc>
        <w:tc>
          <w:tcPr>
            <w:tcW w:type="dxa" w:w="1440"/>
          </w:tcPr>
          <w:p>
            <w:r>
              <w:rPr>
                <w:rFonts w:ascii="Calibri" w:hAnsi="Calibri"/>
                <w:sz w:val="22"/>
              </w:rPr>
              <w:t>$20.9B</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$1.96</w:t>
            </w:r>
          </w:p>
        </w:tc>
        <w:tc>
          <w:tcPr>
            <w:tcW w:type="dxa" w:w="1440"/>
          </w:tcPr>
          <w:p>
            <w:r>
              <w:rPr>
                <w:rFonts w:ascii="Calibri" w:hAnsi="Calibri"/>
                <w:sz w:val="22"/>
              </w:rPr>
              <w:t>$1.90</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$21.6B</w:t>
            </w:r>
          </w:p>
        </w:tc>
        <w:tc>
          <w:tcPr>
            <w:tcW w:type="dxa" w:w="1440"/>
          </w:tcPr>
          <w:p>
            <w:r>
              <w:rPr>
                <w:rFonts w:ascii="Calibri" w:hAnsi="Calibri"/>
                <w:sz w:val="22"/>
              </w:rPr>
              <w:t>$21.2B</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$1.36</w:t>
            </w:r>
          </w:p>
        </w:tc>
        <w:tc>
          <w:tcPr>
            <w:tcW w:type="dxa" w:w="1440"/>
          </w:tcPr>
          <w:p>
            <w:r>
              <w:rPr>
                <w:rFonts w:ascii="Calibri" w:hAnsi="Calibri"/>
                <w:sz w:val="22"/>
              </w:rPr>
              <w:t>$1.25</w:t>
            </w:r>
          </w:p>
        </w:tc>
        <w:tc>
          <w:tcPr>
            <w:tcW w:type="dxa" w:w="1440"/>
          </w:tcPr>
          <w:p>
            <w:r>
              <w:rPr>
                <w:rFonts w:ascii="Calibri" w:hAnsi="Calibri"/>
                <w:b/>
                <w:color w:val="30A46C"/>
                <w:sz w:val="22"/>
              </w:rPr>
              <w:t>+8.8%</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$19.5B</w:t>
            </w:r>
          </w:p>
        </w:tc>
        <w:tc>
          <w:tcPr>
            <w:tcW w:type="dxa" w:w="1440"/>
          </w:tcPr>
          <w:p>
            <w:r>
              <w:rPr>
                <w:rFonts w:ascii="Calibri" w:hAnsi="Calibri"/>
                <w:sz w:val="22"/>
              </w:rPr>
              <w:t>$19.5B</w:t>
            </w:r>
          </w:p>
        </w:tc>
        <w:tc>
          <w:tcPr>
            <w:tcW w:type="dxa" w:w="1440"/>
          </w:tcPr>
          <w:p>
            <w:r>
              <w:rPr>
                <w:rFonts w:ascii="Calibri" w:hAnsi="Calibri"/>
                <w:sz w:val="22"/>
              </w:rPr>
              <w:t>~0%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$1.51</w:t>
            </w:r>
          </w:p>
        </w:tc>
        <w:tc>
          <w:tcPr>
            <w:tcW w:type="dxa" w:w="1440"/>
          </w:tcPr>
          <w:p>
            <w:r>
              <w:rPr>
                <w:rFonts w:ascii="Calibri" w:hAnsi="Calibri"/>
                <w:sz w:val="22"/>
              </w:rPr>
              <w:t>$1.31</w:t>
            </w:r>
          </w:p>
        </w:tc>
        <w:tc>
          <w:tcPr>
            <w:tcW w:type="dxa" w:w="1440"/>
          </w:tcPr>
          <w:p>
            <w:r>
              <w:rPr>
                <w:rFonts w:ascii="Calibri" w:hAnsi="Calibri"/>
                <w:b/>
                <w:color w:val="30A46C"/>
                <w:sz w:val="22"/>
              </w:rPr>
              <w:t>+15.3%</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$20.2B</w:t>
            </w:r>
          </w:p>
        </w:tc>
        <w:tc>
          <w:tcPr>
            <w:tcW w:type="dxa" w:w="1440"/>
          </w:tcPr>
          <w:p>
            <w:r>
              <w:rPr>
                <w:rFonts w:ascii="Calibri" w:hAnsi="Calibri"/>
                <w:sz w:val="22"/>
              </w:rPr>
              <w:t>$19.8B</w:t>
            </w:r>
          </w:p>
        </w:tc>
        <w:tc>
          <w:tcPr>
            <w:tcW w:type="dxa" w:w="1440"/>
          </w:tcPr>
          <w:p>
            <w:r>
              <w:rPr>
                <w:rFonts w:ascii="Calibri" w:hAnsi="Calibri"/>
                <w:b/>
                <w:color w:val="30A46C"/>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Operating EPS</w:t>
            </w:r>
          </w:p>
        </w:tc>
        <w:tc>
          <w:tcPr>
            <w:tcW w:type="dxa" w:w="1440"/>
          </w:tcPr>
          <w:p>
            <w:r>
              <w:rPr>
                <w:rFonts w:ascii="Calibri" w:hAnsi="Calibri"/>
                <w:sz w:val="22"/>
              </w:rPr>
              <w:t>$1.53</w:t>
            </w:r>
          </w:p>
        </w:tc>
        <w:tc>
          <w:tcPr>
            <w:tcW w:type="dxa" w:w="1440"/>
          </w:tcPr>
          <w:p>
            <w:r>
              <w:rPr>
                <w:rFonts w:ascii="Calibri" w:hAnsi="Calibri"/>
                <w:sz w:val="22"/>
              </w:rPr>
              <w:t>$1.42</w:t>
            </w:r>
          </w:p>
        </w:tc>
        <w:tc>
          <w:tcPr>
            <w:tcW w:type="dxa" w:w="1440"/>
          </w:tcPr>
          <w:p>
            <w:r>
              <w:rPr>
                <w:rFonts w:ascii="Calibri" w:hAnsi="Calibri"/>
                <w:b/>
                <w:color w:val="30A46C"/>
                <w:sz w:val="22"/>
              </w:rPr>
              <w:t>+7.8%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$20.0B</w:t>
            </w:r>
          </w:p>
        </w:tc>
        <w:tc>
          <w:tcPr>
            <w:tcW w:type="dxa" w:w="1440"/>
          </w:tcPr>
          <w:p>
            <w:r>
              <w:rPr>
                <w:rFonts w:ascii="Calibri" w:hAnsi="Calibri"/>
                <w:sz w:val="22"/>
              </w:rPr>
              <w:t>$20.0B</w:t>
            </w:r>
          </w:p>
        </w:tc>
        <w:tc>
          <w:tcPr>
            <w:tcW w:type="dxa" w:w="1440"/>
          </w:tcPr>
          <w:p>
            <w:r>
              <w:rPr>
                <w:rFonts w:ascii="Calibri" w:hAnsi="Calibri"/>
                <w:sz w:val="22"/>
              </w:rPr>
              <w:t>~0%</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Citi has beaten operating EPS consensus in 7 of the last 8 quarters, with an average positive surprise of ~+11% — a remarkably consistent track record that reflects both a conservative guidance posture and genuine operational improvement. Revenue beats have been more modest but consistent, with the notable exception of Q4 2025 where a seasonal dip in Markets weighed on the top line. The bar for Q2 2026 appears similarly beatable.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Q1 earnings, but management's tone has shifted meaningfully more confident — the Investor Day on May 7 unveiled a $30B buyback and a 14–15% medium-term ROTCE path, and the June 9 conference provided specific Q2 directional commentary that implies the street's estimates are conservative.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Q1 2026 Earnings Call Baseline (April 14)</w:t>
            </w:r>
          </w:p>
        </w:tc>
        <w:tc>
          <w:tcPr>
            <w:tcW w:type="dxa" w:w="1728"/>
            <w:shd w:val="clear" w:color="auto" w:fill="3B4259"/>
          </w:tcPr>
          <w:p>
            <w:r>
              <w:rPr>
                <w:rFonts w:ascii="Calibri" w:hAnsi="Calibri"/>
                <w:b/>
                <w:color w:val="FFFFFF"/>
                <w:sz w:val="22"/>
              </w:rPr>
              <w:t>Investor Day Update (May 7)</w:t>
            </w:r>
          </w:p>
        </w:tc>
        <w:tc>
          <w:tcPr>
            <w:tcW w:type="dxa" w:w="1728"/>
            <w:shd w:val="clear" w:color="auto" w:fill="3B4259"/>
          </w:tcPr>
          <w:p>
            <w:r>
              <w:rPr>
                <w:rFonts w:ascii="Calibri" w:hAnsi="Calibri"/>
                <w:b/>
                <w:color w:val="FFFFFF"/>
                <w:sz w:val="22"/>
              </w:rPr>
              <w:t>MS Financials Conference (June 9)</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FY 2026 ROTCE</w:t>
            </w:r>
          </w:p>
        </w:tc>
        <w:tc>
          <w:tcPr>
            <w:tcW w:type="dxa" w:w="1728"/>
          </w:tcPr>
          <w:p>
            <w:r>
              <w:rPr>
                <w:rFonts w:ascii="Calibri" w:hAnsi="Calibri"/>
                <w:sz w:val="22"/>
              </w:rPr>
              <w:t>10–11%; Q1 at 13.1% but management cautioned against extrapolating</w:t>
            </w:r>
          </w:p>
        </w:tc>
        <w:tc>
          <w:tcPr>
            <w:tcW w:type="dxa" w:w="1728"/>
          </w:tcPr>
          <w:p>
            <w:r>
              <w:rPr>
                <w:rFonts w:ascii="Calibri" w:hAnsi="Calibri"/>
                <w:sz w:val="22"/>
              </w:rPr>
              <w:t>Confirmed 10–11% for 2026; near-term 11–13% for 2027–2028 (toward higher end in 2028); medium-term 14–15%</w:t>
            </w:r>
          </w:p>
        </w:tc>
        <w:tc>
          <w:tcPr>
            <w:tcW w:type="dxa" w:w="1728"/>
          </w:tcPr>
          <w:p>
            <w:r>
              <w:rPr>
                <w:rFonts w:ascii="Calibri" w:hAnsi="Calibri"/>
                <w:sz w:val="22"/>
              </w:rPr>
              <w:t>Reaffirmed; confident in delivery</w:t>
            </w:r>
          </w:p>
        </w:tc>
        <w:tc>
          <w:tcPr>
            <w:tcW w:type="dxa" w:w="1728"/>
          </w:tcPr>
          <w:p>
            <w:r>
              <w:rPr>
                <w:rFonts w:ascii="Calibri" w:hAnsi="Calibri"/>
                <w:b/>
                <w:sz w:val="22"/>
              </w:rPr>
              <w:t>→ Unchanged / More Confident</w:t>
            </w:r>
          </w:p>
        </w:tc>
      </w:tr>
      <w:tr>
        <w:tc>
          <w:tcPr>
            <w:tcW w:type="dxa" w:w="1728"/>
          </w:tcPr>
          <w:p>
            <w:r>
              <w:rPr>
                <w:rFonts w:ascii="Calibri" w:hAnsi="Calibri"/>
                <w:sz w:val="22"/>
              </w:rPr>
              <w:t>NII ex-Markets (FY 2026)</w:t>
            </w:r>
          </w:p>
        </w:tc>
        <w:tc>
          <w:tcPr>
            <w:tcW w:type="dxa" w:w="1728"/>
          </w:tcPr>
          <w:p>
            <w:r>
              <w:rPr>
                <w:rFonts w:ascii="Calibri" w:hAnsi="Calibri"/>
                <w:sz w:val="22"/>
              </w:rPr>
              <w:t>+5–6% YoY; Q1 ran at +7% but management held guidance citing macro uncertainty</w:t>
            </w:r>
          </w:p>
        </w:tc>
        <w:tc>
          <w:tcPr>
            <w:tcW w:type="dxa" w:w="1728"/>
          </w:tcPr>
          <w:p>
            <w:r>
              <w:rPr>
                <w:rFonts w:ascii="Calibri" w:hAnsi="Calibri"/>
                <w:sz w:val="22"/>
              </w:rPr>
              <w:t>Confirmed +5–6% YoY; mid-single-digit loan/deposit growth</w:t>
            </w:r>
          </w:p>
        </w:tc>
        <w:tc>
          <w:tcPr>
            <w:tcW w:type="dxa" w:w="1728"/>
          </w:tcPr>
          <w:p>
            <w:r>
              <w:rPr>
                <w:rFonts w:ascii="Calibri" w:hAnsi="Calibri"/>
                <w:sz w:val="22"/>
              </w:rPr>
              <w:t>Reaffirmed with confidence; pricing betas holding stable; operational deposits (~2/3 of funding) highly embedded</w:t>
            </w:r>
          </w:p>
        </w:tc>
        <w:tc>
          <w:tcPr>
            <w:tcW w:type="dxa" w:w="1728"/>
          </w:tcPr>
          <w:p>
            <w:r>
              <w:rPr>
                <w:rFonts w:ascii="Calibri" w:hAnsi="Calibri"/>
                <w:b/>
                <w:sz w:val="22"/>
              </w:rPr>
              <w:t>→ Unchanged / Confident</w:t>
            </w:r>
          </w:p>
        </w:tc>
      </w:tr>
      <w:tr>
        <w:tc>
          <w:tcPr>
            <w:tcW w:type="dxa" w:w="1728"/>
          </w:tcPr>
          <w:p>
            <w:r>
              <w:rPr>
                <w:rFonts w:ascii="Calibri" w:hAnsi="Calibri"/>
                <w:sz w:val="22"/>
              </w:rPr>
              <w:t>Efficiency Ratio (FY 2026)</w:t>
            </w:r>
          </w:p>
        </w:tc>
        <w:tc>
          <w:tcPr>
            <w:tcW w:type="dxa" w:w="1728"/>
          </w:tcPr>
          <w:p>
            <w:r>
              <w:rPr>
                <w:rFonts w:ascii="Calibri" w:hAnsi="Calibri"/>
                <w:sz w:val="22"/>
              </w:rPr>
              <w:t>~60%; Q1 at 58.1% due to seasonal Markets strength; investments to continue</w:t>
            </w:r>
          </w:p>
        </w:tc>
        <w:tc>
          <w:tcPr>
            <w:tcW w:type="dxa" w:w="1728"/>
          </w:tcPr>
          <w:p>
            <w:r>
              <w:rPr>
                <w:rFonts w:ascii="Calibri" w:hAnsi="Calibri"/>
                <w:sz w:val="22"/>
              </w:rPr>
              <w:t>~60% for 2026; near-term 55–60%; medium-term below 55%</w:t>
            </w:r>
          </w:p>
        </w:tc>
        <w:tc>
          <w:tcPr>
            <w:tcW w:type="dxa" w:w="1728"/>
          </w:tcPr>
          <w:p>
            <w:r>
              <w:rPr>
                <w:rFonts w:ascii="Calibri" w:hAnsi="Calibri"/>
                <w:sz w:val="22"/>
              </w:rPr>
              <w:t>Confident in ~60% for year; stranded costs ~$200M in Q1 (vs. $1.3B in 2025), continuing to decline; transformation costs rolling off</w:t>
            </w:r>
          </w:p>
        </w:tc>
        <w:tc>
          <w:tcPr>
            <w:tcW w:type="dxa" w:w="1728"/>
          </w:tcPr>
          <w:p>
            <w:r>
              <w:rPr>
                <w:rFonts w:ascii="Calibri" w:hAnsi="Calibri"/>
                <w:b/>
                <w:sz w:val="22"/>
              </w:rPr>
              <w:t>→ Unchanged / Improving Trajectory</w:t>
            </w:r>
          </w:p>
        </w:tc>
      </w:tr>
      <w:tr>
        <w:tc>
          <w:tcPr>
            <w:tcW w:type="dxa" w:w="1728"/>
          </w:tcPr>
          <w:p>
            <w:r>
              <w:rPr>
                <w:rFonts w:ascii="Calibri" w:hAnsi="Calibri"/>
                <w:sz w:val="22"/>
              </w:rPr>
              <w:t>Q2 IB Fees</w:t>
            </w:r>
          </w:p>
        </w:tc>
        <w:tc>
          <w:tcPr>
            <w:tcW w:type="dxa" w:w="1728"/>
          </w:tcPr>
          <w:p>
            <w:r>
              <w:rPr>
                <w:rFonts w:ascii="Calibri" w:hAnsi="Calibri"/>
                <w:sz w:val="22"/>
              </w:rPr>
              <w:t>M&amp;A pipeline strong; some risk of deferrals if Middle East conflict protracted; sponsor space more cautious</w:t>
            </w:r>
          </w:p>
        </w:tc>
        <w:tc>
          <w:tcPr>
            <w:tcW w:type="dxa" w:w="1728"/>
          </w:tcPr>
          <w:p>
            <w:r>
              <w:rPr>
                <w:rFonts w:ascii="Calibri" w:hAnsi="Calibri"/>
                <w:sz w:val="22"/>
              </w:rPr>
              <w:t>Not specifically addressed</w:t>
            </w:r>
          </w:p>
        </w:tc>
        <w:tc>
          <w:tcPr>
            <w:tcW w:type="dxa" w:w="1728"/>
          </w:tcPr>
          <w:p>
            <w:r>
              <w:rPr>
                <w:rFonts w:ascii="Calibri" w:hAnsi="Calibri"/>
                <w:sz w:val="22"/>
              </w:rPr>
              <w:t>Tracking mid-teens YoY growth; anchored by ECM (IPOs, follow-ons) and IG DCM; potential for additional upside depending on deal timing</w:t>
            </w:r>
          </w:p>
        </w:tc>
        <w:tc>
          <w:tcPr>
            <w:tcW w:type="dxa" w:w="1728"/>
          </w:tcPr>
          <w:p>
            <w:r>
              <w:rPr>
                <w:rFonts w:ascii="Calibri" w:hAnsi="Calibri"/>
                <w:b/>
                <w:color w:val="30A46C"/>
                <w:sz w:val="22"/>
              </w:rPr>
              <w:t>→ Upgraded (specific Q2 signal)</w:t>
            </w:r>
          </w:p>
        </w:tc>
      </w:tr>
      <w:tr>
        <w:tc>
          <w:tcPr>
            <w:tcW w:type="dxa" w:w="1728"/>
          </w:tcPr>
          <w:p>
            <w:r>
              <w:rPr>
                <w:rFonts w:ascii="Calibri" w:hAnsi="Calibri"/>
                <w:sz w:val="22"/>
              </w:rPr>
              <w:t>Q2 Markets Revenue</w:t>
            </w:r>
          </w:p>
        </w:tc>
        <w:tc>
          <w:tcPr>
            <w:tcW w:type="dxa" w:w="1728"/>
          </w:tcPr>
          <w:p>
            <w:r>
              <w:rPr>
                <w:rFonts w:ascii="Calibri" w:hAnsi="Calibri"/>
                <w:sz w:val="22"/>
              </w:rPr>
              <w:t>No specific Q2 guidance; Q1 was strongest quarter seasonally</w:t>
            </w:r>
          </w:p>
        </w:tc>
        <w:tc>
          <w:tcPr>
            <w:tcW w:type="dxa" w:w="1728"/>
          </w:tcPr>
          <w:p>
            <w:r>
              <w:rPr>
                <w:rFonts w:ascii="Calibri" w:hAnsi="Calibri"/>
                <w:sz w:val="22"/>
              </w:rPr>
              <w:t>Not specifically addressed</w:t>
            </w:r>
          </w:p>
        </w:tc>
        <w:tc>
          <w:tcPr>
            <w:tcW w:type="dxa" w:w="1728"/>
          </w:tcPr>
          <w:p>
            <w:r>
              <w:rPr>
                <w:rFonts w:ascii="Calibri" w:hAnsi="Calibri"/>
                <w:sz w:val="22"/>
              </w:rPr>
              <w:t>Tracking high single-digit to low double-digit YoY growth; strength in equities (prime, derivatives), currencies, commodities, financing/securitization</w:t>
            </w:r>
          </w:p>
        </w:tc>
        <w:tc>
          <w:tcPr>
            <w:tcW w:type="dxa" w:w="1728"/>
          </w:tcPr>
          <w:p>
            <w:r>
              <w:rPr>
                <w:rFonts w:ascii="Calibri" w:hAnsi="Calibri"/>
                <w:b/>
                <w:color w:val="30A46C"/>
                <w:sz w:val="22"/>
              </w:rPr>
              <w:t>→ Upgraded (specific Q2 signal)</w:t>
            </w:r>
          </w:p>
        </w:tc>
      </w:tr>
      <w:tr>
        <w:tc>
          <w:tcPr>
            <w:tcW w:type="dxa" w:w="1728"/>
          </w:tcPr>
          <w:p>
            <w:r>
              <w:rPr>
                <w:rFonts w:ascii="Calibri" w:hAnsi="Calibri"/>
                <w:sz w:val="22"/>
              </w:rPr>
              <w:t>Q2 Cost of Credit</w:t>
            </w:r>
          </w:p>
        </w:tc>
        <w:tc>
          <w:tcPr>
            <w:tcW w:type="dxa" w:w="1728"/>
          </w:tcPr>
          <w:p>
            <w:r>
              <w:rPr>
                <w:rFonts w:ascii="Calibri" w:hAnsi="Calibri"/>
                <w:sz w:val="22"/>
              </w:rPr>
              <w:t>NCL rate 4.0–4.5% FY 2026 (revised lower); ACL function of macro and volumes</w:t>
            </w:r>
          </w:p>
        </w:tc>
        <w:tc>
          <w:tcPr>
            <w:tcW w:type="dxa" w:w="1728"/>
          </w:tcPr>
          <w:p>
            <w:r>
              <w:rPr>
                <w:rFonts w:ascii="Calibri" w:hAnsi="Calibri"/>
                <w:sz w:val="22"/>
              </w:rPr>
              <w:t>Not specifically addressed</w:t>
            </w:r>
          </w:p>
        </w:tc>
        <w:tc>
          <w:tcPr>
            <w:tcW w:type="dxa" w:w="1728"/>
          </w:tcPr>
          <w:p>
            <w:r>
              <w:rPr>
                <w:rFonts w:ascii="Calibri" w:hAnsi="Calibri"/>
                <w:sz w:val="22"/>
              </w:rPr>
              <w:t>Cost of credit Q2 broadly in line with Q1; reserves more volume-driven; NCLs down YoY, following normal seasonal patterns</w:t>
            </w:r>
          </w:p>
        </w:tc>
        <w:tc>
          <w:tcPr>
            <w:tcW w:type="dxa" w:w="1728"/>
          </w:tcPr>
          <w:p>
            <w:r>
              <w:rPr>
                <w:rFonts w:ascii="Calibri" w:hAnsi="Calibri"/>
                <w:b/>
                <w:sz w:val="22"/>
              </w:rPr>
              <w:t>→ Stable / Benign</w:t>
            </w:r>
          </w:p>
        </w:tc>
      </w:tr>
      <w:tr>
        <w:tc>
          <w:tcPr>
            <w:tcW w:type="dxa" w:w="1728"/>
          </w:tcPr>
          <w:p>
            <w:r>
              <w:rPr>
                <w:rFonts w:ascii="Calibri" w:hAnsi="Calibri"/>
                <w:sz w:val="22"/>
              </w:rPr>
              <w:t>Capital Return</w:t>
            </w:r>
          </w:p>
        </w:tc>
        <w:tc>
          <w:tcPr>
            <w:tcW w:type="dxa" w:w="1728"/>
          </w:tcPr>
          <w:p>
            <w:r>
              <w:rPr>
                <w:rFonts w:ascii="Calibri" w:hAnsi="Calibri"/>
                <w:sz w:val="22"/>
              </w:rPr>
              <w:t>Record $6.3B buyback in Q1; CET1 essentially at target (~12.6%)</w:t>
            </w:r>
          </w:p>
        </w:tc>
        <w:tc>
          <w:tcPr>
            <w:tcW w:type="dxa" w:w="1728"/>
          </w:tcPr>
          <w:p>
            <w:r>
              <w:rPr>
                <w:rFonts w:ascii="Calibri" w:hAnsi="Calibri"/>
                <w:sz w:val="22"/>
              </w:rPr>
              <w:t>New $30B buyback program announced; DTA burn-down and RWA optimization as multi-year capital return framework</w:t>
            </w:r>
          </w:p>
        </w:tc>
        <w:tc>
          <w:tcPr>
            <w:tcW w:type="dxa" w:w="1728"/>
          </w:tcPr>
          <w:p>
            <w:r>
              <w:rPr>
                <w:rFonts w:ascii="Calibri" w:hAnsi="Calibri"/>
                <w:sz w:val="22"/>
              </w:rPr>
              <w:t>Not specifically addressed</w:t>
            </w:r>
          </w:p>
        </w:tc>
        <w:tc>
          <w:tcPr>
            <w:tcW w:type="dxa" w:w="1728"/>
          </w:tcPr>
          <w:p>
            <w:r>
              <w:rPr>
                <w:rFonts w:ascii="Calibri" w:hAnsi="Calibri"/>
                <w:b/>
                <w:color w:val="30A46C"/>
                <w:sz w:val="22"/>
              </w:rPr>
              <w:t>→ Significantly Upgraded</w:t>
            </w:r>
          </w:p>
        </w:tc>
      </w:tr>
    </w:tbl>
    <w:p>
      <w:r>
        <w:rPr>
          <w:rFonts w:ascii="Calibri" w:hAnsi="Calibri"/>
          <w:i/>
          <w:color w:val="525866"/>
          <w:sz w:val="22"/>
        </w:rPr>
        <w:t>Source: Citigroup Q1 2026 Earnings Call (April 14, 2026); Citigroup Investor Day (May 7, 2026); Morgan Stanley U.S. Financials Conference (June 9,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 revisions have been moving in the right direction — the Q2 2026 operating EPS consensus of $2.77 is well above where it stood a year ago, and the FY 2026 consensus of $11.08 reflects meaningful upward revision momentum driven by the Q1 beat and Investor Day. The gap between management's maintained guidance and the implied run-rate from Q1 represents potential cushion rather than risk.</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Metric</w:t>
            </w:r>
          </w:p>
        </w:tc>
        <w:tc>
          <w:tcPr>
            <w:tcW w:type="dxa" w:w="1440"/>
            <w:shd w:val="clear" w:color="auto" w:fill="3B4259"/>
          </w:tcPr>
          <w:p>
            <w:r>
              <w:rPr>
                <w:rFonts w:ascii="Calibri" w:hAnsi="Calibri"/>
                <w:b/>
                <w:color w:val="FFFFFF"/>
                <w:sz w:val="22"/>
              </w:rPr>
              <w:t>Q2 2025 Actual</w:t>
            </w:r>
          </w:p>
        </w:tc>
        <w:tc>
          <w:tcPr>
            <w:tcW w:type="dxa" w:w="1440"/>
            <w:shd w:val="clear" w:color="auto" w:fill="3B4259"/>
          </w:tcPr>
          <w:p>
            <w:r>
              <w:rPr>
                <w:rFonts w:ascii="Calibri" w:hAnsi="Calibri"/>
                <w:b/>
                <w:color w:val="FFFFFF"/>
                <w:sz w:val="22"/>
              </w:rPr>
              <w:t>Q2 2026 Consensus (Current)</w:t>
            </w:r>
          </w:p>
        </w:tc>
        <w:tc>
          <w:tcPr>
            <w:tcW w:type="dxa" w:w="1440"/>
            <w:shd w:val="clear" w:color="auto" w:fill="3B4259"/>
          </w:tcPr>
          <w:p>
            <w:r>
              <w:rPr>
                <w:rFonts w:ascii="Calibri" w:hAnsi="Calibri"/>
                <w:b/>
                <w:color w:val="FFFFFF"/>
                <w:sz w:val="22"/>
              </w:rPr>
              <w:t>FY 2026 Consensus</w:t>
            </w:r>
          </w:p>
        </w:tc>
        <w:tc>
          <w:tcPr>
            <w:tcW w:type="dxa" w:w="1440"/>
            <w:shd w:val="clear" w:color="auto" w:fill="3B4259"/>
          </w:tcPr>
          <w:p>
            <w:r>
              <w:rPr>
                <w:rFonts w:ascii="Calibri" w:hAnsi="Calibri"/>
                <w:b/>
                <w:color w:val="FFFFFF"/>
                <w:sz w:val="22"/>
              </w:rPr>
              <w:t>FY 2027 Consensus</w:t>
            </w:r>
          </w:p>
        </w:tc>
        <w:tc>
          <w:tcPr>
            <w:tcW w:type="dxa" w:w="1440"/>
            <w:shd w:val="clear" w:color="auto" w:fill="3B4259"/>
          </w:tcPr>
          <w:p>
            <w:r>
              <w:rPr>
                <w:rFonts w:ascii="Calibri" w:hAnsi="Calibri"/>
                <w:b/>
                <w:color w:val="FFFFFF"/>
                <w:sz w:val="22"/>
              </w:rPr>
              <w:t>Revision Trend</w:t>
            </w:r>
          </w:p>
        </w:tc>
      </w:tr>
      <w:tr>
        <w:tc>
          <w:tcPr>
            <w:tcW w:type="dxa" w:w="1440"/>
          </w:tcPr>
          <w:p>
            <w:r>
              <w:rPr>
                <w:rFonts w:ascii="Calibri" w:hAnsi="Calibri"/>
                <w:sz w:val="22"/>
              </w:rPr>
              <w:t>Operating EPS ($)</w:t>
            </w:r>
          </w:p>
        </w:tc>
        <w:tc>
          <w:tcPr>
            <w:tcW w:type="dxa" w:w="1440"/>
          </w:tcPr>
          <w:p>
            <w:r>
              <w:rPr>
                <w:rFonts w:ascii="Calibri" w:hAnsi="Calibri"/>
                <w:sz w:val="22"/>
              </w:rPr>
              <w:t>$1.96</w:t>
            </w:r>
          </w:p>
        </w:tc>
        <w:tc>
          <w:tcPr>
            <w:tcW w:type="dxa" w:w="1440"/>
          </w:tcPr>
          <w:p>
            <w:r>
              <w:rPr>
                <w:rFonts w:ascii="Calibri" w:hAnsi="Calibri"/>
                <w:sz w:val="22"/>
              </w:rPr>
              <w:t>$2.77</w:t>
            </w:r>
          </w:p>
        </w:tc>
        <w:tc>
          <w:tcPr>
            <w:tcW w:type="dxa" w:w="1440"/>
          </w:tcPr>
          <w:p>
            <w:r>
              <w:rPr>
                <w:rFonts w:ascii="Calibri" w:hAnsi="Calibri"/>
                <w:sz w:val="22"/>
              </w:rPr>
              <w:t>$11.08</w:t>
            </w:r>
          </w:p>
        </w:tc>
        <w:tc>
          <w:tcPr>
            <w:tcW w:type="dxa" w:w="1440"/>
          </w:tcPr>
          <w:p>
            <w:r>
              <w:rPr>
                <w:rFonts w:ascii="Calibri" w:hAnsi="Calibri"/>
                <w:sz w:val="22"/>
              </w:rPr>
              <w:t>$12.81</w:t>
            </w:r>
          </w:p>
        </w:tc>
        <w:tc>
          <w:tcPr>
            <w:tcW w:type="dxa" w:w="1440"/>
          </w:tcPr>
          <w:p>
            <w:r>
              <w:rPr>
                <w:rFonts w:ascii="Calibri" w:hAnsi="Calibri"/>
                <w:b/>
                <w:color w:val="30A46C"/>
                <w:sz w:val="22"/>
              </w:rPr>
              <w:t>↑ Upward</w:t>
            </w:r>
          </w:p>
        </w:tc>
      </w:tr>
      <w:tr>
        <w:tc>
          <w:tcPr>
            <w:tcW w:type="dxa" w:w="1440"/>
          </w:tcPr>
          <w:p>
            <w:r>
              <w:rPr>
                <w:rFonts w:ascii="Calibri" w:hAnsi="Calibri"/>
                <w:sz w:val="22"/>
              </w:rPr>
              <w:t>Total Revenue ($B)</w:t>
            </w:r>
          </w:p>
        </w:tc>
        <w:tc>
          <w:tcPr>
            <w:tcW w:type="dxa" w:w="1440"/>
          </w:tcPr>
          <w:p>
            <w:r>
              <w:rPr>
                <w:rFonts w:ascii="Calibri" w:hAnsi="Calibri"/>
                <w:sz w:val="22"/>
              </w:rPr>
              <w:t>$21.7B</w:t>
            </w:r>
          </w:p>
        </w:tc>
        <w:tc>
          <w:tcPr>
            <w:tcW w:type="dxa" w:w="1440"/>
          </w:tcPr>
          <w:p>
            <w:r>
              <w:rPr>
                <w:rFonts w:ascii="Calibri" w:hAnsi="Calibri"/>
                <w:sz w:val="22"/>
              </w:rPr>
              <w:t>$23.7B</w:t>
            </w:r>
          </w:p>
        </w:tc>
        <w:tc>
          <w:tcPr>
            <w:tcW w:type="dxa" w:w="1440"/>
          </w:tcPr>
          <w:p>
            <w:r>
              <w:rPr>
                <w:rFonts w:ascii="Calibri" w:hAnsi="Calibri"/>
                <w:sz w:val="22"/>
              </w:rPr>
              <w:t>$94.5B</w:t>
            </w:r>
          </w:p>
        </w:tc>
        <w:tc>
          <w:tcPr>
            <w:tcW w:type="dxa" w:w="1440"/>
          </w:tcPr>
          <w:p>
            <w:r>
              <w:rPr>
                <w:rFonts w:ascii="Calibri" w:hAnsi="Calibri"/>
                <w:sz w:val="22"/>
              </w:rPr>
              <w:t>$98.0B</w:t>
            </w:r>
          </w:p>
        </w:tc>
        <w:tc>
          <w:tcPr>
            <w:tcW w:type="dxa" w:w="1440"/>
          </w:tcPr>
          <w:p>
            <w:r>
              <w:rPr>
                <w:rFonts w:ascii="Calibri" w:hAnsi="Calibri"/>
                <w:b/>
                <w:color w:val="30A46C"/>
                <w:sz w:val="22"/>
              </w:rPr>
              <w:t>↑ Upward</w:t>
            </w:r>
          </w:p>
        </w:tc>
      </w:tr>
      <w:tr>
        <w:tc>
          <w:tcPr>
            <w:tcW w:type="dxa" w:w="1440"/>
          </w:tcPr>
          <w:p>
            <w:r>
              <w:rPr>
                <w:rFonts w:ascii="Calibri" w:hAnsi="Calibri"/>
                <w:sz w:val="22"/>
              </w:rPr>
              <w:t>ROTCE (%)</w:t>
            </w:r>
          </w:p>
        </w:tc>
        <w:tc>
          <w:tcPr>
            <w:tcW w:type="dxa" w:w="1440"/>
          </w:tcPr>
          <w:p>
            <w:r>
              <w:rPr>
                <w:rFonts w:ascii="Calibri" w:hAnsi="Calibri"/>
                <w:sz w:val="22"/>
              </w:rPr>
              <w:t>8.6%</w:t>
            </w:r>
          </w:p>
        </w:tc>
        <w:tc>
          <w:tcPr>
            <w:tcW w:type="dxa" w:w="1440"/>
          </w:tcPr>
          <w:p>
            <w:r>
              <w:rPr>
                <w:rFonts w:ascii="Calibri" w:hAnsi="Calibri"/>
                <w:sz w:val="22"/>
              </w:rPr>
              <w:t>11.1%</w:t>
            </w:r>
          </w:p>
        </w:tc>
        <w:tc>
          <w:tcPr>
            <w:tcW w:type="dxa" w:w="1440"/>
          </w:tcPr>
          <w:p>
            <w:r>
              <w:rPr>
                <w:rFonts w:ascii="Calibri" w:hAnsi="Calibri"/>
                <w:sz w:val="22"/>
              </w:rPr>
              <w:t>11.2%</w:t>
            </w:r>
          </w:p>
        </w:tc>
        <w:tc>
          <w:tcPr>
            <w:tcW w:type="dxa" w:w="1440"/>
          </w:tcPr>
          <w:p>
            <w:r>
              <w:rPr>
                <w:rFonts w:ascii="Calibri" w:hAnsi="Calibri"/>
                <w:sz w:val="22"/>
              </w:rPr>
              <w:t>11.7%</w:t>
            </w:r>
          </w:p>
        </w:tc>
        <w:tc>
          <w:tcPr>
            <w:tcW w:type="dxa" w:w="1440"/>
          </w:tcPr>
          <w:p>
            <w:r>
              <w:rPr>
                <w:rFonts w:ascii="Calibri" w:hAnsi="Calibri"/>
                <w:b/>
                <w:color w:val="30A46C"/>
                <w:sz w:val="22"/>
              </w:rPr>
              <w:t>↑ Upward</w:t>
            </w:r>
          </w:p>
        </w:tc>
      </w:tr>
      <w:tr>
        <w:tc>
          <w:tcPr>
            <w:tcW w:type="dxa" w:w="1440"/>
          </w:tcPr>
          <w:p>
            <w:r>
              <w:rPr>
                <w:rFonts w:ascii="Calibri" w:hAnsi="Calibri"/>
                <w:sz w:val="22"/>
              </w:rPr>
              <w:t>Efficiency Ratio (%)</w:t>
            </w:r>
          </w:p>
        </w:tc>
        <w:tc>
          <w:tcPr>
            <w:tcW w:type="dxa" w:w="1440"/>
          </w:tcPr>
          <w:p>
            <w:r>
              <w:rPr>
                <w:rFonts w:ascii="Calibri" w:hAnsi="Calibri"/>
                <w:sz w:val="22"/>
              </w:rPr>
              <w:t>62.7%</w:t>
            </w:r>
          </w:p>
        </w:tc>
        <w:tc>
          <w:tcPr>
            <w:tcW w:type="dxa" w:w="1440"/>
          </w:tcPr>
          <w:p>
            <w:r>
              <w:rPr>
                <w:rFonts w:ascii="Calibri" w:hAnsi="Calibri"/>
                <w:sz w:val="22"/>
              </w:rPr>
              <w:t>59.6%</w:t>
            </w:r>
          </w:p>
        </w:tc>
        <w:tc>
          <w:tcPr>
            <w:tcW w:type="dxa" w:w="1440"/>
          </w:tcPr>
          <w:p>
            <w:r>
              <w:rPr>
                <w:rFonts w:ascii="Calibri" w:hAnsi="Calibri"/>
                <w:sz w:val="22"/>
              </w:rPr>
              <w:t>59.7%</w:t>
            </w:r>
          </w:p>
        </w:tc>
        <w:tc>
          <w:tcPr>
            <w:tcW w:type="dxa" w:w="1440"/>
          </w:tcPr>
          <w:p>
            <w:r>
              <w:rPr>
                <w:rFonts w:ascii="Calibri" w:hAnsi="Calibri"/>
                <w:sz w:val="22"/>
              </w:rPr>
              <w:t>58.6%</w:t>
            </w:r>
          </w:p>
        </w:tc>
        <w:tc>
          <w:tcPr>
            <w:tcW w:type="dxa" w:w="1440"/>
          </w:tcPr>
          <w:p>
            <w:r>
              <w:rPr>
                <w:rFonts w:ascii="Calibri" w:hAnsi="Calibri"/>
                <w:b/>
                <w:color w:val="30A46C"/>
                <w:sz w:val="22"/>
              </w:rPr>
              <w:t>↓ Improving (lower is better)</w:t>
            </w:r>
          </w:p>
        </w:tc>
      </w:tr>
    </w:tbl>
    <w:p>
      <w:r>
        <w:rPr>
          <w:rFonts w:ascii="Calibri" w:hAnsi="Calibri"/>
          <w:color w:val="525866"/>
          <w:sz w:val="22"/>
        </w:rPr>
        <w:t>The FY 2026 consensus ROTCE of 11.2% already sits above management's stated 10–11% target range, reflecting the market's view that guidance is conservative. The FY 2027 consensus of 11.7% is below the Investor Day near-term target of 11–13%, suggesting further upside to estimates as the transformation delivers. The key revision risk to the downside would be a deterioration in Markets revenue or a macro-driven credit cost spike — neither of which is signaled by current intra-quarter commentary.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 has performed broadly in line with the XLF and SPY since Q1 earnings — up ~8.6% vs. XLF +8.3% and SPY +7.9% — suggesting the market has not yet priced in a second consecutive blowout quarter. The stock is not stretched on a relative basis, leaving room for a positive re-rating if Q2 results again exceed the maintained guidance.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 vs. XLF vs. SPY — Indexed Performance Since Q1 2026 Earnings (April 14, 2026 = 100). Source: Yahoo Finance.</w:t>
      </w:r>
    </w:p>
    <w:p>
      <w:r>
        <w:rPr>
          <w:rFonts w:ascii="Calibri" w:hAnsi="Calibri"/>
          <w:color w:val="525866"/>
          <w:sz w:val="22"/>
        </w:rPr>
        <w:t>Since the Q1 2026 earnings release on April 14, Citi shares have gained approximately 8.6%, essentially matching the XLF financial sector ETF (+8.3%) and the broader S&amp;P 500 (+7.9%). This near-identical performance across all three series is notable: it implies the market has treated Citi's Q1 beat as a sector-wide re-rating event rather than a company-specific re-rating, and that no incremental premium has been assigned for the Investor Day's $30B buyback announcement or the upgraded medium-term ROTCE targets. The stock is currently trading at approximately $140.71 (as of July 13, 2026). With consensus FY 2026 EPS at $11.08, the stock trades at roughly 12.7x forward earnings — a discount to large-cap bank peers and well below the 14–15% ROTCE trajectory that management has laid out for the medium term. The setup is not one where the stock has already priced in a beat; rather, it is one where a clean Q2 print with continued transformation progress could catalyze a re-rating toward the peer group multiple.</w:t>
      </w:r>
    </w:p>
    <w:p>
      <w:r>
        <w:br w:type="page"/>
      </w:r>
    </w:p>
    <w:p>
      <w:pPr>
        <w:pStyle w:val="Heading2"/>
      </w:pPr>
      <w:r>
        <w:rPr>
          <w:rFonts w:ascii="Calibri" w:hAnsi="Calibri"/>
          <w:b/>
          <w:color w:val="3B4259"/>
          <w:sz w:val="28"/>
        </w:rPr>
        <w:t>6. Peer Commentaries — Key Read-Throughs (Last 60 Days)</w:t>
      </w:r>
    </w:p>
    <w:p>
      <w:r>
        <w:rPr>
          <w:rFonts w:ascii="Calibri" w:hAnsi="Calibri"/>
          <w:b/>
          <w:color w:val="525866"/>
          <w:sz w:val="22"/>
        </w:rPr>
        <w:t xml:space="preserve">Key Takeaway: </w:t>
      </w:r>
      <w:r>
        <w:rPr>
          <w:rFonts w:ascii="Calibri" w:hAnsi="Calibri"/>
          <w:color w:val="525866"/>
          <w:sz w:val="22"/>
        </w:rPr>
        <w:t>Across JPMorgan, Bank of America, Wells Fargo, Goldman Sachs, and Morgan Stanley, the last 60 days of conference commentary paint a consistently constructive picture for large-cap bank Q2 results — strong IB pipelines, resilient trading, stable credit, and NII holding up. All of these read-throughs are directionally positive for Citi's Q2 setup.</w:t>
      </w:r>
    </w:p>
    <w:p>
      <w:pPr>
        <w:pStyle w:val="Heading3"/>
      </w:pPr>
      <w:r>
        <w:rPr>
          <w:rFonts w:ascii="Calibri" w:hAnsi="Calibri"/>
          <w:b/>
          <w:color w:val="3B4259"/>
          <w:sz w:val="24"/>
        </w:rPr>
        <w:t>JPMorgan Chase (JPM) — Morgan Stanley U.S. Financials Conference &amp; Bernstein Conference (May–June 2026)</w:t>
      </w:r>
    </w:p>
    <w:p>
      <w:r>
        <w:rPr>
          <w:rFonts w:ascii="Calibri" w:hAnsi="Calibri"/>
          <w:b/>
          <w:color w:val="525866"/>
          <w:sz w:val="22"/>
        </w:rPr>
        <w:t xml:space="preserve">Read-Through for C: </w:t>
      </w:r>
      <w:r>
        <w:rPr>
          <w:rFonts w:ascii="Calibri" w:hAnsi="Calibri"/>
          <w:color w:val="525866"/>
          <w:sz w:val="22"/>
        </w:rPr>
        <w:t>Positive across IB, Markets, and credit quality.</w:t>
      </w:r>
    </w:p>
    <w:p>
      <w:pPr>
        <w:pStyle w:val="ListBullet"/>
        <w:ind w:left="360" w:hanging="360"/>
      </w:pPr>
      <w:r>
        <w:rPr>
          <w:rFonts w:ascii="Calibri" w:hAnsi="Calibri"/>
          <w:b/>
          <w:color w:val="525866"/>
          <w:sz w:val="22"/>
        </w:rPr>
        <w:t xml:space="preserve">Investment Banking: </w:t>
      </w:r>
      <w:r>
        <w:rPr>
          <w:rFonts w:ascii="Calibri" w:hAnsi="Calibri"/>
          <w:color w:val="525866"/>
          <w:sz w:val="22"/>
        </w:rPr>
        <w:t>JPM described the IB pipeline as "very healthy" with "a lot of activity" across M&amp;A, ECM, and DCM. Management noted that "the dialogue is very active" and that the pipeline is "as good as it's been in a long time." This is a strong read-through for Citi's Banking segment, which management guided to mid-teens IB fee growth in Q2.</w:t>
      </w:r>
    </w:p>
    <w:p>
      <w:pPr>
        <w:pStyle w:val="ListBullet"/>
        <w:ind w:left="360" w:hanging="360"/>
      </w:pPr>
      <w:r>
        <w:rPr>
          <w:rFonts w:ascii="Calibri" w:hAnsi="Calibri"/>
          <w:b/>
          <w:color w:val="525866"/>
          <w:sz w:val="22"/>
        </w:rPr>
        <w:t xml:space="preserve">Markets / Trading: </w:t>
      </w:r>
      <w:r>
        <w:rPr>
          <w:rFonts w:ascii="Calibri" w:hAnsi="Calibri"/>
          <w:color w:val="525866"/>
          <w:sz w:val="22"/>
        </w:rPr>
        <w:t>JPM indicated Markets was tracking well in Q2, with equities particularly strong. The firm noted that "volumes are elevated" and that the business was benefiting from client activity across asset classes. This supports Citi's own Q2 Markets guidance of high single-digit to low double-digit YoY growth.</w:t>
      </w:r>
    </w:p>
    <w:p>
      <w:pPr>
        <w:pStyle w:val="ListBullet"/>
        <w:ind w:left="360" w:hanging="360"/>
      </w:pPr>
      <w:r>
        <w:rPr>
          <w:rFonts w:ascii="Calibri" w:hAnsi="Calibri"/>
          <w:b/>
          <w:color w:val="525866"/>
          <w:sz w:val="22"/>
        </w:rPr>
        <w:t xml:space="preserve">Credit Quality: </w:t>
      </w:r>
      <w:r>
        <w:rPr>
          <w:rFonts w:ascii="Calibri" w:hAnsi="Calibri"/>
          <w:color w:val="525866"/>
          <w:sz w:val="22"/>
        </w:rPr>
        <w:t>JPM described consumer credit as "holding up well" with no signs of deterioration. Charge-off rates were described as "normalizing" rather than deteriorating. This is consistent with Citi's own commentary that NCLs are down year-over-year and following normal seasonal patterns.</w:t>
      </w:r>
    </w:p>
    <w:p>
      <w:pPr>
        <w:pStyle w:val="ListBullet"/>
        <w:ind w:left="360" w:hanging="360"/>
      </w:pPr>
      <w:r>
        <w:rPr>
          <w:rFonts w:ascii="Calibri" w:hAnsi="Calibri"/>
          <w:b/>
          <w:color w:val="525866"/>
          <w:sz w:val="22"/>
        </w:rPr>
        <w:t xml:space="preserve">Macro Tone: </w:t>
      </w:r>
      <w:r>
        <w:rPr>
          <w:rFonts w:ascii="Calibri" w:hAnsi="Calibri"/>
          <w:color w:val="525866"/>
          <w:sz w:val="22"/>
        </w:rPr>
        <w:t>JPM management noted that "the economy is in good shape" despite survey-based caution, with actual spending data remaining resilient. Corporate clients are "active" and the M&amp;A environment is "constructive." This broad macro read-through supports Citi's diversified institutional franchise.</w:t>
      </w:r>
    </w:p>
    <w:p>
      <w:pPr>
        <w:pStyle w:val="Heading3"/>
      </w:pPr>
      <w:r>
        <w:rPr>
          <w:rFonts w:ascii="Calibri" w:hAnsi="Calibri"/>
          <w:b/>
          <w:color w:val="3B4259"/>
          <w:sz w:val="24"/>
        </w:rPr>
        <w:t>Bank of America (BAC) — Morgan Stanley U.S. Financials Conference &amp; Bernstein Conference (May–June 2026)</w:t>
      </w:r>
    </w:p>
    <w:p>
      <w:r>
        <w:rPr>
          <w:rFonts w:ascii="Calibri" w:hAnsi="Calibri"/>
          <w:b/>
          <w:color w:val="525866"/>
          <w:sz w:val="22"/>
        </w:rPr>
        <w:t xml:space="preserve">Read-Through for C: </w:t>
      </w:r>
      <w:r>
        <w:rPr>
          <w:rFonts w:ascii="Calibri" w:hAnsi="Calibri"/>
          <w:color w:val="525866"/>
          <w:sz w:val="22"/>
        </w:rPr>
        <w:t>Positive on NII, IB, and trading; constructive on macro.</w:t>
      </w:r>
    </w:p>
    <w:p>
      <w:pPr>
        <w:pStyle w:val="ListBullet"/>
        <w:ind w:left="360" w:hanging="360"/>
      </w:pPr>
      <w:r>
        <w:rPr>
          <w:rFonts w:ascii="Calibri" w:hAnsi="Calibri"/>
          <w:b/>
          <w:color w:val="525866"/>
          <w:sz w:val="22"/>
        </w:rPr>
        <w:t xml:space="preserve">NII Trajectory: </w:t>
      </w:r>
      <w:r>
        <w:rPr>
          <w:rFonts w:ascii="Calibri" w:hAnsi="Calibri"/>
          <w:color w:val="525866"/>
          <w:sz w:val="22"/>
        </w:rPr>
        <w:t>BAC reaffirmed its NII guidance of approximately $1.8B sequential improvement, noting that "repricing of assets" is pulling through to the bottom line without incremental expense. This is a direct read-through for Citi's NII ex-Markets guidance of +5–6% for FY 2026, which management has reaffirmed with confidence.</w:t>
      </w:r>
    </w:p>
    <w:p>
      <w:pPr>
        <w:pStyle w:val="ListBullet"/>
        <w:ind w:left="360" w:hanging="360"/>
      </w:pPr>
      <w:r>
        <w:rPr>
          <w:rFonts w:ascii="Calibri" w:hAnsi="Calibri"/>
          <w:b/>
          <w:color w:val="525866"/>
          <w:sz w:val="22"/>
        </w:rPr>
        <w:t xml:space="preserve">Investment Banking: </w:t>
      </w:r>
      <w:r>
        <w:rPr>
          <w:rFonts w:ascii="Calibri" w:hAnsi="Calibri"/>
          <w:color w:val="525866"/>
          <w:sz w:val="22"/>
        </w:rPr>
        <w:t>BAC described the IB pipeline as "still plentiful" with a "lot focused on technology." Management highlighted large IPO activity (including S-1 filings from companies with market caps of $900B to $1.5T+) and described Q2 as "in pretty good shape" and "going to be a good quarter." BAC is targeting 50–100 bps of IB market share gains in the medium term. This is a strong read-through for Citi's Banking segment.</w:t>
      </w:r>
    </w:p>
    <w:p>
      <w:pPr>
        <w:pStyle w:val="ListBullet"/>
        <w:ind w:left="360" w:hanging="360"/>
      </w:pPr>
      <w:r>
        <w:rPr>
          <w:rFonts w:ascii="Calibri" w:hAnsi="Calibri"/>
          <w:b/>
          <w:color w:val="525866"/>
          <w:sz w:val="22"/>
        </w:rPr>
        <w:t xml:space="preserve">Trading / Markets: </w:t>
      </w:r>
      <w:r>
        <w:rPr>
          <w:rFonts w:ascii="Calibri" w:hAnsi="Calibri"/>
          <w:color w:val="525866"/>
          <w:sz w:val="22"/>
        </w:rPr>
        <w:t>BAC's Global Markets business was tracking "up 15% or so year-on-year" initially, with management expecting to be "a little better than that." Growth was described as "equity driven," with equity trading volumes now running at 15–17 billion shares per day vs. 7 billion pre-COVID. This is a very strong read-through for Citi's Markets segment, which has been building its equities franchise (prime balances up 50%+ in Q1).</w:t>
      </w:r>
    </w:p>
    <w:p>
      <w:pPr>
        <w:pStyle w:val="ListBullet"/>
        <w:ind w:left="360" w:hanging="360"/>
      </w:pPr>
      <w:r>
        <w:rPr>
          <w:rFonts w:ascii="Calibri" w:hAnsi="Calibri"/>
          <w:b/>
          <w:color w:val="525866"/>
          <w:sz w:val="22"/>
        </w:rPr>
        <w:t xml:space="preserve">Macro / Consumer: </w:t>
      </w:r>
      <w:r>
        <w:rPr>
          <w:rFonts w:ascii="Calibri" w:hAnsi="Calibri"/>
          <w:color w:val="525866"/>
          <w:sz w:val="22"/>
        </w:rPr>
        <w:t>BAC noted that consumer spending is still showing "mid-single digits increase" despite survey-based caution, and that "the numbers show resilience." Corporate credit spreads are tight, which is attractive for M&amp;A and CapEx. This supports Citi's Services and Cards businesses.</w:t>
      </w:r>
    </w:p>
    <w:p>
      <w:pPr>
        <w:pStyle w:val="Heading3"/>
      </w:pPr>
      <w:r>
        <w:rPr>
          <w:rFonts w:ascii="Calibri" w:hAnsi="Calibri"/>
          <w:b/>
          <w:color w:val="3B4259"/>
          <w:sz w:val="24"/>
        </w:rPr>
        <w:t>Wells Fargo (WFC) — Morgan Stanley U.S. Financials Conference &amp; Bernstein Conference (May–June 2026)</w:t>
      </w:r>
    </w:p>
    <w:p>
      <w:r>
        <w:rPr>
          <w:rFonts w:ascii="Calibri" w:hAnsi="Calibri"/>
          <w:b/>
          <w:color w:val="525866"/>
          <w:sz w:val="22"/>
        </w:rPr>
        <w:t xml:space="preserve">Read-Through for C: </w:t>
      </w:r>
      <w:r>
        <w:rPr>
          <w:rFonts w:ascii="Calibri" w:hAnsi="Calibri"/>
          <w:color w:val="525866"/>
          <w:sz w:val="22"/>
        </w:rPr>
        <w:t>Positive on credit quality and fee income; mixed on NII given WFC's different rate sensitivity profile.</w:t>
      </w:r>
    </w:p>
    <w:p>
      <w:pPr>
        <w:pStyle w:val="ListBullet"/>
        <w:ind w:left="360" w:hanging="360"/>
      </w:pPr>
      <w:r>
        <w:rPr>
          <w:rFonts w:ascii="Calibri" w:hAnsi="Calibri"/>
          <w:b/>
          <w:color w:val="525866"/>
          <w:sz w:val="22"/>
        </w:rPr>
        <w:t xml:space="preserve">Fee Income &amp; IB: </w:t>
      </w:r>
      <w:r>
        <w:rPr>
          <w:rFonts w:ascii="Calibri" w:hAnsi="Calibri"/>
          <w:color w:val="525866"/>
          <w:sz w:val="22"/>
        </w:rPr>
        <w:t>WFC highlighted strong fee income momentum, with investment banking and trading both performing well in Q2. The firm noted that its IB business is gaining share and that the pipeline remains robust. This is a positive read-through for Citi's Banking segment.</w:t>
      </w:r>
    </w:p>
    <w:p>
      <w:pPr>
        <w:pStyle w:val="ListBullet"/>
        <w:ind w:left="360" w:hanging="360"/>
      </w:pPr>
      <w:r>
        <w:rPr>
          <w:rFonts w:ascii="Calibri" w:hAnsi="Calibri"/>
          <w:b/>
          <w:color w:val="525866"/>
          <w:sz w:val="22"/>
        </w:rPr>
        <w:t xml:space="preserve">Credit Quality: </w:t>
      </w:r>
      <w:r>
        <w:rPr>
          <w:rFonts w:ascii="Calibri" w:hAnsi="Calibri"/>
          <w:color w:val="525866"/>
          <w:sz w:val="22"/>
        </w:rPr>
        <w:t>WFC described credit quality as "stable" with no signs of systemic stress. Consumer delinquencies are "manageable" and commercial credit is "holding up." This is consistent with Citi's own benign credit commentary and supports the view that the NCL rate will remain within the 4.0–4.5% guidance range for US Cards.</w:t>
      </w:r>
    </w:p>
    <w:p>
      <w:pPr>
        <w:pStyle w:val="ListBullet"/>
        <w:ind w:left="360" w:hanging="360"/>
      </w:pPr>
      <w:r>
        <w:rPr>
          <w:rFonts w:ascii="Calibri" w:hAnsi="Calibri"/>
          <w:b/>
          <w:color w:val="525866"/>
          <w:sz w:val="22"/>
        </w:rPr>
        <w:t xml:space="preserve">Expense Discipline: </w:t>
      </w:r>
      <w:r>
        <w:rPr>
          <w:rFonts w:ascii="Calibri" w:hAnsi="Calibri"/>
          <w:color w:val="525866"/>
          <w:sz w:val="22"/>
        </w:rPr>
        <w:t>WFC continued to emphasize its efficiency improvement journey, noting that expense discipline remains a priority. This is a thematic read-through for Citi's own efficiency ratio target of ~60% for FY 2026.</w:t>
      </w:r>
    </w:p>
    <w:p>
      <w:pPr>
        <w:pStyle w:val="Heading3"/>
      </w:pPr>
      <w:r>
        <w:rPr>
          <w:rFonts w:ascii="Calibri" w:hAnsi="Calibri"/>
          <w:b/>
          <w:color w:val="3B4259"/>
          <w:sz w:val="24"/>
        </w:rPr>
        <w:t>Goldman Sachs (GS) — Bernstein Strategic Decisions Conference (May 28, 2026)</w:t>
      </w:r>
    </w:p>
    <w:p>
      <w:r>
        <w:rPr>
          <w:rFonts w:ascii="Calibri" w:hAnsi="Calibri"/>
          <w:b/>
          <w:color w:val="525866"/>
          <w:sz w:val="22"/>
        </w:rPr>
        <w:t xml:space="preserve">Read-Through for C: </w:t>
      </w:r>
      <w:r>
        <w:rPr>
          <w:rFonts w:ascii="Calibri" w:hAnsi="Calibri"/>
          <w:color w:val="525866"/>
          <w:sz w:val="22"/>
        </w:rPr>
        <w:t>Strongly positive on Markets and IB; GS is the most direct read-through for Citi's institutional franchise.</w:t>
      </w:r>
    </w:p>
    <w:p>
      <w:pPr>
        <w:pStyle w:val="ListBullet"/>
        <w:ind w:left="360" w:hanging="360"/>
      </w:pPr>
      <w:r>
        <w:rPr>
          <w:rFonts w:ascii="Calibri" w:hAnsi="Calibri"/>
          <w:b/>
          <w:color w:val="525866"/>
          <w:sz w:val="22"/>
        </w:rPr>
        <w:t xml:space="preserve">Markets Revenue: </w:t>
      </w:r>
      <w:r>
        <w:rPr>
          <w:rFonts w:ascii="Calibri" w:hAnsi="Calibri"/>
          <w:color w:val="525866"/>
          <w:sz w:val="22"/>
        </w:rPr>
        <w:t>GS provided constructive commentary on Q2 Markets performance, noting strength across equities and FICC. The firm highlighted that the trading environment remains favorable, with client activity elevated across asset classes. This is a direct and strong read-through for Citi's Markets segment, which is tracking high single-digit to low double-digit YoY growth in Q2.</w:t>
      </w:r>
    </w:p>
    <w:p>
      <w:pPr>
        <w:pStyle w:val="ListBullet"/>
        <w:ind w:left="360" w:hanging="360"/>
      </w:pPr>
      <w:r>
        <w:rPr>
          <w:rFonts w:ascii="Calibri" w:hAnsi="Calibri"/>
          <w:b/>
          <w:color w:val="525866"/>
          <w:sz w:val="22"/>
        </w:rPr>
        <w:t xml:space="preserve">Investment Banking: </w:t>
      </w:r>
      <w:r>
        <w:rPr>
          <w:rFonts w:ascii="Calibri" w:hAnsi="Calibri"/>
          <w:color w:val="525866"/>
          <w:sz w:val="22"/>
        </w:rPr>
        <w:t>GS described the IB environment as "very active" with a strong M&amp;A pipeline and robust ECM activity. The firm noted that "quality deals are getting done" and that the DCM market is particularly active in investment-grade. This aligns precisely with Citi's own Q2 IB commentary of mid-teens YoY fee growth anchored by ECM and IG DCM.</w:t>
      </w:r>
    </w:p>
    <w:p>
      <w:pPr>
        <w:pStyle w:val="ListBullet"/>
        <w:ind w:left="360" w:hanging="360"/>
      </w:pPr>
      <w:r>
        <w:rPr>
          <w:rFonts w:ascii="Calibri" w:hAnsi="Calibri"/>
          <w:b/>
          <w:color w:val="525866"/>
          <w:sz w:val="22"/>
        </w:rPr>
        <w:t xml:space="preserve">Wealth Management: </w:t>
      </w:r>
      <w:r>
        <w:rPr>
          <w:rFonts w:ascii="Calibri" w:hAnsi="Calibri"/>
          <w:color w:val="525866"/>
          <w:sz w:val="22"/>
        </w:rPr>
        <w:t>GS highlighted continued momentum in its wealth and asset management businesses, with client assets growing and fee income expanding. This is a positive read-through for Citi's Wealth segment, which has delivered eight consecutive quarters of revenue growth.</w:t>
      </w:r>
    </w:p>
    <w:p>
      <w:pPr>
        <w:pStyle w:val="ListBullet"/>
        <w:ind w:left="360" w:hanging="360"/>
      </w:pPr>
      <w:r>
        <w:rPr>
          <w:rFonts w:ascii="Calibri" w:hAnsi="Calibri"/>
          <w:b/>
          <w:color w:val="525866"/>
          <w:sz w:val="22"/>
        </w:rPr>
        <w:t xml:space="preserve">Capital Markets Cycle: </w:t>
      </w:r>
      <w:r>
        <w:rPr>
          <w:rFonts w:ascii="Calibri" w:hAnsi="Calibri"/>
          <w:color w:val="525866"/>
          <w:sz w:val="22"/>
        </w:rPr>
        <w:t>GS management expressed confidence that the capital markets cycle remains in an upcycle, with the IPO market reopening and M&amp;A activity accelerating. This is a broad positive for Citi's Banking and Markets segments.</w:t>
      </w:r>
    </w:p>
    <w:p>
      <w:pPr>
        <w:pStyle w:val="Heading3"/>
      </w:pPr>
      <w:r>
        <w:rPr>
          <w:rFonts w:ascii="Calibri" w:hAnsi="Calibri"/>
          <w:b/>
          <w:color w:val="3B4259"/>
          <w:sz w:val="24"/>
        </w:rPr>
        <w:t>Morgan Stanley (MS) — Morgan Stanley U.S. Financials Conference (June 9, 2026)</w:t>
      </w:r>
    </w:p>
    <w:p>
      <w:r>
        <w:rPr>
          <w:rFonts w:ascii="Calibri" w:hAnsi="Calibri"/>
          <w:b/>
          <w:color w:val="525866"/>
          <w:sz w:val="22"/>
        </w:rPr>
        <w:t xml:space="preserve">Read-Through for C: </w:t>
      </w:r>
      <w:r>
        <w:rPr>
          <w:rFonts w:ascii="Calibri" w:hAnsi="Calibri"/>
          <w:color w:val="525866"/>
          <w:sz w:val="22"/>
        </w:rPr>
        <w:t>Positive on wealth management and institutional securities; MS's commentary on the wealth channel is particularly relevant for Citi's growing Wealth segment.</w:t>
      </w:r>
    </w:p>
    <w:p>
      <w:pPr>
        <w:pStyle w:val="ListBullet"/>
        <w:ind w:left="360" w:hanging="360"/>
      </w:pPr>
      <w:r>
        <w:rPr>
          <w:rFonts w:ascii="Calibri" w:hAnsi="Calibri"/>
          <w:b/>
          <w:color w:val="525866"/>
          <w:sz w:val="22"/>
        </w:rPr>
        <w:t xml:space="preserve">Wealth Management: </w:t>
      </w:r>
      <w:r>
        <w:rPr>
          <w:rFonts w:ascii="Calibri" w:hAnsi="Calibri"/>
          <w:color w:val="525866"/>
          <w:sz w:val="22"/>
        </w:rPr>
        <w:t>MS highlighted continued strong net new asset flows and client engagement in its wealth business. The firm noted that the wealth channel is benefiting from market appreciation and new client acquisition. This is a positive read-through for Citi's Wealth segment, which is targeting above-20% ROTCE in the medium term and has been growing net new investment assets (approximately $15B in Q1 2026 alone).</w:t>
      </w:r>
    </w:p>
    <w:p>
      <w:pPr>
        <w:pStyle w:val="ListBullet"/>
        <w:ind w:left="360" w:hanging="360"/>
      </w:pPr>
      <w:r>
        <w:rPr>
          <w:rFonts w:ascii="Calibri" w:hAnsi="Calibri"/>
          <w:b/>
          <w:color w:val="525866"/>
          <w:sz w:val="22"/>
        </w:rPr>
        <w:t xml:space="preserve">Institutional Securities / Markets: </w:t>
      </w:r>
      <w:r>
        <w:rPr>
          <w:rFonts w:ascii="Calibri" w:hAnsi="Calibri"/>
          <w:color w:val="525866"/>
          <w:sz w:val="22"/>
        </w:rPr>
        <w:t>MS described its institutional securities business as performing well in Q2, with equities and fixed income both contributing. The firm noted that client activity remains elevated and that the trading environment is constructive. This supports Citi's Markets guidance.</w:t>
      </w:r>
    </w:p>
    <w:p>
      <w:pPr>
        <w:pStyle w:val="ListBullet"/>
        <w:ind w:left="360" w:hanging="360"/>
      </w:pPr>
      <w:r>
        <w:rPr>
          <w:rFonts w:ascii="Calibri" w:hAnsi="Calibri"/>
          <w:b/>
          <w:color w:val="525866"/>
          <w:sz w:val="22"/>
        </w:rPr>
        <w:t xml:space="preserve">Capital Markets Activity: </w:t>
      </w:r>
      <w:r>
        <w:rPr>
          <w:rFonts w:ascii="Calibri" w:hAnsi="Calibri"/>
          <w:color w:val="525866"/>
          <w:sz w:val="22"/>
        </w:rPr>
        <w:t>MS noted that the ECM market is "very active" with a strong IPO calendar and robust follow-on activity. This is a direct read-through for Citi's IB fee guidance of mid-teens YoY growth in Q2, which management specifically anchored on equity capital markets activity.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Conference</w:t>
            </w:r>
          </w:p>
        </w:tc>
        <w:tc>
          <w:tcPr>
            <w:tcW w:type="dxa" w:w="2160"/>
            <w:shd w:val="clear" w:color="auto" w:fill="3B4259"/>
          </w:tcPr>
          <w:p>
            <w:r>
              <w:rPr>
                <w:rFonts w:ascii="Calibri" w:hAnsi="Calibri"/>
                <w:b/>
                <w:color w:val="FFFFFF"/>
                <w:sz w:val="22"/>
              </w:rPr>
              <w:t>Key C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JPM</w:t>
            </w:r>
          </w:p>
        </w:tc>
        <w:tc>
          <w:tcPr>
            <w:tcW w:type="dxa" w:w="2160"/>
          </w:tcPr>
          <w:p>
            <w:r>
              <w:rPr>
                <w:rFonts w:ascii="Calibri" w:hAnsi="Calibri"/>
                <w:sz w:val="22"/>
              </w:rPr>
              <w:t>MS Financials + Bernstein (May–June 2026)</w:t>
            </w:r>
          </w:p>
        </w:tc>
        <w:tc>
          <w:tcPr>
            <w:tcW w:type="dxa" w:w="2160"/>
          </w:tcPr>
          <w:p>
            <w:r>
              <w:rPr>
                <w:rFonts w:ascii="Calibri" w:hAnsi="Calibri"/>
                <w:sz w:val="22"/>
              </w:rPr>
              <w:t>IB pipeline "very healthy"; Markets tracking well; consumer credit holding up; macro resilient</w:t>
            </w:r>
          </w:p>
        </w:tc>
        <w:tc>
          <w:tcPr>
            <w:tcW w:type="dxa" w:w="2160"/>
          </w:tcPr>
          <w:p>
            <w:r>
              <w:rPr>
                <w:rFonts w:ascii="Calibri" w:hAnsi="Calibri"/>
                <w:b/>
                <w:color w:val="30A46C"/>
                <w:sz w:val="22"/>
              </w:rPr>
              <w:t>↑ Positive</w:t>
            </w:r>
          </w:p>
        </w:tc>
      </w:tr>
      <w:tr>
        <w:tc>
          <w:tcPr>
            <w:tcW w:type="dxa" w:w="2160"/>
          </w:tcPr>
          <w:p>
            <w:r>
              <w:rPr>
                <w:rFonts w:ascii="Calibri" w:hAnsi="Calibri"/>
                <w:sz w:val="22"/>
              </w:rPr>
              <w:t>BAC</w:t>
            </w:r>
          </w:p>
        </w:tc>
        <w:tc>
          <w:tcPr>
            <w:tcW w:type="dxa" w:w="2160"/>
          </w:tcPr>
          <w:p>
            <w:r>
              <w:rPr>
                <w:rFonts w:ascii="Calibri" w:hAnsi="Calibri"/>
                <w:sz w:val="22"/>
              </w:rPr>
              <w:t>MS Financials + Bernstein (May–June 2026)</w:t>
            </w:r>
          </w:p>
        </w:tc>
        <w:tc>
          <w:tcPr>
            <w:tcW w:type="dxa" w:w="2160"/>
          </w:tcPr>
          <w:p>
            <w:r>
              <w:rPr>
                <w:rFonts w:ascii="Calibri" w:hAnsi="Calibri"/>
                <w:sz w:val="22"/>
              </w:rPr>
              <w:t>NII reaffirmed; IB pipeline "plentiful"; Markets up 15%+ YoY (equity driven); consumer spending resilient</w:t>
            </w:r>
          </w:p>
        </w:tc>
        <w:tc>
          <w:tcPr>
            <w:tcW w:type="dxa" w:w="2160"/>
          </w:tcPr>
          <w:p>
            <w:r>
              <w:rPr>
                <w:rFonts w:ascii="Calibri" w:hAnsi="Calibri"/>
                <w:b/>
                <w:color w:val="30A46C"/>
                <w:sz w:val="22"/>
              </w:rPr>
              <w:t>↑ Positive</w:t>
            </w:r>
          </w:p>
        </w:tc>
      </w:tr>
      <w:tr>
        <w:tc>
          <w:tcPr>
            <w:tcW w:type="dxa" w:w="2160"/>
          </w:tcPr>
          <w:p>
            <w:r>
              <w:rPr>
                <w:rFonts w:ascii="Calibri" w:hAnsi="Calibri"/>
                <w:sz w:val="22"/>
              </w:rPr>
              <w:t>WFC</w:t>
            </w:r>
          </w:p>
        </w:tc>
        <w:tc>
          <w:tcPr>
            <w:tcW w:type="dxa" w:w="2160"/>
          </w:tcPr>
          <w:p>
            <w:r>
              <w:rPr>
                <w:rFonts w:ascii="Calibri" w:hAnsi="Calibri"/>
                <w:sz w:val="22"/>
              </w:rPr>
              <w:t>MS Financials + Bernstein (May–June 2026)</w:t>
            </w:r>
          </w:p>
        </w:tc>
        <w:tc>
          <w:tcPr>
            <w:tcW w:type="dxa" w:w="2160"/>
          </w:tcPr>
          <w:p>
            <w:r>
              <w:rPr>
                <w:rFonts w:ascii="Calibri" w:hAnsi="Calibri"/>
                <w:sz w:val="22"/>
              </w:rPr>
              <w:t>Credit quality stable; fee income strong; expense discipline ongoing</w:t>
            </w:r>
          </w:p>
        </w:tc>
        <w:tc>
          <w:tcPr>
            <w:tcW w:type="dxa" w:w="2160"/>
          </w:tcPr>
          <w:p>
            <w:r>
              <w:rPr>
                <w:rFonts w:ascii="Calibri" w:hAnsi="Calibri"/>
                <w:b/>
                <w:color w:val="30A46C"/>
                <w:sz w:val="22"/>
              </w:rPr>
              <w:t>↑ Positive</w:t>
            </w:r>
          </w:p>
        </w:tc>
      </w:tr>
      <w:tr>
        <w:tc>
          <w:tcPr>
            <w:tcW w:type="dxa" w:w="2160"/>
          </w:tcPr>
          <w:p>
            <w:r>
              <w:rPr>
                <w:rFonts w:ascii="Calibri" w:hAnsi="Calibri"/>
                <w:sz w:val="22"/>
              </w:rPr>
              <w:t>GS</w:t>
            </w:r>
          </w:p>
        </w:tc>
        <w:tc>
          <w:tcPr>
            <w:tcW w:type="dxa" w:w="2160"/>
          </w:tcPr>
          <w:p>
            <w:r>
              <w:rPr>
                <w:rFonts w:ascii="Calibri" w:hAnsi="Calibri"/>
                <w:sz w:val="22"/>
              </w:rPr>
              <w:t>Bernstein Conference (May 28, 2026)</w:t>
            </w:r>
          </w:p>
        </w:tc>
        <w:tc>
          <w:tcPr>
            <w:tcW w:type="dxa" w:w="2160"/>
          </w:tcPr>
          <w:p>
            <w:r>
              <w:rPr>
                <w:rFonts w:ascii="Calibri" w:hAnsi="Calibri"/>
                <w:sz w:val="22"/>
              </w:rPr>
              <w:t>Markets strong across equities/FICC; IB "very active"; capital markets cycle in upcycle; wealth momentum</w:t>
            </w:r>
          </w:p>
        </w:tc>
        <w:tc>
          <w:tcPr>
            <w:tcW w:type="dxa" w:w="2160"/>
          </w:tcPr>
          <w:p>
            <w:r>
              <w:rPr>
                <w:rFonts w:ascii="Calibri" w:hAnsi="Calibri"/>
                <w:b/>
                <w:color w:val="30A46C"/>
                <w:sz w:val="22"/>
              </w:rPr>
              <w:t>↑ Strongly Positive</w:t>
            </w:r>
          </w:p>
        </w:tc>
      </w:tr>
      <w:tr>
        <w:tc>
          <w:tcPr>
            <w:tcW w:type="dxa" w:w="2160"/>
          </w:tcPr>
          <w:p>
            <w:r>
              <w:rPr>
                <w:rFonts w:ascii="Calibri" w:hAnsi="Calibri"/>
                <w:sz w:val="22"/>
              </w:rPr>
              <w:t>MS</w:t>
            </w:r>
          </w:p>
        </w:tc>
        <w:tc>
          <w:tcPr>
            <w:tcW w:type="dxa" w:w="2160"/>
          </w:tcPr>
          <w:p>
            <w:r>
              <w:rPr>
                <w:rFonts w:ascii="Calibri" w:hAnsi="Calibri"/>
                <w:sz w:val="22"/>
              </w:rPr>
              <w:t>MS Financials Conference (June 9, 2026)</w:t>
            </w:r>
          </w:p>
        </w:tc>
        <w:tc>
          <w:tcPr>
            <w:tcW w:type="dxa" w:w="2160"/>
          </w:tcPr>
          <w:p>
            <w:r>
              <w:rPr>
                <w:rFonts w:ascii="Calibri" w:hAnsi="Calibri"/>
                <w:sz w:val="22"/>
              </w:rPr>
              <w:t>Wealth flows strong; ECM "very active"; institutional securities performing well in Q2</w:t>
            </w:r>
          </w:p>
        </w:tc>
        <w:tc>
          <w:tcPr>
            <w:tcW w:type="dxa" w:w="2160"/>
          </w:tcPr>
          <w:p>
            <w:r>
              <w:rPr>
                <w:rFonts w:ascii="Calibri" w:hAnsi="Calibri"/>
                <w:b/>
                <w:color w:val="30A46C"/>
                <w:sz w:val="22"/>
              </w:rPr>
              <w:t>↑ Positive</w:t>
            </w:r>
          </w:p>
        </w:tc>
      </w:tr>
    </w:tbl>
    <w:p>
      <w:r>
        <w:rPr>
          <w:rFonts w:ascii="Calibri" w:hAnsi="Calibri"/>
          <w:i/>
          <w:color w:val="525866"/>
          <w:sz w:val="22"/>
        </w:rPr>
        <w:t>Source: JPMorgan, Bank of America, Wells Fargo, Goldman Sachs, and Morgan Stanley conference transcripts — Morgan Stanley U.S. Financials Conference (June 9, 2026) and Bernstein Strategic Decisions Conference (May 27–28,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Investor Day on May 7 was the most significant development since Q1 earnings — the $30B buyback announcement and upgraded medium-term ROTCE targets represent a step-change in the capital return narrative. The Morgan Stanley conference on June 9 provided the most recent and specific Q2 directional commentary, which is broadly constructive.</w:t>
      </w:r>
    </w:p>
    <w:p>
      <w:pPr>
        <w:pStyle w:val="ListBullet"/>
        <w:ind w:left="360" w:hanging="360"/>
      </w:pPr>
      <w:r>
        <w:rPr>
          <w:rFonts w:ascii="Calibri" w:hAnsi="Calibri"/>
          <w:b/>
          <w:color w:val="525866"/>
          <w:sz w:val="22"/>
        </w:rPr>
        <w:t xml:space="preserve">Investor Day (May 7, 2026): </w:t>
      </w:r>
      <w:r>
        <w:rPr>
          <w:rFonts w:ascii="Calibri" w:hAnsi="Calibri"/>
          <w:color w:val="525866"/>
          <w:sz w:val="22"/>
        </w:rPr>
        <w:t>Citi hosted its 2026 Investor Day, providing a comprehensive multi-year financial framework. Key announcements: (1) New $30B share buyback program announced, following the near-completion of the prior $20B program (of which $6.3B was repurchased in Q1 alone — a record single-quarter buyback); (2) Near-term ROTCE target of 11–13% for 2027–2028, with intention to move toward the higher end in 2028; (3) Medium-term ROTCE target of 14–15% once the firm reaches steady state; (4) Efficiency ratio path from ~60% in 2026 to 55–60% near-term to below 55% medium-term; (5) Stranded costs expected to decline from $1.3B in 2025 to near zero by 2028; (6) Transformation expenses (peaked at $3.3B in 2025) rolling off, with ~90% of programs at or near completion; (7) Incremental $5B of strategic investments across businesses over the near term, largely self-funded through structural efficiency savings.</w:t>
      </w:r>
    </w:p>
    <w:p>
      <w:pPr>
        <w:pStyle w:val="ListBullet"/>
        <w:ind w:left="360" w:hanging="360"/>
      </w:pPr>
      <w:r>
        <w:rPr>
          <w:rFonts w:ascii="Calibri" w:hAnsi="Calibri"/>
          <w:b/>
          <w:color w:val="525866"/>
          <w:sz w:val="22"/>
        </w:rPr>
        <w:t xml:space="preserve">Morgan Stanley U.S. Financials Conference (June 9, 2026): </w:t>
      </w:r>
      <w:r>
        <w:rPr>
          <w:rFonts w:ascii="Calibri" w:hAnsi="Calibri"/>
          <w:color w:val="525866"/>
          <w:sz w:val="22"/>
        </w:rPr>
        <w:t>CFO Gonzalo Luchetti provided specific Q2 2026 directional commentary: IB fees tracking mid-teens YoY growth (anchored by ECM and IG DCM); Markets revenue tracking high single-digit to low double-digit YoY growth; cost of credit broadly in line with Q1; NCLs down YoY following normal seasonal patterns; NII ex-Markets full-year guidance of +5–6% reaffirmed with confidence; efficiency ratio target of ~60% reaffirmed. Luchetti noted that Middle East geopolitical events have shifted the rate curve toward pricing a rate increase toward year-end (vs. cuts expected earlier), which could affect deposit volumes and pricing dynamics.</w:t>
      </w:r>
    </w:p>
    <w:p>
      <w:pPr>
        <w:pStyle w:val="ListBullet"/>
        <w:ind w:left="360" w:hanging="360"/>
      </w:pPr>
      <w:r>
        <w:rPr>
          <w:rFonts w:ascii="Calibri" w:hAnsi="Calibri"/>
          <w:b/>
          <w:color w:val="525866"/>
          <w:sz w:val="22"/>
        </w:rPr>
        <w:t xml:space="preserve">American Airlines-Barclays Portfolio Acquisition: </w:t>
      </w:r>
      <w:r>
        <w:rPr>
          <w:rFonts w:ascii="Calibri" w:hAnsi="Calibri"/>
          <w:color w:val="525866"/>
          <w:sz w:val="22"/>
        </w:rPr>
        <w:t>Management confirmed at Q1 earnings that the American Airlines-Barclays credit card portfolio acquisition is expected to close in Q2 2026 and is fully factored into the FY 2026 NII ex-Markets guidance of +5–6%. This represents an incremental source of loan and NII growth for the US Cards segment.</w:t>
      </w:r>
    </w:p>
    <w:p>
      <w:pPr>
        <w:pStyle w:val="ListBullet"/>
        <w:ind w:left="360" w:hanging="360"/>
      </w:pPr>
      <w:r>
        <w:rPr>
          <w:rFonts w:ascii="Calibri" w:hAnsi="Calibri"/>
          <w:b/>
          <w:color w:val="525866"/>
          <w:sz w:val="22"/>
        </w:rPr>
        <w:t xml:space="preserve">Services Mandate Wins: </w:t>
      </w:r>
      <w:r>
        <w:rPr>
          <w:rFonts w:ascii="Calibri" w:hAnsi="Calibri"/>
          <w:color w:val="525866"/>
          <w:sz w:val="22"/>
        </w:rPr>
        <w:t>In Q1 2026, Citi reported new Services mandates up 40% year-over-year, including the BlackRock middle office win as the most notable. These mandates represent sticky, high-quality NII and fee revenue that will ramp over time and support the Services segment's mid-20s ROTCE target.</w:t>
      </w:r>
    </w:p>
    <w:p>
      <w:pPr>
        <w:pStyle w:val="ListBullet"/>
        <w:ind w:left="360" w:hanging="360"/>
      </w:pPr>
      <w:r>
        <w:rPr>
          <w:rFonts w:ascii="Calibri" w:hAnsi="Calibri"/>
          <w:b/>
          <w:color w:val="525866"/>
          <w:sz w:val="22"/>
        </w:rPr>
        <w:t xml:space="preserve">Transformation Progress: </w:t>
      </w:r>
      <w:r>
        <w:rPr>
          <w:rFonts w:ascii="Calibri" w:hAnsi="Calibri"/>
          <w:color w:val="525866"/>
          <w:sz w:val="22"/>
        </w:rPr>
        <w:t>Management stated that the transformation is approximately 90% complete, with remaining work primarily in data programs for regulatory reporting. Regulators control the final closure timeline for the consent order. The transformation narrative has shifted from defensive ("making progress") to confident ("90% complete"), with tangible proof points including the Q1 efficiency ratio of 58.1% — well ahead of the ~60% full-year target.</w:t>
      </w:r>
    </w:p>
    <w:p>
      <w:pPr>
        <w:pStyle w:val="ListBullet"/>
        <w:ind w:left="360" w:hanging="360"/>
      </w:pPr>
      <w:r>
        <w:rPr>
          <w:rFonts w:ascii="Calibri" w:hAnsi="Calibri"/>
          <w:b/>
          <w:color w:val="525866"/>
          <w:sz w:val="22"/>
        </w:rPr>
        <w:t xml:space="preserve">AI Deployment: </w:t>
      </w:r>
      <w:r>
        <w:rPr>
          <w:rFonts w:ascii="Calibri" w:hAnsi="Calibri"/>
          <w:color w:val="525866"/>
          <w:sz w:val="22"/>
        </w:rPr>
        <w:t>Citi highlighted tangible AI benefits across four strategic buckets: revenue generation/client experience, productivity/process improvement, defensive capabilities (cyber, fraud, AML), and talent/workforce. Specific benefits include improved credit card approval rates, reduced customer service call times, and higher containment rates for corporate client service agents. AI is being deployed across more than 100 of the firm's largest-scale and most manual processes.</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Recent insider activity has been limited to routine post-vesting sales by executives — no open-market purchases or unusual selling patterns that would signal a directional view on the upcoming print. The transactions are consistent with normal compensation-related dispositions.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Insider</w:t>
            </w:r>
          </w:p>
        </w:tc>
        <w:tc>
          <w:tcPr>
            <w:tcW w:type="dxa" w:w="1080"/>
            <w:shd w:val="clear" w:color="auto" w:fill="3B4259"/>
          </w:tcPr>
          <w:p>
            <w:r>
              <w:rPr>
                <w:rFonts w:ascii="Calibri" w:hAnsi="Calibri"/>
                <w:b/>
                <w:color w:val="FFFFFF"/>
                <w:sz w:val="22"/>
              </w:rPr>
              <w:t>Role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Security</w:t>
            </w:r>
          </w:p>
        </w:tc>
        <w:tc>
          <w:tcPr>
            <w:tcW w:type="dxa" w:w="1080"/>
            <w:shd w:val="clear" w:color="auto" w:fill="3B4259"/>
          </w:tcPr>
          <w:p>
            <w:r>
              <w:rPr>
                <w:rFonts w:ascii="Calibri" w:hAnsi="Calibri"/>
                <w:b/>
                <w:color w:val="FFFFFF"/>
                <w:sz w:val="22"/>
              </w:rPr>
              <w:t>Shares Owned After</w:t>
            </w:r>
          </w:p>
        </w:tc>
        <w:tc>
          <w:tcPr>
            <w:tcW w:type="dxa" w:w="1080"/>
            <w:shd w:val="clear" w:color="auto" w:fill="3B4259"/>
          </w:tcPr>
          <w:p>
            <w:r>
              <w:rPr>
                <w:rFonts w:ascii="Calibri" w:hAnsi="Calibri"/>
                <w:b/>
                <w:color w:val="FFFFFF"/>
                <w:sz w:val="22"/>
              </w:rPr>
              <w:t>10b5-1 Plan</w:t>
            </w:r>
          </w:p>
        </w:tc>
      </w:tr>
      <w:tr>
        <w:tc>
          <w:tcPr>
            <w:tcW w:type="dxa" w:w="1080"/>
          </w:tcPr>
          <w:p>
            <w:r>
              <w:rPr>
                <w:rFonts w:ascii="Calibri" w:hAnsi="Calibri"/>
                <w:sz w:val="22"/>
              </w:rPr>
              <w:t>John Cunningham Dugan</w:t>
            </w:r>
          </w:p>
        </w:tc>
        <w:tc>
          <w:tcPr>
            <w:tcW w:type="dxa" w:w="1080"/>
          </w:tcPr>
          <w:p>
            <w:r>
              <w:rPr>
                <w:rFonts w:ascii="Calibri" w:hAnsi="Calibri"/>
                <w:sz w:val="22"/>
              </w:rPr>
              <w:t>Director</w:t>
            </w:r>
          </w:p>
        </w:tc>
        <w:tc>
          <w:tcPr>
            <w:tcW w:type="dxa" w:w="1080"/>
          </w:tcPr>
          <w:p>
            <w:r>
              <w:rPr>
                <w:rFonts w:ascii="Calibri" w:hAnsi="Calibri"/>
                <w:sz w:val="22"/>
              </w:rPr>
              <w:t>May 8, 2026</w:t>
            </w:r>
          </w:p>
        </w:tc>
        <w:tc>
          <w:tcPr>
            <w:tcW w:type="dxa" w:w="1080"/>
          </w:tcPr>
          <w:p>
            <w:r>
              <w:rPr>
                <w:rFonts w:ascii="Calibri" w:hAnsi="Calibri"/>
                <w:sz w:val="22"/>
              </w:rPr>
              <w:t>Sale (Disposition)</w:t>
            </w:r>
          </w:p>
        </w:tc>
        <w:tc>
          <w:tcPr>
            <w:tcW w:type="dxa" w:w="1080"/>
          </w:tcPr>
          <w:p>
            <w:r>
              <w:rPr>
                <w:rFonts w:ascii="Calibri" w:hAnsi="Calibri"/>
                <w:sz w:val="22"/>
              </w:rPr>
              <w:t>2,117</w:t>
            </w:r>
          </w:p>
        </w:tc>
        <w:tc>
          <w:tcPr>
            <w:tcW w:type="dxa" w:w="1080"/>
          </w:tcPr>
          <w:p>
            <w:r>
              <w:rPr>
                <w:rFonts w:ascii="Calibri" w:hAnsi="Calibri"/>
                <w:sz w:val="22"/>
              </w:rPr>
              <w:t>Common Stock</w:t>
            </w:r>
          </w:p>
        </w:tc>
        <w:tc>
          <w:tcPr>
            <w:tcW w:type="dxa" w:w="1080"/>
          </w:tcPr>
          <w:p>
            <w:r>
              <w:rPr>
                <w:rFonts w:ascii="Calibri" w:hAnsi="Calibri"/>
                <w:sz w:val="22"/>
              </w:rPr>
              <w:t>12,193.9</w:t>
            </w:r>
          </w:p>
        </w:tc>
        <w:tc>
          <w:tcPr>
            <w:tcW w:type="dxa" w:w="1080"/>
          </w:tcPr>
          <w:p>
            <w:r>
              <w:rPr>
                <w:rFonts w:ascii="Calibri" w:hAnsi="Calibri"/>
                <w:sz w:val="22"/>
              </w:rPr>
              <w:t>No</w:t>
            </w:r>
          </w:p>
        </w:tc>
      </w:tr>
      <w:tr>
        <w:tc>
          <w:tcPr>
            <w:tcW w:type="dxa" w:w="1080"/>
          </w:tcPr>
          <w:p>
            <w:r>
              <w:rPr>
                <w:rFonts w:ascii="Calibri" w:hAnsi="Calibri"/>
                <w:sz w:val="22"/>
              </w:rPr>
              <w:t>Nicole Giles</w:t>
            </w:r>
          </w:p>
        </w:tc>
        <w:tc>
          <w:tcPr>
            <w:tcW w:type="dxa" w:w="1080"/>
          </w:tcPr>
          <w:p>
            <w:r>
              <w:rPr>
                <w:rFonts w:ascii="Calibri" w:hAnsi="Calibri"/>
                <w:sz w:val="22"/>
              </w:rPr>
              <w:t>Chief Accounting Officer</w:t>
            </w:r>
          </w:p>
        </w:tc>
        <w:tc>
          <w:tcPr>
            <w:tcW w:type="dxa" w:w="1080"/>
          </w:tcPr>
          <w:p>
            <w:r>
              <w:rPr>
                <w:rFonts w:ascii="Calibri" w:hAnsi="Calibri"/>
                <w:sz w:val="22"/>
              </w:rPr>
              <w:t>April 15, 2026</w:t>
            </w:r>
          </w:p>
        </w:tc>
        <w:tc>
          <w:tcPr>
            <w:tcW w:type="dxa" w:w="1080"/>
          </w:tcPr>
          <w:p>
            <w:r>
              <w:rPr>
                <w:rFonts w:ascii="Calibri" w:hAnsi="Calibri"/>
                <w:sz w:val="22"/>
              </w:rPr>
              <w:t>Sale (Disposition)</w:t>
            </w:r>
          </w:p>
        </w:tc>
        <w:tc>
          <w:tcPr>
            <w:tcW w:type="dxa" w:w="1080"/>
          </w:tcPr>
          <w:p>
            <w:r>
              <w:rPr>
                <w:rFonts w:ascii="Calibri" w:hAnsi="Calibri"/>
                <w:sz w:val="22"/>
              </w:rPr>
              <w:t>12,732</w:t>
            </w:r>
          </w:p>
        </w:tc>
        <w:tc>
          <w:tcPr>
            <w:tcW w:type="dxa" w:w="1080"/>
          </w:tcPr>
          <w:p>
            <w:r>
              <w:rPr>
                <w:rFonts w:ascii="Calibri" w:hAnsi="Calibri"/>
                <w:sz w:val="22"/>
              </w:rPr>
              <w:t>Common Stock</w:t>
            </w:r>
          </w:p>
        </w:tc>
        <w:tc>
          <w:tcPr>
            <w:tcW w:type="dxa" w:w="1080"/>
          </w:tcPr>
          <w:p>
            <w:r>
              <w:rPr>
                <w:rFonts w:ascii="Calibri" w:hAnsi="Calibri"/>
                <w:sz w:val="22"/>
              </w:rPr>
              <w:t>97,734.4</w:t>
            </w:r>
          </w:p>
        </w:tc>
        <w:tc>
          <w:tcPr>
            <w:tcW w:type="dxa" w:w="1080"/>
          </w:tcPr>
          <w:p>
            <w:r>
              <w:rPr>
                <w:rFonts w:ascii="Calibri" w:hAnsi="Calibri"/>
                <w:sz w:val="22"/>
              </w:rPr>
              <w:t>No</w:t>
            </w:r>
          </w:p>
        </w:tc>
      </w:tr>
      <w:tr>
        <w:tc>
          <w:tcPr>
            <w:tcW w:type="dxa" w:w="1080"/>
          </w:tcPr>
          <w:p>
            <w:r>
              <w:rPr>
                <w:rFonts w:ascii="Calibri" w:hAnsi="Calibri"/>
                <w:sz w:val="22"/>
              </w:rPr>
              <w:t>Edward Skyler</w:t>
            </w:r>
          </w:p>
        </w:tc>
        <w:tc>
          <w:tcPr>
            <w:tcW w:type="dxa" w:w="1080"/>
          </w:tcPr>
          <w:p>
            <w:r>
              <w:rPr>
                <w:rFonts w:ascii="Calibri" w:hAnsi="Calibri"/>
                <w:sz w:val="22"/>
              </w:rPr>
              <w:t>Head of Enterprise Services &amp; Public Affairs</w:t>
            </w:r>
          </w:p>
        </w:tc>
        <w:tc>
          <w:tcPr>
            <w:tcW w:type="dxa" w:w="1080"/>
          </w:tcPr>
          <w:p>
            <w:r>
              <w:rPr>
                <w:rFonts w:ascii="Calibri" w:hAnsi="Calibri"/>
                <w:sz w:val="22"/>
              </w:rPr>
              <w:t>April 15, 2026</w:t>
            </w:r>
          </w:p>
        </w:tc>
        <w:tc>
          <w:tcPr>
            <w:tcW w:type="dxa" w:w="1080"/>
          </w:tcPr>
          <w:p>
            <w:r>
              <w:rPr>
                <w:rFonts w:ascii="Calibri" w:hAnsi="Calibri"/>
                <w:sz w:val="22"/>
              </w:rPr>
              <w:t>Sale (Disposition)</w:t>
            </w:r>
          </w:p>
        </w:tc>
        <w:tc>
          <w:tcPr>
            <w:tcW w:type="dxa" w:w="1080"/>
          </w:tcPr>
          <w:p>
            <w:r>
              <w:rPr>
                <w:rFonts w:ascii="Calibri" w:hAnsi="Calibri"/>
                <w:sz w:val="22"/>
              </w:rPr>
              <w:t>25,000</w:t>
            </w:r>
          </w:p>
        </w:tc>
        <w:tc>
          <w:tcPr>
            <w:tcW w:type="dxa" w:w="1080"/>
          </w:tcPr>
          <w:p>
            <w:r>
              <w:rPr>
                <w:rFonts w:ascii="Calibri" w:hAnsi="Calibri"/>
                <w:sz w:val="22"/>
              </w:rPr>
              <w:t>Common Stock</w:t>
            </w:r>
          </w:p>
        </w:tc>
        <w:tc>
          <w:tcPr>
            <w:tcW w:type="dxa" w:w="1080"/>
          </w:tcPr>
          <w:p>
            <w:r>
              <w:rPr>
                <w:rFonts w:ascii="Calibri" w:hAnsi="Calibri"/>
                <w:sz w:val="22"/>
              </w:rPr>
              <w:t>182,022.0</w:t>
            </w:r>
          </w:p>
        </w:tc>
        <w:tc>
          <w:tcPr>
            <w:tcW w:type="dxa" w:w="1080"/>
          </w:tcPr>
          <w:p>
            <w:r>
              <w:rPr>
                <w:rFonts w:ascii="Calibri" w:hAnsi="Calibri"/>
                <w:sz w:val="22"/>
              </w:rPr>
              <w:t>No</w:t>
            </w:r>
          </w:p>
        </w:tc>
      </w:tr>
    </w:tbl>
    <w:p>
      <w:r>
        <w:rPr>
          <w:rFonts w:ascii="Calibri" w:hAnsi="Calibri"/>
          <w:color w:val="525866"/>
          <w:sz w:val="22"/>
        </w:rPr>
        <w:t>All three transactions are dispositions (sales) of common stock. The April 15 sales by Nicole Giles (CAO) and Edward Skyler (Head of Enterprise Services) occurred the day after the Q1 2026 earnings release — a common pattern for executives selling shares following a vesting event or as part of tax-withholding on RSU settlements. The May 8 sale by Director John Dugan is a small transaction (2,117 shares) that is consistent with routine portfolio management. None of the transactions were executed under a pre-planned 10b5-1 trading plan, but the timing and size are consistent with compensation-related dispositions rather than a directional signal on the stock. No open-market purchases were recorded in the period, which is neutral rather than negative.</w:t>
      </w:r>
    </w:p>
    <w:p>
      <w:r>
        <w:rPr>
          <w:rFonts w:ascii="Calibri" w:hAnsi="Calibri"/>
          <w:i/>
          <w:color w:val="525866"/>
          <w:sz w:val="22"/>
        </w:rPr>
        <w:t>Source: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