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CFG (Citizens Financial Group) before writing the preview. Let me gather recent materials.The Q1 2026 transcript is rich with Q2 guidance. Let me get the earnings release numbers, recent stock performance, and any recent news.Let me check for recent news, particularly around CCAR results and any mid-year updates mentioned on the Q1 call.Let me check for CCAR/stress test results and any capital return updates from mid-2026.I now have what I need. Here's the earnings preview.</w:t>
      </w:r>
    </w:p>
    <w:p>
      <w:r>
        <w:pict>
          <v:rect style="width:0;height:1.5pt" o:hralign="center" o:hrstd="t" o:hr="t"/>
        </w:pict>
      </w:r>
    </w:p>
    <w:bookmarkStart w:id="21" w:name="X6ce3cf2279cd4e0d9853ab22786a92b599e7fa1"/>
    <w:p>
      <w:pPr>
        <w:pStyle w:val="Heading1"/>
      </w:pPr>
      <w:r>
        <w:t xml:space="preserve">Citizens Financial Group (CFG) — Q2 2026 Earnings Preview</w:t>
      </w:r>
    </w:p>
    <w:bookmarkStart w:id="9" w:name="X42bfc7f728e5a83f1d193d0f528df2e52f3cda0"/>
    <w:p>
      <w:pPr>
        <w:pStyle w:val="Heading3"/>
      </w:pPr>
      <w:r>
        <w:t xml:space="preserve">Reports Thursday, July 16, 2026 (before the open) | 2026Q2 Earnings Call</w:t>
      </w:r>
    </w:p>
    <w:bookmarkEnd w:id="9"/>
    <w:bookmarkStart w:id="10" w:name="the-setup"/>
    <w:p>
      <w:pPr>
        <w:pStyle w:val="Heading2"/>
      </w:pPr>
      <w:r>
        <w:t xml:space="preserve">The Setup</w:t>
      </w:r>
    </w:p>
    <w:p>
      <w:pPr>
        <w:pStyle w:val="FirstParagraph"/>
      </w:pPr>
      <w:r>
        <w:t xml:space="preserve">CFG heads into Q2 with strong momentum and a stock trading near 52-week highs. Shares have climbed from ~</w:t>
      </w:r>
      <m:oMath>
        <m:r>
          <m:t>59</m:t>
        </m:r>
        <m:r>
          <m:t>a</m:t>
        </m:r>
        <m:r>
          <m:t>t</m:t>
        </m:r>
        <m:r>
          <m:t>t</m:t>
        </m:r>
        <m:r>
          <m:t>h</m:t>
        </m:r>
        <m:r>
          <m:t>e</m:t>
        </m:r>
        <m:r>
          <m:t>s</m:t>
        </m:r>
        <m:r>
          <m:t>t</m:t>
        </m:r>
        <m:r>
          <m:t>a</m:t>
        </m:r>
        <m:r>
          <m:t>r</m:t>
        </m:r>
        <m:r>
          <m:t>t</m:t>
        </m:r>
        <m:r>
          <m:t>o</m:t>
        </m:r>
        <m:r>
          <m:t>f</m:t>
        </m:r>
        <m:r>
          <m:t>t</m:t>
        </m:r>
        <m:r>
          <m:t>h</m:t>
        </m:r>
        <m:r>
          <m:t>e</m:t>
        </m:r>
        <m:r>
          <m:t>y</m:t>
        </m:r>
        <m:r>
          <m:t>e</m:t>
        </m:r>
        <m:r>
          <m:t>a</m:t>
        </m:r>
        <m:r>
          <m:t>r</m:t>
        </m:r>
        <m:r>
          <m:t>t</m:t>
        </m:r>
        <m:r>
          <m:t>o</m:t>
        </m:r>
        <m:r>
          <m:t> </m:t>
        </m:r>
      </m:oMath>
      <w:r>
        <w:t xml:space="preserve">71 as of July 15 (roughly +20% YTD), and are up ~10% since the Q1 print on April 16. The stock has notably outperformed regional-bank peers like KeyCorp and Regions over the stretch, aided by two clear positive catalysts since April: broadening capital-markets activity and a</w:t>
      </w:r>
      <w:r>
        <w:t xml:space="preserve"> </w:t>
      </w:r>
      <w:r>
        <w:rPr>
          <w:b/>
          <w:bCs/>
        </w:rPr>
        <w:t xml:space="preserve">major favorable stress-test outcome</w:t>
      </w:r>
      <w:r>
        <w:t xml:space="preserve"> </w:t>
      </w:r>
      <w:r>
        <w:t xml:space="preserve">(more below).</w:t>
      </w:r>
    </w:p>
    <w:p>
      <w:pPr>
        <w:pStyle w:val="BodyText"/>
      </w:pPr>
      <w:r>
        <w:t xml:space="preserve">Consensus is looking for roughly</w:t>
      </w:r>
      <w:r>
        <w:t xml:space="preserve"> </w:t>
      </w:r>
      <w:r>
        <w:rPr>
          <w:b/>
          <w:bCs/>
        </w:rPr>
        <w:t xml:space="preserve">EPS of ~</w:t>
      </w:r>
      <m:oMath>
        <m:r>
          <m:t>1.24</m:t>
        </m:r>
        <m:r>
          <m:rPr>
            <m:sty m:val="p"/>
          </m:rPr>
          <m:t>–</m:t>
        </m:r>
      </m:oMath>
      <w:r>
        <w:rPr>
          <w:b/>
          <w:bCs/>
        </w:rPr>
        <w:t xml:space="preserve">1.25 on revenue of ~$2.24B</w:t>
      </w:r>
      <w:r>
        <w:t xml:space="preserve">, which would represent meaningful sequential growth off Q1's</w:t>
      </w:r>
      <w:r>
        <w:t xml:space="preserve"> </w:t>
      </w:r>
      <m:oMath>
        <m:r>
          <m:t>1.13</m:t>
        </m:r>
        <m:r>
          <m:t>a</m:t>
        </m:r>
        <m:r>
          <m:t>n</m:t>
        </m:r>
        <m:r>
          <m:t>d</m:t>
        </m:r>
        <m:r>
          <m:t> </m:t>
        </m:r>
      </m:oMath>
      <w:r>
        <w:t xml:space="preserve">2.17B. The bar has crept slightly higher into the print, so the question is less "beat" and more whether management raises conviction on the back-half ramp.</w:t>
      </w:r>
    </w:p>
    <w:p>
      <w:pPr>
        <w:pStyle w:val="BodyText"/>
      </w:pPr>
      <w:r>
        <w:rPr>
          <w:b/>
          <w:bCs/>
        </w:rPr>
        <w:t xml:space="preserve">Q1 2026 recap (the jumping-off point):</w:t>
      </w:r>
      <w:r>
        <w:t xml:space="preserve"> </w:t>
      </w:r>
      <w:r>
        <w:t xml:space="preserve">| Metric | 1Q26 | 4Q25 | 1Q25 |</w:t>
      </w:r>
      <w:r>
        <w:t xml:space="preserve"> </w:t>
      </w:r>
      <w:r>
        <w:t xml:space="preserve">|---|---|---|---|</w:t>
      </w:r>
      <w:r>
        <w:t xml:space="preserve"> </w:t>
      </w:r>
      <w:r>
        <w:t xml:space="preserve">| EPS | $1.13 | $1.13 | $0.77 |</w:t>
      </w:r>
      <w:r>
        <w:t xml:space="preserve"> </w:t>
      </w:r>
      <w:r>
        <w:t xml:space="preserve">| ROTCE | 12.2% | 12.2% | 9.6% |</w:t>
      </w:r>
      <w:r>
        <w:t xml:space="preserve"> </w:t>
      </w:r>
      <w:r>
        <w:t xml:space="preserve">| NII | $1,562M | $1,537M | $1,391M |</w:t>
      </w:r>
      <w:r>
        <w:t xml:space="preserve"> </w:t>
      </w:r>
      <w:r>
        <w:t xml:space="preserve">| NIM (FTE) | 3.14% | 3.07% | 2.90% |</w:t>
      </w:r>
      <w:r>
        <w:t xml:space="preserve"> </w:t>
      </w:r>
      <w:r>
        <w:t xml:space="preserve">| Fees | $606M | $620M | $544M |</w:t>
      </w:r>
      <w:r>
        <w:t xml:space="preserve"> </w:t>
      </w:r>
      <w:r>
        <w:t xml:space="preserve">| PPNR | $790M | $814M | $621M |</w:t>
      </w:r>
      <w:r>
        <w:t xml:space="preserve"> </w:t>
      </w:r>
      <w:r>
        <w:t xml:space="preserve">| NCO ratio | 0.39% | 0.43% | 0.58% |</w:t>
      </w:r>
      <w:r>
        <w:t xml:space="preserve"> </w:t>
      </w:r>
      <w:r>
        <w:t xml:space="preserve">| CET1 | 10.5% | 10.6% | 10.6% |</w:t>
      </w:r>
      <w:r>
        <w:t xml:space="preserve"> </w:t>
      </w:r>
      <w:r>
        <w:t xml:space="preserve">| TBV/share | $37.94 | $38.07 | $33.97 |</w:t>
      </w:r>
    </w:p>
    <w:p>
      <w:pPr>
        <w:pStyle w:val="BodyText"/>
      </w:pPr>
      <w:r>
        <w:t xml:space="preserve">Q1 delivered 47% YoY EPS growth and 7.2% positive operating leverage — a strong start that management said left them "cautiously optimistic" about hitting full-year targets.</w:t>
      </w:r>
    </w:p>
    <w:p>
      <w:r>
        <w:pict>
          <v:rect style="width:0;height:1.5pt" o:hralign="center" o:hrstd="t" o:hr="t"/>
        </w:pict>
      </w:r>
    </w:p>
    <w:bookmarkEnd w:id="10"/>
    <w:bookmarkStart w:id="18" w:name="what-to-watch"/>
    <w:p>
      <w:pPr>
        <w:pStyle w:val="Heading2"/>
      </w:pPr>
      <w:r>
        <w:t xml:space="preserve">What to Watch</w:t>
      </w:r>
    </w:p>
    <w:bookmarkStart w:id="11" w:name="Xf1b6adbfdc25c0c3cad754d1de1f97a64f98e93"/>
    <w:p>
      <w:pPr>
        <w:pStyle w:val="Heading3"/>
      </w:pPr>
      <w:r>
        <w:t xml:space="preserve">1. Net Interest Income &amp; Margin — the core earnings engine</w:t>
      </w:r>
    </w:p>
    <w:p>
      <w:pPr>
        <w:pStyle w:val="FirstParagraph"/>
      </w:pPr>
      <w:r>
        <w:t xml:space="preserve">Management guided</w:t>
      </w:r>
      <w:r>
        <w:t xml:space="preserve"> </w:t>
      </w:r>
      <w:r>
        <w:rPr>
          <w:b/>
          <w:bCs/>
        </w:rPr>
        <w:t xml:space="preserve">Q2 NII up 3–4% sequentially</w:t>
      </w:r>
      <w:r>
        <w:t xml:space="preserve"> </w:t>
      </w:r>
      <w:r>
        <w:t xml:space="preserve">off the</w:t>
      </w:r>
      <w:r>
        <w:t xml:space="preserve"> </w:t>
      </w:r>
      <m:oMath>
        <m:r>
          <m:t>1.56</m:t>
        </m:r>
        <m:r>
          <m:t>B</m:t>
        </m:r>
        <m:r>
          <m:t>Q</m:t>
        </m:r>
        <m:r>
          <m:t>1</m:t>
        </m:r>
        <m:r>
          <m:t>b</m:t>
        </m:r>
        <m:r>
          <m:t>a</m:t>
        </m:r>
        <m:r>
          <m:t>s</m:t>
        </m:r>
        <m:r>
          <m:t>e</m:t>
        </m:r>
        <m:r>
          <m:rPr>
            <m:sty m:val="p"/>
          </m:rPr>
          <m:t>,</m:t>
        </m:r>
        <m:r>
          <m:t>d</m:t>
        </m:r>
        <m:r>
          <m:t>r</m:t>
        </m:r>
        <m:r>
          <m:t>i</m:t>
        </m:r>
        <m:r>
          <m:t>v</m:t>
        </m:r>
        <m:r>
          <m:t>e</m:t>
        </m:r>
        <m:r>
          <m:t>n</m:t>
        </m:r>
        <m:r>
          <m:t>b</m:t>
        </m:r>
        <m:r>
          <m:t>y</m:t>
        </m:r>
        <m:r>
          <m:t>c</m:t>
        </m:r>
        <m:r>
          <m:t>o</m:t>
        </m:r>
        <m:r>
          <m:t>n</m:t>
        </m:r>
        <m:r>
          <m:t>t</m:t>
        </m:r>
        <m:r>
          <m:t>i</m:t>
        </m:r>
        <m:r>
          <m:t>n</m:t>
        </m:r>
        <m:r>
          <m:t>u</m:t>
        </m:r>
        <m:r>
          <m:t>e</m:t>
        </m:r>
        <m:r>
          <m:t>d</m:t>
        </m:r>
        <m:r>
          <m:t>N</m:t>
        </m:r>
        <m:r>
          <m:t>I</m:t>
        </m:r>
        <m:r>
          <m:t>M</m:t>
        </m:r>
        <m:r>
          <m:t>e</m:t>
        </m:r>
        <m:r>
          <m:t>x</m:t>
        </m:r>
        <m:r>
          <m:t>p</m:t>
        </m:r>
        <m:r>
          <m:t>a</m:t>
        </m:r>
        <m:r>
          <m:t>n</m:t>
        </m:r>
        <m:r>
          <m:t>s</m:t>
        </m:r>
        <m:r>
          <m:t>i</m:t>
        </m:r>
        <m:r>
          <m:t>o</m:t>
        </m:r>
        <m:r>
          <m:t>n</m:t>
        </m:r>
        <m:r>
          <m:t>a</m:t>
        </m:r>
        <m:r>
          <m:t>n</m:t>
        </m:r>
        <m:r>
          <m:t>d</m:t>
        </m:r>
        <m:r>
          <m:t>e</m:t>
        </m:r>
        <m:r>
          <m:t>a</m:t>
        </m:r>
        <m:r>
          <m:t>r</m:t>
        </m:r>
        <m:r>
          <m:t>n</m:t>
        </m:r>
        <m:r>
          <m:t>i</m:t>
        </m:r>
        <m:r>
          <m:t>n</m:t>
        </m:r>
        <m:r>
          <m:t>g</m:t>
        </m:r>
        <m:r>
          <m:rPr>
            <m:sty m:val="p"/>
          </m:rPr>
          <m:t>−</m:t>
        </m:r>
        <m:r>
          <m:t>a</m:t>
        </m:r>
        <m:r>
          <m:t>s</m:t>
        </m:r>
        <m:r>
          <m:t>s</m:t>
        </m:r>
        <m:r>
          <m:t>e</m:t>
        </m:r>
        <m:r>
          <m:t>t</m:t>
        </m:r>
        <m:r>
          <m:t>g</m:t>
        </m:r>
        <m:r>
          <m:t>r</m:t>
        </m:r>
        <m:r>
          <m:t>o</m:t>
        </m:r>
        <m:r>
          <m:t>w</m:t>
        </m:r>
        <m:r>
          <m:t>t</m:t>
        </m:r>
        <m:r>
          <m:t>h</m:t>
        </m:r>
        <m:r>
          <m:rPr>
            <m:sty m:val="p"/>
          </m:rPr>
          <m:t>(</m:t>
        </m:r>
        <m:r>
          <m:t>Z</m:t>
        </m:r>
        <m:r>
          <m:t>a</m:t>
        </m:r>
        <m:r>
          <m:t>c</m:t>
        </m:r>
        <m:r>
          <m:t>k</m:t>
        </m:r>
        <m:r>
          <m:t>s</m:t>
        </m:r>
        <m:r>
          <m:t>c</m:t>
        </m:r>
        <m:r>
          <m:t>o</m:t>
        </m:r>
        <m:r>
          <m:t>n</m:t>
        </m:r>
        <m:r>
          <m:t>s</m:t>
        </m:r>
        <m:r>
          <m:t>e</m:t>
        </m:r>
        <m:r>
          <m:t>n</m:t>
        </m:r>
        <m:r>
          <m:t>s</m:t>
        </m:r>
        <m:r>
          <m:t>u</m:t>
        </m:r>
        <m:r>
          <m:t>s</m:t>
        </m:r>
        <m:r>
          <m:t> </m:t>
        </m:r>
      </m:oMath>
      <w:r>
        <w:t xml:space="preserve">1.62B). This is the single most important line: the NIM story is largely</w:t>
      </w:r>
      <w:r>
        <w:t xml:space="preserve"> </w:t>
      </w:r>
      <w:r>
        <w:rPr>
          <w:i/>
          <w:iCs/>
        </w:rPr>
        <w:t xml:space="preserve">self-help and rate-independent</w:t>
      </w:r>
      <w:r>
        <w:t xml:space="preserve">, powered by:</w:t>
      </w:r>
    </w:p>
    <w:p>
      <w:pPr>
        <w:pStyle w:val="Compact"/>
        <w:numPr>
          <w:ilvl w:val="0"/>
          <w:numId w:val="1001"/>
        </w:numPr>
      </w:pPr>
      <w:r>
        <w:rPr>
          <w:b/>
          <w:bCs/>
        </w:rPr>
        <w:t xml:space="preserve">Terminated-swap and Non-Core runoff</w:t>
      </w:r>
      <w:r>
        <w:t xml:space="preserve"> </w:t>
      </w:r>
      <w:r>
        <w:t xml:space="preserve">benefits (~12 bps of remaining tailwind across 2026, per CFO Aunoy Banerjee)</w:t>
      </w:r>
    </w:p>
    <w:p>
      <w:pPr>
        <w:pStyle w:val="Compact"/>
        <w:numPr>
          <w:ilvl w:val="0"/>
          <w:numId w:val="1001"/>
        </w:numPr>
      </w:pPr>
      <w:r>
        <w:rPr>
          <w:b/>
          <w:bCs/>
        </w:rPr>
        <w:t xml:space="preserve">Fixed-rate asset repricing</w:t>
      </w:r>
      <w:r>
        <w:t xml:space="preserve"> </w:t>
      </w:r>
      <w:r>
        <w:t xml:space="preserve">(front-book/back-book dynamic)</w:t>
      </w:r>
    </w:p>
    <w:p>
      <w:pPr>
        <w:pStyle w:val="Compact"/>
        <w:numPr>
          <w:ilvl w:val="0"/>
          <w:numId w:val="1001"/>
        </w:numPr>
      </w:pPr>
      <w:r>
        <w:t xml:space="preserve">Continued</w:t>
      </w:r>
      <w:r>
        <w:t xml:space="preserve"> </w:t>
      </w:r>
      <w:r>
        <w:rPr>
          <w:b/>
          <w:bCs/>
        </w:rPr>
        <w:t xml:space="preserve">deposit-cost discipline</w:t>
      </w:r>
      <w:r>
        <w:t xml:space="preserve"> </w:t>
      </w:r>
      <w:r>
        <w:t xml:space="preserve">— Q1 interest-bearing deposit costs fell 16 bps; cumulative IB beta of 50%, with a "high-40s" cycle beta projected even with the Fed on hold.</w:t>
      </w:r>
    </w:p>
    <w:p>
      <w:pPr>
        <w:pStyle w:val="FirstParagraph"/>
      </w:pPr>
      <w:r>
        <w:t xml:space="preserve">Watch for reaffirmation of the</w:t>
      </w:r>
      <w:r>
        <w:t xml:space="preserve"> </w:t>
      </w:r>
      <w:r>
        <w:rPr>
          <w:b/>
          <w:bCs/>
        </w:rPr>
        <w:t xml:space="preserve">4Q26 exit NIM of 3.22–3.28%</w:t>
      </w:r>
      <w:r>
        <w:t xml:space="preserve"> </w:t>
      </w:r>
      <w:r>
        <w:t xml:space="preserve">and the longer arc toward</w:t>
      </w:r>
      <w:r>
        <w:t xml:space="preserve"> </w:t>
      </w:r>
      <w:r>
        <w:rPr>
          <w:b/>
          <w:bCs/>
        </w:rPr>
        <w:t xml:space="preserve">3.30–3.50% by 4Q27</w:t>
      </w:r>
      <w:r>
        <w:t xml:space="preserve">, which underpins the path to the 16–18% ROTCE target. Management noted a "higher-for-longer" rate backdrop and slightly steeper curve are</w:t>
      </w:r>
      <w:r>
        <w:t xml:space="preserve"> </w:t>
      </w:r>
      <w:r>
        <w:rPr>
          <w:i/>
          <w:iCs/>
        </w:rPr>
        <w:t xml:space="preserve">modestly positive</w:t>
      </w:r>
      <w:r>
        <w:t xml:space="preserve"> </w:t>
      </w:r>
      <w:r>
        <w:t xml:space="preserve">given CFG's slight asset sensitivity.</w:t>
      </w:r>
    </w:p>
    <w:bookmarkEnd w:id="11"/>
    <w:bookmarkStart w:id="12" w:name="Xffc0ec0c33c61be59b14a035f638d0d0ba2b2e5"/>
    <w:p>
      <w:pPr>
        <w:pStyle w:val="Heading3"/>
      </w:pPr>
      <w:r>
        <w:t xml:space="preserve">2. Capital Markets &amp; Fees — the swing factor</w:t>
      </w:r>
    </w:p>
    <w:p>
      <w:pPr>
        <w:pStyle w:val="FirstParagraph"/>
      </w:pPr>
      <w:r>
        <w:t xml:space="preserve">Q1 was a record first-quarter for capital-markets fees ($134M, +34% YoY) despite March volatility, and management flagged deals slipping from March into April that were relaunching with "very good reception." Guidance calls for</w:t>
      </w:r>
      <w:r>
        <w:t xml:space="preserve"> </w:t>
      </w:r>
      <w:r>
        <w:rPr>
          <w:b/>
          <w:bCs/>
        </w:rPr>
        <w:t xml:space="preserve">Q2 fees up 3–5%, led by capital markets</w:t>
      </w:r>
      <w:r>
        <w:t xml:space="preserve">, with support from FX/derivatives, wealth and card — but with explicit</w:t>
      </w:r>
      <w:r>
        <w:t xml:space="preserve"> </w:t>
      </w:r>
      <w:r>
        <w:rPr>
          <w:b/>
          <w:bCs/>
        </w:rPr>
        <w:t xml:space="preserve">downside risk if market volatility spikes</w:t>
      </w:r>
      <w:r>
        <w:t xml:space="preserve">. The full-year fee growth guide of</w:t>
      </w:r>
      <w:r>
        <w:t xml:space="preserve"> </w:t>
      </w:r>
      <w:r>
        <w:rPr>
          <w:b/>
          <w:bCs/>
        </w:rPr>
        <w:t xml:space="preserve">6–8%</w:t>
      </w:r>
      <w:r>
        <w:t xml:space="preserve"> </w:t>
      </w:r>
      <w:r>
        <w:t xml:space="preserve">was reiterated in April. Given equity markets have held firm and the "peace-dividend" narrative around a resolved conflict, this line has upside optionality. Wealth fees (+23% YoY in Q1) should continue building.</w:t>
      </w:r>
    </w:p>
    <w:bookmarkEnd w:id="12"/>
    <w:bookmarkStart w:id="13" w:name="Xcd039bd2eba2e868c44a4de6b3ddfaf2a72c2af"/>
    <w:p>
      <w:pPr>
        <w:pStyle w:val="Heading3"/>
      </w:pPr>
      <w:r>
        <w:t xml:space="preserve">3. Private Bank — the strategic crown jewel</w:t>
      </w:r>
    </w:p>
    <w:p>
      <w:pPr>
        <w:pStyle w:val="FirstParagraph"/>
      </w:pPr>
      <w:r>
        <w:t xml:space="preserve">The Private Bank is tracking ahead of plan and is now ~10% of pretax income at a &gt;25% ROE, contributing $0.11 to Q1 EPS. Watch for:</w:t>
      </w:r>
    </w:p>
    <w:p>
      <w:pPr>
        <w:pStyle w:val="Compact"/>
        <w:numPr>
          <w:ilvl w:val="0"/>
          <w:numId w:val="1002"/>
        </w:numPr>
      </w:pPr>
      <w:r>
        <w:rPr>
          <w:b/>
          <w:bCs/>
        </w:rPr>
        <w:t xml:space="preserve">Deposits</w:t>
      </w:r>
      <w:r>
        <w:t xml:space="preserve"> </w:t>
      </w:r>
      <w:r>
        <w:t xml:space="preserve">— ended Q1 at $16.6B (with an attractive ~40% DDA mix); management expects the "roughly $1B/quarter" net growth cadence to resume after a temporarily soft Q1.</w:t>
      </w:r>
    </w:p>
    <w:p>
      <w:pPr>
        <w:pStyle w:val="Compact"/>
        <w:numPr>
          <w:ilvl w:val="0"/>
          <w:numId w:val="1002"/>
        </w:numPr>
      </w:pPr>
      <w:r>
        <w:rPr>
          <w:b/>
          <w:bCs/>
        </w:rPr>
        <w:t xml:space="preserve">Loans</w:t>
      </w:r>
      <w:r>
        <w:t xml:space="preserve"> </w:t>
      </w:r>
      <w:r>
        <w:t xml:space="preserve">—</w:t>
      </w:r>
      <w:r>
        <w:t xml:space="preserve"> </w:t>
      </w:r>
      <m:oMath>
        <m:r>
          <m:t>7.7</m:t>
        </m:r>
        <m:r>
          <m:t>B</m:t>
        </m:r>
        <m:r>
          <m:t>a</m:t>
        </m:r>
        <m:r>
          <m:t>t</m:t>
        </m:r>
        <m:r>
          <m:t>Q</m:t>
        </m:r>
        <m:r>
          <m:t>1</m:t>
        </m:r>
        <m:r>
          <m:rPr>
            <m:sty m:val="p"/>
          </m:rPr>
          <m:t>,</m:t>
        </m:r>
        <m:r>
          <m:t>t</m:t>
        </m:r>
        <m:r>
          <m:t>a</m:t>
        </m:r>
        <m:r>
          <m:t>r</m:t>
        </m:r>
        <m:r>
          <m:t>g</m:t>
        </m:r>
        <m:r>
          <m:t>e</m:t>
        </m:r>
        <m:r>
          <m:t>t</m:t>
        </m:r>
        <m:r>
          <m:t>i</m:t>
        </m:r>
        <m:r>
          <m:t>n</m:t>
        </m:r>
        <m:r>
          <m:t>g</m:t>
        </m:r>
        <m:r>
          <m:rPr>
            <m:sty m:val="p"/>
          </m:rPr>
          <m:t>*</m:t>
        </m:r>
        <m:r>
          <m:rPr>
            <m:sty m:val="p"/>
          </m:rPr>
          <m:t>*</m:t>
        </m:r>
      </m:oMath>
      <w:r>
        <w:t xml:space="preserve">11–13B by year-end** at a healthy ~400–425 bps spread over deposit costs.</w:t>
      </w:r>
    </w:p>
    <w:p>
      <w:pPr>
        <w:pStyle w:val="Compact"/>
        <w:numPr>
          <w:ilvl w:val="0"/>
          <w:numId w:val="1002"/>
        </w:numPr>
      </w:pPr>
      <w:r>
        <w:rPr>
          <w:b/>
          <w:bCs/>
        </w:rPr>
        <w:t xml:space="preserve">Office/talent build-out</w:t>
      </w:r>
      <w:r>
        <w:t xml:space="preserve"> </w:t>
      </w:r>
      <w:r>
        <w:t xml:space="preserve">— 9 PBOs at Q1, targeting 11 by year-end (West Palm Beach and Greenwich next), with a longer-term ambition of 25–30. Watch for accelerated wealth "lift-outs" that didn't hit in Q1.</w:t>
      </w:r>
    </w:p>
    <w:bookmarkEnd w:id="13"/>
    <w:bookmarkStart w:id="14" w:name="X048765b845273181287c045721336c70036cb3a"/>
    <w:p>
      <w:pPr>
        <w:pStyle w:val="Heading3"/>
      </w:pPr>
      <w:r>
        <w:t xml:space="preserve">4. Reimagine the Bank (RTB) &amp; expenses</w:t>
      </w:r>
    </w:p>
    <w:p>
      <w:pPr>
        <w:pStyle w:val="FirstParagraph"/>
      </w:pPr>
      <w:r>
        <w:t xml:space="preserve">CFG guided</w:t>
      </w:r>
      <w:r>
        <w:t xml:space="preserve"> </w:t>
      </w:r>
      <w:r>
        <w:rPr>
          <w:b/>
          <w:bCs/>
        </w:rPr>
        <w:t xml:space="preserve">Q2 expenses stable to up 1%</w:t>
      </w:r>
      <w:r>
        <w:t xml:space="preserve">, with a step-up in RTB implementation costs but</w:t>
      </w:r>
      <w:r>
        <w:t xml:space="preserve"> </w:t>
      </w:r>
      <w:r>
        <w:rPr>
          <w:b/>
          <w:bCs/>
        </w:rPr>
        <w:t xml:space="preserve">second-half savings</w:t>
      </w:r>
      <w:r>
        <w:t xml:space="preserve"> </w:t>
      </w:r>
      <w:r>
        <w:t xml:space="preserve">expected to bend the curve down. The full-year guide is ~4.5% expense growth with ~500 bps positive operating leverage. Key: RTB is already</w:t>
      </w:r>
      <w:r>
        <w:t xml:space="preserve"> </w:t>
      </w:r>
      <w:r>
        <w:rPr>
          <w:b/>
          <w:bCs/>
        </w:rPr>
        <w:t xml:space="preserve">self-funding</w:t>
      </w:r>
      <w:r>
        <w:t xml:space="preserve"> </w:t>
      </w:r>
      <w:r>
        <w:t xml:space="preserve">via ~</w:t>
      </w:r>
      <m:oMath>
        <m:r>
          <m:t>30</m:t>
        </m:r>
        <m:r>
          <m:t>M</m:t>
        </m:r>
        <m:r>
          <m:rPr>
            <m:sty m:val="p"/>
          </m:rPr>
          <m:t>+</m:t>
        </m:r>
        <m:r>
          <m:t>v</m:t>
        </m:r>
        <m:r>
          <m:t>e</m:t>
        </m:r>
        <m:r>
          <m:t>n</m:t>
        </m:r>
        <m:r>
          <m:t>d</m:t>
        </m:r>
        <m:r>
          <m:t>o</m:t>
        </m:r>
        <m:r>
          <m:t>r</m:t>
        </m:r>
        <m:r>
          <m:t>s</m:t>
        </m:r>
        <m:r>
          <m:t>a</m:t>
        </m:r>
        <m:r>
          <m:t>v</m:t>
        </m:r>
        <m:r>
          <m:t>e</m:t>
        </m:r>
        <m:r>
          <m:t>s</m:t>
        </m:r>
        <m:r>
          <m:t>a</m:t>
        </m:r>
        <m:r>
          <m:t>n</m:t>
        </m:r>
        <m:r>
          <m:t>d</m:t>
        </m:r>
        <m:r>
          <m:t>19</m:t>
        </m:r>
        <m:r>
          <m:t>f</m:t>
        </m:r>
        <m:r>
          <m:t>a</m:t>
        </m:r>
        <m:r>
          <m:t>c</m:t>
        </m:r>
        <m:r>
          <m:t>i</m:t>
        </m:r>
        <m:r>
          <m:t>l</m:t>
        </m:r>
        <m:r>
          <m:t>i</m:t>
        </m:r>
        <m:r>
          <m:t>t</m:t>
        </m:r>
        <m:r>
          <m:t>y</m:t>
        </m:r>
        <m:r>
          <m:t>c</m:t>
        </m:r>
        <m:r>
          <m:t>l</m:t>
        </m:r>
        <m:r>
          <m:t>o</m:t>
        </m:r>
        <m:r>
          <m:t>s</m:t>
        </m:r>
        <m:r>
          <m:t>u</m:t>
        </m:r>
        <m:r>
          <m:t>r</m:t>
        </m:r>
        <m:r>
          <m:t>e</m:t>
        </m:r>
        <m:r>
          <m:t>s</m:t>
        </m:r>
        <m:r>
          <m:rPr>
            <m:sty m:val="p"/>
          </m:rPr>
          <m:t>,</m:t>
        </m:r>
        <m:r>
          <m:t>t</m:t>
        </m:r>
        <m:r>
          <m:t>a</m:t>
        </m:r>
        <m:r>
          <m:t>r</m:t>
        </m:r>
        <m:r>
          <m:t>g</m:t>
        </m:r>
        <m:r>
          <m:t>e</m:t>
        </m:r>
        <m:r>
          <m:t>t</m:t>
        </m:r>
        <m:r>
          <m:t>i</m:t>
        </m:r>
        <m:r>
          <m:t>n</m:t>
        </m:r>
        <m:r>
          <m:t>g</m:t>
        </m:r>
        <m:r>
          <m:t>a</m:t>
        </m:r>
        <m:r>
          <m:rPr>
            <m:sty m:val="p"/>
          </m:rPr>
          <m:t>*</m:t>
        </m:r>
        <m:r>
          <m:rPr>
            <m:sty m:val="p"/>
          </m:rPr>
          <m:t>*</m:t>
        </m:r>
        <m:r>
          <m:t> </m:t>
        </m:r>
      </m:oMath>
      <w:r>
        <w:t xml:space="preserve">100M exit run rate in 2026** en route to</w:t>
      </w:r>
      <w:r>
        <w:t xml:space="preserve"> </w:t>
      </w:r>
      <w:r>
        <w:rPr>
          <w:b/>
          <w:bCs/>
        </w:rPr>
        <w:t xml:space="preserve">$450M by 2028</w:t>
      </w:r>
      <w:r>
        <w:t xml:space="preserve">. On AI, watch for updates on the call-center pilot (targeting 25% of calls handled by non-humans by year-end, ramping to 50% in 2027) and engineering productivity gains from deploying Claude. Any acceleration commentary here would be a positive surprise.</w:t>
      </w:r>
    </w:p>
    <w:bookmarkEnd w:id="14"/>
    <w:bookmarkStart w:id="15" w:name="Xc8bf39d377990d73177c5c7fc423285af9131ae"/>
    <w:p>
      <w:pPr>
        <w:pStyle w:val="Heading3"/>
      </w:pPr>
      <w:r>
        <w:t xml:space="preserve">5. Capital — the biggest post-Q1 development</w:t>
      </w:r>
    </w:p>
    <w:p>
      <w:pPr>
        <w:pStyle w:val="FirstParagraph"/>
      </w:pPr>
      <w:r>
        <w:t xml:space="preserve">This is the standout catalyst. On</w:t>
      </w:r>
      <w:r>
        <w:t xml:space="preserve"> </w:t>
      </w:r>
      <w:r>
        <w:rPr>
          <w:b/>
          <w:bCs/>
        </w:rPr>
        <w:t xml:space="preserve">June 25, 2026, CFG cleared the Fed's stress test with its stress capital buffer cut by 200 bps to the 2.5% regulatory floor</w:t>
      </w:r>
      <w:r>
        <w:t xml:space="preserve"> </w:t>
      </w:r>
      <w:r>
        <w:t xml:space="preserve">— a dramatic improvement that validates Bruce Van Saun's long-running complaint that CFG's prior SCB was an outsized "scarlet letter" relative to peers. Combined with the pending Basel/capital-rule changes management estimated could free up ~100+ bps of CET1 (net ~30–50 bps after AOCI phase-in), this materially expands capital-return flexibility.</w:t>
      </w:r>
    </w:p>
    <w:p>
      <w:pPr>
        <w:pStyle w:val="BodyText"/>
      </w:pPr>
      <w:r>
        <w:t xml:space="preserve">Watch for:</w:t>
      </w:r>
    </w:p>
    <w:p>
      <w:pPr>
        <w:pStyle w:val="Compact"/>
        <w:numPr>
          <w:ilvl w:val="0"/>
          <w:numId w:val="1003"/>
        </w:numPr>
      </w:pPr>
      <w:r>
        <w:rPr>
          <w:b/>
          <w:bCs/>
        </w:rPr>
        <w:t xml:space="preserve">Buyback pace</w:t>
      </w:r>
      <w:r>
        <w:t xml:space="preserve"> </w:t>
      </w:r>
      <w:r>
        <w:t xml:space="preserve">— Q1 repurchases were</w:t>
      </w:r>
      <w:r>
        <w:t xml:space="preserve"> </w:t>
      </w:r>
      <m:oMath>
        <m:r>
          <m:t>300</m:t>
        </m:r>
        <m:r>
          <m:t>M</m:t>
        </m:r>
        <m:r>
          <m:rPr>
            <m:sty m:val="p"/>
          </m:rPr>
          <m:t>;</m:t>
        </m:r>
        <m:r>
          <m:t>Q</m:t>
        </m:r>
        <m:r>
          <m:t>2</m:t>
        </m:r>
        <m:r>
          <m:t>w</m:t>
        </m:r>
        <m:r>
          <m:t>a</m:t>
        </m:r>
        <m:r>
          <m:t>s</m:t>
        </m:r>
        <m:r>
          <m:t>g</m:t>
        </m:r>
        <m:r>
          <m:t>u</m:t>
        </m:r>
        <m:r>
          <m:t>i</m:t>
        </m:r>
        <m:r>
          <m:t>d</m:t>
        </m:r>
        <m:r>
          <m:t>e</m:t>
        </m:r>
        <m:r>
          <m:t>d</m:t>
        </m:r>
        <m:r>
          <m:t>t</m:t>
        </m:r>
        <m:r>
          <m:t>o</m:t>
        </m:r>
        <m:r>
          <m:t> </m:t>
        </m:r>
      </m:oMath>
      <w:r>
        <w:t xml:space="preserve">225M, but the improved SCB opens the door to a bigger authorization. Look for CET1 to land in the guided</w:t>
      </w:r>
      <w:r>
        <w:t xml:space="preserve"> </w:t>
      </w:r>
      <w:r>
        <w:rPr>
          <w:b/>
          <w:bCs/>
        </w:rPr>
        <w:t xml:space="preserve">10.5–10.6%</w:t>
      </w:r>
      <w:r>
        <w:t xml:space="preserve"> </w:t>
      </w:r>
      <w:r>
        <w:t xml:space="preserve">range.</w:t>
      </w:r>
    </w:p>
    <w:p>
      <w:pPr>
        <w:pStyle w:val="Compact"/>
        <w:numPr>
          <w:ilvl w:val="0"/>
          <w:numId w:val="1003"/>
        </w:numPr>
      </w:pPr>
      <w:r>
        <w:rPr>
          <w:b/>
          <w:bCs/>
        </w:rPr>
        <w:t xml:space="preserve">Dividend</w:t>
      </w:r>
      <w:r>
        <w:t xml:space="preserve"> </w:t>
      </w:r>
      <w:r>
        <w:t xml:space="preserve">— the $0.46/quarter payout; management said raising the dividend is a 2026 objective.</w:t>
      </w:r>
    </w:p>
    <w:p>
      <w:pPr>
        <w:pStyle w:val="Compact"/>
        <w:numPr>
          <w:ilvl w:val="0"/>
          <w:numId w:val="1003"/>
        </w:numPr>
      </w:pPr>
      <w:r>
        <w:t xml:space="preserve">Van Saun previously suggested ratcheting the ~10.5% CET1 target lower is more likely a</w:t>
      </w:r>
      <w:r>
        <w:t xml:space="preserve"> </w:t>
      </w:r>
      <w:r>
        <w:rPr>
          <w:b/>
          <w:bCs/>
        </w:rPr>
        <w:t xml:space="preserve">2027 event</w:t>
      </w:r>
      <w:r>
        <w:t xml:space="preserve">, so any nearer-term commentary would be notable. Also watch whether TCE ratio (7.3%) gains prominence as an internal governor as RWA density falls.</w:t>
      </w:r>
    </w:p>
    <w:bookmarkEnd w:id="15"/>
    <w:bookmarkStart w:id="16" w:name="X0c678676fc48b4c2607cd00020bf4907ea80bb0"/>
    <w:p>
      <w:pPr>
        <w:pStyle w:val="Heading3"/>
      </w:pPr>
      <w:r>
        <w:t xml:space="preserve">6. Credit — stable and improving</w:t>
      </w:r>
    </w:p>
    <w:p>
      <w:pPr>
        <w:pStyle w:val="FirstParagraph"/>
      </w:pPr>
      <w:r>
        <w:t xml:space="preserve">Credit continues to trend favorably: Q1 NCOs of 39 bps (down from 43 bps), ACL coverage of 1.52%, and nonaccruals down YoY. Q2 was guided to</w:t>
      </w:r>
      <w:r>
        <w:t xml:space="preserve"> </w:t>
      </w:r>
      <w:r>
        <w:rPr>
          <w:b/>
          <w:bCs/>
        </w:rPr>
        <w:t xml:space="preserve">NCOs stable to down slightly</w:t>
      </w:r>
      <w:r>
        <w:t xml:space="preserve">, with full-year normalization toward the</w:t>
      </w:r>
      <w:r>
        <w:t xml:space="preserve"> </w:t>
      </w:r>
      <w:r>
        <w:rPr>
          <w:b/>
          <w:bCs/>
        </w:rPr>
        <w:t xml:space="preserve">mid-30s bps</w:t>
      </w:r>
      <w:r>
        <w:t xml:space="preserve">. Continued CRE reduction (down 16% YoY) and Non-Core auto runoff keep improving the mix. Any commentary on</w:t>
      </w:r>
      <w:r>
        <w:t xml:space="preserve"> </w:t>
      </w:r>
      <w:r>
        <w:rPr>
          <w:b/>
          <w:bCs/>
        </w:rPr>
        <w:t xml:space="preserve">private credit / NDFI exposure</w:t>
      </w:r>
      <w:r>
        <w:t xml:space="preserve"> </w:t>
      </w:r>
      <w:r>
        <w:t xml:space="preserve">will be scrutinized given industry headlines — management stressed a disciplined ~5%/year growth approach with strong structural protections and said it sees no reason to pull back.</w:t>
      </w:r>
    </w:p>
    <w:bookmarkEnd w:id="16"/>
    <w:bookmarkStart w:id="17" w:name="Xf362d7da9f96ecf7412b1aed023e268e1a8152f"/>
    <w:p>
      <w:pPr>
        <w:pStyle w:val="Heading3"/>
      </w:pPr>
      <w:r>
        <w:t xml:space="preserve">7. Loan growth breadth</w:t>
      </w:r>
    </w:p>
    <w:p>
      <w:pPr>
        <w:pStyle w:val="FirstParagraph"/>
      </w:pPr>
      <w:r>
        <w:t xml:space="preserve">Q1 marked four straight quarters of sequential loan growth (+1% QoQ), broad-based across Private Bank, Commercial (NBFI, mid-corporate, expansion markets in FL/CA/NY) and retail (#1 U.S. HELOC originator, steady mortgage). Watch whether</w:t>
      </w:r>
      <w:r>
        <w:t xml:space="preserve"> </w:t>
      </w:r>
      <w:r>
        <w:rPr>
          <w:b/>
          <w:bCs/>
        </w:rPr>
        <w:t xml:space="preserve">commercial line utilization</w:t>
      </w:r>
      <w:r>
        <w:t xml:space="preserve"> </w:t>
      </w:r>
      <w:r>
        <w:t xml:space="preserve">continues ticking up (a sign of returning corporate confidence/CapEx) and whether PE-sponsor activity — described as "flattish" in Q1 — finally inflects.</w:t>
      </w:r>
    </w:p>
    <w:p>
      <w:r>
        <w:pict>
          <v:rect style="width:0;height:1.5pt" o:hralign="center" o:hrstd="t" o:hr="t"/>
        </w:pict>
      </w:r>
    </w:p>
    <w:bookmarkEnd w:id="17"/>
    <w:bookmarkEnd w:id="18"/>
    <w:bookmarkStart w:id="19" w:name="other-items-on-the-radar"/>
    <w:p>
      <w:pPr>
        <w:pStyle w:val="Heading2"/>
      </w:pPr>
      <w:r>
        <w:t xml:space="preserve">Other items on the radar</w:t>
      </w:r>
    </w:p>
    <w:p>
      <w:pPr>
        <w:pStyle w:val="Compact"/>
        <w:numPr>
          <w:ilvl w:val="0"/>
          <w:numId w:val="1004"/>
        </w:numPr>
      </w:pPr>
      <w:r>
        <w:rPr>
          <w:b/>
          <w:bCs/>
        </w:rPr>
        <w:t xml:space="preserve">NYC Metro branch strategy</w:t>
      </w:r>
      <w:r>
        <w:t xml:space="preserve"> </w:t>
      </w:r>
      <w:r>
        <w:t xml:space="preserve">— management promised a</w:t>
      </w:r>
      <w:r>
        <w:t xml:space="preserve"> </w:t>
      </w:r>
      <w:r>
        <w:rPr>
          <w:b/>
          <w:bCs/>
        </w:rPr>
        <w:t xml:space="preserve">mid-year unveil</w:t>
      </w:r>
      <w:r>
        <w:t xml:space="preserve"> </w:t>
      </w:r>
      <w:r>
        <w:t xml:space="preserve">of its branch optimization/expansion plan (targeting +200–300 bps of deposit-growth rate in-footprint). This call or an accompanying update could deliver those details.</w:t>
      </w:r>
    </w:p>
    <w:p>
      <w:pPr>
        <w:pStyle w:val="Compact"/>
        <w:numPr>
          <w:ilvl w:val="0"/>
          <w:numId w:val="1004"/>
        </w:numPr>
      </w:pPr>
      <w:r>
        <w:rPr>
          <w:b/>
          <w:bCs/>
        </w:rPr>
        <w:t xml:space="preserve">"One Citizens"</w:t>
      </w:r>
      <w:r>
        <w:t xml:space="preserve"> </w:t>
      </w:r>
      <w:r>
        <w:t xml:space="preserve">cross-enterprise initiative traction.</w:t>
      </w:r>
    </w:p>
    <w:p>
      <w:pPr>
        <w:pStyle w:val="Compact"/>
        <w:numPr>
          <w:ilvl w:val="0"/>
          <w:numId w:val="1004"/>
        </w:numPr>
      </w:pPr>
      <w:r>
        <w:rPr>
          <w:b/>
          <w:bCs/>
        </w:rPr>
        <w:t xml:space="preserve">Full-year guide</w:t>
      </w:r>
      <w:r>
        <w:t xml:space="preserve"> </w:t>
      </w:r>
      <w:r>
        <w:t xml:space="preserve">— the January framework (reaffirmed in April) assumed a back-half pickup in activity; watch for any raise or trim.</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CFG is a self-help story with multiple compounding tailwinds — swap/Non-Core NIM recovery, the Private Bank ramp, RTB efficiency gains, and normalizing credit — all pointing toward the 16–18% ROTCE target by end-2027. Into Q2, the setup is constructive: the stress-test win de-risked the capital story and should support accelerated buybacks/dividend growth, while capital-markets and Private Bank momentum drive the near-term earnings beat potential. With the stock near highs and consensus already nudged up, the key debates are (1) whether fee and NII guidance gets</w:t>
      </w:r>
      <w:r>
        <w:t xml:space="preserve"> </w:t>
      </w:r>
      <w:r>
        <w:rPr>
          <w:i/>
          <w:iCs/>
        </w:rPr>
        <w:t xml:space="preserve">raised</w:t>
      </w:r>
      <w:r>
        <w:t xml:space="preserve"> </w:t>
      </w:r>
      <w:r>
        <w:t xml:space="preserve">rather than merely reaffirmed, (2) the magnitude of the capital-return response to the lower SCB, and (3) confirmation that the second-half expense/RTB savings ramp is on track. Watch the exit-NIM and full-year fee guidance closely — those are what the multiple is keyed to.</w:t>
      </w:r>
    </w:p>
    <w:p>
      <w:pPr>
        <w:pStyle w:val="BodyText"/>
      </w:pPr>
      <w:r>
        <w:rPr>
          <w:i/>
          <w:iCs/>
        </w:rPr>
        <w:t xml:space="preserve">Preview based on CFG's Q1 2026 earnings materials/transcript, guidance issued therein, recent price action, June 2026 stress-test results, and current analyst consensus. Figures are pre-report; actuals to be confirmed with the July 16 release.</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2026-07-16T01:21:11Z</dcterms:created>
  <dcterms:modified xsi:type="dcterms:W3CDTF">2026-07-16T01:21:11Z</dcterms:modified>
</cp:coreProperties>
</file>

<file path=docProps/custom.xml><?xml version="1.0" encoding="utf-8"?>
<Properties xmlns="http://schemas.openxmlformats.org/officeDocument/2006/custom-properties" xmlns:vt="http://schemas.openxmlformats.org/officeDocument/2006/docPropsVTypes"/>
</file>