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fg-earnings-predictions--2026-07-16"/>
    <w:p>
      <w:pPr>
        <w:pStyle w:val="Heading1"/>
      </w:pPr>
      <w:r>
        <w:t xml:space="preserve">CFG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~$1.26 vs. cons $1.24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Noninterest income / Fees (Capital Markets-led)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~+6.5% YoY vs. cons guided +3-5% QoQ/consensus ~$620M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(NII)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~+3.5% QoQ vs. cons/guide +3% to 4% QoQ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NII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~+2% to 3% QoQ vs. cons ~+3% QoQ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FY'26 fee growth guide (6-8%)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~6% to 8% FY vs. cons ~7% FY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4Q'26 NIM target (3.22-3.28%)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~3.22% to 3.28% vs. cons ~3.25% (4Q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/ buyback pace post-stress test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300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350M buyback vs. cons/prior ~$225M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CET1 ratio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~10.5% to 10.6% vs. cons ~10.5%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-0.8% (FADE)</w:t>
            </w:r>
          </w:p>
        </w:tc>
        <w:tc>
          <w:tcPr/>
          <w:p>
            <w:pPr>
              <w:pStyle w:val="Compact"/>
            </w:pPr>
            <w:r>
              <w:t xml:space="preserve">Stock is already up ~10% into the print and at all-time highs with a high bar priced in (56.9% 1Y return, 16.7x P/E); a modest EPS/fee beat with unchanged (not raised) NII/NIM/fee guidance for Q3-Q4 implies decelerating sequential growth off tougher comps, so initial pop from the beat and capital-return optimism likely fades over the week as analysts trim out-quarter NII/fee growth assumptions back toward the reaffirmed (not raised) ranges rather than extrapolating Q2's pace.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2026-07-16T01:50:47Z</dcterms:created>
  <dcterms:modified xsi:type="dcterms:W3CDTF">2026-07-16T01:50:47Z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