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Let me read the most recent one (Morgan Stanley conference, June 10) for the freshest management commentary ahead of Q2 earnings.# Citizens Financial Group (CFG) — Q2 2026 Earnings Preview</w:t>
      </w:r>
      <w:r>
        <w:t xml:space="preserve"> </w:t>
      </w:r>
      <w:r>
        <w:rPr>
          <w:b/>
          <w:bCs/>
        </w:rPr>
        <w:t xml:space="preserve">Reports: Wednesday, July 16, 2026 (2026Q2 Earnings Call)</w:t>
      </w:r>
    </w:p>
    <w:bookmarkStart w:id="9" w:name="quick-snapshot"/>
    <w:p>
      <w:pPr>
        <w:pStyle w:val="Heading2"/>
      </w:pPr>
      <w:r>
        <w:t xml:space="preserve">Quick 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Q1'26 actual EPS</w:t>
            </w:r>
          </w:p>
        </w:tc>
        <w:tc>
          <w:tcPr/>
          <w:p>
            <w:pPr>
              <w:pStyle w:val="Compact"/>
            </w:pPr>
            <w:r>
              <w:t xml:space="preserve">$1.13 (ROTCE 12.2%)</w:t>
            </w:r>
          </w:p>
        </w:tc>
      </w:tr>
      <w:tr>
        <w:tc>
          <w:tcPr/>
          <w:p>
            <w:pPr>
              <w:pStyle w:val="Compact"/>
            </w:pPr>
            <w:r>
              <w:t xml:space="preserve">Q2'26 consensus EPS</w:t>
            </w:r>
          </w:p>
        </w:tc>
        <w:tc>
          <w:tcPr/>
          <w:p>
            <w:pPr>
              <w:pStyle w:val="Compact"/>
            </w:pPr>
            <w:r>
              <w:t xml:space="preserve">~$1.24, up sequentially from Q1</w:t>
            </w:r>
          </w:p>
        </w:tc>
      </w:tr>
      <w:tr>
        <w:tc>
          <w:tcPr/>
          <w:p>
            <w:pPr>
              <w:pStyle w:val="Compact"/>
            </w:pPr>
            <w:r>
              <w:t xml:space="preserve">Q2'26 consensus revenue</w:t>
            </w:r>
          </w:p>
        </w:tc>
        <w:tc>
          <w:tcPr/>
          <w:p>
            <w:pPr>
              <w:pStyle w:val="Compact"/>
            </w:pPr>
            <w:r>
              <w:t xml:space="preserve">~$2.25B</w:t>
            </w:r>
          </w:p>
        </w:tc>
      </w:tr>
      <w:tr>
        <w:tc>
          <w:tcPr/>
          <w:p>
            <w:pPr>
              <w:pStyle w:val="Compact"/>
            </w:pPr>
            <w:r>
              <w:t xml:space="preserve">Stock since Q1 report (4/16 → 7/15)</w:t>
            </w:r>
          </w:p>
        </w:tc>
        <w:tc>
          <w:tcPr/>
          <w:p>
            <w:pPr>
              <w:pStyle w:val="Compact"/>
            </w:pPr>
            <w:r>
              <w:t xml:space="preserve">~$64.41 → $71.14 (+~10%), touched an all-time-high above $71 in early July</w:t>
            </w:r>
          </w:p>
        </w:tc>
      </w:tr>
      <w:tr>
        <w:tc>
          <w:tcPr/>
          <w:p>
            <w:pPr>
              <w:pStyle w:val="Compact"/>
            </w:pPr>
            <w:r>
              <w:t xml:space="preserve">1-year return</w:t>
            </w:r>
          </w:p>
        </w:tc>
        <w:tc>
          <w:tcPr/>
          <w:p>
            <w:pPr>
              <w:pStyle w:val="Compact"/>
            </w:pPr>
            <w:r>
              <w:t xml:space="preserve">+56.9%</w:t>
            </w:r>
          </w:p>
        </w:tc>
      </w:tr>
      <w:tr>
        <w:tc>
          <w:tcPr/>
          <w:p>
            <w:pPr>
              <w:pStyle w:val="Compact"/>
            </w:pPr>
            <w:r>
              <w:t xml:space="preserve">Current valuation</w:t>
            </w:r>
          </w:p>
        </w:tc>
        <w:tc>
          <w:tcPr/>
          <w:p>
            <w:pPr>
              <w:pStyle w:val="Compact"/>
            </w:pPr>
            <w:r>
              <w:t xml:space="preserve">~16.7x trailing P/E</w:t>
            </w:r>
          </w:p>
        </w:tc>
      </w:tr>
    </w:tbl>
    <w:p>
      <w:pPr>
        <w:pStyle w:val="BodyText"/>
      </w:pPr>
      <w:r>
        <w:t xml:space="preserve">Analysts expect earnings of $1.24 per share on revenue of $2.25 billion, representing year-over-year growth of 34.78% and 10.29%, respectively. That would mark a sequential improvement from the $1.13 per share Citizens earned in the first quarter. The stock's run has been powerful heading into the print: the actual one-year return stands at an impressive 56.9%, pushing the bank's market capitalization to $30 billion, trading at a P/E ratio of 16.74. Sell-side has been raising targets into the quarter — DA Davidson increased its price target to $74, Truist Securities adjusted its price target to $69, RBC Capital raised its price target to $70, and Cantor Fitzgerald reiterated an Overweight rating with a target of $75.</w:t>
      </w:r>
    </w:p>
    <w:bookmarkEnd w:id="9"/>
    <w:bookmarkStart w:id="10" w:name="setting-up-the-quarter"/>
    <w:p>
      <w:pPr>
        <w:pStyle w:val="Heading2"/>
      </w:pPr>
      <w:r>
        <w:t xml:space="preserve">Setting Up the Quarter</w:t>
      </w:r>
    </w:p>
    <w:p>
      <w:pPr>
        <w:pStyle w:val="FirstParagraph"/>
      </w:pPr>
      <w:r>
        <w:t xml:space="preserve">Citizens came into 2026 running hot. In Q1, the company delivered good financial performance in a seasonally soft quarter with year-over-year EPS growth of 47%, positive operating leverage of 7% and NIM expansion of 24 basis points, while the Private Bank and Wealth business now account for roughly 10% of pretax income with an ROE above 25%. Management guided Q2 as follows, and this is the bar the print needs to clear:</w:t>
      </w:r>
    </w:p>
    <w:p>
      <w:pPr>
        <w:pStyle w:val="Compact"/>
        <w:numPr>
          <w:ilvl w:val="0"/>
          <w:numId w:val="1001"/>
        </w:numPr>
      </w:pPr>
      <w:r>
        <w:rPr>
          <w:b/>
          <w:bCs/>
        </w:rPr>
        <w:t xml:space="preserve">NII</w:t>
      </w:r>
      <w:r>
        <w:t xml:space="preserve">: expected to be up in the range of 3% to 4%, driven by continued expansion in net interest margin and earning asset growth.</w:t>
      </w:r>
    </w:p>
    <w:p>
      <w:pPr>
        <w:pStyle w:val="Compact"/>
        <w:numPr>
          <w:ilvl w:val="0"/>
          <w:numId w:val="1001"/>
        </w:numPr>
      </w:pPr>
      <w:r>
        <w:rPr>
          <w:b/>
          <w:bCs/>
        </w:rPr>
        <w:t xml:space="preserve">Fees</w:t>
      </w:r>
      <w:r>
        <w:t xml:space="preserve">: Noninterest income is expected to be up 3% to 5%, led by Capital Markets, with other categories such as FX and derivatives, wealth and card also providing lift.</w:t>
      </w:r>
    </w:p>
    <w:p>
      <w:pPr>
        <w:pStyle w:val="Compact"/>
        <w:numPr>
          <w:ilvl w:val="0"/>
          <w:numId w:val="1001"/>
        </w:numPr>
      </w:pPr>
      <w:r>
        <w:rPr>
          <w:b/>
          <w:bCs/>
        </w:rPr>
        <w:t xml:space="preserve">Expenses</w:t>
      </w:r>
      <w:r>
        <w:t xml:space="preserve">: projected to be stable to up 1%, incorporating a step-up in Reimagine the Bank implementation costs, with expense saves benefiting second-half expenses.</w:t>
      </w:r>
    </w:p>
    <w:p>
      <w:pPr>
        <w:pStyle w:val="Compact"/>
        <w:numPr>
          <w:ilvl w:val="0"/>
          <w:numId w:val="1001"/>
        </w:numPr>
      </w:pPr>
      <w:r>
        <w:rPr>
          <w:b/>
          <w:bCs/>
        </w:rPr>
        <w:t xml:space="preserve">Credit</w:t>
      </w:r>
      <w:r>
        <w:t xml:space="preserve">: charge-off level expected to be stable to down slightly.</w:t>
      </w:r>
    </w:p>
    <w:p>
      <w:pPr>
        <w:pStyle w:val="Compact"/>
        <w:numPr>
          <w:ilvl w:val="0"/>
          <w:numId w:val="1001"/>
        </w:numPr>
      </w:pPr>
      <w:r>
        <w:rPr>
          <w:b/>
          <w:bCs/>
        </w:rPr>
        <w:t xml:space="preserve">Capital</w:t>
      </w:r>
      <w:r>
        <w:t xml:space="preserve">: CET1 expected in the range of 10.5% to 10.6%, including share repurchases of about $225 million.</w:t>
      </w:r>
    </w:p>
    <w:p>
      <w:pPr>
        <w:pStyle w:val="Compact"/>
        <w:numPr>
          <w:ilvl w:val="0"/>
          <w:numId w:val="1001"/>
        </w:numPr>
      </w:pPr>
      <w:r>
        <w:rPr>
          <w:b/>
          <w:bCs/>
        </w:rPr>
        <w:t xml:space="preserve">Longer-term NIM path</w:t>
      </w:r>
      <w:r>
        <w:t xml:space="preserve">: management continues to project NIM to be in the range of 3.22% to 3.28% in 4Q '26, and in the range of 3.30% to 3.50% in 4Q '27, underpinning a 16-18% ROTCE target by the end of 2027.</w:t>
      </w:r>
    </w:p>
    <w:p>
      <w:pPr>
        <w:pStyle w:val="FirstParagraph"/>
      </w:pPr>
      <w:r>
        <w:t xml:space="preserve">Importantly, management has since reaffirmed the guide mid-quarter. At Morgan Stanley's Financials Conference (June 10), President Brendan Coughlin said Citizens is "almost through the second quarter" and remains "incredibly confident in the guide," adding that despite macro noise "the quarter is playing out exactly as planned." He also noted the Street currently models ROTCE in the "mid-14s" by year-end, consistent with the path to the 16-18% target.</w:t>
      </w:r>
    </w:p>
    <w:bookmarkEnd w:id="10"/>
    <w:bookmarkStart w:id="11" w:name="key-themes-to-watch"/>
    <w:p>
      <w:pPr>
        <w:pStyle w:val="Heading2"/>
      </w:pPr>
      <w:r>
        <w:t xml:space="preserve">Key Themes to Watch</w:t>
      </w:r>
    </w:p>
    <w:p>
      <w:pPr>
        <w:pStyle w:val="FirstParagraph"/>
      </w:pPr>
      <w:r>
        <w:rPr>
          <w:b/>
          <w:bCs/>
        </w:rPr>
        <w:t xml:space="preserve">1. Capital Markets/fee momentum.</w:t>
      </w:r>
      <w:r>
        <w:t xml:space="preserve"> </w:t>
      </w:r>
      <w:r>
        <w:t xml:space="preserve">Q1 was described by CEO Bruce Van Saun as a record first quarter for us in Capital Markets fees, with M&amp;A, bond and equity underwriting pipelines described as building even through March volatility, and deals that slipped from March expected to close in Q2. The read-through: fee income (especially Capital Markets and M&amp;A) is the swing factor for the beat/miss this quarter, and management has said it is "not coming off" the 6-8% full-year fee growth guide.</w:t>
      </w:r>
    </w:p>
    <w:p>
      <w:pPr>
        <w:pStyle w:val="BodyText"/>
      </w:pPr>
      <w:r>
        <w:rPr>
          <w:b/>
          <w:bCs/>
        </w:rPr>
        <w:t xml:space="preserve">2. NII/NIM trajectory.</w:t>
      </w:r>
      <w:r>
        <w:t xml:space="preserve"> </w:t>
      </w:r>
      <w:r>
        <w:t xml:space="preserve">The bulk of NIM expansion is structural (swap runoff, Non-Core auto runoff) rather than rate-dependent — management flagged another 12 basis points of benefit for the rest of the year from swaps and Non-Core runoff, which is not rate dependent — which insulates the NII outlook from the current uncertain rate path. Watch for commentary on deposit betas (guided to high-40s cumulative for the cycle) and loan growth across Commercial, Private Bank and Retail, which grew in each segment for four straight quarters.</w:t>
      </w:r>
    </w:p>
    <w:p>
      <w:pPr>
        <w:pStyle w:val="BodyText"/>
      </w:pPr>
      <w:r>
        <w:rPr>
          <w:b/>
          <w:bCs/>
        </w:rPr>
        <w:t xml:space="preserve">3. Private Bank scale-up.</w:t>
      </w:r>
      <w:r>
        <w:t xml:space="preserve"> </w:t>
      </w:r>
      <w:r>
        <w:t xml:space="preserve">This remains the single biggest structural growth story. Citizens Financial's Private Bank expansion continued to demonstrate strong momentum in early 2026, growing client assets from $5.2 billion in the first quarter of 2025 to $10.1 billion currently, representing a near-doubling in just one year. Watch for deposit growth (ended Q1 at</w:t>
      </w:r>
      <w:r>
        <w:t xml:space="preserve"> </w:t>
      </w:r>
      <m:oMath>
        <m:r>
          <m:t>16.6</m:t>
        </m:r>
        <m:r>
          <m:t>B</m:t>
        </m:r>
        <m:r>
          <m:rPr>
            <m:sty m:val="p"/>
          </m:rPr>
          <m:t>)</m:t>
        </m:r>
        <m:r>
          <m:rPr>
            <m:sty m:val="p"/>
          </m:rPr>
          <m:t>,</m:t>
        </m:r>
        <m:r>
          <m:t>l</m:t>
        </m:r>
        <m:r>
          <m:t>o</m:t>
        </m:r>
        <m:r>
          <m:t>a</m:t>
        </m:r>
        <m:r>
          <m:t>n</m:t>
        </m:r>
        <m:r>
          <m:t>g</m:t>
        </m:r>
        <m:r>
          <m:t>r</m:t>
        </m:r>
        <m:r>
          <m:t>o</m:t>
        </m:r>
        <m:r>
          <m:t>w</m:t>
        </m:r>
        <m:r>
          <m:t>t</m:t>
        </m:r>
        <m:r>
          <m:t>h</m:t>
        </m:r>
        <m:r>
          <m:rPr>
            <m:sty m:val="p"/>
          </m:rPr>
          <m:t>(</m:t>
        </m:r>
        <m:r>
          <m:t> </m:t>
        </m:r>
      </m:oMath>
      <w:r>
        <w:t xml:space="preserve">7.7B), new PBO office openings (targeting 11 by year-end, 20s-30s medium-term), and further profitability contribution beyond the $0.11 EPS delivered in Q1.</w:t>
      </w:r>
    </w:p>
    <w:p>
      <w:pPr>
        <w:pStyle w:val="BodyText"/>
      </w:pPr>
      <w:r>
        <w:rPr>
          <w:b/>
          <w:bCs/>
        </w:rPr>
        <w:t xml:space="preserve">4. Reimagine the Bank / expense discipline.</w:t>
      </w:r>
      <w:r>
        <w:t xml:space="preserve"> </w:t>
      </w:r>
      <w:r>
        <w:t xml:space="preserve">The AI-and-efficiency program targets a</w:t>
      </w:r>
      <w:r>
        <w:t xml:space="preserve"> </w:t>
      </w:r>
      <m:oMath>
        <m:r>
          <m:t>450</m:t>
        </m:r>
        <m:r>
          <m:t>M</m:t>
        </m:r>
        <m:r>
          <m:t>p</m:t>
        </m:r>
        <m:r>
          <m:t>r</m:t>
        </m:r>
        <m:r>
          <m:t>e</m:t>
        </m:r>
        <m:r>
          <m:t>t</m:t>
        </m:r>
        <m:r>
          <m:t>a</m:t>
        </m:r>
        <m:r>
          <m:t>x</m:t>
        </m:r>
        <m:r>
          <m:t>r</m:t>
        </m:r>
        <m:r>
          <m:t>u</m:t>
        </m:r>
        <m:r>
          <m:t>n</m:t>
        </m:r>
        <m:r>
          <m:rPr>
            <m:sty m:val="p"/>
          </m:rPr>
          <m:t>−</m:t>
        </m:r>
        <m:r>
          <m:t>r</m:t>
        </m:r>
        <m:r>
          <m:t>a</m:t>
        </m:r>
        <m:r>
          <m:t>t</m:t>
        </m:r>
        <m:r>
          <m:t>e</m:t>
        </m:r>
        <m:r>
          <m:t>b</m:t>
        </m:r>
        <m:r>
          <m:t>e</m:t>
        </m:r>
        <m:r>
          <m:t>n</m:t>
        </m:r>
        <m:r>
          <m:t>e</m:t>
        </m:r>
        <m:r>
          <m:t>f</m:t>
        </m:r>
        <m:r>
          <m:t>i</m:t>
        </m:r>
        <m:r>
          <m:t>t</m:t>
        </m:r>
        <m:r>
          <m:t>b</m:t>
        </m:r>
        <m:r>
          <m:t>y</m:t>
        </m:r>
        <m:r>
          <m:t>e</m:t>
        </m:r>
        <m:r>
          <m:t>x</m:t>
        </m:r>
        <m:r>
          <m:t>i</m:t>
        </m:r>
        <m:r>
          <m:t>t</m:t>
        </m:r>
        <m:r>
          <m:rPr>
            <m:sty m:val="p"/>
          </m:rPr>
          <m:t>−</m:t>
        </m:r>
        <m:r>
          <m:t>2028</m:t>
        </m:r>
        <m:r>
          <m:rPr>
            <m:sty m:val="p"/>
          </m:rPr>
          <m:t>,</m:t>
        </m:r>
        <m:r>
          <m:t>w</m:t>
        </m:r>
        <m:r>
          <m:t>i</m:t>
        </m:r>
        <m:r>
          <m:t>t</m:t>
        </m:r>
        <m:r>
          <m:t>h</m:t>
        </m:r>
        <m:r>
          <m:t> </m:t>
        </m:r>
      </m:oMath>
      <w:r>
        <w:t xml:space="preserve">100M expected exit-2026. Management has said the program should be roughly breakeven in 2026 (investment offsetting savings) with expense growth front-loaded in H1 and moderating/declining into H2 — worth checking whether that seasonal pattern is playing out as described.</w:t>
      </w:r>
    </w:p>
    <w:p>
      <w:pPr>
        <w:pStyle w:val="BodyText"/>
      </w:pPr>
      <w:r>
        <w:rPr>
          <w:b/>
          <w:bCs/>
        </w:rPr>
        <w:t xml:space="preserve">5. Capital return firepower.</w:t>
      </w:r>
      <w:r>
        <w:t xml:space="preserve"> </w:t>
      </w:r>
      <w:r>
        <w:t xml:space="preserve">This is arguably the most notable positive catalyst since the Q1 print: on June 25, 2026, all 32 banks successfully passed the Federal Reserve's latest stress tests, and analysts observed that the stress capital buffer for CFG decreased by 200 basis points to 2.5%, the lowest permissible level. This validates Van Saun's Q1-call view that the prior SCB was "a scarlet letter" out of step with peers, and opens the door to either a higher payout/buyback cadence or a lower run CET1 target over time — a key question for the call. Layer on top the pending Basel/RWA proposals, which management estimated could be worth roughly a 10% reduction in risk-weighted assets, translating to over 100 basis points of CET1 improvement, partly offset by AOCI phase-in.</w:t>
      </w:r>
    </w:p>
    <w:p>
      <w:pPr>
        <w:pStyle w:val="BodyText"/>
      </w:pPr>
      <w:r>
        <w:rPr>
          <w:b/>
          <w:bCs/>
        </w:rPr>
        <w:t xml:space="preserve">6. Credit quality.</w:t>
      </w:r>
      <w:r>
        <w:t xml:space="preserve"> </w:t>
      </w:r>
      <w:r>
        <w:t xml:space="preserve">Trends have been benign — Q1 net charge-offs fell to 39bps from 43bps, with the allowance held at 1.52% coverage. Management continues to model a mild-recession macro scenario in reserving; with credit outlook still described as positive, any deterioration (particularly in CRE, NDFI/private credit exposure, or consumer) would be a focal point given heightened scrutiny of bank private-credit exposure this cycle.</w:t>
      </w:r>
    </w:p>
    <w:bookmarkEnd w:id="11"/>
    <w:bookmarkStart w:id="12" w:name="macro-backdrop--risk-factors"/>
    <w:p>
      <w:pPr>
        <w:pStyle w:val="Heading2"/>
      </w:pPr>
      <w:r>
        <w:t xml:space="preserve">Macro Backdrop / Risk Factors</w:t>
      </w:r>
    </w:p>
    <w:p>
      <w:pPr>
        <w:pStyle w:val="FirstParagraph"/>
      </w:pPr>
      <w:r>
        <w:t xml:space="preserve">The quarter is unfolding against a choppier geopolitical and inflation backdrop than Q1. Tensions with Iran, which had already been cited as a source of "geopolitical tensions" on the Q1 call, escalated again in early-to-mid July after the ceasefire ended, contributing to oil-price and equity volatility ahead of the print. This matters for CFG in a few ways:</w:t>
      </w:r>
    </w:p>
    <w:p>
      <w:pPr>
        <w:pStyle w:val="Compact"/>
        <w:numPr>
          <w:ilvl w:val="0"/>
          <w:numId w:val="1002"/>
        </w:numPr>
      </w:pPr>
      <w:r>
        <w:rPr>
          <w:b/>
          <w:bCs/>
        </w:rPr>
        <w:t xml:space="preserve">Capital Markets pipeline risk</w:t>
      </w:r>
      <w:r>
        <w:t xml:space="preserve">: management already flagged in Q1 that volatility can cause clients to "pull to the sidelines" on deal launches — a repeat of March-style disruption in June/July could again push some fee revenue into Q3.</w:t>
      </w:r>
    </w:p>
    <w:p>
      <w:pPr>
        <w:pStyle w:val="Compact"/>
        <w:numPr>
          <w:ilvl w:val="0"/>
          <w:numId w:val="1002"/>
        </w:numPr>
      </w:pPr>
      <w:r>
        <w:rPr>
          <w:b/>
          <w:bCs/>
        </w:rPr>
        <w:t xml:space="preserve">Rate path/Fed policy</w:t>
      </w:r>
      <w:r>
        <w:t xml:space="preserve">: with the Fed largely expected to hold in 2026, CFG's modest asset sensitivity is a mild net positive, but a "higher-for-longer" or renewed inflation shock (energy-driven) could complicate the deposit-cost/NIM narrative, even though most of the NIM build is structural.</w:t>
      </w:r>
    </w:p>
    <w:p>
      <w:pPr>
        <w:pStyle w:val="Compact"/>
        <w:numPr>
          <w:ilvl w:val="0"/>
          <w:numId w:val="1002"/>
        </w:numPr>
      </w:pPr>
      <w:r>
        <w:rPr>
          <w:b/>
          <w:bCs/>
        </w:rPr>
        <w:t xml:space="preserve">Credit reserve assumptions</w:t>
      </w:r>
      <w:r>
        <w:t xml:space="preserve">: Q1's allowance already reflected "a slight deterioration" in the macro scenario tied to higher energy prices; a further reserve build tied to the renewed conflict is possible.</w:t>
      </w:r>
    </w:p>
    <w:bookmarkEnd w:id="12"/>
    <w:bookmarkStart w:id="13" w:name="bottom-line-for-investors"/>
    <w:p>
      <w:pPr>
        <w:pStyle w:val="Heading2"/>
      </w:pPr>
      <w:r>
        <w:t xml:space="preserve">Bottom Line for Investors</w:t>
      </w:r>
    </w:p>
    <w:p>
      <w:pPr>
        <w:pStyle w:val="FirstParagraph"/>
      </w:pPr>
      <w:r>
        <w:t xml:space="preserve">Citizens heads into Q2 with strong momentum, a stock near all-time highs, and a management team that has publicly reaffirmed guidance mid-quarter. The setup is high-bar/high-expectation: consensus is looking for EPS of ~$1.24 (vs. $1.13 in Q1) on continued NIM expansion, record-adjacent fee performance, and disciplined expenses. Beyond the headline print, the most important incremental read-throughs will be (1) whether Capital Markets fee momentum held up through the renewed geopolitical volatility, (2) fresh detail on capital deployment following the much-improved stress capital buffer, (3) further Private Bank profitability/scale metrics, and (4) confirmation that the NIM path stays on track for the 3.22-3.28% Q4'26 target en route to the 16-18% ROTCE goal by end-2027.</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2026-07-16T01:50:47Z</dcterms:created>
  <dcterms:modified xsi:type="dcterms:W3CDTF">2026-07-16T01:50:47Z</dcterms:modified>
</cp:coreProperties>
</file>

<file path=docProps/custom.xml><?xml version="1.0" encoding="utf-8"?>
<Properties xmlns="http://schemas.openxmlformats.org/officeDocument/2006/custom-properties" xmlns:vt="http://schemas.openxmlformats.org/officeDocument/2006/docPropsVTypes"/>
</file>