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0b065e3965ebbf0d03d989a48bce4aa2b4236d6"/>
    <w:p>
      <w:pPr>
        <w:pStyle w:val="Heading1"/>
      </w:pPr>
      <w:r>
        <w:t xml:space="preserve">Citizens Financial Group (CFG)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Citizens is scheduled to report</w:t>
      </w:r>
      <w:r>
        <w:t xml:space="preserve"> </w:t>
      </w:r>
      <w:r>
        <w:rPr>
          <w:b/>
          <w:bCs/>
        </w:rPr>
        <w:t xml:space="preserve">today, Thursday, July 16, 2026, before the market opens</w:t>
      </w:r>
      <w:r>
        <w:t xml:space="preserve">, with its earnings call at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—not tomorrow. As of the materials available for this preview, the report had not yet been posted. (</w:t>
      </w:r>
      <w:hyperlink r:id="rId9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bookmarkStart w:id="11" w:name="investment-view-going-into-the-quarter"/>
    <w:p>
      <w:pPr>
        <w:pStyle w:val="Heading2"/>
      </w:pPr>
      <w:r>
        <w:t xml:space="preserve">Investment view going into the quarter</w:t>
      </w:r>
    </w:p>
    <w:p>
      <w:pPr>
        <w:pStyle w:val="FirstParagraph"/>
      </w:pPr>
      <w:r>
        <w:t xml:space="preserve">CFG enters earnings with a favorable operating setup but a considerably higher stock price and, therefore, a higher bar.</w:t>
      </w:r>
    </w:p>
    <w:p>
      <w:pPr>
        <w:pStyle w:val="BodyText"/>
      </w:pPr>
      <w:r>
        <w:t xml:space="preserve">The central thesis is straightforward: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 interest income should continue compounding higher</w:t>
      </w:r>
      <w:r>
        <w:t xml:space="preserve"> </w:t>
      </w:r>
      <w:r>
        <w:t xml:space="preserve">as legacy swap headwinds diminish, non-core loans run off and funding costs improve.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Capital-markets and wealth fees should add a second source of revenue growth.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Expenses need to remain controlled</w:t>
      </w:r>
      <w:r>
        <w:t xml:space="preserve"> </w:t>
      </w:r>
      <w:r>
        <w:t xml:space="preserve">despite Private Bank investment and implementation spending for “Reimagine the Bank.”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Credit must stay benign</w:t>
      </w:r>
      <w:r>
        <w:t xml:space="preserve">, particularly in office CRE, private-credit-related lending and consumer portfolios.</w:t>
      </w:r>
    </w:p>
    <w:p>
      <w:pPr>
        <w:pStyle w:val="Compact"/>
        <w:numPr>
          <w:ilvl w:val="0"/>
          <w:numId w:val="1001"/>
        </w:numPr>
      </w:pPr>
      <w:r>
        <w:t xml:space="preserve">Management needs to preserve confidence in its</w:t>
      </w:r>
      <w:r>
        <w:t xml:space="preserve"> </w:t>
      </w:r>
      <w:r>
        <w:rPr>
          <w:b/>
          <w:bCs/>
        </w:rPr>
        <w:t xml:space="preserve">16%–18% ROTCE target by the end of 2027</w:t>
      </w:r>
      <w:r>
        <w:t xml:space="preserve">.</w:t>
      </w:r>
    </w:p>
    <w:p>
      <w:pPr>
        <w:pStyle w:val="FirstParagraph"/>
      </w:pPr>
      <w:r>
        <w:t xml:space="preserve">Consensus sits around</w:t>
      </w:r>
      <w:r>
        <w:t xml:space="preserve"> </w:t>
      </w:r>
      <m:oMath>
        <m:r>
          <m:t>1.24</m:t>
        </m:r>
        <m:r>
          <m:rPr>
            <m:sty m:val="p"/>
          </m:rPr>
          <m:t>–</m:t>
        </m:r>
      </m:oMath>
      <w:r>
        <w:rPr>
          <w:b/>
          <w:bCs/>
        </w:rPr>
        <w:t xml:space="preserve">1.25 of EPS</w:t>
      </w:r>
      <w:r>
        <w:t xml:space="preserve"> </w:t>
      </w:r>
      <w:r>
        <w:t xml:space="preserve">and</w:t>
      </w:r>
      <w:r>
        <w:t xml:space="preserve"> </w:t>
      </w:r>
      <m:oMath>
        <m:r>
          <m:t>2.24</m:t>
        </m:r>
        <m:r>
          <m:rPr>
            <m:sty m:val="p"/>
          </m:rPr>
          <m:t>–</m:t>
        </m:r>
      </m:oMath>
      <w:r>
        <w:rPr>
          <w:b/>
          <w:bCs/>
        </w:rPr>
        <w:t xml:space="preserve">2.25 billion of revenue</w:t>
      </w:r>
      <w:r>
        <w:t xml:space="preserve">, versus $0.92 and $2.04 billion, respectively, in 2Q25. (</w:t>
      </w:r>
      <w:hyperlink r:id="rId10">
        <w:r>
          <w:rPr>
            <w:rStyle w:val="Hyperlink"/>
          </w:rPr>
          <w:t xml:space="preserve">marketbeat.com</w:t>
        </w:r>
      </w:hyperlink>
      <w:r>
        <w:t xml:space="preserve">)</w:t>
      </w:r>
    </w:p>
    <w:bookmarkEnd w:id="11"/>
    <w:bookmarkStart w:id="13" w:name="what-the-companys-guidance-implies"/>
    <w:p>
      <w:pPr>
        <w:pStyle w:val="Heading2"/>
      </w:pPr>
      <w:r>
        <w:t xml:space="preserve">What the company’s guidance implies</w:t>
      </w:r>
    </w:p>
    <w:p>
      <w:pPr>
        <w:pStyle w:val="FirstParagraph"/>
      </w:pPr>
      <w:r>
        <w:t xml:space="preserve">Management’s 2Q guidance was unusually specific, making the headline numbers relatively easy to frame. It called for NII growth of 3%–4%, fee growth of 3%–5%, expenses ranging from flat to up 1%, stable-to-slightly-lower charge-offs, a roughly 22% tax rate and approximately $225 million of repurchases.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2Q26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$1.562B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3%–4%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1.609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1.625B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$606M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3%–5%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624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636M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$2.168B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Derived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2.233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2.261B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Noninterest 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$1.378B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to up 1%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1.378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1.392B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$138M / 39 bps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Stable to slightly lower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</w:t>
            </w:r>
            <w:r>
              <w:rPr>
                <w:b/>
                <w:bCs/>
              </w:rPr>
              <w:t xml:space="preserve"> </w:t>
            </w:r>
            <m:oMath>
              <m:r>
                <m:t>130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140M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10.5%–10.6%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Stable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$300M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$225M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$225M</w:t>
            </w:r>
          </w:p>
        </w:tc>
      </w:tr>
    </w:tbl>
    <w:p>
      <w:pPr>
        <w:pStyle w:val="BodyText"/>
      </w:pPr>
      <w:r>
        <w:t xml:space="preserve">At the midpoint of those ranges, revenue would be approximately</w:t>
      </w:r>
      <w:r>
        <w:t xml:space="preserve"> </w:t>
      </w:r>
      <m:oMath>
        <m:r>
          <m:t>2.247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p</m:t>
        </m:r>
        <m:r>
          <m:t>r</m:t>
        </m:r>
        <m:r>
          <m:t>o</m:t>
        </m:r>
        <m:r>
          <m:t>v</m:t>
        </m:r>
        <m:r>
          <m:t>i</m:t>
        </m:r>
        <m:r>
          <m:t>s</m:t>
        </m:r>
        <m:r>
          <m:t>i</m:t>
        </m:r>
        <m:r>
          <m:t>o</m:t>
        </m:r>
        <m:r>
          <m:t>n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862 million</w:t>
      </w:r>
      <w:r>
        <w:t xml:space="preserve">, up sharply from $790 million in 1Q26. Assuming a provision near</w:t>
      </w:r>
      <w:r>
        <w:t xml:space="preserve"> </w:t>
      </w:r>
      <m:oMath>
        <m:r>
          <m:t>140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a</m:t>
        </m:r>
        <m:r>
          <m:t>22</m:t>
        </m:r>
      </m:oMath>
      <w:r>
        <w:t xml:space="preserve">1.24**—essentially consensus.</w:t>
      </w:r>
    </w:p>
    <w:p>
      <w:pPr>
        <w:pStyle w:val="BodyText"/>
      </w:pPr>
      <w:r>
        <w:t xml:space="preserve">Thus, a modest EPS beat alone may not be enough. The stock reaction is more likely to depend on</w:t>
      </w:r>
      <w:r>
        <w:t xml:space="preserve"> </w:t>
      </w:r>
      <w:r>
        <w:rPr>
          <w:b/>
          <w:bCs/>
        </w:rPr>
        <w:t xml:space="preserve">NIM, fee composition, credit details and the second-half outlook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7" w:name="X2149fe5b875053b5dd85d7e737fa4cb73b21ee4"/>
    <w:p>
      <w:pPr>
        <w:pStyle w:val="Heading2"/>
      </w:pPr>
      <w:r>
        <w:t xml:space="preserve">1. NII and NIM are the most important earnings drivers</w:t>
      </w:r>
    </w:p>
    <w:p>
      <w:pPr>
        <w:pStyle w:val="FirstParagraph"/>
      </w:pPr>
      <w:r>
        <w:t xml:space="preserve">CFG reported 1Q NII of $1.562 billion and a 3.14% NIM, with NIM rising seven basis points sequentially. Interest-bearing deposit costs fell 16 basis points to 2.04%, while total deposit costs fell 12 basis points to 1.60%.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tailwind is partly mechanical. The quarterly drag from terminated swaps was projected to decline from approximately</w:t>
      </w:r>
      <w:r>
        <w:t xml:space="preserve"> </w:t>
      </w:r>
      <w:r>
        <w:rPr>
          <w:b/>
          <w:bCs/>
        </w:rPr>
        <w:t xml:space="preserve">$88 million in 1Q to $62 million in 2Q</w:t>
      </w:r>
      <w:r>
        <w:t xml:space="preserve">, creating a meaningful sequential NII benefit. Management also expects non-core loans to fall from $2.0 billion at the end of 1Q to roughly $1.1 billion by year-end.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bookmarkStart w:id="15" w:name="what-would-constitute-a-good-result"/>
    <w:p>
      <w:pPr>
        <w:pStyle w:val="Heading3"/>
      </w:pPr>
      <w:r>
        <w:t xml:space="preserve">What would constitute a good result?</w:t>
      </w:r>
    </w:p>
    <w:p>
      <w:pPr>
        <w:pStyle w:val="Compact"/>
        <w:numPr>
          <w:ilvl w:val="0"/>
          <w:numId w:val="1002"/>
        </w:numPr>
      </w:pPr>
      <w:r>
        <w:t xml:space="preserve">NII of at least</w:t>
      </w:r>
      <w:r>
        <w:t xml:space="preserve"> </w:t>
      </w:r>
      <w:r>
        <w:rPr>
          <w:b/>
          <w:bCs/>
        </w:rPr>
        <w:t xml:space="preserve">$1.62 billion</w:t>
      </w:r>
    </w:p>
    <w:p>
      <w:pPr>
        <w:pStyle w:val="Compact"/>
        <w:numPr>
          <w:ilvl w:val="0"/>
          <w:numId w:val="1002"/>
        </w:numPr>
      </w:pPr>
      <w:r>
        <w:t xml:space="preserve">NIM in roughly the</w:t>
      </w:r>
      <w:r>
        <w:t xml:space="preserve"> </w:t>
      </w:r>
      <w:r>
        <w:rPr>
          <w:b/>
          <w:bCs/>
        </w:rPr>
        <w:t xml:space="preserve">low-3.20% area</w:t>
      </w:r>
    </w:p>
    <w:p>
      <w:pPr>
        <w:pStyle w:val="Compact"/>
        <w:numPr>
          <w:ilvl w:val="0"/>
          <w:numId w:val="1002"/>
        </w:numPr>
      </w:pPr>
      <w:r>
        <w:t xml:space="preserve">Stable or lower total deposit costs</w:t>
      </w:r>
    </w:p>
    <w:p>
      <w:pPr>
        <w:pStyle w:val="Compact"/>
        <w:numPr>
          <w:ilvl w:val="0"/>
          <w:numId w:val="1002"/>
        </w:numPr>
      </w:pPr>
      <w:r>
        <w:t xml:space="preserve">Continued growth in low-cost and noninterest-bearing deposits</w:t>
      </w:r>
    </w:p>
    <w:p>
      <w:pPr>
        <w:pStyle w:val="Compact"/>
        <w:numPr>
          <w:ilvl w:val="0"/>
          <w:numId w:val="1002"/>
        </w:numPr>
      </w:pPr>
      <w:r>
        <w:t xml:space="preserve">Reaffirmation of the</w:t>
      </w:r>
      <w:r>
        <w:t xml:space="preserve"> </w:t>
      </w:r>
      <w:r>
        <w:rPr>
          <w:b/>
          <w:bCs/>
        </w:rPr>
        <w:t xml:space="preserve">3.22%–3.28% 4Q26 NIM target</w:t>
      </w:r>
    </w:p>
    <w:p>
      <w:pPr>
        <w:pStyle w:val="FirstParagraph"/>
      </w:pPr>
      <w:r>
        <w:t xml:space="preserve">The low-3.20% NIM expectation is an inference based on management’s NII guidance, projected swap benefits and medium-term NIM bridge—not formal company guidance.</w:t>
      </w:r>
    </w:p>
    <w:bookmarkEnd w:id="15"/>
    <w:bookmarkStart w:id="16" w:name="main-risk"/>
    <w:p>
      <w:pPr>
        <w:pStyle w:val="Heading3"/>
      </w:pPr>
      <w:r>
        <w:t xml:space="preserve">Main risk</w:t>
      </w:r>
    </w:p>
    <w:p>
      <w:pPr>
        <w:pStyle w:val="FirstParagraph"/>
      </w:pPr>
      <w:r>
        <w:t xml:space="preserve">With the rate outlook shifting during the quarter, investors will want management to update its asset-sensitivity assumptions. CFG previously estimated that a gradual 100-basis-point rate change relative to the forward curve would affect 12-month NII by approximately 1%, while describing the bank as slightly asset-sensitive and hedged against lower rates through mid-2027.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7d03f3e6e827fed29add33330d5416d8d2d662f"/>
    <w:p>
      <w:pPr>
        <w:pStyle w:val="Heading2"/>
      </w:pPr>
      <w:r>
        <w:t xml:space="preserve">2. Capital-markets fees are the largest swing factor</w:t>
      </w:r>
    </w:p>
    <w:p>
      <w:pPr>
        <w:pStyle w:val="FirstParagraph"/>
      </w:pPr>
      <w:r>
        <w:t xml:space="preserve">First-quarter fees were strong despite market volatility:</w:t>
      </w:r>
    </w:p>
    <w:p>
      <w:pPr>
        <w:pStyle w:val="Compact"/>
        <w:numPr>
          <w:ilvl w:val="0"/>
          <w:numId w:val="1003"/>
        </w:numPr>
      </w:pPr>
      <w:r>
        <w:t xml:space="preserve">Capital-markets fees:</w:t>
      </w:r>
      <w:r>
        <w:t xml:space="preserve"> </w:t>
      </w:r>
      <w:r>
        <w:rPr>
          <w:b/>
          <w:bCs/>
        </w:rPr>
        <w:t xml:space="preserve">$134 million</w:t>
      </w:r>
      <w:r>
        <w:t xml:space="preserve">, up 34% year over year</w:t>
      </w:r>
    </w:p>
    <w:p>
      <w:pPr>
        <w:pStyle w:val="Compact"/>
        <w:numPr>
          <w:ilvl w:val="0"/>
          <w:numId w:val="1003"/>
        </w:numPr>
      </w:pPr>
      <w:r>
        <w:t xml:space="preserve">Wealth fees:</w:t>
      </w:r>
      <w:r>
        <w:t xml:space="preserve"> </w:t>
      </w:r>
      <w:r>
        <w:rPr>
          <w:b/>
          <w:bCs/>
        </w:rPr>
        <w:t xml:space="preserve">$100 million</w:t>
      </w:r>
      <w:r>
        <w:t xml:space="preserve">, up 23%</w:t>
      </w:r>
    </w:p>
    <w:p>
      <w:pPr>
        <w:pStyle w:val="Compact"/>
        <w:numPr>
          <w:ilvl w:val="0"/>
          <w:numId w:val="1003"/>
        </w:numPr>
      </w:pPr>
      <w:r>
        <w:t xml:space="preserve">Total noninterest income:</w:t>
      </w:r>
      <w:r>
        <w:t xml:space="preserve"> </w:t>
      </w:r>
      <w:r>
        <w:rPr>
          <w:b/>
          <w:bCs/>
        </w:rPr>
        <w:t xml:space="preserve">$606 million</w:t>
      </w:r>
      <w:r>
        <w:t xml:space="preserve">, up 11%</w:t>
      </w:r>
    </w:p>
    <w:p>
      <w:pPr>
        <w:pStyle w:val="FirstParagraph"/>
      </w:pPr>
      <w:r>
        <w:t xml:space="preserve">Management guided to 3%–5% sequential fee growth, led by capital markets, with expected contributions from wealth, card, FX and derivatives.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p>
      <w:pPr>
        <w:pStyle w:val="BodyText"/>
      </w:pPr>
      <w:r>
        <w:t xml:space="preserve">The key question is whether CFG converted the strong M&amp;A, underwriting and syndication pipeline discussed in April. Capital-markets revenue can be lumpy, so the quality of a fee beat matters: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Better quality:</w:t>
      </w:r>
      <w:r>
        <w:t xml:space="preserve"> </w:t>
      </w:r>
      <w:r>
        <w:t xml:space="preserve">M&amp;A advisory, underwriting, wealth and recurring service fees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Lower quality:</w:t>
      </w:r>
      <w:r>
        <w:t xml:space="preserve"> </w:t>
      </w:r>
      <w:r>
        <w:t xml:space="preserve">unusually favorable mortgage-servicing marks, securities gains or miscellaneous “other” income</w:t>
      </w:r>
    </w:p>
    <w:p>
      <w:pPr>
        <w:pStyle w:val="FirstParagraph"/>
      </w:pPr>
      <w:r>
        <w:t xml:space="preserve">A fee result above</w:t>
      </w:r>
      <w:r>
        <w:t xml:space="preserve"> </w:t>
      </w:r>
      <m:oMath>
        <m:r>
          <m:t>635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p</m:t>
        </m:r>
        <m:r>
          <m:t>a</m:t>
        </m:r>
        <m:r>
          <m:t>r</m:t>
        </m:r>
        <m:r>
          <m:t>t</m:t>
        </m:r>
        <m:r>
          <m:t>i</m:t>
        </m:r>
        <m:r>
          <m:t>c</m:t>
        </m:r>
        <m:r>
          <m:t>u</m:t>
        </m:r>
        <m:r>
          <m:t>l</m:t>
        </m:r>
        <m:r>
          <m:t>a</m:t>
        </m:r>
        <m:r>
          <m:t>r</m:t>
        </m:r>
        <m:r>
          <m:t>l</m:t>
        </m:r>
        <m:r>
          <m:t>y</m:t>
        </m:r>
        <m:r>
          <m:t>i</m:t>
        </m:r>
        <m:r>
          <m:t>f</m:t>
        </m:r>
        <m:r>
          <m:t>d</m:t>
        </m:r>
        <m:r>
          <m:t>r</m:t>
        </m:r>
        <m:r>
          <m:t>i</m:t>
        </m:r>
        <m:r>
          <m:t>v</m:t>
        </m:r>
        <m:r>
          <m:t>e</m:t>
        </m:r>
        <m:r>
          <m:t>n</m:t>
        </m:r>
        <m:r>
          <m:t>b</m:t>
        </m:r>
        <m:r>
          <m:t>y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t>a</m:t>
        </m:r>
        <m:r>
          <m:t>n</m:t>
        </m:r>
        <m:r>
          <m:t>d</m:t>
        </m:r>
        <m:r>
          <m:t>w</m:t>
        </m:r>
        <m:r>
          <m:t>e</m:t>
        </m:r>
        <m:r>
          <m:t>a</m:t>
        </m:r>
        <m:r>
          <m:t>l</m:t>
        </m:r>
        <m:r>
          <m:t>t</m:t>
        </m:r>
        <m:r>
          <m:t>h</m:t>
        </m:r>
        <m:r>
          <m:rPr>
            <m:sty m:val="p"/>
          </m:rPr>
          <m:t>,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b</m:t>
        </m:r>
        <m:r>
          <m:t>e</m:t>
        </m:r>
        <m:r>
          <m:t>a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v</m:t>
        </m:r>
        <m:r>
          <m:t>e</m:t>
        </m:r>
        <m:r>
          <m:rPr>
            <m:sty m:val="p"/>
          </m:rPr>
          <m:t>.</m:t>
        </m:r>
        <m:r>
          <m:t>A</m:t>
        </m:r>
        <m:r>
          <m:t>r</m:t>
        </m:r>
        <m:r>
          <m:t>e</m:t>
        </m:r>
        <m:r>
          <m:t>s</m:t>
        </m:r>
        <m:r>
          <m:t>u</m:t>
        </m:r>
        <m:r>
          <m:t>l</m:t>
        </m:r>
        <m:r>
          <m:t>t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620 million</w:t>
      </w:r>
      <w:r>
        <w:t xml:space="preserve"> </w:t>
      </w:r>
      <w:r>
        <w:t xml:space="preserve">would call management’s pipeline commentary into question.</w:t>
      </w:r>
    </w:p>
    <w:p>
      <w:r>
        <w:pict>
          <v:rect style="width:0;height:1.5pt" o:hralign="center" o:hrstd="t" o:hr="t"/>
        </w:pict>
      </w:r>
    </w:p>
    <w:bookmarkEnd w:id="18"/>
    <w:bookmarkStart w:id="19" w:name="X2f6f340145b8648dd7bee0ee93fc1cb77855060"/>
    <w:p>
      <w:pPr>
        <w:pStyle w:val="Heading2"/>
      </w:pPr>
      <w:r>
        <w:t xml:space="preserve">3. Expense discipline determines operating leverage</w:t>
      </w:r>
    </w:p>
    <w:p>
      <w:pPr>
        <w:pStyle w:val="FirstParagraph"/>
      </w:pPr>
      <w:r>
        <w:t xml:space="preserve">Expenses rose 5% year over year in 1Q, reflecting Private Bank hiring, technology investment and Reimagine implementation costs. Management nevertheless produced 7.2 percentage points of positive operating leverage because revenue grew much faster.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For 2Q, the company expects expenses to remain between</w:t>
      </w:r>
      <w:r>
        <w:t xml:space="preserve"> </w:t>
      </w:r>
      <w:r>
        <w:rPr>
          <w:b/>
          <w:bCs/>
        </w:rPr>
        <w:t xml:space="preserve">$1.378 billion and $1.392 billion</w:t>
      </w:r>
      <w:r>
        <w:t xml:space="preserve">, even with:</w:t>
      </w:r>
    </w:p>
    <w:p>
      <w:pPr>
        <w:pStyle w:val="Compact"/>
        <w:numPr>
          <w:ilvl w:val="0"/>
          <w:numId w:val="1005"/>
        </w:numPr>
      </w:pPr>
      <w:r>
        <w:t xml:space="preserve">A step-up in Reimagine implementation spending</w:t>
      </w:r>
    </w:p>
    <w:p>
      <w:pPr>
        <w:pStyle w:val="Compact"/>
        <w:numPr>
          <w:ilvl w:val="0"/>
          <w:numId w:val="1005"/>
        </w:numPr>
      </w:pPr>
      <w:r>
        <w:t xml:space="preserve">Continued Private Bank and wealth hiring</w:t>
      </w:r>
    </w:p>
    <w:p>
      <w:pPr>
        <w:pStyle w:val="Compact"/>
        <w:numPr>
          <w:ilvl w:val="0"/>
          <w:numId w:val="1005"/>
        </w:numPr>
      </w:pPr>
      <w:r>
        <w:t xml:space="preserve">Technology investment</w:t>
      </w:r>
    </w:p>
    <w:p>
      <w:pPr>
        <w:pStyle w:val="Compact"/>
        <w:numPr>
          <w:ilvl w:val="0"/>
          <w:numId w:val="1005"/>
        </w:numPr>
      </w:pPr>
      <w:r>
        <w:t xml:space="preserve">Normal merit increases</w:t>
      </w:r>
    </w:p>
    <w:p>
      <w:pPr>
        <w:pStyle w:val="FirstParagraph"/>
      </w:pPr>
      <w:r>
        <w:t xml:space="preserve">That is an important promise. An expense result materially above $1.40 billion would be difficult to excuse unless accompanied by a substantial fee beat.</w:t>
      </w:r>
    </w:p>
    <w:p>
      <w:pPr>
        <w:pStyle w:val="BodyText"/>
      </w:pPr>
      <w:r>
        <w:t xml:space="preserve">Investors should also seek confirmation that CFG remains on track for: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$100 million of annualized pretax Reimagine benefits by year-end 2026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$450 million by year-end 2028</w:t>
      </w:r>
    </w:p>
    <w:p>
      <w:pPr>
        <w:pStyle w:val="Compact"/>
        <w:numPr>
          <w:ilvl w:val="0"/>
          <w:numId w:val="1006"/>
        </w:numPr>
      </w:pPr>
      <w:r>
        <w:t xml:space="preserve">Minimal net EPS impact from the program during 2026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9"/>
    <w:bookmarkStart w:id="22" w:name="X9bd7f77eb01afefcef5a9dba816785e5468d125"/>
    <w:p>
      <w:pPr>
        <w:pStyle w:val="Heading2"/>
      </w:pPr>
      <w:r>
        <w:t xml:space="preserve">4. Credit should remain supportive—but office CRE requires monitoring</w:t>
      </w:r>
    </w:p>
    <w:p>
      <w:pPr>
        <w:pStyle w:val="FirstParagraph"/>
      </w:pPr>
      <w:r>
        <w:t xml:space="preserve">First-quarter credit trends were favorable:</w:t>
      </w:r>
    </w:p>
    <w:p>
      <w:pPr>
        <w:pStyle w:val="Compact"/>
        <w:numPr>
          <w:ilvl w:val="0"/>
          <w:numId w:val="1007"/>
        </w:numPr>
      </w:pPr>
      <w:r>
        <w:t xml:space="preserve">Net charge-offs:</w:t>
      </w:r>
      <w:r>
        <w:t xml:space="preserve"> </w:t>
      </w:r>
      <w:r>
        <w:rPr>
          <w:b/>
          <w:bCs/>
        </w:rPr>
        <w:t xml:space="preserve">39 bps</w:t>
      </w:r>
      <w:r>
        <w:t xml:space="preserve">, down from 43 bps</w:t>
      </w:r>
    </w:p>
    <w:p>
      <w:pPr>
        <w:pStyle w:val="Compact"/>
        <w:numPr>
          <w:ilvl w:val="0"/>
          <w:numId w:val="1007"/>
        </w:numPr>
      </w:pPr>
      <w:r>
        <w:t xml:space="preserve">Nonaccrual loans:</w:t>
      </w:r>
      <w:r>
        <w:t xml:space="preserve"> </w:t>
      </w:r>
      <w:r>
        <w:rPr>
          <w:b/>
          <w:bCs/>
        </w:rPr>
        <w:t xml:space="preserve">$1.50 billion</w:t>
      </w:r>
      <w:r>
        <w:t xml:space="preserve">, modestly lower</w:t>
      </w:r>
    </w:p>
    <w:p>
      <w:pPr>
        <w:pStyle w:val="Compact"/>
        <w:numPr>
          <w:ilvl w:val="0"/>
          <w:numId w:val="1007"/>
        </w:numPr>
      </w:pPr>
      <w:r>
        <w:t xml:space="preserve">ACL ratio:</w:t>
      </w:r>
      <w:r>
        <w:t xml:space="preserve"> </w:t>
      </w:r>
      <w:r>
        <w:rPr>
          <w:b/>
          <w:bCs/>
        </w:rPr>
        <w:t xml:space="preserve">1.52%</w:t>
      </w:r>
    </w:p>
    <w:p>
      <w:pPr>
        <w:pStyle w:val="Compact"/>
        <w:numPr>
          <w:ilvl w:val="0"/>
          <w:numId w:val="1007"/>
        </w:numPr>
      </w:pPr>
      <w:r>
        <w:t xml:space="preserve">Provision:</w:t>
      </w:r>
      <w:r>
        <w:t xml:space="preserve"> </w:t>
      </w:r>
      <w:r>
        <w:rPr>
          <w:b/>
          <w:bCs/>
        </w:rPr>
        <w:t xml:space="preserve">$140 million</w:t>
      </w:r>
    </w:p>
    <w:p>
      <w:pPr>
        <w:pStyle w:val="FirstParagraph"/>
      </w:pPr>
      <w:r>
        <w:t xml:space="preserve">CFG’s portfolio has been shifting toward residential real-estate-secured loans, Private Bank lending and higher-quality C&amp;I, while non-core auto and commercial real estate decline.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most scrutinized exposure remains office CRE. At the end of 1Q, CFG had approximately</w:t>
      </w:r>
      <w:r>
        <w:t xml:space="preserve"> </w:t>
      </w:r>
      <w:r>
        <w:rPr>
          <w:b/>
          <w:bCs/>
        </w:rPr>
        <w:t xml:space="preserve">$4.4 billion of office loans</w:t>
      </w:r>
      <w:r>
        <w:t xml:space="preserve">, including $2.4 billion of general office. Management reported 9.1% allowance coverage on general office and said reserves plus cumulative charge-offs represented a potential loss rate of approximately 20% against the portfolio’s March 2023 starting balance.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bookmarkStart w:id="21" w:name="credit-metrics-to-watch"/>
    <w:p>
      <w:pPr>
        <w:pStyle w:val="Heading3"/>
      </w:pPr>
      <w:r>
        <w:t xml:space="preserve">Credit metrics to watch</w:t>
      </w:r>
    </w:p>
    <w:p>
      <w:pPr>
        <w:pStyle w:val="Compact"/>
        <w:numPr>
          <w:ilvl w:val="0"/>
          <w:numId w:val="1008"/>
        </w:numPr>
      </w:pPr>
      <w:r>
        <w:t xml:space="preserve">Net charge-offs at or below</w:t>
      </w:r>
      <w:r>
        <w:t xml:space="preserve"> </w:t>
      </w:r>
      <w:r>
        <w:rPr>
          <w:b/>
          <w:bCs/>
        </w:rPr>
        <w:t xml:space="preserve">39 bps</w:t>
      </w:r>
    </w:p>
    <w:p>
      <w:pPr>
        <w:pStyle w:val="Compact"/>
        <w:numPr>
          <w:ilvl w:val="0"/>
          <w:numId w:val="1008"/>
        </w:numPr>
      </w:pPr>
      <w:r>
        <w:t xml:space="preserve">Stable or lower nonaccruals</w:t>
      </w:r>
    </w:p>
    <w:p>
      <w:pPr>
        <w:pStyle w:val="Compact"/>
        <w:numPr>
          <w:ilvl w:val="0"/>
          <w:numId w:val="1008"/>
        </w:numPr>
      </w:pPr>
      <w:r>
        <w:t xml:space="preserve">No material increase in criticized/classified C&amp;I loans</w:t>
      </w:r>
    </w:p>
    <w:p>
      <w:pPr>
        <w:pStyle w:val="Compact"/>
        <w:numPr>
          <w:ilvl w:val="0"/>
          <w:numId w:val="1008"/>
        </w:numPr>
      </w:pPr>
      <w:r>
        <w:t xml:space="preserve">General-office balances and reserve coverage</w:t>
      </w:r>
    </w:p>
    <w:p>
      <w:pPr>
        <w:pStyle w:val="Compact"/>
        <w:numPr>
          <w:ilvl w:val="0"/>
          <w:numId w:val="1008"/>
        </w:numPr>
      </w:pPr>
      <w:r>
        <w:t xml:space="preserve">Performance of capital-call, private-credit finance and other NDFI exposures</w:t>
      </w:r>
    </w:p>
    <w:p>
      <w:pPr>
        <w:pStyle w:val="Compact"/>
        <w:numPr>
          <w:ilvl w:val="0"/>
          <w:numId w:val="1008"/>
        </w:numPr>
      </w:pPr>
      <w:r>
        <w:t xml:space="preserve">Consumer delinquencies in home equity, mortgage and credit card</w:t>
      </w:r>
    </w:p>
    <w:p>
      <w:pPr>
        <w:pStyle w:val="FirstParagraph"/>
      </w:pPr>
      <w:r>
        <w:t xml:space="preserve">The recent Fed stress test projected CFG’s CET1 ratio falling from 10.6% to a minimum of 8.6% under a severely adverse scenario, with a 9.1% modeled loss rate for domestic CRE. All tested banks remained above minimum capital requirements. (</w:t>
      </w:r>
      <w:hyperlink r:id="rId20">
        <w:r>
          <w:rPr>
            <w:rStyle w:val="Hyperlink"/>
          </w:rPr>
          <w:t xml:space="preserve">federalreserve.gov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Xefbe52fd8c9538cbc6188f39898635bf366c5a2"/>
    <w:p>
      <w:pPr>
        <w:pStyle w:val="Heading2"/>
      </w:pPr>
      <w:r>
        <w:t xml:space="preserve">5. The Private Bank must keep scaling profitably</w:t>
      </w:r>
    </w:p>
    <w:p>
      <w:pPr>
        <w:pStyle w:val="FirstParagraph"/>
      </w:pPr>
      <w:r>
        <w:t xml:space="preserve">The Private Bank has become an increasingly important part of the CFG story. In 1Q it generated:</w:t>
      </w:r>
    </w:p>
    <w:p>
      <w:pPr>
        <w:pStyle w:val="Compact"/>
        <w:numPr>
          <w:ilvl w:val="0"/>
          <w:numId w:val="1009"/>
        </w:numPr>
      </w:pPr>
      <w:r>
        <w:t xml:space="preserve">$157 million of revenue</w:t>
      </w:r>
    </w:p>
    <w:p>
      <w:pPr>
        <w:pStyle w:val="Compact"/>
        <w:numPr>
          <w:ilvl w:val="0"/>
          <w:numId w:val="1009"/>
        </w:numPr>
      </w:pPr>
      <w:r>
        <w:t xml:space="preserve">$66 million of pre-provision profit</w:t>
      </w:r>
    </w:p>
    <w:p>
      <w:pPr>
        <w:pStyle w:val="Compact"/>
        <w:numPr>
          <w:ilvl w:val="0"/>
          <w:numId w:val="1009"/>
        </w:numPr>
      </w:pPr>
      <w:r>
        <w:t xml:space="preserve">$49 million of net income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$0.11 of CFG EPS</w:t>
      </w:r>
    </w:p>
    <w:p>
      <w:pPr>
        <w:pStyle w:val="Compact"/>
        <w:numPr>
          <w:ilvl w:val="0"/>
          <w:numId w:val="1009"/>
        </w:numPr>
      </w:pPr>
      <w:r>
        <w:t xml:space="preserve">$16.6 billion of deposits</w:t>
      </w:r>
    </w:p>
    <w:p>
      <w:pPr>
        <w:pStyle w:val="Compact"/>
        <w:numPr>
          <w:ilvl w:val="0"/>
          <w:numId w:val="1009"/>
        </w:numPr>
      </w:pPr>
      <w:r>
        <w:t xml:space="preserve">$7.7 billion of loans</w:t>
      </w:r>
    </w:p>
    <w:p>
      <w:pPr>
        <w:pStyle w:val="Compact"/>
        <w:numPr>
          <w:ilvl w:val="0"/>
          <w:numId w:val="1009"/>
        </w:numPr>
      </w:pPr>
      <w:r>
        <w:t xml:space="preserve">$10.1 billion of client assets</w:t>
      </w:r>
    </w:p>
    <w:p>
      <w:pPr>
        <w:pStyle w:val="FirstParagraph"/>
      </w:pPr>
      <w:r>
        <w:t xml:space="preserve">Its efficiency ratio improved to 58.2%, while management described returns as above 25%.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p>
      <w:pPr>
        <w:pStyle w:val="BodyText"/>
      </w:pPr>
      <w:r>
        <w:t xml:space="preserve">A strong quarter would show:</w:t>
      </w:r>
    </w:p>
    <w:p>
      <w:pPr>
        <w:pStyle w:val="Compact"/>
        <w:numPr>
          <w:ilvl w:val="0"/>
          <w:numId w:val="1010"/>
        </w:numPr>
      </w:pPr>
      <w:r>
        <w:t xml:space="preserve">Deposits approaching or exceeding</w:t>
      </w:r>
      <w:r>
        <w:t xml:space="preserve"> </w:t>
      </w:r>
      <w:r>
        <w:rPr>
          <w:b/>
          <w:bCs/>
        </w:rPr>
        <w:t xml:space="preserve">$18 billion</w:t>
      </w:r>
    </w:p>
    <w:p>
      <w:pPr>
        <w:pStyle w:val="Compact"/>
        <w:numPr>
          <w:ilvl w:val="0"/>
          <w:numId w:val="1010"/>
        </w:numPr>
      </w:pPr>
      <w:r>
        <w:t xml:space="preserve">Loan growth reaccelerating after softer capital-call utilization in 1Q</w:t>
      </w:r>
    </w:p>
    <w:p>
      <w:pPr>
        <w:pStyle w:val="Compact"/>
        <w:numPr>
          <w:ilvl w:val="0"/>
          <w:numId w:val="1010"/>
        </w:numPr>
      </w:pPr>
      <w:r>
        <w:t xml:space="preserve">EPS contribution moving toward</w:t>
      </w:r>
      <w:r>
        <w:t xml:space="preserve"> </w:t>
      </w:r>
      <m:oMath>
        <m:r>
          <m:t>0.12</m:t>
        </m:r>
        <m:r>
          <m:rPr>
            <m:sty m:val="p"/>
          </m:rPr>
          <m:t>–</m:t>
        </m:r>
      </m:oMath>
      <w:r>
        <w:rPr>
          <w:b/>
          <w:bCs/>
        </w:rPr>
        <w:t xml:space="preserve">0.13</w:t>
      </w:r>
    </w:p>
    <w:p>
      <w:pPr>
        <w:pStyle w:val="Compact"/>
        <w:numPr>
          <w:ilvl w:val="0"/>
          <w:numId w:val="1010"/>
        </w:numPr>
      </w:pPr>
      <w:r>
        <w:t xml:space="preserve">Continued AUM inflows</w:t>
      </w:r>
    </w:p>
    <w:p>
      <w:pPr>
        <w:pStyle w:val="Compact"/>
        <w:numPr>
          <w:ilvl w:val="0"/>
          <w:numId w:val="1010"/>
        </w:numPr>
      </w:pPr>
      <w:r>
        <w:t xml:space="preserve">No deterioration in deposit mix or pricing</w:t>
      </w:r>
    </w:p>
    <w:p>
      <w:pPr>
        <w:pStyle w:val="FirstParagraph"/>
      </w:pPr>
      <w:r>
        <w:t xml:space="preserve">The risk is that rapid balance-sheet growth masks heavy hiring and infrastructure costs. Investors should focus on incremental profitability, not just deposits and loans.</w:t>
      </w:r>
    </w:p>
    <w:p>
      <w:r>
        <w:pict>
          <v:rect style="width:0;height:1.5pt" o:hralign="center" o:hrstd="t" o:hr="t"/>
        </w:pict>
      </w:r>
    </w:p>
    <w:bookmarkEnd w:id="23"/>
    <w:bookmarkStart w:id="24" w:name="capital-returns-and-valuation"/>
    <w:p>
      <w:pPr>
        <w:pStyle w:val="Heading2"/>
      </w:pPr>
      <w:r>
        <w:t xml:space="preserve">Capital returns and valuation</w:t>
      </w:r>
    </w:p>
    <w:p>
      <w:pPr>
        <w:pStyle w:val="FirstParagraph"/>
      </w:pPr>
      <w:r>
        <w:t xml:space="preserve">CFG closed July 15 at</w:t>
      </w:r>
      <w:r>
        <w:t xml:space="preserve"> </w:t>
      </w:r>
      <w:r>
        <w:rPr>
          <w:b/>
          <w:bCs/>
        </w:rPr>
        <w:t xml:space="preserve">$71.14</w:t>
      </w:r>
      <w:r>
        <w:t xml:space="preserve">, approximately 20% above its first trading close of 2026 and about 9% above its pre-1Q-earnings level. Based on 1Q tangible book value of $37.94, the stock trades near</w:t>
      </w:r>
      <w:r>
        <w:t xml:space="preserve"> </w:t>
      </w:r>
      <w:r>
        <w:rPr>
          <w:b/>
          <w:bCs/>
        </w:rPr>
        <w:t xml:space="preserve">1.88 times tangible book</w:t>
      </w:r>
      <w:r>
        <w:t xml:space="preserve">.</w:t>
      </w:r>
    </w:p>
    <w:p>
      <w:pPr>
        <w:pStyle w:val="BodyText"/>
      </w:pPr>
      <w:r>
        <w:t xml:space="preserve">That valuation is not extreme if management can reach a 16%–18% ROTCE, but it leaves less room for execution shortfalls. The stock is no longer priced simply for balance-sheet normalization; it increasingly reflects delivery of the medium-term earnings plan.</w:t>
      </w:r>
    </w:p>
    <w:p>
      <w:pPr>
        <w:pStyle w:val="BodyText"/>
      </w:pPr>
      <w:r>
        <w:t xml:space="preserve">CFG repurchased</w:t>
      </w:r>
      <w:r>
        <w:t xml:space="preserve"> </w:t>
      </w:r>
      <m:oMath>
        <m:r>
          <m:t>300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1</m:t>
        </m:r>
        <m:r>
          <m:t>Q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62.40**, versus its approximately $71 current price. Repurchases remain accretive, but less so than earlier in the year. The company had guided to roughly $225 million of 2Q buybacks. (</w:t>
      </w:r>
      <w:hyperlink r:id="rId12">
        <w:r>
          <w:rPr>
            <w:rStyle w:val="Hyperlink"/>
          </w:rPr>
          <w:t xml:space="preserve">investor.citizensbank.com</w:t>
        </w:r>
      </w:hyperlink>
      <w:r>
        <w:t xml:space="preserve">)</w:t>
      </w:r>
    </w:p>
    <w:p>
      <w:pPr>
        <w:pStyle w:val="BodyText"/>
      </w:pPr>
      <w:r>
        <w:t xml:space="preserve">The 2026 Fed stress-test results are directionally encouraging, but they will</w:t>
      </w:r>
      <w:r>
        <w:t xml:space="preserve"> </w:t>
      </w:r>
      <w:r>
        <w:rPr>
          <w:b/>
          <w:bCs/>
        </w:rPr>
        <w:t xml:space="preserve">not immediately lower CFG’s regulatory capital requirement</w:t>
      </w:r>
      <w:r>
        <w:t xml:space="preserve"> </w:t>
      </w:r>
      <w:r>
        <w:t xml:space="preserve">because current stress-capital requirements have been frozen until 2027. (</w:t>
      </w:r>
      <w:hyperlink r:id="rId20">
        <w:r>
          <w:rPr>
            <w:rStyle w:val="Hyperlink"/>
          </w:rPr>
          <w:t xml:space="preserve">federalreserve.gov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24"/>
    <w:bookmarkStart w:id="27" w:name="bull-and-bear-scorecards"/>
    <w:p>
      <w:pPr>
        <w:pStyle w:val="Heading2"/>
      </w:pPr>
      <w:r>
        <w:t xml:space="preserve">Bull and bear scorecards</w:t>
      </w:r>
    </w:p>
    <w:bookmarkStart w:id="25" w:name="bullish-report"/>
    <w:p>
      <w:pPr>
        <w:pStyle w:val="Heading3"/>
      </w:pPr>
      <w:r>
        <w:t xml:space="preserve">Bullish report</w:t>
      </w:r>
    </w:p>
    <w:p>
      <w:pPr>
        <w:pStyle w:val="Compact"/>
        <w:numPr>
          <w:ilvl w:val="0"/>
          <w:numId w:val="1011"/>
        </w:numPr>
      </w:pPr>
      <w:r>
        <w:t xml:space="preserve">EPS above</w:t>
      </w:r>
      <w:r>
        <w:t xml:space="preserve"> </w:t>
      </w:r>
      <w:r>
        <w:rPr>
          <w:b/>
          <w:bCs/>
        </w:rPr>
        <w:t xml:space="preserve">$1.28</w:t>
      </w:r>
    </w:p>
    <w:p>
      <w:pPr>
        <w:pStyle w:val="Compact"/>
        <w:numPr>
          <w:ilvl w:val="0"/>
          <w:numId w:val="1011"/>
        </w:numPr>
      </w:pPr>
      <w:r>
        <w:t xml:space="preserve">NII at or above</w:t>
      </w:r>
      <w:r>
        <w:t xml:space="preserve"> </w:t>
      </w:r>
      <w:r>
        <w:rPr>
          <w:b/>
          <w:bCs/>
        </w:rPr>
        <w:t xml:space="preserve">$1.625 billion</w:t>
      </w:r>
    </w:p>
    <w:p>
      <w:pPr>
        <w:pStyle w:val="Compact"/>
        <w:numPr>
          <w:ilvl w:val="0"/>
          <w:numId w:val="1011"/>
        </w:numPr>
      </w:pPr>
      <w:r>
        <w:t xml:space="preserve">NIM in the low-3.20s or better</w:t>
      </w:r>
    </w:p>
    <w:p>
      <w:pPr>
        <w:pStyle w:val="Compact"/>
        <w:numPr>
          <w:ilvl w:val="0"/>
          <w:numId w:val="1011"/>
        </w:numPr>
      </w:pPr>
      <w:r>
        <w:t xml:space="preserve">Fees above</w:t>
      </w:r>
      <w:r>
        <w:t xml:space="preserve"> </w:t>
      </w:r>
      <w:r>
        <w:rPr>
          <w:b/>
          <w:bCs/>
        </w:rPr>
        <w:t xml:space="preserve">$635 million</w:t>
      </w:r>
      <w:r>
        <w:t xml:space="preserve">, driven by capital markets and wealth</w:t>
      </w:r>
    </w:p>
    <w:p>
      <w:pPr>
        <w:pStyle w:val="Compact"/>
        <w:numPr>
          <w:ilvl w:val="0"/>
          <w:numId w:val="1011"/>
        </w:numPr>
      </w:pPr>
      <w:r>
        <w:t xml:space="preserve">Expenses below</w:t>
      </w:r>
      <w:r>
        <w:t xml:space="preserve"> </w:t>
      </w:r>
      <w:r>
        <w:rPr>
          <w:b/>
          <w:bCs/>
        </w:rPr>
        <w:t xml:space="preserve">$1.39 billion</w:t>
      </w:r>
    </w:p>
    <w:p>
      <w:pPr>
        <w:pStyle w:val="Compact"/>
        <w:numPr>
          <w:ilvl w:val="0"/>
          <w:numId w:val="1011"/>
        </w:numPr>
      </w:pPr>
      <w:r>
        <w:t xml:space="preserve">Charge-offs below 39 bps</w:t>
      </w:r>
    </w:p>
    <w:p>
      <w:pPr>
        <w:pStyle w:val="Compact"/>
        <w:numPr>
          <w:ilvl w:val="0"/>
          <w:numId w:val="1011"/>
        </w:numPr>
      </w:pPr>
      <w:r>
        <w:t xml:space="preserve">Strong Private Bank deposit and profit growth</w:t>
      </w:r>
    </w:p>
    <w:p>
      <w:pPr>
        <w:pStyle w:val="Compact"/>
        <w:numPr>
          <w:ilvl w:val="0"/>
          <w:numId w:val="1011"/>
        </w:numPr>
      </w:pPr>
      <w:r>
        <w:t xml:space="preserve">Higher or reaffirmed full-year revenue outlook</w:t>
      </w:r>
    </w:p>
    <w:p>
      <w:pPr>
        <w:pStyle w:val="Compact"/>
        <w:numPr>
          <w:ilvl w:val="0"/>
          <w:numId w:val="1011"/>
        </w:numPr>
      </w:pPr>
      <w:r>
        <w:t xml:space="preserve">Clear confidence in 4Q26 NIM and end-2027 ROTCE targets</w:t>
      </w:r>
    </w:p>
    <w:bookmarkEnd w:id="25"/>
    <w:bookmarkStart w:id="26" w:name="disappointing-report"/>
    <w:p>
      <w:pPr>
        <w:pStyle w:val="Heading3"/>
      </w:pPr>
      <w:r>
        <w:t xml:space="preserve">Disappointing report</w:t>
      </w:r>
    </w:p>
    <w:p>
      <w:pPr>
        <w:pStyle w:val="Compact"/>
        <w:numPr>
          <w:ilvl w:val="0"/>
          <w:numId w:val="1012"/>
        </w:numPr>
      </w:pPr>
      <w:r>
        <w:t xml:space="preserve">EPS below</w:t>
      </w:r>
      <w:r>
        <w:t xml:space="preserve"> </w:t>
      </w:r>
      <w:r>
        <w:rPr>
          <w:b/>
          <w:bCs/>
        </w:rPr>
        <w:t xml:space="preserve">$1.20</w:t>
      </w:r>
    </w:p>
    <w:p>
      <w:pPr>
        <w:pStyle w:val="Compact"/>
        <w:numPr>
          <w:ilvl w:val="0"/>
          <w:numId w:val="1012"/>
        </w:numPr>
      </w:pPr>
      <w:r>
        <w:t xml:space="preserve">NII below</w:t>
      </w:r>
      <w:r>
        <w:t xml:space="preserve"> </w:t>
      </w:r>
      <w:r>
        <w:rPr>
          <w:b/>
          <w:bCs/>
        </w:rPr>
        <w:t xml:space="preserve">$1.61 billion</w:t>
      </w:r>
    </w:p>
    <w:p>
      <w:pPr>
        <w:pStyle w:val="Compact"/>
        <w:numPr>
          <w:ilvl w:val="0"/>
          <w:numId w:val="1012"/>
        </w:numPr>
      </w:pPr>
      <w:r>
        <w:t xml:space="preserve">Deposit costs stop improving or deposit mix weakens</w:t>
      </w:r>
    </w:p>
    <w:p>
      <w:pPr>
        <w:pStyle w:val="Compact"/>
        <w:numPr>
          <w:ilvl w:val="0"/>
          <w:numId w:val="1012"/>
        </w:numPr>
      </w:pPr>
      <w:r>
        <w:t xml:space="preserve">Capital-markets fees miss despite strong pipeline commentary</w:t>
      </w:r>
    </w:p>
    <w:p>
      <w:pPr>
        <w:pStyle w:val="Compact"/>
        <w:numPr>
          <w:ilvl w:val="0"/>
          <w:numId w:val="1012"/>
        </w:numPr>
      </w:pPr>
      <w:r>
        <w:t xml:space="preserve">Expenses exceed</w:t>
      </w:r>
      <w:r>
        <w:t xml:space="preserve"> </w:t>
      </w:r>
      <w:r>
        <w:rPr>
          <w:b/>
          <w:bCs/>
        </w:rPr>
        <w:t xml:space="preserve">$1.40 billion</w:t>
      </w:r>
    </w:p>
    <w:p>
      <w:pPr>
        <w:pStyle w:val="Compact"/>
        <w:numPr>
          <w:ilvl w:val="0"/>
          <w:numId w:val="1012"/>
        </w:numPr>
      </w:pPr>
      <w:r>
        <w:t xml:space="preserve">Rising office CRE nonaccruals or criticized C&amp;I loans</w:t>
      </w:r>
    </w:p>
    <w:p>
      <w:pPr>
        <w:pStyle w:val="Compact"/>
        <w:numPr>
          <w:ilvl w:val="0"/>
          <w:numId w:val="1012"/>
        </w:numPr>
      </w:pPr>
      <w:r>
        <w:t xml:space="preserve">Provision materially above charge-offs</w:t>
      </w:r>
    </w:p>
    <w:p>
      <w:pPr>
        <w:pStyle w:val="Compact"/>
        <w:numPr>
          <w:ilvl w:val="0"/>
          <w:numId w:val="1012"/>
        </w:numPr>
      </w:pPr>
      <w:r>
        <w:t xml:space="preserve">Reduced buybacks or a cautious capital outlook</w:t>
      </w:r>
    </w:p>
    <w:p>
      <w:pPr>
        <w:pStyle w:val="Compact"/>
        <w:numPr>
          <w:ilvl w:val="0"/>
          <w:numId w:val="1012"/>
        </w:numPr>
      </w:pPr>
      <w:r>
        <w:t xml:space="preserve">Qualification of the 4Q26 NIM or 2027 ROTCE targets</w:t>
      </w:r>
    </w:p>
    <w:bookmarkEnd w:id="26"/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CFG should be capable of delivering approximately</w:t>
      </w:r>
      <w:r>
        <w:t xml:space="preserve"> </w:t>
      </w:r>
      <m:oMath>
        <m:r>
          <m:t>1.24</m:t>
        </m:r>
        <m:r>
          <m:rPr>
            <m:sty m:val="p"/>
          </m:rPr>
          <m:t>–</m:t>
        </m:r>
      </m:oMath>
      <w:r>
        <w:rPr>
          <w:b/>
          <w:bCs/>
        </w:rPr>
        <w:t xml:space="preserve">1.27 of EPS</w:t>
      </w:r>
      <w:r>
        <w:t xml:space="preserve">, supported by mechanical NIM improvement, loan growth, stronger fees and a lower share count. The more important issue is whether management can demonstrate that these gains are durable.</w:t>
      </w:r>
    </w:p>
    <w:p>
      <w:pPr>
        <w:pStyle w:val="BodyText"/>
      </w:pPr>
      <w:r>
        <w:t xml:space="preserve">The best outcome would combine</w:t>
      </w:r>
      <w:r>
        <w:t xml:space="preserve"> </w:t>
      </w:r>
      <w:r>
        <w:rPr>
          <w:b/>
          <w:bCs/>
        </w:rPr>
        <w:t xml:space="preserve">NII near the top of guidance, broad-based fee growth, sub-1% expense growth and stable credit</w:t>
      </w:r>
      <w:r>
        <w:t xml:space="preserve">, followed by constructive second-half guidance. Given the stock’s strong run and higher tangible-book multiple, simply matching consensus may produce a muted response; investors will likely require evidence that the path toward a mid-to-high-teens ROTCE remains intact.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.citizensbank.com/about-us/newsroom/latest-news/2026/2026-05-19-170809716.aspx?utm_source=openai" TargetMode="External" /><Relationship Type="http://schemas.openxmlformats.org/officeDocument/2006/relationships/hyperlink" Id="rId12" Target="https://investor.citizensbank.com/~/media/Files/C/CitizensBank-IR/1q26-earnings-presentation-4-16-26.pdf" TargetMode="External" /><Relationship Type="http://schemas.openxmlformats.org/officeDocument/2006/relationships/hyperlink" Id="rId20" Target="https://www.federalreserve.gov/newsevents/pressreleases/bcreg20260624a.htm" TargetMode="External" /><Relationship Type="http://schemas.openxmlformats.org/officeDocument/2006/relationships/hyperlink" Id="rId10" Target="https://www.marketbeat.com/earnings/reports/2026-7-16-citizens-financial-group-inc-stock/?utm_source=openai" TargetMode="External" /><Relationship Type="http://schemas.openxmlformats.org/officeDocument/2006/relationships/hyperlink" Id="rId14" Target="https://www.sec.gov/Archives/edgar/data/759944/000075994426000070/a1q26earningsrelease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.citizensbank.com/about-us/newsroom/latest-news/2026/2026-05-19-170809716.aspx?utm_source=openai" TargetMode="External" /><Relationship Type="http://schemas.openxmlformats.org/officeDocument/2006/relationships/hyperlink" Id="rId12" Target="https://investor.citizensbank.com/~/media/Files/C/CitizensBank-IR/1q26-earnings-presentation-4-16-26.pdf" TargetMode="External" /><Relationship Type="http://schemas.openxmlformats.org/officeDocument/2006/relationships/hyperlink" Id="rId20" Target="https://www.federalreserve.gov/newsevents/pressreleases/bcreg20260624a.htm" TargetMode="External" /><Relationship Type="http://schemas.openxmlformats.org/officeDocument/2006/relationships/hyperlink" Id="rId10" Target="https://www.marketbeat.com/earnings/reports/2026-7-16-citizens-financial-group-inc-stock/?utm_source=openai" TargetMode="External" /><Relationship Type="http://schemas.openxmlformats.org/officeDocument/2006/relationships/hyperlink" Id="rId14" Target="https://www.sec.gov/Archives/edgar/data/759944/000075994426000070/a1q26earningsrelease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2026-07-16T01:16:46Z</dcterms:created>
  <dcterms:modified xsi:type="dcterms:W3CDTF">2026-07-16T01:16:46Z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