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b065e3965ebbf0d03d989a48bce4aa2b4236d6"/>
    <w:p>
      <w:pPr>
        <w:pStyle w:val="Heading1"/>
      </w:pPr>
      <w:r>
        <w:t xml:space="preserve">Citizens Financial Group (CFG) — 2Q26 Earnings Preview</w:t>
      </w:r>
    </w:p>
    <w:p>
      <w:pPr>
        <w:pStyle w:val="BlockText"/>
      </w:pPr>
      <w:r>
        <w:rPr>
          <w:b/>
          <w:bCs/>
        </w:rPr>
        <w:t xml:space="preserve">Timing note:</w:t>
      </w:r>
      <w:r>
        <w:t xml:space="preserve"> </w:t>
      </w:r>
      <w:r>
        <w:t xml:space="preserve">The event date provided is</w:t>
      </w:r>
      <w:r>
        <w:t xml:space="preserve"> </w:t>
      </w:r>
      <w:r>
        <w:rPr>
          <w:b/>
          <w:bCs/>
        </w:rPr>
        <w:t xml:space="preserve">Thursday, July 16, 2026</w:t>
      </w:r>
      <w:r>
        <w:t xml:space="preserve">. Since today is July 16, this is framed as a</w:t>
      </w:r>
      <w:r>
        <w:t xml:space="preserve"> </w:t>
      </w:r>
      <w:r>
        <w:rPr>
          <w:b/>
          <w:bCs/>
        </w:rPr>
        <w:t xml:space="preserve">pre-results preview for today’s 2Q26 report/call</w:t>
      </w:r>
      <w:r>
        <w:t xml:space="preserve">, rather than “tomorrow.” Market-price context is through the July 15 close.</w:t>
      </w:r>
    </w:p>
    <w:bookmarkStart w:id="9" w:name="the-setup-a-guidance-validation-quarter"/>
    <w:p>
      <w:pPr>
        <w:pStyle w:val="Heading2"/>
      </w:pPr>
      <w:r>
        <w:t xml:space="preserve">The setup: a guidance-validation quarter</w:t>
      </w:r>
    </w:p>
    <w:p>
      <w:pPr>
        <w:pStyle w:val="FirstParagraph"/>
      </w:pPr>
      <w:r>
        <w:t xml:space="preserve">CFG enters 2Q with a relatively constructive setup after a strong 1Q: EPS of</w:t>
      </w:r>
      <w:r>
        <w:t xml:space="preserve"> </w:t>
      </w:r>
      <w:r>
        <w:rPr>
          <w:b/>
          <w:bCs/>
        </w:rPr>
        <w:t xml:space="preserve">$1.13</w:t>
      </w:r>
      <w:r>
        <w:t xml:space="preserve">, NIM of</w:t>
      </w:r>
      <w:r>
        <w:t xml:space="preserve"> </w:t>
      </w:r>
      <w:r>
        <w:rPr>
          <w:b/>
          <w:bCs/>
        </w:rPr>
        <w:t xml:space="preserve">3.14%</w:t>
      </w:r>
      <w:r>
        <w:t xml:space="preserve">, 7.2% year-over-year positive operating leverage, improving credit metrics, and broad-based loan growth. The key question is less whether Citizens can produce sequential earnings growth and more whether it can</w:t>
      </w:r>
      <w:r>
        <w:t xml:space="preserve"> </w:t>
      </w:r>
      <w:r>
        <w:rPr>
          <w:b/>
          <w:bCs/>
        </w:rPr>
        <w:t xml:space="preserve">validate the path to its 4Q26 NIM target and its 16%–18% ROTCE target by year-end 2027</w:t>
      </w:r>
      <w:r>
        <w:t xml:space="preserve">.</w:t>
      </w:r>
    </w:p>
    <w:p>
      <w:pPr>
        <w:pStyle w:val="BodyText"/>
      </w:pPr>
      <w:r>
        <w:t xml:space="preserve">Management’s explicit 2Q outlook sets a measurable bar: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1Q26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management outlook</w:t>
            </w:r>
          </w:p>
        </w:tc>
        <w:tc>
          <w:tcPr/>
          <w:p>
            <w:pPr>
              <w:pStyle w:val="Compact"/>
            </w:pPr>
            <w:r>
              <w:t xml:space="preserve">What investors should infer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$1.562B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+3% to +4% QoQ</w:t>
            </w:r>
          </w:p>
        </w:tc>
        <w:tc>
          <w:tcPr/>
          <w:p>
            <w:pPr>
              <w:pStyle w:val="Compact"/>
            </w:pPr>
            <w:r>
              <w:t xml:space="preserve">Approximately</w:t>
            </w:r>
            <w:r>
              <w:t xml:space="preserve"> </w:t>
            </w:r>
            <m:oMath>
              <m:r>
                <m:t>1.61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1.62B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Noninterest income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$606M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+3% to +5% QoQ</w:t>
            </w:r>
          </w:p>
        </w:tc>
        <w:tc>
          <w:tcPr/>
          <w:p>
            <w:pPr>
              <w:pStyle w:val="Compact"/>
            </w:pPr>
            <w:r>
              <w:t xml:space="preserve">Approximately</w:t>
            </w:r>
            <w:r>
              <w:t xml:space="preserve"> </w:t>
            </w:r>
            <m:oMath>
              <m:r>
                <m:t>624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636M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Expenses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$1.378B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Flat to +1% QoQ</w:t>
            </w:r>
          </w:p>
        </w:tc>
        <w:tc>
          <w:tcPr/>
          <w:p>
            <w:pPr>
              <w:pStyle w:val="Compact"/>
            </w:pPr>
            <w:r>
              <w:t xml:space="preserve">Roughly</w:t>
            </w:r>
            <w:r>
              <w:t xml:space="preserve"> </w:t>
            </w:r>
            <m:oMath>
              <m:r>
                <m:t>1.38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1.39B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charge-offs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 bps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Stable to modestly lower</w:t>
            </w:r>
          </w:p>
        </w:tc>
        <w:tc>
          <w:tcPr/>
          <w:p>
            <w:pPr>
              <w:pStyle w:val="Compact"/>
            </w:pPr>
            <w:r>
              <w:t xml:space="preserve">Credit should remain a tailwind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CET1 ratio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10.5%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10.5%–10.6%</w:t>
            </w:r>
          </w:p>
        </w:tc>
        <w:tc>
          <w:tcPr/>
          <w:p>
            <w:pPr>
              <w:pStyle w:val="Compact"/>
            </w:pPr>
            <w:r>
              <w:t xml:space="preserve">Includes roughly</w:t>
            </w:r>
            <w:r>
              <w:t xml:space="preserve"> </w:t>
            </w:r>
            <w:r>
              <w:rPr>
                <w:b/>
                <w:bCs/>
              </w:rPr>
              <w:t xml:space="preserve">$225M</w:t>
            </w:r>
            <w:r>
              <w:t xml:space="preserve"> </w:t>
            </w:r>
            <w:r>
              <w:t xml:space="preserve">of planned buybacks</w:t>
            </w:r>
          </w:p>
        </w:tc>
      </w:tr>
    </w:tbl>
    <w:p>
      <w:pPr>
        <w:pStyle w:val="BodyText"/>
      </w:pPr>
      <w:r>
        <w:t xml:space="preserve">That framework implies pre-provision profit could rise from</w:t>
      </w:r>
      <w:r>
        <w:t xml:space="preserve"> </w:t>
      </w:r>
      <m:oMath>
        <m:r>
          <m:t>790</m:t>
        </m:r>
        <m:r>
          <m:t>M</m:t>
        </m:r>
        <m:r>
          <m:t>i</m:t>
        </m:r>
        <m:r>
          <m:t>n</m:t>
        </m:r>
        <m:r>
          <m:t>1</m:t>
        </m:r>
        <m:r>
          <m:t>Q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o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840M–$880M</w:t>
      </w:r>
      <w:r>
        <w:t xml:space="preserve"> </w:t>
      </w:r>
      <w:r>
        <w:t xml:space="preserve">in 2Q, before the provision and taxes. A clean beat likely requires strength beyond just mechanically meeting these ranges—particularly in NII, capital-markets fees, or expense control.</w:t>
      </w:r>
    </w:p>
    <w:bookmarkEnd w:id="9"/>
    <w:bookmarkStart w:id="15" w:name="what-matters-most"/>
    <w:p>
      <w:pPr>
        <w:pStyle w:val="Heading2"/>
      </w:pPr>
      <w:r>
        <w:t xml:space="preserve">What matters most</w:t>
      </w:r>
    </w:p>
    <w:bookmarkStart w:id="10" w:name="Xc84efcca5c0c88746ac62e0bc8d614a36646ebb"/>
    <w:p>
      <w:pPr>
        <w:pStyle w:val="Heading3"/>
      </w:pPr>
      <w:r>
        <w:t xml:space="preserve">1. NII and NIM: the primary earnings driver</w:t>
      </w:r>
    </w:p>
    <w:p>
      <w:pPr>
        <w:pStyle w:val="FirstParagraph"/>
      </w:pPr>
      <w:r>
        <w:t xml:space="preserve">The most important issue is whether CFG continues to convert its balance-sheet repositioning into higher NIM. In 1Q, NIM expanded 7 bps sequentially to 3.14%, supported by:</w:t>
      </w:r>
    </w:p>
    <w:p>
      <w:pPr>
        <w:pStyle w:val="Compact"/>
        <w:numPr>
          <w:ilvl w:val="0"/>
          <w:numId w:val="1001"/>
        </w:numPr>
      </w:pPr>
      <w:r>
        <w:t xml:space="preserve">Reduced drag from terminated swaps and Non-Core runoff;</w:t>
      </w:r>
    </w:p>
    <w:p>
      <w:pPr>
        <w:pStyle w:val="Compact"/>
        <w:numPr>
          <w:ilvl w:val="0"/>
          <w:numId w:val="1001"/>
        </w:numPr>
      </w:pPr>
      <w:r>
        <w:t xml:space="preserve">Fixed-rate asset repricing;</w:t>
      </w:r>
    </w:p>
    <w:p>
      <w:pPr>
        <w:pStyle w:val="Compact"/>
        <w:numPr>
          <w:ilvl w:val="0"/>
          <w:numId w:val="1001"/>
        </w:numPr>
      </w:pPr>
      <w:r>
        <w:t xml:space="preserve">Lower deposit costs;</w:t>
      </w:r>
    </w:p>
    <w:p>
      <w:pPr>
        <w:pStyle w:val="Compact"/>
        <w:numPr>
          <w:ilvl w:val="0"/>
          <w:numId w:val="1001"/>
        </w:numPr>
      </w:pPr>
      <w:r>
        <w:t xml:space="preserve">Growth in average earning assets.</w:t>
      </w:r>
    </w:p>
    <w:p>
      <w:pPr>
        <w:pStyle w:val="FirstParagraph"/>
      </w:pPr>
      <w:r>
        <w:t xml:space="preserve">Management has targeted a</w:t>
      </w:r>
      <w:r>
        <w:t xml:space="preserve"> </w:t>
      </w:r>
      <w:r>
        <w:rPr>
          <w:b/>
          <w:bCs/>
        </w:rPr>
        <w:t xml:space="preserve">3.22%–3.28% NIM in 4Q26</w:t>
      </w:r>
      <w:r>
        <w:t xml:space="preserve">, which makes 2Q progression central to the narrative. Citizens has argued that much of the remaining lift is relatively time-based—not wholly dependent on the interest-rate path—through further runoff of legacy swaps and Non-Core assets.</w:t>
      </w:r>
    </w:p>
    <w:p>
      <w:pPr>
        <w:pStyle w:val="BodyText"/>
      </w:pPr>
      <w:r>
        <w:rPr>
          <w:b/>
          <w:bCs/>
        </w:rPr>
        <w:t xml:space="preserve">What to watch</w:t>
      </w:r>
    </w:p>
    <w:p>
      <w:pPr>
        <w:pStyle w:val="Compact"/>
        <w:numPr>
          <w:ilvl w:val="0"/>
          <w:numId w:val="1002"/>
        </w:numPr>
      </w:pPr>
      <w:r>
        <w:t xml:space="preserve">Sequential NIM expansion, ideally another meaningful step toward the 4Q target;</w:t>
      </w:r>
    </w:p>
    <w:p>
      <w:pPr>
        <w:pStyle w:val="Compact"/>
        <w:numPr>
          <w:ilvl w:val="0"/>
          <w:numId w:val="1002"/>
        </w:numPr>
      </w:pPr>
      <w:r>
        <w:t xml:space="preserve">Interest-bearing deposit-cost trends after a 16-bp decline in 1Q;</w:t>
      </w:r>
    </w:p>
    <w:p>
      <w:pPr>
        <w:pStyle w:val="Compact"/>
        <w:numPr>
          <w:ilvl w:val="0"/>
          <w:numId w:val="1002"/>
        </w:numPr>
      </w:pPr>
      <w:r>
        <w:t xml:space="preserve">Deposit beta and mix, especially growth in DDA/low-cost balances;</w:t>
      </w:r>
    </w:p>
    <w:p>
      <w:pPr>
        <w:pStyle w:val="Compact"/>
        <w:numPr>
          <w:ilvl w:val="0"/>
          <w:numId w:val="1002"/>
        </w:numPr>
      </w:pPr>
      <w:r>
        <w:t xml:space="preserve">Whether management reiterates its confidence in full-year NII despite rate and macro volatility.</w:t>
      </w:r>
    </w:p>
    <w:p>
      <w:pPr>
        <w:pStyle w:val="FirstParagraph"/>
      </w:pPr>
      <w:r>
        <w:t xml:space="preserve">A modestly asset-sensitive balance sheet means higher-for-longer rates and a steeper curve can be incrementally favorable. As of July 15, the 10-year Treasury yield was 4.55% and the 2-year yield was 4.14%, a curve that is generally more supportive for regional-bank earnings power than a deeply inverted curve. Still, the benefit needs to show up in deposit pricing discipline rather than merely in theoretical sensitivity.</w:t>
      </w:r>
    </w:p>
    <w:bookmarkEnd w:id="10"/>
    <w:bookmarkStart w:id="11" w:name="Xd08655d30b2a2c9841376cdd93a82fff397acd8"/>
    <w:p>
      <w:pPr>
        <w:pStyle w:val="Heading3"/>
      </w:pPr>
      <w:r>
        <w:t xml:space="preserve">2. Fee income: can capital markets outperform guidance?</w:t>
      </w:r>
    </w:p>
    <w:p>
      <w:pPr>
        <w:pStyle w:val="FirstParagraph"/>
      </w:pPr>
      <w:r>
        <w:t xml:space="preserve">CFG posted a record first-quarter capital-markets result despite a volatile backdrop. Capital-markets fees were</w:t>
      </w:r>
      <w:r>
        <w:t xml:space="preserve"> </w:t>
      </w:r>
      <w:r>
        <w:rPr>
          <w:b/>
          <w:bCs/>
        </w:rPr>
        <w:t xml:space="preserve">$134M</w:t>
      </w:r>
      <w:r>
        <w:t xml:space="preserve">, up 34% year over year, while wealth fees rose 23% year over year. Management’s 2Q guide called for total fee income to rise 3%–5% sequentially, led by capital markets, FX/derivatives, wealth, and card revenue.</w:t>
      </w:r>
    </w:p>
    <w:p>
      <w:pPr>
        <w:pStyle w:val="BodyText"/>
      </w:pPr>
      <w:r>
        <w:t xml:space="preserve">The backdrop into 2Q appears supportive: major banks have recently highlighted robust trading, M&amp;A, underwriting, and wealth-management activity. For CFG specifically, the important read-through is whether its middle-market and sponsor-related franchise is converting its previously discussed pipeline into closed revenue.</w:t>
      </w:r>
    </w:p>
    <w:p>
      <w:pPr>
        <w:pStyle w:val="BodyText"/>
      </w:pPr>
      <w:r>
        <w:rPr>
          <w:b/>
          <w:bCs/>
        </w:rPr>
        <w:t xml:space="preserve">Questions for the call</w:t>
      </w:r>
    </w:p>
    <w:p>
      <w:pPr>
        <w:pStyle w:val="Compact"/>
        <w:numPr>
          <w:ilvl w:val="0"/>
          <w:numId w:val="1003"/>
        </w:numPr>
      </w:pPr>
      <w:r>
        <w:t xml:space="preserve">Did deferred March transactions close in 2Q as anticipated?</w:t>
      </w:r>
    </w:p>
    <w:p>
      <w:pPr>
        <w:pStyle w:val="Compact"/>
        <w:numPr>
          <w:ilvl w:val="0"/>
          <w:numId w:val="1003"/>
        </w:numPr>
      </w:pPr>
      <w:r>
        <w:t xml:space="preserve">Are M&amp;A, debt underwriting, equity underwriting, and syndicated-loan pipelines still building?</w:t>
      </w:r>
    </w:p>
    <w:p>
      <w:pPr>
        <w:pStyle w:val="Compact"/>
        <w:numPr>
          <w:ilvl w:val="0"/>
          <w:numId w:val="1003"/>
        </w:numPr>
      </w:pPr>
      <w:r>
        <w:t xml:space="preserve">Did market volatility create delays or cancellations late in the quarter?</w:t>
      </w:r>
    </w:p>
    <w:p>
      <w:pPr>
        <w:pStyle w:val="Compact"/>
        <w:numPr>
          <w:ilvl w:val="0"/>
          <w:numId w:val="1003"/>
        </w:numPr>
      </w:pPr>
      <w:r>
        <w:t xml:space="preserve">Can wealth fees continue to compound alongside Private Bank client and asset growth?</w:t>
      </w:r>
    </w:p>
    <w:p>
      <w:pPr>
        <w:pStyle w:val="FirstParagraph"/>
      </w:pPr>
      <w:r>
        <w:t xml:space="preserve">A fee beat would be meaningful because it would improve the quality of earnings and reduce the burden on NII alone to carry the quarter.</w:t>
      </w:r>
    </w:p>
    <w:bookmarkEnd w:id="11"/>
    <w:bookmarkStart w:id="12" w:name="X1b111a928a8f3c7bd36b3be770f3de467af26c6"/>
    <w:p>
      <w:pPr>
        <w:pStyle w:val="Heading3"/>
      </w:pPr>
      <w:r>
        <w:t xml:space="preserve">3. Loans and deposits: quality of growth matters more than headline balances</w:t>
      </w:r>
    </w:p>
    <w:p>
      <w:pPr>
        <w:pStyle w:val="FirstParagraph"/>
      </w:pPr>
      <w:r>
        <w:t xml:space="preserve">CFG delivered 1% sequential growth in average and ending loans in 1Q, with contributions from commercial lending, Private Bank, home equity, mortgage, and higher commercial line utilization. The legacy drags are also fading: Non-Core runoff was about $500M in 1Q, while commercial real-estate balances continued to decline.</w:t>
      </w:r>
    </w:p>
    <w:p>
      <w:pPr>
        <w:pStyle w:val="BodyText"/>
      </w:pPr>
      <w:r>
        <w:t xml:space="preserve">The mix is crucial: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Private Bank:</w:t>
      </w:r>
      <w:r>
        <w:t xml:space="preserve"> </w:t>
      </w:r>
      <w:r>
        <w:t xml:space="preserve">The business ended 1Q with</w:t>
      </w:r>
      <w:r>
        <w:t xml:space="preserve"> </w:t>
      </w:r>
      <m:oMath>
        <m:r>
          <m:t>16.6</m:t>
        </m:r>
        <m:r>
          <m:t>B</m:t>
        </m:r>
        <m:r>
          <m:t>o</m:t>
        </m:r>
        <m:r>
          <m:t>f</m:t>
        </m:r>
        <m:r>
          <m:t>d</m:t>
        </m:r>
        <m:r>
          <m:t>e</m:t>
        </m:r>
        <m:r>
          <m:t>p</m:t>
        </m:r>
        <m:r>
          <m:t>o</m:t>
        </m:r>
        <m:r>
          <m:t>s</m:t>
        </m:r>
        <m:r>
          <m:t>i</m:t>
        </m:r>
        <m:r>
          <m:t>t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7.7B of loans</w:t>
      </w:r>
      <w:r>
        <w:t xml:space="preserve">, and contributed</w:t>
      </w:r>
      <w:r>
        <w:t xml:space="preserve"> </w:t>
      </w:r>
      <w:r>
        <w:rPr>
          <w:b/>
          <w:bCs/>
        </w:rPr>
        <w:t xml:space="preserve">$0.11</w:t>
      </w:r>
      <w:r>
        <w:t xml:space="preserve"> </w:t>
      </w:r>
      <w:r>
        <w:t xml:space="preserve">to quarterly EPS. It has been both a growth engine and a source of attractive relationship deposits.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Commercial:</w:t>
      </w:r>
      <w:r>
        <w:t xml:space="preserve"> </w:t>
      </w:r>
      <w:r>
        <w:t xml:space="preserve">Investors will focus on C&amp;I and middle-market growth, commercial-line utilization, sponsor activity, and pricing discipline.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Consumer:</w:t>
      </w:r>
      <w:r>
        <w:t xml:space="preserve"> </w:t>
      </w:r>
      <w:r>
        <w:t xml:space="preserve">HELOC and mortgage growth have been strong, while new credit-card products may begin to contribute more visibly in the second half.</w:t>
      </w:r>
    </w:p>
    <w:p>
      <w:pPr>
        <w:pStyle w:val="FirstParagraph"/>
      </w:pPr>
      <w:r>
        <w:t xml:space="preserve">On deposits, Citizens’ 1Q performance was encouraging: average deposits increased 1% sequentially, noninterest-bearing deposits grew 3% on an ending-balance basis, and total deposit costs declined 12 bps. Maintaining this mix improvement is essential to sustaining the NIM story.</w:t>
      </w:r>
    </w:p>
    <w:bookmarkEnd w:id="12"/>
    <w:bookmarkStart w:id="13" w:name="X13075e906bf7014bb675c6f5d44809d4ce3bf59"/>
    <w:p>
      <w:pPr>
        <w:pStyle w:val="Heading3"/>
      </w:pPr>
      <w:r>
        <w:t xml:space="preserve">4. Credit: a low bar for stability, but no room for a surprise</w:t>
      </w:r>
    </w:p>
    <w:p>
      <w:pPr>
        <w:pStyle w:val="FirstParagraph"/>
      </w:pPr>
      <w:r>
        <w:t xml:space="preserve">Credit was a positive in 1Q:</w:t>
      </w:r>
    </w:p>
    <w:p>
      <w:pPr>
        <w:pStyle w:val="Compact"/>
        <w:numPr>
          <w:ilvl w:val="0"/>
          <w:numId w:val="1005"/>
        </w:numPr>
      </w:pPr>
      <w:r>
        <w:t xml:space="preserve">Net charge-offs declined to</w:t>
      </w:r>
      <w:r>
        <w:t xml:space="preserve"> </w:t>
      </w:r>
      <w:r>
        <w:rPr>
          <w:b/>
          <w:bCs/>
        </w:rPr>
        <w:t xml:space="preserve">39 bps</w:t>
      </w:r>
      <w:r>
        <w:t xml:space="preserve">, from 43 bps in 4Q25 and 58 bps in 1Q25;</w:t>
      </w:r>
    </w:p>
    <w:p>
      <w:pPr>
        <w:pStyle w:val="Compact"/>
        <w:numPr>
          <w:ilvl w:val="0"/>
          <w:numId w:val="1005"/>
        </w:numPr>
      </w:pPr>
      <w:r>
        <w:t xml:space="preserve">Nonaccrual loans fell modestly to</w:t>
      </w:r>
      <w:r>
        <w:t xml:space="preserve"> </w:t>
      </w:r>
      <w:r>
        <w:rPr>
          <w:b/>
          <w:bCs/>
        </w:rPr>
        <w:t xml:space="preserve">1.04%</w:t>
      </w:r>
      <w:r>
        <w:t xml:space="preserve"> </w:t>
      </w:r>
      <w:r>
        <w:t xml:space="preserve">of loans;</w:t>
      </w:r>
    </w:p>
    <w:p>
      <w:pPr>
        <w:pStyle w:val="Compact"/>
        <w:numPr>
          <w:ilvl w:val="0"/>
          <w:numId w:val="1005"/>
        </w:numPr>
      </w:pPr>
      <w:r>
        <w:t xml:space="preserve">The ACL ratio was</w:t>
      </w:r>
      <w:r>
        <w:t xml:space="preserve"> </w:t>
      </w:r>
      <w:r>
        <w:rPr>
          <w:b/>
          <w:bCs/>
        </w:rPr>
        <w:t xml:space="preserve">1.52%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Provision expense was $140M, broadly matching charge-offs.</w:t>
      </w:r>
    </w:p>
    <w:p>
      <w:pPr>
        <w:pStyle w:val="FirstParagraph"/>
      </w:pPr>
      <w:r>
        <w:t xml:space="preserve">Management guided 2Q charge-offs to be stable or slightly lower. Therefore, credit should not be a major earnings headwind absent an idiosyncratic commercial, CRE, consumer, or private-credit issue.</w:t>
      </w:r>
    </w:p>
    <w:p>
      <w:pPr>
        <w:pStyle w:val="BodyText"/>
      </w:pPr>
      <w:r>
        <w:t xml:space="preserve">The areas to monitor are not necessarily expected problems, but they determine whether investors can continue assigning CFG a favorable credit-quality narrative:</w:t>
      </w:r>
    </w:p>
    <w:p>
      <w:pPr>
        <w:pStyle w:val="Compact"/>
        <w:numPr>
          <w:ilvl w:val="0"/>
          <w:numId w:val="1006"/>
        </w:numPr>
      </w:pPr>
      <w:r>
        <w:t xml:space="preserve">Commercial real estate runoff and criticized/classified-loan trends;</w:t>
      </w:r>
    </w:p>
    <w:p>
      <w:pPr>
        <w:pStyle w:val="Compact"/>
        <w:numPr>
          <w:ilvl w:val="0"/>
          <w:numId w:val="1006"/>
        </w:numPr>
      </w:pPr>
      <w:r>
        <w:t xml:space="preserve">Consumer delinquencies and card-loss normalization;</w:t>
      </w:r>
    </w:p>
    <w:p>
      <w:pPr>
        <w:pStyle w:val="Compact"/>
        <w:numPr>
          <w:ilvl w:val="0"/>
          <w:numId w:val="1006"/>
        </w:numPr>
      </w:pPr>
      <w:r>
        <w:t xml:space="preserve">Private-credit/NDFI exposure, where management has emphasized disciplined underwriting and structural protections;</w:t>
      </w:r>
    </w:p>
    <w:p>
      <w:pPr>
        <w:pStyle w:val="Compact"/>
        <w:numPr>
          <w:ilvl w:val="0"/>
          <w:numId w:val="1006"/>
        </w:numPr>
      </w:pPr>
      <w:r>
        <w:t xml:space="preserve">Any change in management’s economic forecast or reserve posture.</w:t>
      </w:r>
    </w:p>
    <w:p>
      <w:pPr>
        <w:pStyle w:val="FirstParagraph"/>
      </w:pPr>
      <w:r>
        <w:t xml:space="preserve">A provision build without clearly worsening credit data would likely be viewed negatively, especially after the company has emphasized improved portfolio mix and favorable loss trends.</w:t>
      </w:r>
    </w:p>
    <w:bookmarkEnd w:id="13"/>
    <w:bookmarkStart w:id="14" w:name="X8a4914162a93a1c3448731ffae6c9b83eec2367"/>
    <w:p>
      <w:pPr>
        <w:pStyle w:val="Heading3"/>
      </w:pPr>
      <w:r>
        <w:t xml:space="preserve">5. Expenses and “Reimagine the Bank”: evidence of self-funded transformation</w:t>
      </w:r>
    </w:p>
    <w:p>
      <w:pPr>
        <w:pStyle w:val="FirstParagraph"/>
      </w:pPr>
      <w:r>
        <w:t xml:space="preserve">The quarter is also an early test of CFG’s ability to invest while improving efficiency. The company expects expenses to be flat to up 1% sequentially in 2Q, before savings become more visible in the second half.</w:t>
      </w:r>
    </w:p>
    <w:p>
      <w:pPr>
        <w:pStyle w:val="BodyText"/>
      </w:pPr>
      <w:r>
        <w:t xml:space="preserve">Management has targeted</w:t>
      </w:r>
      <w:r>
        <w:t xml:space="preserve"> </w:t>
      </w:r>
      <w:r>
        <w:rPr>
          <w:b/>
          <w:bCs/>
        </w:rPr>
        <w:t xml:space="preserve">$450M of pretax P&amp;L benefit by the end of 2028** from its “Reimagine the Bank” initiative and expects to exit 2026 with about **$</w:t>
      </w:r>
      <w:r>
        <w:rPr>
          <w:b/>
          <w:bCs/>
        </w:rPr>
        <w:t xml:space="preserve">100M of annualized pretax benefit</w:t>
      </w:r>
      <w:r>
        <w:t xml:space="preserve">. Early savings have been tied to vendor reductions, smaller-facility closures, automation, AI deployment in call centers, and software-development productivity.</w:t>
      </w:r>
    </w:p>
    <w:p>
      <w:pPr>
        <w:pStyle w:val="BodyText"/>
      </w:pPr>
      <w:r>
        <w:t xml:space="preserve">For this report, the market will want evidence on three items:</w:t>
      </w:r>
    </w:p>
    <w:p>
      <w:pPr>
        <w:pStyle w:val="Compact"/>
        <w:numPr>
          <w:ilvl w:val="0"/>
          <w:numId w:val="1007"/>
        </w:numPr>
      </w:pPr>
      <w:r>
        <w:t xml:space="preserve">Whether implementation costs remain contained;</w:t>
      </w:r>
    </w:p>
    <w:p>
      <w:pPr>
        <w:pStyle w:val="Compact"/>
        <w:numPr>
          <w:ilvl w:val="0"/>
          <w:numId w:val="1007"/>
        </w:numPr>
      </w:pPr>
      <w:r>
        <w:t xml:space="preserve">Whether the company still expects a visible second-half expense decline;</w:t>
      </w:r>
    </w:p>
    <w:p>
      <w:pPr>
        <w:pStyle w:val="Compact"/>
        <w:numPr>
          <w:ilvl w:val="0"/>
          <w:numId w:val="1007"/>
        </w:numPr>
      </w:pPr>
      <w:r>
        <w:t xml:space="preserve">Whether management can quantify realized or contracted savings rather than only describe longer-term opportunity.</w:t>
      </w:r>
    </w:p>
    <w:p>
      <w:pPr>
        <w:pStyle w:val="FirstParagraph"/>
      </w:pPr>
      <w:r>
        <w:t xml:space="preserve">A credible update here matters because execution on this program underpins much of the path from a</w:t>
      </w:r>
      <w:r>
        <w:t xml:space="preserve"> </w:t>
      </w:r>
      <w:r>
        <w:rPr>
          <w:b/>
          <w:bCs/>
        </w:rPr>
        <w:t xml:space="preserve">12.2% 1Q ROTCE</w:t>
      </w:r>
      <w:r>
        <w:t xml:space="preserve"> </w:t>
      </w:r>
      <w:r>
        <w:t xml:space="preserve">to the</w:t>
      </w:r>
      <w:r>
        <w:t xml:space="preserve"> </w:t>
      </w:r>
      <w:r>
        <w:rPr>
          <w:b/>
          <w:bCs/>
        </w:rPr>
        <w:t xml:space="preserve">16%–18%</w:t>
      </w:r>
      <w:r>
        <w:t xml:space="preserve"> </w:t>
      </w:r>
      <w:r>
        <w:t xml:space="preserve">medium-term target.</w:t>
      </w:r>
    </w:p>
    <w:bookmarkEnd w:id="14"/>
    <w:bookmarkEnd w:id="15"/>
    <w:bookmarkStart w:id="16" w:name="Xc5708a18182ea6dc9d7185f034631e786641957"/>
    <w:p>
      <w:pPr>
        <w:pStyle w:val="Heading2"/>
      </w:pPr>
      <w:r>
        <w:t xml:space="preserve">Capital return and regulation: upside optionality, not the immediate earnings driver</w:t>
      </w:r>
    </w:p>
    <w:p>
      <w:pPr>
        <w:pStyle w:val="FirstParagraph"/>
      </w:pPr>
      <w:r>
        <w:t xml:space="preserve">CFG ended 1Q with a</w:t>
      </w:r>
      <w:r>
        <w:t xml:space="preserve"> </w:t>
      </w:r>
      <w:r>
        <w:rPr>
          <w:b/>
          <w:bCs/>
        </w:rPr>
        <w:t xml:space="preserve">10.5% CET1 ratio</w:t>
      </w:r>
      <w:r>
        <w:t xml:space="preserve">, paid $198M in common dividends, and repurchased $300M of stock. It guided to approximately $225M of 2Q repurchases while retaining a 10.5%–10.6% CET1 ratio.</w:t>
      </w:r>
    </w:p>
    <w:p>
      <w:pPr>
        <w:pStyle w:val="BodyText"/>
      </w:pPr>
      <w:r>
        <w:t xml:space="preserve">The company has also indicated that prospective capital-rule changes could reduce risk-weighted assets by roughly 10%, potentially creating more than 100 bps of CET1 benefit before accounting for the AOCI phase-in. Management’s prior view was that the net benefit could be around 30–50 bps after offsets, but this remains regulatory-policy dependent.</w:t>
      </w:r>
    </w:p>
    <w:p>
      <w:pPr>
        <w:pStyle w:val="BodyText"/>
      </w:pPr>
      <w:r>
        <w:t xml:space="preserve">The near-term focus should be simpler:</w:t>
      </w:r>
      <w:r>
        <w:t xml:space="preserve"> </w:t>
      </w:r>
      <w:r>
        <w:rPr>
          <w:b/>
          <w:bCs/>
        </w:rPr>
        <w:t xml:space="preserve">does CFG maintain its capital ratio while buying back stock and funding growth?</w:t>
      </w:r>
      <w:r>
        <w:t xml:space="preserve"> </w:t>
      </w:r>
      <w:r>
        <w:t xml:space="preserve">If so, investors may increasingly view excess capital and buybacks as a durable support to EPS growth.</w:t>
      </w:r>
    </w:p>
    <w:bookmarkEnd w:id="16"/>
    <w:bookmarkStart w:id="17" w:name="stock-setup-and-expectations"/>
    <w:p>
      <w:pPr>
        <w:pStyle w:val="Heading2"/>
      </w:pPr>
      <w:r>
        <w:t xml:space="preserve">Stock setup and expectations</w:t>
      </w:r>
    </w:p>
    <w:p>
      <w:pPr>
        <w:pStyle w:val="FirstParagraph"/>
      </w:pPr>
      <w:r>
        <w:t xml:space="preserve">CFG closed at</w:t>
      </w:r>
      <w:r>
        <w:t xml:space="preserve"> </w:t>
      </w:r>
      <w:r>
        <w:rPr>
          <w:b/>
          <w:bCs/>
        </w:rPr>
        <w:t xml:space="preserve">$71.14 on July 15</w:t>
      </w:r>
      <w:r>
        <w:t xml:space="preserve">, up approximately</w:t>
      </w:r>
      <w:r>
        <w:t xml:space="preserve"> </w:t>
      </w:r>
      <w:r>
        <w:rPr>
          <w:b/>
          <w:bCs/>
        </w:rPr>
        <w:t xml:space="preserve">6.7%</w:t>
      </w:r>
      <w:r>
        <w:t xml:space="preserve"> </w:t>
      </w:r>
      <w:r>
        <w:t xml:space="preserve">from June 15. That modestly outpaced the regional-bank ETF proxy, KRE, which gained about</w:t>
      </w:r>
      <w:r>
        <w:t xml:space="preserve"> </w:t>
      </w:r>
      <w:r>
        <w:rPr>
          <w:b/>
          <w:bCs/>
        </w:rPr>
        <w:t xml:space="preserve">4.9%</w:t>
      </w:r>
      <w:r>
        <w:t xml:space="preserve"> </w:t>
      </w:r>
      <w:r>
        <w:t xml:space="preserve">over the same period, while the S&amp;P 500 was essentially flat.</w:t>
      </w:r>
    </w:p>
    <w:p>
      <w:pPr>
        <w:pStyle w:val="BodyText"/>
      </w:pPr>
      <w:r>
        <w:t xml:space="preserve">That relative performance suggests investors already recognize the company’s favorable NII, fee, credit, and capital-return setup. As a result, simply reporting an in-line quarter may not be sufficient for a strong positive reaction. The stock likely needs some combination of:</w:t>
      </w:r>
    </w:p>
    <w:p>
      <w:pPr>
        <w:pStyle w:val="Compact"/>
        <w:numPr>
          <w:ilvl w:val="0"/>
          <w:numId w:val="1008"/>
        </w:numPr>
      </w:pPr>
      <w:r>
        <w:t xml:space="preserve">NII/NIM above or toward the high end of guided ranges;</w:t>
      </w:r>
    </w:p>
    <w:p>
      <w:pPr>
        <w:pStyle w:val="Compact"/>
        <w:numPr>
          <w:ilvl w:val="0"/>
          <w:numId w:val="1008"/>
        </w:numPr>
      </w:pPr>
      <w:r>
        <w:t xml:space="preserve">Better-than-expected capital-markets fees;</w:t>
      </w:r>
    </w:p>
    <w:p>
      <w:pPr>
        <w:pStyle w:val="Compact"/>
        <w:numPr>
          <w:ilvl w:val="0"/>
          <w:numId w:val="1008"/>
        </w:numPr>
      </w:pPr>
      <w:r>
        <w:t xml:space="preserve">Stable-to-improving credit;</w:t>
      </w:r>
    </w:p>
    <w:p>
      <w:pPr>
        <w:pStyle w:val="Compact"/>
        <w:numPr>
          <w:ilvl w:val="0"/>
          <w:numId w:val="1008"/>
        </w:numPr>
      </w:pPr>
      <w:r>
        <w:t xml:space="preserve">A firm 4Q26 NIM target and full-year expense outlook;</w:t>
      </w:r>
    </w:p>
    <w:p>
      <w:pPr>
        <w:pStyle w:val="Compact"/>
        <w:numPr>
          <w:ilvl w:val="0"/>
          <w:numId w:val="1008"/>
        </w:numPr>
      </w:pPr>
      <w:r>
        <w:t xml:space="preserve">Tangible progress in Private Bank growth and Reimagine the Bank savings.</w:t>
      </w:r>
    </w:p>
    <w:bookmarkEnd w:id="17"/>
    <w:bookmarkStart w:id="21" w:name="bull-base-and-bear-framing"/>
    <w:p>
      <w:pPr>
        <w:pStyle w:val="Heading2"/>
      </w:pPr>
      <w:r>
        <w:t xml:space="preserve">Bull, base, and bear framing</w:t>
      </w:r>
    </w:p>
    <w:bookmarkStart w:id="18" w:name="bull-case"/>
    <w:p>
      <w:pPr>
        <w:pStyle w:val="Heading3"/>
      </w:pPr>
      <w:r>
        <w:t xml:space="preserve">Bull case</w:t>
      </w:r>
    </w:p>
    <w:p>
      <w:pPr>
        <w:pStyle w:val="FirstParagraph"/>
      </w:pPr>
      <w:r>
        <w:t xml:space="preserve">CFG exceeds its NII and fee outlook, produces another step-up in NIM, shows strong deposit mix and commercial/Private Bank loan growth, keeps charge-offs below 39 bps, and reinforces the 4Q26 NIM and 2027 ROTCE targets. A stronger capital-markets print and clearer second-half expense-savings trajectory would add upside.</w:t>
      </w:r>
    </w:p>
    <w:bookmarkEnd w:id="18"/>
    <w:bookmarkStart w:id="19" w:name="base-case"/>
    <w:p>
      <w:pPr>
        <w:pStyle w:val="Heading3"/>
      </w:pPr>
      <w:r>
        <w:t xml:space="preserve">Base case</w:t>
      </w:r>
    </w:p>
    <w:p>
      <w:pPr>
        <w:pStyle w:val="FirstParagraph"/>
      </w:pPr>
      <w:r>
        <w:t xml:space="preserve">Results land within the company’s guided ranges: NII grows 3%–4%, fees grow 3%–5%, expenses are controlled, credit remains benign, and management reiterates its medium-term targets. This would support the existing thesis but may generate a more muted stock reaction after recent relative outperformance.</w:t>
      </w:r>
    </w:p>
    <w:bookmarkEnd w:id="19"/>
    <w:bookmarkStart w:id="20" w:name="bear-case"/>
    <w:p>
      <w:pPr>
        <w:pStyle w:val="Heading3"/>
      </w:pPr>
      <w:r>
        <w:t xml:space="preserve">Bear case</w:t>
      </w:r>
    </w:p>
    <w:p>
      <w:pPr>
        <w:pStyle w:val="FirstParagraph"/>
      </w:pPr>
      <w:r>
        <w:t xml:space="preserve">NIM expansion slows because deposit costs prove sticky, capital-markets revenue disappoints amid market volatility, or expenses run above guidance due to transformation spending. A reserve build, CRE deterioration, or any negative development in private credit/NDFI would be particularly damaging to the favorable credit narrative.</w:t>
      </w:r>
    </w:p>
    <w:bookmarkEnd w:id="20"/>
    <w:bookmarkEnd w:id="21"/>
    <w:bookmarkStart w:id="22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CFG’s 2Q26 report is principally a</w:t>
      </w:r>
      <w:r>
        <w:t xml:space="preserve"> </w:t>
      </w:r>
      <w:r>
        <w:rPr>
          <w:b/>
          <w:bCs/>
        </w:rPr>
        <w:t xml:space="preserve">proof-of-trajectory</w:t>
      </w:r>
      <w:r>
        <w:t xml:space="preserve"> </w:t>
      </w:r>
      <w:r>
        <w:t xml:space="preserve">event. The company has already established a favorable starting point: improving NIM, broad loan growth, attractive deposit mix, robust fee momentum, falling charge-offs, and meaningful capital return. To sustain investor confidence, it needs to demonstrate that these are not isolated 1Q outcomes but durable components of a path toward materially higher ROTCE.</w:t>
      </w:r>
    </w:p>
    <w:p>
      <w:pPr>
        <w:pStyle w:val="BodyText"/>
      </w:pPr>
      <w:r>
        <w:t xml:space="preserve">The clearest markers of success will be:</w:t>
      </w:r>
      <w:r>
        <w:t xml:space="preserve"> </w:t>
      </w:r>
      <w:r>
        <w:rPr>
          <w:b/>
          <w:bCs/>
        </w:rPr>
        <w:t xml:space="preserve">NII at or above the high end of the 3%–4% guide, continued NIM expansion, strong capital-markets conversion, stable credit, and tangible evidence that Reimagine the Bank begins lowering the second-half expense run rate.</w:t>
      </w:r>
    </w:p>
    <w:p>
      <w:pPr>
        <w:pStyle w:val="BodyText"/>
      </w:pPr>
      <w:r>
        <w:rPr>
          <w:i/>
          <w:iCs/>
        </w:rPr>
        <w:t xml:space="preserve">Sources: CFG 1Q26 earnings release, 1Q26 earnings-call transcript, and market-price data through July 15, 2026.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2026-07-16T01:16:15Z</dcterms:created>
  <dcterms:modified xsi:type="dcterms:W3CDTF">2026-07-16T01:16:15Z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