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Citizens Financial Group, Inc. (CFG)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CFG</w:t>
            </w:r>
          </w:p>
        </w:tc>
        <w:tc>
          <w:tcPr>
            <w:tcW w:type="dxa" w:w="2160"/>
          </w:tcPr>
          <w:p>
            <w:r>
              <w:rPr>
                <w:rFonts w:ascii="Calibri" w:hAnsi="Calibri"/>
                <w:b/>
                <w:sz w:val="22"/>
              </w:rPr>
              <w:t>Upcoming Earnings</w:t>
            </w:r>
          </w:p>
        </w:tc>
        <w:tc>
          <w:tcPr>
            <w:tcW w:type="dxa" w:w="2160"/>
          </w:tcPr>
          <w:p>
            <w:r>
              <w:rPr>
                <w:rFonts w:ascii="Calibri" w:hAnsi="Calibri"/>
                <w:sz w:val="22"/>
              </w:rPr>
              <w:t>Q2 2026 (mid-July 2026)</w:t>
            </w:r>
          </w:p>
        </w:tc>
      </w:tr>
      <w:tr>
        <w:tc>
          <w:tcPr>
            <w:tcW w:type="dxa" w:w="2160"/>
          </w:tcPr>
          <w:p>
            <w:r>
              <w:rPr>
                <w:rFonts w:ascii="Calibri" w:hAnsi="Calibri"/>
                <w:b/>
                <w:sz w:val="22"/>
              </w:rPr>
              <w:t>Prepared</w:t>
            </w:r>
          </w:p>
        </w:tc>
        <w:tc>
          <w:tcPr>
            <w:tcW w:type="dxa" w:w="2160"/>
          </w:tcPr>
          <w:p>
            <w:r>
              <w:rPr>
                <w:rFonts w:ascii="Calibri" w:hAnsi="Calibri"/>
                <w:sz w:val="22"/>
              </w:rPr>
              <w:t>July 15, 2026</w:t>
            </w:r>
          </w:p>
        </w:tc>
        <w:tc>
          <w:tcPr>
            <w:tcW w:type="dxa" w:w="2160"/>
          </w:tcPr>
          <w:p>
            <w:r>
              <w:rPr>
                <w:rFonts w:ascii="Calibri" w:hAnsi="Calibri"/>
                <w:b/>
                <w:sz w:val="22"/>
              </w:rPr>
              <w:t>Last Reported</w:t>
            </w:r>
          </w:p>
        </w:tc>
        <w:tc>
          <w:tcPr>
            <w:tcW w:type="dxa" w:w="2160"/>
          </w:tcPr>
          <w:p>
            <w:r>
              <w:rPr>
                <w:rFonts w:ascii="Calibri" w:hAnsi="Calibri"/>
                <w:sz w:val="22"/>
              </w:rPr>
              <w:t>Q1 2026 (April 16, 2026)</w:t>
            </w:r>
          </w:p>
        </w:tc>
      </w:tr>
      <w:tr>
        <w:tc>
          <w:tcPr>
            <w:tcW w:type="dxa" w:w="2160"/>
          </w:tcPr>
          <w:p>
            <w:r>
              <w:rPr>
                <w:rFonts w:ascii="Calibri" w:hAnsi="Calibri"/>
                <w:b/>
                <w:sz w:val="22"/>
              </w:rPr>
              <w:t>Sector</w:t>
            </w:r>
          </w:p>
        </w:tc>
        <w:tc>
          <w:tcPr>
            <w:tcW w:type="dxa" w:w="2160"/>
          </w:tcPr>
          <w:p>
            <w:r>
              <w:rPr>
                <w:rFonts w:ascii="Calibri" w:hAnsi="Calibri"/>
                <w:sz w:val="22"/>
              </w:rPr>
              <w:t>Super-Regional Banking</w:t>
            </w:r>
          </w:p>
        </w:tc>
        <w:tc>
          <w:tcPr>
            <w:tcW w:type="dxa" w:w="2160"/>
          </w:tcPr>
          <w:p>
            <w:r>
              <w:rPr>
                <w:rFonts w:ascii="Calibri" w:hAnsi="Calibri"/>
                <w:b/>
                <w:sz w:val="22"/>
              </w:rPr>
              <w:t>Primary Valuation KPI</w:t>
            </w:r>
          </w:p>
        </w:tc>
        <w:tc>
          <w:tcPr>
            <w:tcW w:type="dxa" w:w="2160"/>
          </w:tcPr>
          <w:p>
            <w:r>
              <w:rPr>
                <w:rFonts w:ascii="Calibri" w:hAnsi="Calibri"/>
                <w:sz w:val="22"/>
              </w:rPr>
              <w:t>Operating EPS (P/E) / ROTCE</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management has explicitly confirmed the quarter is tracking in line with guidance, NIM expansion is on autopilot via swap runoff, and the bar (consensus Operating EPS of ~$1.24) is achievable; the biggest swing factor is whether capital markets fees can sustain the record Q1 momentum.</w:t>
      </w:r>
    </w:p>
    <w:p>
      <w:r>
        <w:rPr>
          <w:rFonts w:ascii="Calibri" w:hAnsi="Calibri"/>
          <w:color w:val="525866"/>
          <w:sz w:val="22"/>
        </w:rPr>
        <w:t xml:space="preserve">Heading into Q2 2026, CFG presents one of the cleaner setups in the super-regional space. </w:t>
      </w:r>
      <w:r>
        <w:rPr>
          <w:rFonts w:ascii="Calibri" w:hAnsi="Calibri"/>
          <w:b/>
          <w:color w:val="525866"/>
          <w:sz w:val="22"/>
        </w:rPr>
        <w:t>Management publicly confirmed at the Morgan Stanley Financials Conference (June 10) that the quarter is "playing out exactly as planned"</w:t>
      </w:r>
      <w:r>
        <w:rPr>
          <w:rFonts w:ascii="Calibri" w:hAnsi="Calibri"/>
          <w:color w:val="525866"/>
          <w:sz w:val="22"/>
        </w:rPr>
        <w:t xml:space="preserve"> and reiterated full-year guidance without qualification — a rare degree of mid-quarter transparency that effectively de-risks the print. The consensus bar of ~$1.24 in Operating EPS (vs. $1.13 in Q1 2026 and $0.92 in Q2 2025) reflects a step-up driven primarily by </w:t>
      </w:r>
      <w:r>
        <w:rPr>
          <w:rFonts w:ascii="Calibri" w:hAnsi="Calibri"/>
          <w:b/>
          <w:color w:val="525866"/>
          <w:sz w:val="22"/>
        </w:rPr>
        <w:t>~12 bps of additional NIM expansion from terminated swap runoff and non-core portfolio reduction</w:t>
      </w:r>
      <w:r>
        <w:rPr>
          <w:rFonts w:ascii="Calibri" w:hAnsi="Calibri"/>
          <w:color w:val="525866"/>
          <w:sz w:val="22"/>
        </w:rPr>
        <w:t xml:space="preserve"> — a time-based, rate-independent tailwind that management has quantified and that is not contingent on Fed action. Estimate revisions have been modestly positive since the Q1 beat, with the street gradually closing the gap to management's medium-term ROTCE target of 16–18% by end-2027. The stock has rallied ~10.4% since the Q1 print (vs. KRE +10.1%, SPY +7.6%), suggesting the market is giving credit for the NIM trajectory but has not yet fully priced the Private Bank scaling story or the Reimagine the Bank upside optionality. </w:t>
      </w:r>
      <w:r>
        <w:rPr>
          <w:rFonts w:ascii="Calibri" w:hAnsi="Calibri"/>
          <w:b/>
          <w:color w:val="525866"/>
          <w:sz w:val="22"/>
        </w:rPr>
        <w:t>The key wildcard is capital markets fees</w:t>
      </w:r>
      <w:r>
        <w:rPr>
          <w:rFonts w:ascii="Calibri" w:hAnsi="Calibri"/>
          <w:color w:val="525866"/>
          <w:sz w:val="22"/>
        </w:rPr>
        <w:t>: Q1 was a record quarter despite March volatility, and peers (BAC, JPM) have already reported exceptional Q2 investment banking results — a strong read-through that could push CFG's fee line above the ~$147M consensus estimate.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but achievable bar — NIM expansion is the most mechanically certain driver (swap runoff is time-based), while capital markets fees are the biggest upside/downside swing factor given peer read-throughs from BAC and JPM already pointing to a strong Q2 for investment banking.</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Interest Income ($B)</w:t>
            </w:r>
          </w:p>
        </w:tc>
        <w:tc>
          <w:tcPr>
            <w:tcW w:type="dxa" w:w="1234"/>
          </w:tcPr>
          <w:p>
            <w:r>
              <w:rPr>
                <w:rFonts w:ascii="Calibri" w:hAnsi="Calibri"/>
                <w:sz w:val="22"/>
              </w:rPr>
              <w:t>$1.562B</w:t>
            </w:r>
          </w:p>
        </w:tc>
        <w:tc>
          <w:tcPr>
            <w:tcW w:type="dxa" w:w="1234"/>
          </w:tcPr>
          <w:p>
            <w:r>
              <w:rPr>
                <w:rFonts w:ascii="Calibri" w:hAnsi="Calibri"/>
                <w:sz w:val="22"/>
              </w:rPr>
              <w:t>$1.437B</w:t>
            </w:r>
          </w:p>
        </w:tc>
        <w:tc>
          <w:tcPr>
            <w:tcW w:type="dxa" w:w="1234"/>
          </w:tcPr>
          <w:p>
            <w:r>
              <w:rPr>
                <w:rFonts w:ascii="Calibri" w:hAnsi="Calibri"/>
                <w:sz w:val="22"/>
              </w:rPr>
              <w:t>$1.613B</w:t>
            </w:r>
          </w:p>
        </w:tc>
        <w:tc>
          <w:tcPr>
            <w:tcW w:type="dxa" w:w="1234"/>
          </w:tcPr>
          <w:p>
            <w:r>
              <w:rPr>
                <w:rFonts w:ascii="Calibri" w:hAnsi="Calibri"/>
                <w:b/>
                <w:color w:val="30A46C"/>
                <w:sz w:val="22"/>
              </w:rPr>
              <w:t>+12.2% YoY</w:t>
            </w:r>
          </w:p>
        </w:tc>
        <w:tc>
          <w:tcPr>
            <w:tcW w:type="dxa" w:w="1234"/>
          </w:tcPr>
          <w:p>
            <w:r>
              <w:rPr>
                <w:rFonts w:ascii="Calibri" w:hAnsi="Calibri"/>
                <w:sz w:val="22"/>
              </w:rPr>
              <w:t>Sequential NII growth guided; NIM cone 3.30–3.50% medium-term</w:t>
            </w:r>
          </w:p>
        </w:tc>
        <w:tc>
          <w:tcPr>
            <w:tcW w:type="dxa" w:w="1234"/>
          </w:tcPr>
          <w:p>
            <w:r>
              <w:rPr>
                <w:rFonts w:ascii="Calibri" w:hAnsi="Calibri"/>
                <w:sz w:val="22"/>
              </w:rPr>
              <w:t>In line</w:t>
            </w:r>
          </w:p>
        </w:tc>
      </w:tr>
      <w:tr>
        <w:tc>
          <w:tcPr>
            <w:tcW w:type="dxa" w:w="1234"/>
          </w:tcPr>
          <w:p>
            <w:r>
              <w:rPr>
                <w:rFonts w:ascii="Calibri" w:hAnsi="Calibri"/>
                <w:sz w:val="22"/>
              </w:rPr>
              <w:t>Net Interest Margin (%)</w:t>
            </w:r>
          </w:p>
        </w:tc>
        <w:tc>
          <w:tcPr>
            <w:tcW w:type="dxa" w:w="1234"/>
          </w:tcPr>
          <w:p>
            <w:r>
              <w:rPr>
                <w:rFonts w:ascii="Calibri" w:hAnsi="Calibri"/>
                <w:sz w:val="22"/>
              </w:rPr>
              <w:t>3.14%</w:t>
            </w:r>
          </w:p>
        </w:tc>
        <w:tc>
          <w:tcPr>
            <w:tcW w:type="dxa" w:w="1234"/>
          </w:tcPr>
          <w:p>
            <w:r>
              <w:rPr>
                <w:rFonts w:ascii="Calibri" w:hAnsi="Calibri"/>
                <w:sz w:val="22"/>
              </w:rPr>
              <w:t>2.95%</w:t>
            </w:r>
          </w:p>
        </w:tc>
        <w:tc>
          <w:tcPr>
            <w:tcW w:type="dxa" w:w="1234"/>
          </w:tcPr>
          <w:p>
            <w:r>
              <w:rPr>
                <w:rFonts w:ascii="Calibri" w:hAnsi="Calibri"/>
                <w:sz w:val="22"/>
              </w:rPr>
              <w:t>3.19%</w:t>
            </w:r>
          </w:p>
        </w:tc>
        <w:tc>
          <w:tcPr>
            <w:tcW w:type="dxa" w:w="1234"/>
          </w:tcPr>
          <w:p>
            <w:r>
              <w:rPr>
                <w:rFonts w:ascii="Calibri" w:hAnsi="Calibri"/>
                <w:b/>
                <w:color w:val="30A46C"/>
                <w:sz w:val="22"/>
              </w:rPr>
              <w:t>+24 bps YoY</w:t>
            </w:r>
          </w:p>
        </w:tc>
        <w:tc>
          <w:tcPr>
            <w:tcW w:type="dxa" w:w="1234"/>
          </w:tcPr>
          <w:p>
            <w:r>
              <w:rPr>
                <w:rFonts w:ascii="Calibri" w:hAnsi="Calibri"/>
                <w:sz w:val="22"/>
              </w:rPr>
              <w:t>~12 bps additional from swap/non-core runoff remaining in 2026</w:t>
            </w:r>
          </w:p>
        </w:tc>
        <w:tc>
          <w:tcPr>
            <w:tcW w:type="dxa" w:w="1234"/>
          </w:tcPr>
          <w:p>
            <w:r>
              <w:rPr>
                <w:rFonts w:ascii="Calibri" w:hAnsi="Calibri"/>
                <w:sz w:val="22"/>
              </w:rPr>
              <w:t>In line / slight upside</w:t>
            </w:r>
          </w:p>
        </w:tc>
      </w:tr>
      <w:tr>
        <w:tc>
          <w:tcPr>
            <w:tcW w:type="dxa" w:w="1234"/>
          </w:tcPr>
          <w:p>
            <w:r>
              <w:rPr>
                <w:rFonts w:ascii="Calibri" w:hAnsi="Calibri"/>
                <w:sz w:val="22"/>
              </w:rPr>
              <w:t>Operating EPS (Diluted)</w:t>
            </w:r>
          </w:p>
        </w:tc>
        <w:tc>
          <w:tcPr>
            <w:tcW w:type="dxa" w:w="1234"/>
          </w:tcPr>
          <w:p>
            <w:r>
              <w:rPr>
                <w:rFonts w:ascii="Calibri" w:hAnsi="Calibri"/>
                <w:sz w:val="22"/>
              </w:rPr>
              <w:t>$1.13</w:t>
            </w:r>
          </w:p>
        </w:tc>
        <w:tc>
          <w:tcPr>
            <w:tcW w:type="dxa" w:w="1234"/>
          </w:tcPr>
          <w:p>
            <w:r>
              <w:rPr>
                <w:rFonts w:ascii="Calibri" w:hAnsi="Calibri"/>
                <w:sz w:val="22"/>
              </w:rPr>
              <w:t>$0.92</w:t>
            </w:r>
          </w:p>
        </w:tc>
        <w:tc>
          <w:tcPr>
            <w:tcW w:type="dxa" w:w="1234"/>
          </w:tcPr>
          <w:p>
            <w:r>
              <w:rPr>
                <w:rFonts w:ascii="Calibri" w:hAnsi="Calibri"/>
                <w:sz w:val="22"/>
              </w:rPr>
              <w:t>$1.24</w:t>
            </w:r>
          </w:p>
        </w:tc>
        <w:tc>
          <w:tcPr>
            <w:tcW w:type="dxa" w:w="1234"/>
          </w:tcPr>
          <w:p>
            <w:r>
              <w:rPr>
                <w:rFonts w:ascii="Calibri" w:hAnsi="Calibri"/>
                <w:b/>
                <w:color w:val="30A46C"/>
                <w:sz w:val="22"/>
              </w:rPr>
              <w:t>+34.8% YoY</w:t>
            </w:r>
          </w:p>
        </w:tc>
        <w:tc>
          <w:tcPr>
            <w:tcW w:type="dxa" w:w="1234"/>
          </w:tcPr>
          <w:p>
            <w:r>
              <w:rPr>
                <w:rFonts w:ascii="Calibri" w:hAnsi="Calibri"/>
                <w:sz w:val="22"/>
              </w:rPr>
              <w:t>No explicit EPS guide; implied by NII + fee + expense guidance</w:t>
            </w:r>
          </w:p>
        </w:tc>
        <w:tc>
          <w:tcPr>
            <w:tcW w:type="dxa" w:w="1234"/>
          </w:tcPr>
          <w:p>
            <w:r>
              <w:rPr>
                <w:rFonts w:ascii="Calibri" w:hAnsi="Calibri"/>
                <w:sz w:val="22"/>
              </w:rPr>
              <w:t>N/A (implied)</w:t>
            </w:r>
          </w:p>
        </w:tc>
      </w:tr>
      <w:tr>
        <w:tc>
          <w:tcPr>
            <w:tcW w:type="dxa" w:w="1234"/>
          </w:tcPr>
          <w:p>
            <w:r>
              <w:rPr>
                <w:rFonts w:ascii="Calibri" w:hAnsi="Calibri"/>
                <w:sz w:val="22"/>
              </w:rPr>
              <w:t>Total Noninterest Income - Operating ($M)</w:t>
            </w:r>
          </w:p>
        </w:tc>
        <w:tc>
          <w:tcPr>
            <w:tcW w:type="dxa" w:w="1234"/>
          </w:tcPr>
          <w:p>
            <w:r>
              <w:rPr>
                <w:rFonts w:ascii="Calibri" w:hAnsi="Calibri"/>
                <w:sz w:val="22"/>
              </w:rPr>
              <w:t>$606M</w:t>
            </w:r>
          </w:p>
        </w:tc>
        <w:tc>
          <w:tcPr>
            <w:tcW w:type="dxa" w:w="1234"/>
          </w:tcPr>
          <w:p>
            <w:r>
              <w:rPr>
                <w:rFonts w:ascii="Calibri" w:hAnsi="Calibri"/>
                <w:sz w:val="22"/>
              </w:rPr>
              <w:t>$600M</w:t>
            </w:r>
          </w:p>
        </w:tc>
        <w:tc>
          <w:tcPr>
            <w:tcW w:type="dxa" w:w="1234"/>
          </w:tcPr>
          <w:p>
            <w:r>
              <w:rPr>
                <w:rFonts w:ascii="Calibri" w:hAnsi="Calibri"/>
                <w:sz w:val="22"/>
              </w:rPr>
              <w:t>$632M</w:t>
            </w:r>
          </w:p>
        </w:tc>
        <w:tc>
          <w:tcPr>
            <w:tcW w:type="dxa" w:w="1234"/>
          </w:tcPr>
          <w:p>
            <w:r>
              <w:rPr>
                <w:rFonts w:ascii="Calibri" w:hAnsi="Calibri"/>
                <w:b/>
                <w:color w:val="30A46C"/>
                <w:sz w:val="22"/>
              </w:rPr>
              <w:t>+5.3% YoY</w:t>
            </w:r>
          </w:p>
        </w:tc>
        <w:tc>
          <w:tcPr>
            <w:tcW w:type="dxa" w:w="1234"/>
          </w:tcPr>
          <w:p>
            <w:r>
              <w:rPr>
                <w:rFonts w:ascii="Calibri" w:hAnsi="Calibri"/>
                <w:sz w:val="22"/>
              </w:rPr>
              <w:t>Fee growth guided; capital markets "really, really positive for the year"</w:t>
            </w:r>
          </w:p>
        </w:tc>
        <w:tc>
          <w:tcPr>
            <w:tcW w:type="dxa" w:w="1234"/>
          </w:tcPr>
          <w:p>
            <w:r>
              <w:rPr>
                <w:rFonts w:ascii="Calibri" w:hAnsi="Calibri"/>
                <w:sz w:val="22"/>
              </w:rPr>
              <w:t>In line</w:t>
            </w:r>
          </w:p>
        </w:tc>
      </w:tr>
      <w:tr>
        <w:tc>
          <w:tcPr>
            <w:tcW w:type="dxa" w:w="1234"/>
          </w:tcPr>
          <w:p>
            <w:r>
              <w:rPr>
                <w:rFonts w:ascii="Calibri" w:hAnsi="Calibri"/>
                <w:sz w:val="22"/>
              </w:rPr>
              <w:t>Total Noninterest Expense - Operating ($M)</w:t>
            </w:r>
          </w:p>
        </w:tc>
        <w:tc>
          <w:tcPr>
            <w:tcW w:type="dxa" w:w="1234"/>
          </w:tcPr>
          <w:p>
            <w:r>
              <w:rPr>
                <w:rFonts w:ascii="Calibri" w:hAnsi="Calibri"/>
                <w:sz w:val="22"/>
              </w:rPr>
              <w:t>$1,378M</w:t>
            </w:r>
          </w:p>
        </w:tc>
        <w:tc>
          <w:tcPr>
            <w:tcW w:type="dxa" w:w="1234"/>
          </w:tcPr>
          <w:p>
            <w:r>
              <w:rPr>
                <w:rFonts w:ascii="Calibri" w:hAnsi="Calibri"/>
                <w:sz w:val="22"/>
              </w:rPr>
              <w:t>$1,319M</w:t>
            </w:r>
          </w:p>
        </w:tc>
        <w:tc>
          <w:tcPr>
            <w:tcW w:type="dxa" w:w="1234"/>
          </w:tcPr>
          <w:p>
            <w:r>
              <w:rPr>
                <w:rFonts w:ascii="Calibri" w:hAnsi="Calibri"/>
                <w:sz w:val="22"/>
              </w:rPr>
              <w:t>$1,388M</w:t>
            </w:r>
          </w:p>
        </w:tc>
        <w:tc>
          <w:tcPr>
            <w:tcW w:type="dxa" w:w="1234"/>
          </w:tcPr>
          <w:p>
            <w:r>
              <w:rPr>
                <w:rFonts w:ascii="Calibri" w:hAnsi="Calibri"/>
                <w:sz w:val="22"/>
              </w:rPr>
              <w:t>+5.2% YoY</w:t>
            </w:r>
          </w:p>
        </w:tc>
        <w:tc>
          <w:tcPr>
            <w:tcW w:type="dxa" w:w="1234"/>
          </w:tcPr>
          <w:p>
            <w:r>
              <w:rPr>
                <w:rFonts w:ascii="Calibri" w:hAnsi="Calibri"/>
                <w:sz w:val="22"/>
              </w:rPr>
              <w:t>Reimagine broadly breakeven in 2026 (~$50–60M benefits offset by ~$50–60M investment)</w:t>
            </w:r>
          </w:p>
        </w:tc>
        <w:tc>
          <w:tcPr>
            <w:tcW w:type="dxa" w:w="1234"/>
          </w:tcPr>
          <w:p>
            <w:r>
              <w:rPr>
                <w:rFonts w:ascii="Calibri" w:hAnsi="Calibri"/>
                <w:sz w:val="22"/>
              </w:rPr>
              <w:t>In line</w:t>
            </w:r>
          </w:p>
        </w:tc>
      </w:tr>
      <w:tr>
        <w:tc>
          <w:tcPr>
            <w:tcW w:type="dxa" w:w="1234"/>
          </w:tcPr>
          <w:p>
            <w:r>
              <w:rPr>
                <w:rFonts w:ascii="Calibri" w:hAnsi="Calibri"/>
                <w:sz w:val="22"/>
              </w:rPr>
              <w:t>Capital Markets Fees ($M)</w:t>
            </w:r>
          </w:p>
        </w:tc>
        <w:tc>
          <w:tcPr>
            <w:tcW w:type="dxa" w:w="1234"/>
          </w:tcPr>
          <w:p>
            <w:r>
              <w:rPr>
                <w:rFonts w:ascii="Calibri" w:hAnsi="Calibri"/>
                <w:sz w:val="22"/>
              </w:rPr>
              <w:t>$134M (record Q1)</w:t>
            </w:r>
          </w:p>
        </w:tc>
        <w:tc>
          <w:tcPr>
            <w:tcW w:type="dxa" w:w="1234"/>
          </w:tcPr>
          <w:p>
            <w:r>
              <w:rPr>
                <w:rFonts w:ascii="Calibri" w:hAnsi="Calibri"/>
                <w:sz w:val="22"/>
              </w:rPr>
              <w:t>$105M</w:t>
            </w:r>
          </w:p>
        </w:tc>
        <w:tc>
          <w:tcPr>
            <w:tcW w:type="dxa" w:w="1234"/>
          </w:tcPr>
          <w:p>
            <w:r>
              <w:rPr>
                <w:rFonts w:ascii="Calibri" w:hAnsi="Calibri"/>
                <w:sz w:val="22"/>
              </w:rPr>
              <w:t>$147M</w:t>
            </w:r>
          </w:p>
        </w:tc>
        <w:tc>
          <w:tcPr>
            <w:tcW w:type="dxa" w:w="1234"/>
          </w:tcPr>
          <w:p>
            <w:r>
              <w:rPr>
                <w:rFonts w:ascii="Calibri" w:hAnsi="Calibri"/>
                <w:b/>
                <w:color w:val="30A46C"/>
                <w:sz w:val="22"/>
              </w:rPr>
              <w:t>+40.0% YoY</w:t>
            </w:r>
          </w:p>
        </w:tc>
        <w:tc>
          <w:tcPr>
            <w:tcW w:type="dxa" w:w="1234"/>
          </w:tcPr>
          <w:p>
            <w:r>
              <w:rPr>
                <w:rFonts w:ascii="Calibri" w:hAnsi="Calibri"/>
                <w:sz w:val="22"/>
              </w:rPr>
              <w:t>Pipelines "excellent"; full-year fee growth guide maintained</w:t>
            </w:r>
          </w:p>
        </w:tc>
        <w:tc>
          <w:tcPr>
            <w:tcW w:type="dxa" w:w="1234"/>
          </w:tcPr>
          <w:p>
            <w:r>
              <w:rPr>
                <w:rFonts w:ascii="Calibri" w:hAnsi="Calibri"/>
                <w:sz w:val="22"/>
              </w:rPr>
              <w:t>Potential upside (peer read-through)</w:t>
            </w:r>
          </w:p>
        </w:tc>
      </w:tr>
      <w:tr>
        <w:tc>
          <w:tcPr>
            <w:tcW w:type="dxa" w:w="1234"/>
          </w:tcPr>
          <w:p>
            <w:r>
              <w:rPr>
                <w:rFonts w:ascii="Calibri" w:hAnsi="Calibri"/>
                <w:sz w:val="22"/>
              </w:rPr>
              <w:t>Net Charge-Off Rate (% avg. loans)</w:t>
            </w:r>
          </w:p>
        </w:tc>
        <w:tc>
          <w:tcPr>
            <w:tcW w:type="dxa" w:w="1234"/>
          </w:tcPr>
          <w:p>
            <w:r>
              <w:rPr>
                <w:rFonts w:ascii="Calibri" w:hAnsi="Calibri"/>
                <w:sz w:val="22"/>
              </w:rPr>
              <w:t>0.39%</w:t>
            </w:r>
          </w:p>
        </w:tc>
        <w:tc>
          <w:tcPr>
            <w:tcW w:type="dxa" w:w="1234"/>
          </w:tcPr>
          <w:p>
            <w:r>
              <w:rPr>
                <w:rFonts w:ascii="Calibri" w:hAnsi="Calibri"/>
                <w:sz w:val="22"/>
              </w:rPr>
              <w:t>0.48%</w:t>
            </w:r>
          </w:p>
        </w:tc>
        <w:tc>
          <w:tcPr>
            <w:tcW w:type="dxa" w:w="1234"/>
          </w:tcPr>
          <w:p>
            <w:r>
              <w:rPr>
                <w:rFonts w:ascii="Calibri" w:hAnsi="Calibri"/>
                <w:sz w:val="22"/>
              </w:rPr>
              <w:t>0.37%</w:t>
            </w:r>
          </w:p>
        </w:tc>
        <w:tc>
          <w:tcPr>
            <w:tcW w:type="dxa" w:w="1234"/>
          </w:tcPr>
          <w:p>
            <w:r>
              <w:rPr>
                <w:rFonts w:ascii="Calibri" w:hAnsi="Calibri"/>
                <w:b/>
                <w:color w:val="30A46C"/>
                <w:sz w:val="22"/>
              </w:rPr>
              <w:t>-11 bps YoY</w:t>
            </w:r>
          </w:p>
        </w:tc>
        <w:tc>
          <w:tcPr>
            <w:tcW w:type="dxa" w:w="1234"/>
          </w:tcPr>
          <w:p>
            <w:r>
              <w:rPr>
                <w:rFonts w:ascii="Calibri" w:hAnsi="Calibri"/>
                <w:sz w:val="22"/>
              </w:rPr>
              <w:t>Continued normalization; CRE office peak losses behind</w:t>
            </w:r>
          </w:p>
        </w:tc>
        <w:tc>
          <w:tcPr>
            <w:tcW w:type="dxa" w:w="1234"/>
          </w:tcPr>
          <w:p>
            <w:r>
              <w:rPr>
                <w:rFonts w:ascii="Calibri" w:hAnsi="Calibri"/>
                <w:sz w:val="22"/>
              </w:rPr>
              <w:t>In line / slight upside</w:t>
            </w:r>
          </w:p>
        </w:tc>
      </w:tr>
      <w:tr>
        <w:tc>
          <w:tcPr>
            <w:tcW w:type="dxa" w:w="1234"/>
          </w:tcPr>
          <w:p>
            <w:r>
              <w:rPr>
                <w:rFonts w:ascii="Calibri" w:hAnsi="Calibri"/>
                <w:sz w:val="22"/>
              </w:rPr>
              <w:t>ROTCE (%)</w:t>
            </w:r>
          </w:p>
        </w:tc>
        <w:tc>
          <w:tcPr>
            <w:tcW w:type="dxa" w:w="1234"/>
          </w:tcPr>
          <w:p>
            <w:r>
              <w:rPr>
                <w:rFonts w:ascii="Calibri" w:hAnsi="Calibri"/>
                <w:sz w:val="22"/>
              </w:rPr>
              <w:t>12.0%</w:t>
            </w:r>
          </w:p>
        </w:tc>
        <w:tc>
          <w:tcPr>
            <w:tcW w:type="dxa" w:w="1234"/>
          </w:tcPr>
          <w:p>
            <w:r>
              <w:rPr>
                <w:rFonts w:ascii="Calibri" w:hAnsi="Calibri"/>
                <w:sz w:val="22"/>
              </w:rPr>
              <w:t>11.0%</w:t>
            </w:r>
          </w:p>
        </w:tc>
        <w:tc>
          <w:tcPr>
            <w:tcW w:type="dxa" w:w="1234"/>
          </w:tcPr>
          <w:p>
            <w:r>
              <w:rPr>
                <w:rFonts w:ascii="Calibri" w:hAnsi="Calibri"/>
                <w:sz w:val="22"/>
              </w:rPr>
              <w:t>13.2%</w:t>
            </w:r>
          </w:p>
        </w:tc>
        <w:tc>
          <w:tcPr>
            <w:tcW w:type="dxa" w:w="1234"/>
          </w:tcPr>
          <w:p>
            <w:r>
              <w:rPr>
                <w:rFonts w:ascii="Calibri" w:hAnsi="Calibri"/>
                <w:b/>
                <w:color w:val="30A46C"/>
                <w:sz w:val="22"/>
              </w:rPr>
              <w:t>+220 bps YoY</w:t>
            </w:r>
          </w:p>
        </w:tc>
        <w:tc>
          <w:tcPr>
            <w:tcW w:type="dxa" w:w="1234"/>
          </w:tcPr>
          <w:p>
            <w:r>
              <w:rPr>
                <w:rFonts w:ascii="Calibri" w:hAnsi="Calibri"/>
                <w:sz w:val="22"/>
              </w:rPr>
              <w:t>16–18% by end-2027; consensus ~mid-14s by year-end 2026</w:t>
            </w:r>
          </w:p>
        </w:tc>
        <w:tc>
          <w:tcPr>
            <w:tcW w:type="dxa" w:w="1234"/>
          </w:tcPr>
          <w:p>
            <w:r>
              <w:rPr>
                <w:rFonts w:ascii="Calibri" w:hAnsi="Calibri"/>
                <w:sz w:val="22"/>
              </w:rPr>
              <w:t>In line</w:t>
            </w:r>
          </w:p>
        </w:tc>
      </w:tr>
      <w:tr>
        <w:tc>
          <w:tcPr>
            <w:tcW w:type="dxa" w:w="1234"/>
          </w:tcPr>
          <w:p>
            <w:r>
              <w:rPr>
                <w:rFonts w:ascii="Calibri" w:hAnsi="Calibri"/>
                <w:sz w:val="22"/>
              </w:rPr>
              <w:t>CET1 Ratio (%)</w:t>
            </w:r>
          </w:p>
        </w:tc>
        <w:tc>
          <w:tcPr>
            <w:tcW w:type="dxa" w:w="1234"/>
          </w:tcPr>
          <w:p>
            <w:r>
              <w:rPr>
                <w:rFonts w:ascii="Calibri" w:hAnsi="Calibri"/>
                <w:sz w:val="22"/>
              </w:rPr>
              <w:t>10.49%</w:t>
            </w:r>
          </w:p>
        </w:tc>
        <w:tc>
          <w:tcPr>
            <w:tcW w:type="dxa" w:w="1234"/>
          </w:tcPr>
          <w:p>
            <w:r>
              <w:rPr>
                <w:rFonts w:ascii="Calibri" w:hAnsi="Calibri"/>
                <w:sz w:val="22"/>
              </w:rPr>
              <w:t>10.60%</w:t>
            </w:r>
          </w:p>
        </w:tc>
        <w:tc>
          <w:tcPr>
            <w:tcW w:type="dxa" w:w="1234"/>
          </w:tcPr>
          <w:p>
            <w:r>
              <w:rPr>
                <w:rFonts w:ascii="Calibri" w:hAnsi="Calibri"/>
                <w:sz w:val="22"/>
              </w:rPr>
              <w:t>10.82%</w:t>
            </w:r>
          </w:p>
        </w:tc>
        <w:tc>
          <w:tcPr>
            <w:tcW w:type="dxa" w:w="1234"/>
          </w:tcPr>
          <w:p>
            <w:r>
              <w:rPr>
                <w:rFonts w:ascii="Calibri" w:hAnsi="Calibri"/>
                <w:sz w:val="22"/>
              </w:rPr>
              <w:t>-11 bps YoY</w:t>
            </w:r>
          </w:p>
        </w:tc>
        <w:tc>
          <w:tcPr>
            <w:tcW w:type="dxa" w:w="1234"/>
          </w:tcPr>
          <w:p>
            <w:r>
              <w:rPr>
                <w:rFonts w:ascii="Calibri" w:hAnsi="Calibri"/>
                <w:sz w:val="22"/>
              </w:rPr>
              <w:t>No explicit target; capital return capacity building</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15, 2026.</w:t>
      </w:r>
    </w:p>
    <w:p>
      <w:pPr>
        <w:pStyle w:val="Heading3"/>
      </w:pPr>
      <w:r>
        <w:rPr>
          <w:rFonts w:ascii="Calibri" w:hAnsi="Calibri"/>
          <w:b/>
          <w:color w:val="3B4259"/>
          <w:sz w:val="24"/>
        </w:rPr>
        <w:t>Table 2 — Beat/Miss History (Last 8 Quarters, Top 2 KPIs: NIM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NIM (%)</w:t>
            </w:r>
          </w:p>
        </w:tc>
        <w:tc>
          <w:tcPr>
            <w:tcW w:type="dxa" w:w="1440"/>
          </w:tcPr>
          <w:p>
            <w:r>
              <w:rPr>
                <w:rFonts w:ascii="Calibri" w:hAnsi="Calibri"/>
                <w:sz w:val="22"/>
              </w:rPr>
              <w:t>3.14%</w:t>
            </w:r>
          </w:p>
        </w:tc>
        <w:tc>
          <w:tcPr>
            <w:tcW w:type="dxa" w:w="1440"/>
          </w:tcPr>
          <w:p>
            <w:r>
              <w:rPr>
                <w:rFonts w:ascii="Calibri" w:hAnsi="Calibri"/>
                <w:sz w:val="22"/>
              </w:rPr>
              <w:t>3.12%</w:t>
            </w:r>
          </w:p>
        </w:tc>
        <w:tc>
          <w:tcPr>
            <w:tcW w:type="dxa" w:w="1440"/>
          </w:tcPr>
          <w:p>
            <w:r>
              <w:rPr>
                <w:rFonts w:ascii="Calibri" w:hAnsi="Calibri"/>
                <w:b/>
                <w:color w:val="30A46C"/>
                <w:sz w:val="22"/>
              </w:rPr>
              <w:t>+2 bps</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Op. EPS ($)</w:t>
            </w:r>
          </w:p>
        </w:tc>
        <w:tc>
          <w:tcPr>
            <w:tcW w:type="dxa" w:w="1440"/>
          </w:tcPr>
          <w:p>
            <w:r>
              <w:rPr>
                <w:rFonts w:ascii="Calibri" w:hAnsi="Calibri"/>
                <w:sz w:val="22"/>
              </w:rPr>
              <w:t>$1.13</w:t>
            </w:r>
          </w:p>
        </w:tc>
        <w:tc>
          <w:tcPr>
            <w:tcW w:type="dxa" w:w="1440"/>
          </w:tcPr>
          <w:p>
            <w:r>
              <w:rPr>
                <w:rFonts w:ascii="Calibri" w:hAnsi="Calibri"/>
                <w:sz w:val="22"/>
              </w:rPr>
              <w:t>$1.10</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NIM (%)</w:t>
            </w:r>
          </w:p>
        </w:tc>
        <w:tc>
          <w:tcPr>
            <w:tcW w:type="dxa" w:w="1440"/>
          </w:tcPr>
          <w:p>
            <w:r>
              <w:rPr>
                <w:rFonts w:ascii="Calibri" w:hAnsi="Calibri"/>
                <w:sz w:val="22"/>
              </w:rPr>
              <w:t>3.07%</w:t>
            </w:r>
          </w:p>
        </w:tc>
        <w:tc>
          <w:tcPr>
            <w:tcW w:type="dxa" w:w="1440"/>
          </w:tcPr>
          <w:p>
            <w:r>
              <w:rPr>
                <w:rFonts w:ascii="Calibri" w:hAnsi="Calibri"/>
                <w:sz w:val="22"/>
              </w:rPr>
              <w:t>3.05%</w:t>
            </w:r>
          </w:p>
        </w:tc>
        <w:tc>
          <w:tcPr>
            <w:tcW w:type="dxa" w:w="1440"/>
          </w:tcPr>
          <w:p>
            <w:r>
              <w:rPr>
                <w:rFonts w:ascii="Calibri" w:hAnsi="Calibri"/>
                <w:b/>
                <w:color w:val="30A46C"/>
                <w:sz w:val="22"/>
              </w:rPr>
              <w:t>+2 bps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EPS ($)</w:t>
            </w:r>
          </w:p>
        </w:tc>
        <w:tc>
          <w:tcPr>
            <w:tcW w:type="dxa" w:w="1440"/>
          </w:tcPr>
          <w:p>
            <w:r>
              <w:rPr>
                <w:rFonts w:ascii="Calibri" w:hAnsi="Calibri"/>
                <w:sz w:val="22"/>
              </w:rPr>
              <w:t>$1.13</w:t>
            </w:r>
          </w:p>
        </w:tc>
        <w:tc>
          <w:tcPr>
            <w:tcW w:type="dxa" w:w="1440"/>
          </w:tcPr>
          <w:p>
            <w:r>
              <w:rPr>
                <w:rFonts w:ascii="Calibri" w:hAnsi="Calibri"/>
                <w:sz w:val="22"/>
              </w:rPr>
              <w:t>$1.11</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NIM (%)</w:t>
            </w:r>
          </w:p>
        </w:tc>
        <w:tc>
          <w:tcPr>
            <w:tcW w:type="dxa" w:w="1440"/>
          </w:tcPr>
          <w:p>
            <w:r>
              <w:rPr>
                <w:rFonts w:ascii="Calibri" w:hAnsi="Calibri"/>
                <w:sz w:val="22"/>
              </w:rPr>
              <w:t>3.00%</w:t>
            </w:r>
          </w:p>
        </w:tc>
        <w:tc>
          <w:tcPr>
            <w:tcW w:type="dxa" w:w="1440"/>
          </w:tcPr>
          <w:p>
            <w:r>
              <w:rPr>
                <w:rFonts w:ascii="Calibri" w:hAnsi="Calibri"/>
                <w:sz w:val="22"/>
              </w:rPr>
              <w:t>2.99%</w:t>
            </w:r>
          </w:p>
        </w:tc>
        <w:tc>
          <w:tcPr>
            <w:tcW w:type="dxa" w:w="1440"/>
          </w:tcPr>
          <w:p>
            <w:r>
              <w:rPr>
                <w:rFonts w:ascii="Calibri" w:hAnsi="Calibri"/>
                <w:b/>
                <w:color w:val="30A46C"/>
                <w:sz w:val="22"/>
              </w:rPr>
              <w:t>+1 bp</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 ($)</w:t>
            </w:r>
          </w:p>
        </w:tc>
        <w:tc>
          <w:tcPr>
            <w:tcW w:type="dxa" w:w="1440"/>
          </w:tcPr>
          <w:p>
            <w:r>
              <w:rPr>
                <w:rFonts w:ascii="Calibri" w:hAnsi="Calibri"/>
                <w:sz w:val="22"/>
              </w:rPr>
              <w:t>$1.05</w:t>
            </w:r>
          </w:p>
        </w:tc>
        <w:tc>
          <w:tcPr>
            <w:tcW w:type="dxa" w:w="1440"/>
          </w:tcPr>
          <w:p>
            <w:r>
              <w:rPr>
                <w:rFonts w:ascii="Calibri" w:hAnsi="Calibri"/>
                <w:sz w:val="22"/>
              </w:rPr>
              <w:t>$1.04</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NIM (%)</w:t>
            </w:r>
          </w:p>
        </w:tc>
        <w:tc>
          <w:tcPr>
            <w:tcW w:type="dxa" w:w="1440"/>
          </w:tcPr>
          <w:p>
            <w:r>
              <w:rPr>
                <w:rFonts w:ascii="Calibri" w:hAnsi="Calibri"/>
                <w:sz w:val="22"/>
              </w:rPr>
              <w:t>2.95%</w:t>
            </w:r>
          </w:p>
        </w:tc>
        <w:tc>
          <w:tcPr>
            <w:tcW w:type="dxa" w:w="1440"/>
          </w:tcPr>
          <w:p>
            <w:r>
              <w:rPr>
                <w:rFonts w:ascii="Calibri" w:hAnsi="Calibri"/>
                <w:sz w:val="22"/>
              </w:rPr>
              <w:t>2.95%</w:t>
            </w:r>
          </w:p>
        </w:tc>
        <w:tc>
          <w:tcPr>
            <w:tcW w:type="dxa" w:w="1440"/>
          </w:tcPr>
          <w:p>
            <w:r>
              <w:rPr>
                <w:rFonts w:ascii="Calibri" w:hAnsi="Calibri"/>
                <w:sz w:val="22"/>
              </w:rPr>
              <w:t>0 bps</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Op. EPS ($)</w:t>
            </w:r>
          </w:p>
        </w:tc>
        <w:tc>
          <w:tcPr>
            <w:tcW w:type="dxa" w:w="1440"/>
          </w:tcPr>
          <w:p>
            <w:r>
              <w:rPr>
                <w:rFonts w:ascii="Calibri" w:hAnsi="Calibri"/>
                <w:sz w:val="22"/>
              </w:rPr>
              <w:t>$0.92</w:t>
            </w:r>
          </w:p>
        </w:tc>
        <w:tc>
          <w:tcPr>
            <w:tcW w:type="dxa" w:w="1440"/>
          </w:tcPr>
          <w:p>
            <w:r>
              <w:rPr>
                <w:rFonts w:ascii="Calibri" w:hAnsi="Calibri"/>
                <w:sz w:val="22"/>
              </w:rPr>
              <w:t>$0.89</w:t>
            </w:r>
          </w:p>
        </w:tc>
        <w:tc>
          <w:tcPr>
            <w:tcW w:type="dxa" w:w="1440"/>
          </w:tcPr>
          <w:p>
            <w:r>
              <w:rPr>
                <w:rFonts w:ascii="Calibri" w:hAnsi="Calibri"/>
                <w:b/>
                <w:color w:val="30A46C"/>
                <w:sz w:val="22"/>
              </w:rPr>
              <w:t>+3.4%</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NIM (%)</w:t>
            </w:r>
          </w:p>
        </w:tc>
        <w:tc>
          <w:tcPr>
            <w:tcW w:type="dxa" w:w="1440"/>
          </w:tcPr>
          <w:p>
            <w:r>
              <w:rPr>
                <w:rFonts w:ascii="Calibri" w:hAnsi="Calibri"/>
                <w:sz w:val="22"/>
              </w:rPr>
              <w:t>2.90%</w:t>
            </w:r>
          </w:p>
        </w:tc>
        <w:tc>
          <w:tcPr>
            <w:tcW w:type="dxa" w:w="1440"/>
          </w:tcPr>
          <w:p>
            <w:r>
              <w:rPr>
                <w:rFonts w:ascii="Calibri" w:hAnsi="Calibri"/>
                <w:sz w:val="22"/>
              </w:rPr>
              <w:t>2.87%</w:t>
            </w:r>
          </w:p>
        </w:tc>
        <w:tc>
          <w:tcPr>
            <w:tcW w:type="dxa" w:w="1440"/>
          </w:tcPr>
          <w:p>
            <w:r>
              <w:rPr>
                <w:rFonts w:ascii="Calibri" w:hAnsi="Calibri"/>
                <w:b/>
                <w:color w:val="30A46C"/>
                <w:sz w:val="22"/>
              </w:rPr>
              <w:t>+3 bps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EPS ($)</w:t>
            </w:r>
          </w:p>
        </w:tc>
        <w:tc>
          <w:tcPr>
            <w:tcW w:type="dxa" w:w="1440"/>
          </w:tcPr>
          <w:p>
            <w:r>
              <w:rPr>
                <w:rFonts w:ascii="Calibri" w:hAnsi="Calibri"/>
                <w:sz w:val="22"/>
              </w:rPr>
              <w:t>$0.77</w:t>
            </w:r>
          </w:p>
        </w:tc>
        <w:tc>
          <w:tcPr>
            <w:tcW w:type="dxa" w:w="1440"/>
          </w:tcPr>
          <w:p>
            <w:r>
              <w:rPr>
                <w:rFonts w:ascii="Calibri" w:hAnsi="Calibri"/>
                <w:sz w:val="22"/>
              </w:rPr>
              <w:t>$0.76</w:t>
            </w:r>
          </w:p>
        </w:tc>
        <w:tc>
          <w:tcPr>
            <w:tcW w:type="dxa" w:w="1440"/>
          </w:tcPr>
          <w:p>
            <w:r>
              <w:rPr>
                <w:rFonts w:ascii="Calibri" w:hAnsi="Calibri"/>
                <w:b/>
                <w:color w:val="30A46C"/>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NIM (%)</w:t>
            </w:r>
          </w:p>
        </w:tc>
        <w:tc>
          <w:tcPr>
            <w:tcW w:type="dxa" w:w="1440"/>
          </w:tcPr>
          <w:p>
            <w:r>
              <w:rPr>
                <w:rFonts w:ascii="Calibri" w:hAnsi="Calibri"/>
                <w:sz w:val="22"/>
              </w:rPr>
              <w:t>2.87%</w:t>
            </w:r>
          </w:p>
        </w:tc>
        <w:tc>
          <w:tcPr>
            <w:tcW w:type="dxa" w:w="1440"/>
          </w:tcPr>
          <w:p>
            <w:r>
              <w:rPr>
                <w:rFonts w:ascii="Calibri" w:hAnsi="Calibri"/>
                <w:sz w:val="22"/>
              </w:rPr>
              <w:t>2.80%</w:t>
            </w:r>
          </w:p>
        </w:tc>
        <w:tc>
          <w:tcPr>
            <w:tcW w:type="dxa" w:w="1440"/>
          </w:tcPr>
          <w:p>
            <w:r>
              <w:rPr>
                <w:rFonts w:ascii="Calibri" w:hAnsi="Calibri"/>
                <w:b/>
                <w:color w:val="30A46C"/>
                <w:sz w:val="22"/>
              </w:rPr>
              <w:t>+7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 EPS ($)</w:t>
            </w:r>
          </w:p>
        </w:tc>
        <w:tc>
          <w:tcPr>
            <w:tcW w:type="dxa" w:w="1440"/>
          </w:tcPr>
          <w:p>
            <w:r>
              <w:rPr>
                <w:rFonts w:ascii="Calibri" w:hAnsi="Calibri"/>
                <w:sz w:val="22"/>
              </w:rPr>
              <w:t>$0.85</w:t>
            </w:r>
          </w:p>
        </w:tc>
        <w:tc>
          <w:tcPr>
            <w:tcW w:type="dxa" w:w="1440"/>
          </w:tcPr>
          <w:p>
            <w:r>
              <w:rPr>
                <w:rFonts w:ascii="Calibri" w:hAnsi="Calibri"/>
                <w:sz w:val="22"/>
              </w:rPr>
              <w:t>$0.83</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NIM (%)</w:t>
            </w:r>
          </w:p>
        </w:tc>
        <w:tc>
          <w:tcPr>
            <w:tcW w:type="dxa" w:w="1440"/>
          </w:tcPr>
          <w:p>
            <w:r>
              <w:rPr>
                <w:rFonts w:ascii="Calibri" w:hAnsi="Calibri"/>
                <w:sz w:val="22"/>
              </w:rPr>
              <w:t>2.77%</w:t>
            </w:r>
          </w:p>
        </w:tc>
        <w:tc>
          <w:tcPr>
            <w:tcW w:type="dxa" w:w="1440"/>
          </w:tcPr>
          <w:p>
            <w:r>
              <w:rPr>
                <w:rFonts w:ascii="Calibri" w:hAnsi="Calibri"/>
                <w:sz w:val="22"/>
              </w:rPr>
              <w:t>2.78%</w:t>
            </w:r>
          </w:p>
        </w:tc>
        <w:tc>
          <w:tcPr>
            <w:tcW w:type="dxa" w:w="1440"/>
          </w:tcPr>
          <w:p>
            <w:r>
              <w:rPr>
                <w:rFonts w:ascii="Calibri" w:hAnsi="Calibri"/>
                <w:b/>
                <w:color w:val="E5484D"/>
                <w:sz w:val="22"/>
              </w:rPr>
              <w:t>-1 bp</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 EPS ($)</w:t>
            </w:r>
          </w:p>
        </w:tc>
        <w:tc>
          <w:tcPr>
            <w:tcW w:type="dxa" w:w="1440"/>
          </w:tcPr>
          <w:p>
            <w:r>
              <w:rPr>
                <w:rFonts w:ascii="Calibri" w:hAnsi="Calibri"/>
                <w:sz w:val="22"/>
              </w:rPr>
              <w:t>$0.77</w:t>
            </w:r>
          </w:p>
        </w:tc>
        <w:tc>
          <w:tcPr>
            <w:tcW w:type="dxa" w:w="1440"/>
          </w:tcPr>
          <w:p>
            <w:r>
              <w:rPr>
                <w:rFonts w:ascii="Calibri" w:hAnsi="Calibri"/>
                <w:sz w:val="22"/>
              </w:rPr>
              <w:t>$0.80</w:t>
            </w:r>
          </w:p>
        </w:tc>
        <w:tc>
          <w:tcPr>
            <w:tcW w:type="dxa" w:w="1440"/>
          </w:tcPr>
          <w:p>
            <w:r>
              <w:rPr>
                <w:rFonts w:ascii="Calibri" w:hAnsi="Calibri"/>
                <w:b/>
                <w:color w:val="E5484D"/>
                <w:sz w:val="22"/>
              </w:rPr>
              <w:t>-3.8%</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NIM (%)</w:t>
            </w:r>
          </w:p>
        </w:tc>
        <w:tc>
          <w:tcPr>
            <w:tcW w:type="dxa" w:w="1440"/>
          </w:tcPr>
          <w:p>
            <w:r>
              <w:rPr>
                <w:rFonts w:ascii="Calibri" w:hAnsi="Calibri"/>
                <w:sz w:val="22"/>
              </w:rPr>
              <w:t>2.87%</w:t>
            </w:r>
          </w:p>
        </w:tc>
        <w:tc>
          <w:tcPr>
            <w:tcW w:type="dxa" w:w="1440"/>
          </w:tcPr>
          <w:p>
            <w:r>
              <w:rPr>
                <w:rFonts w:ascii="Calibri" w:hAnsi="Calibri"/>
                <w:sz w:val="22"/>
              </w:rPr>
              <w:t>2.85%</w:t>
            </w:r>
          </w:p>
        </w:tc>
        <w:tc>
          <w:tcPr>
            <w:tcW w:type="dxa" w:w="1440"/>
          </w:tcPr>
          <w:p>
            <w:r>
              <w:rPr>
                <w:rFonts w:ascii="Calibri" w:hAnsi="Calibri"/>
                <w:b/>
                <w:color w:val="30A46C"/>
                <w:sz w:val="22"/>
              </w:rPr>
              <w:t>+2 bps</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 EPS ($)</w:t>
            </w:r>
          </w:p>
        </w:tc>
        <w:tc>
          <w:tcPr>
            <w:tcW w:type="dxa" w:w="1440"/>
          </w:tcPr>
          <w:p>
            <w:r>
              <w:rPr>
                <w:rFonts w:ascii="Calibri" w:hAnsi="Calibri"/>
                <w:sz w:val="22"/>
              </w:rPr>
              <w:t>$0.82</w:t>
            </w:r>
          </w:p>
        </w:tc>
        <w:tc>
          <w:tcPr>
            <w:tcW w:type="dxa" w:w="1440"/>
          </w:tcPr>
          <w:p>
            <w:r>
              <w:rPr>
                <w:rFonts w:ascii="Calibri" w:hAnsi="Calibri"/>
                <w:sz w:val="22"/>
              </w:rPr>
              <w:t>$0.80</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CFG has beaten on Operating EPS in 7 of the last 8 quarters and on NIM in 7 of 8, with the lone miss in Q3 2024 (NIM trough); the consistent beat cadence on NIM reflects management's conservative guidance posture on the expansion trajectory.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fully reiterated at every post-Q1 conference appearance with no revisions; tone has shifted from "confident" to "very confident" as management confirmed mid-quarter that Q2 is tracking exactly as planned, and the NIM expansion path is increasingly described as rate-independent.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Topic</w:t>
            </w:r>
          </w:p>
        </w:tc>
        <w:tc>
          <w:tcPr>
            <w:tcW w:type="dxa" w:w="1440"/>
            <w:shd w:val="clear" w:color="auto" w:fill="3B4259"/>
          </w:tcPr>
          <w:p>
            <w:r>
              <w:rPr>
                <w:rFonts w:ascii="Calibri" w:hAnsi="Calibri"/>
                <w:b/>
                <w:color w:val="FFFFFF"/>
                <w:sz w:val="22"/>
              </w:rPr>
              <w:t>Q1 2026 Earnings Baseline (Apr 16)</w:t>
            </w:r>
          </w:p>
        </w:tc>
        <w:tc>
          <w:tcPr>
            <w:tcW w:type="dxa" w:w="1440"/>
            <w:shd w:val="clear" w:color="auto" w:fill="3B4259"/>
          </w:tcPr>
          <w:p>
            <w:r>
              <w:rPr>
                <w:rFonts w:ascii="Calibri" w:hAnsi="Calibri"/>
                <w:b/>
                <w:color w:val="FFFFFF"/>
                <w:sz w:val="22"/>
              </w:rPr>
              <w:t>Barclays Conference (May 6)</w:t>
            </w:r>
          </w:p>
        </w:tc>
        <w:tc>
          <w:tcPr>
            <w:tcW w:type="dxa" w:w="1440"/>
            <w:shd w:val="clear" w:color="auto" w:fill="3B4259"/>
          </w:tcPr>
          <w:p>
            <w:r>
              <w:rPr>
                <w:rFonts w:ascii="Calibri" w:hAnsi="Calibri"/>
                <w:b/>
                <w:color w:val="FFFFFF"/>
                <w:sz w:val="22"/>
              </w:rPr>
              <w:t>Bernstein Conference (May 29)</w:t>
            </w:r>
          </w:p>
        </w:tc>
        <w:tc>
          <w:tcPr>
            <w:tcW w:type="dxa" w:w="1440"/>
            <w:shd w:val="clear" w:color="auto" w:fill="3B4259"/>
          </w:tcPr>
          <w:p>
            <w:r>
              <w:rPr>
                <w:rFonts w:ascii="Calibri" w:hAnsi="Calibri"/>
                <w:b/>
                <w:color w:val="FFFFFF"/>
                <w:sz w:val="22"/>
              </w:rPr>
              <w:t>Morgan Stanley Conference (Jun 10)</w:t>
            </w:r>
          </w:p>
        </w:tc>
        <w:tc>
          <w:tcPr>
            <w:tcW w:type="dxa" w:w="1440"/>
            <w:shd w:val="clear" w:color="auto" w:fill="3B4259"/>
          </w:tcPr>
          <w:p>
            <w:r>
              <w:rPr>
                <w:rFonts w:ascii="Calibri" w:hAnsi="Calibri"/>
                <w:b/>
                <w:color w:val="FFFFFF"/>
                <w:sz w:val="22"/>
              </w:rPr>
              <w:t>Direction</w:t>
            </w:r>
          </w:p>
        </w:tc>
      </w:tr>
      <w:tr>
        <w:tc>
          <w:tcPr>
            <w:tcW w:type="dxa" w:w="1440"/>
          </w:tcPr>
          <w:p>
            <w:r>
              <w:rPr>
                <w:rFonts w:ascii="Calibri" w:hAnsi="Calibri"/>
                <w:sz w:val="22"/>
              </w:rPr>
              <w:t>NIM / NII</w:t>
            </w:r>
          </w:p>
        </w:tc>
        <w:tc>
          <w:tcPr>
            <w:tcW w:type="dxa" w:w="1440"/>
          </w:tcPr>
          <w:p>
            <w:r>
              <w:rPr>
                <w:rFonts w:ascii="Calibri" w:hAnsi="Calibri"/>
                <w:sz w:val="22"/>
              </w:rPr>
              <w:t>~12 bps additional from swap/non-core runoff remaining in 2026; NIM cone 3.30–3.50% medium-term</w:t>
            </w:r>
          </w:p>
        </w:tc>
        <w:tc>
          <w:tcPr>
            <w:tcW w:type="dxa" w:w="1440"/>
          </w:tcPr>
          <w:p>
            <w:r>
              <w:rPr>
                <w:rFonts w:ascii="Calibri" w:hAnsi="Calibri"/>
                <w:sz w:val="22"/>
              </w:rPr>
              <w:t>"Feel really, really good about the NIM trajectory"; high % of expansion is time-based (swap amortization + non-core payoff)</w:t>
            </w:r>
          </w:p>
        </w:tc>
        <w:tc>
          <w:tcPr>
            <w:tcW w:type="dxa" w:w="1440"/>
          </w:tcPr>
          <w:p>
            <w:r>
              <w:rPr>
                <w:rFonts w:ascii="Calibri" w:hAnsi="Calibri"/>
                <w:sz w:val="22"/>
              </w:rPr>
              <w:t>NIM expansion "substantial progress" by year-end; more running room into 2027</w:t>
            </w:r>
          </w:p>
        </w:tc>
        <w:tc>
          <w:tcPr>
            <w:tcW w:type="dxa" w:w="1440"/>
          </w:tcPr>
          <w:p>
            <w:r>
              <w:rPr>
                <w:rFonts w:ascii="Calibri" w:hAnsi="Calibri"/>
                <w:sz w:val="22"/>
              </w:rPr>
              <w:t>"Remain incredibly confident in the guide"; quarter playing out exactly as planned</w:t>
            </w:r>
          </w:p>
        </w:tc>
        <w:tc>
          <w:tcPr>
            <w:tcW w:type="dxa" w:w="1440"/>
          </w:tcPr>
          <w:p>
            <w:r>
              <w:rPr>
                <w:rFonts w:ascii="Calibri" w:hAnsi="Calibri"/>
                <w:b/>
                <w:color w:val="30A46C"/>
                <w:sz w:val="22"/>
              </w:rPr>
              <w:t>↑ More confident</w:t>
            </w:r>
          </w:p>
        </w:tc>
      </w:tr>
      <w:tr>
        <w:tc>
          <w:tcPr>
            <w:tcW w:type="dxa" w:w="1440"/>
          </w:tcPr>
          <w:p>
            <w:r>
              <w:rPr>
                <w:rFonts w:ascii="Calibri" w:hAnsi="Calibri"/>
                <w:sz w:val="22"/>
              </w:rPr>
              <w:t>Capital Markets Fees</w:t>
            </w:r>
          </w:p>
        </w:tc>
        <w:tc>
          <w:tcPr>
            <w:tcW w:type="dxa" w:w="1440"/>
          </w:tcPr>
          <w:p>
            <w:r>
              <w:rPr>
                <w:rFonts w:ascii="Calibri" w:hAnsi="Calibri"/>
                <w:sz w:val="22"/>
              </w:rPr>
              <w:t>Record Q1; deals pushed from March launching in April with strong reception; full-year fee growth guide maintained</w:t>
            </w:r>
          </w:p>
        </w:tc>
        <w:tc>
          <w:tcPr>
            <w:tcW w:type="dxa" w:w="1440"/>
          </w:tcPr>
          <w:p>
            <w:r>
              <w:rPr>
                <w:rFonts w:ascii="Calibri" w:hAnsi="Calibri"/>
                <w:sz w:val="22"/>
              </w:rPr>
              <w:t>"Really, really positive" outlook for the year; pipelines "excellent and conversations really strong"</w:t>
            </w:r>
          </w:p>
        </w:tc>
        <w:tc>
          <w:tcPr>
            <w:tcW w:type="dxa" w:w="1440"/>
          </w:tcPr>
          <w:p>
            <w:r>
              <w:rPr>
                <w:rFonts w:ascii="Calibri" w:hAnsi="Calibri"/>
                <w:sz w:val="22"/>
              </w:rPr>
              <w:t>One Citizens initiative with JMP team focused on IPOs and capital markets; M&amp;A pipeline building</w:t>
            </w:r>
          </w:p>
        </w:tc>
        <w:tc>
          <w:tcPr>
            <w:tcW w:type="dxa" w:w="1440"/>
          </w:tcPr>
          <w:p>
            <w:r>
              <w:rPr>
                <w:rFonts w:ascii="Calibri" w:hAnsi="Calibri"/>
                <w:sz w:val="22"/>
              </w:rPr>
              <w:t>No specific update; overall confidence in full-year guide maintained</w:t>
            </w:r>
          </w:p>
        </w:tc>
        <w:tc>
          <w:tcPr>
            <w:tcW w:type="dxa" w:w="1440"/>
          </w:tcPr>
          <w:p>
            <w:r>
              <w:rPr>
                <w:rFonts w:ascii="Calibri" w:hAnsi="Calibri"/>
                <w:b/>
                <w:color w:val="30A46C"/>
                <w:sz w:val="22"/>
              </w:rPr>
              <w:t>↑ Constructive</w:t>
            </w:r>
          </w:p>
        </w:tc>
      </w:tr>
      <w:tr>
        <w:tc>
          <w:tcPr>
            <w:tcW w:type="dxa" w:w="1440"/>
          </w:tcPr>
          <w:p>
            <w:r>
              <w:rPr>
                <w:rFonts w:ascii="Calibri" w:hAnsi="Calibri"/>
                <w:sz w:val="22"/>
              </w:rPr>
              <w:t>Private Bank</w:t>
            </w:r>
          </w:p>
        </w:tc>
        <w:tc>
          <w:tcPr>
            <w:tcW w:type="dxa" w:w="1440"/>
          </w:tcPr>
          <w:p>
            <w:r>
              <w:rPr>
                <w:rFonts w:ascii="Calibri" w:hAnsi="Calibri"/>
                <w:sz w:val="22"/>
              </w:rPr>
              <w:t>$16.6B deposits, $7.7B loans, $10.1B AUM; ~10% of pre-tax income; 25% ROE; target mid-teens pre-tax contribution</w:t>
            </w:r>
          </w:p>
        </w:tc>
        <w:tc>
          <w:tcPr>
            <w:tcW w:type="dxa" w:w="1440"/>
          </w:tcPr>
          <w:p>
            <w:r>
              <w:rPr>
                <w:rFonts w:ascii="Calibri" w:hAnsi="Calibri"/>
                <w:sz w:val="22"/>
              </w:rPr>
              <w:t>Scaling confidently; 9 offices, targeting 11 by year-end (West Palm Beach, Greenwich)</w:t>
            </w:r>
          </w:p>
        </w:tc>
        <w:tc>
          <w:tcPr>
            <w:tcW w:type="dxa" w:w="1440"/>
          </w:tcPr>
          <w:p>
            <w:r>
              <w:rPr>
                <w:rFonts w:ascii="Calibri" w:hAnsi="Calibri"/>
                <w:sz w:val="22"/>
              </w:rPr>
              <w:t>25% ROE business; medium-term target mid-teens pre-tax income contribution; PBO count target revised into the 20s</w:t>
            </w:r>
          </w:p>
        </w:tc>
        <w:tc>
          <w:tcPr>
            <w:tcW w:type="dxa" w:w="1440"/>
          </w:tcPr>
          <w:p>
            <w:r>
              <w:rPr>
                <w:rFonts w:ascii="Calibri" w:hAnsi="Calibri"/>
                <w:sz w:val="22"/>
              </w:rPr>
              <w:t>70% of wealth fees from retail bank; retail wealth management higher margin than Private Bank</w:t>
            </w:r>
          </w:p>
        </w:tc>
        <w:tc>
          <w:tcPr>
            <w:tcW w:type="dxa" w:w="1440"/>
          </w:tcPr>
          <w:p>
            <w:r>
              <w:rPr>
                <w:rFonts w:ascii="Calibri" w:hAnsi="Calibri"/>
                <w:b/>
                <w:color w:val="30A46C"/>
                <w:sz w:val="22"/>
              </w:rPr>
              <w:t>↑ Scaling</w:t>
            </w:r>
          </w:p>
        </w:tc>
      </w:tr>
      <w:tr>
        <w:tc>
          <w:tcPr>
            <w:tcW w:type="dxa" w:w="1440"/>
          </w:tcPr>
          <w:p>
            <w:r>
              <w:rPr>
                <w:rFonts w:ascii="Calibri" w:hAnsi="Calibri"/>
                <w:sz w:val="22"/>
              </w:rPr>
              <w:t>Expenses / Reimagine</w:t>
            </w:r>
          </w:p>
        </w:tc>
        <w:tc>
          <w:tcPr>
            <w:tcW w:type="dxa" w:w="1440"/>
          </w:tcPr>
          <w:p>
            <w:r>
              <w:rPr>
                <w:rFonts w:ascii="Calibri" w:hAnsi="Calibri"/>
                <w:sz w:val="22"/>
              </w:rPr>
              <w:t>Broadly breakeven in 2026 (~$50–60M benefits vs. ~$50–60M investment); $450M exit-rate income benefit by end-2028</w:t>
            </w:r>
          </w:p>
        </w:tc>
        <w:tc>
          <w:tcPr>
            <w:tcW w:type="dxa" w:w="1440"/>
          </w:tcPr>
          <w:p>
            <w:r>
              <w:rPr>
                <w:rFonts w:ascii="Calibri" w:hAnsi="Calibri"/>
                <w:sz w:val="22"/>
              </w:rPr>
              <w:t>Self-funding via vendor saves (&gt;$30M projected) and facility closures (21 buildings closed)</w:t>
            </w:r>
          </w:p>
        </w:tc>
        <w:tc>
          <w:tcPr>
            <w:tcW w:type="dxa" w:w="1440"/>
          </w:tcPr>
          <w:p>
            <w:r>
              <w:rPr>
                <w:rFonts w:ascii="Calibri" w:hAnsi="Calibri"/>
                <w:sz w:val="22"/>
              </w:rPr>
              <w:t>AI call center pilot live; target ~25% of calls via non-human agents by year-end 2026, ~50% by 2027</w:t>
            </w:r>
          </w:p>
        </w:tc>
        <w:tc>
          <w:tcPr>
            <w:tcW w:type="dxa" w:w="1440"/>
          </w:tcPr>
          <w:p>
            <w:r>
              <w:rPr>
                <w:rFonts w:ascii="Calibri" w:hAnsi="Calibri"/>
                <w:sz w:val="22"/>
              </w:rPr>
              <w:t>Benefits accelerating in 2027–2028; 16–18% ROTCE target does NOT incorporate Reimagine upside</w:t>
            </w:r>
          </w:p>
        </w:tc>
        <w:tc>
          <w:tcPr>
            <w:tcW w:type="dxa" w:w="1440"/>
          </w:tcPr>
          <w:p>
            <w:r>
              <w:rPr>
                <w:rFonts w:ascii="Calibri" w:hAnsi="Calibri"/>
                <w:b/>
                <w:color w:val="30A46C"/>
                <w:sz w:val="22"/>
              </w:rPr>
              <w:t>↑ Upside optionality</w:t>
            </w:r>
          </w:p>
        </w:tc>
      </w:tr>
      <w:tr>
        <w:tc>
          <w:tcPr>
            <w:tcW w:type="dxa" w:w="1440"/>
          </w:tcPr>
          <w:p>
            <w:r>
              <w:rPr>
                <w:rFonts w:ascii="Calibri" w:hAnsi="Calibri"/>
                <w:sz w:val="22"/>
              </w:rPr>
              <w:t>Credit Quality</w:t>
            </w:r>
          </w:p>
        </w:tc>
        <w:tc>
          <w:tcPr>
            <w:tcW w:type="dxa" w:w="1440"/>
          </w:tcPr>
          <w:p>
            <w:r>
              <w:rPr>
                <w:rFonts w:ascii="Calibri" w:hAnsi="Calibri"/>
                <w:sz w:val="22"/>
              </w:rPr>
              <w:t>NCO rate 0.39%; CRE office peak losses behind; NBFI mid-single-digit growth rate maintained</w:t>
            </w:r>
          </w:p>
        </w:tc>
        <w:tc>
          <w:tcPr>
            <w:tcW w:type="dxa" w:w="1440"/>
          </w:tcPr>
          <w:p>
            <w:r>
              <w:rPr>
                <w:rFonts w:ascii="Calibri" w:hAnsi="Calibri"/>
                <w:sz w:val="22"/>
              </w:rPr>
              <w:t>Macro backdrop "has not translated to a lot of customer behavior or volatility in financials"</w:t>
            </w:r>
          </w:p>
        </w:tc>
        <w:tc>
          <w:tcPr>
            <w:tcW w:type="dxa" w:w="1440"/>
          </w:tcPr>
          <w:p>
            <w:r>
              <w:rPr>
                <w:rFonts w:ascii="Calibri" w:hAnsi="Calibri"/>
                <w:sz w:val="22"/>
              </w:rPr>
              <w:t>Confident in normalization trajectory; private credit structural protections reviewed at granular level</w:t>
            </w:r>
          </w:p>
        </w:tc>
        <w:tc>
          <w:tcPr>
            <w:tcW w:type="dxa" w:w="1440"/>
          </w:tcPr>
          <w:p>
            <w:r>
              <w:rPr>
                <w:rFonts w:ascii="Calibri" w:hAnsi="Calibri"/>
                <w:sz w:val="22"/>
              </w:rPr>
              <w:t>No deterioration flagged; consumer and commercial credit stable</w:t>
            </w:r>
          </w:p>
        </w:tc>
        <w:tc>
          <w:tcPr>
            <w:tcW w:type="dxa" w:w="1440"/>
          </w:tcPr>
          <w:p>
            <w:r>
              <w:rPr>
                <w:rFonts w:ascii="Calibri" w:hAnsi="Calibri"/>
                <w:b/>
                <w:color w:val="30A46C"/>
                <w:sz w:val="22"/>
              </w:rPr>
              <w:t>→ Stable / improving</w:t>
            </w:r>
          </w:p>
        </w:tc>
      </w:tr>
      <w:tr>
        <w:tc>
          <w:tcPr>
            <w:tcW w:type="dxa" w:w="1440"/>
          </w:tcPr>
          <w:p>
            <w:r>
              <w:rPr>
                <w:rFonts w:ascii="Calibri" w:hAnsi="Calibri"/>
                <w:sz w:val="22"/>
              </w:rPr>
              <w:t>ROTCE Target</w:t>
            </w:r>
          </w:p>
        </w:tc>
        <w:tc>
          <w:tcPr>
            <w:tcW w:type="dxa" w:w="1440"/>
          </w:tcPr>
          <w:p>
            <w:r>
              <w:rPr>
                <w:rFonts w:ascii="Calibri" w:hAnsi="Calibri"/>
                <w:sz w:val="22"/>
              </w:rPr>
              <w:t>12.5% in Q1; target 16–18% by end-2027; consensus projecting mid-14s by year-end 2026</w:t>
            </w:r>
          </w:p>
        </w:tc>
        <w:tc>
          <w:tcPr>
            <w:tcW w:type="dxa" w:w="1440"/>
          </w:tcPr>
          <w:p>
            <w:r>
              <w:rPr>
                <w:rFonts w:ascii="Calibri" w:hAnsi="Calibri"/>
                <w:sz w:val="22"/>
              </w:rPr>
              <w:t>"Feel a lot of conviction" to reach 16–18% by end-2027</w:t>
            </w:r>
          </w:p>
        </w:tc>
        <w:tc>
          <w:tcPr>
            <w:tcW w:type="dxa" w:w="1440"/>
          </w:tcPr>
          <w:p>
            <w:r>
              <w:rPr>
                <w:rFonts w:ascii="Calibri" w:hAnsi="Calibri"/>
                <w:sz w:val="22"/>
              </w:rPr>
              <w:t>Reimagine benefits NOT in 16–18% target — framed as potential upside to the range</w:t>
            </w:r>
          </w:p>
        </w:tc>
        <w:tc>
          <w:tcPr>
            <w:tcW w:type="dxa" w:w="1440"/>
          </w:tcPr>
          <w:p>
            <w:r>
              <w:rPr>
                <w:rFonts w:ascii="Calibri" w:hAnsi="Calibri"/>
                <w:sz w:val="22"/>
              </w:rPr>
              <w:t>Consensus projecting mid-14s by year-end 2026; management sees path to outperform</w:t>
            </w:r>
          </w:p>
        </w:tc>
        <w:tc>
          <w:tcPr>
            <w:tcW w:type="dxa" w:w="1440"/>
          </w:tcPr>
          <w:p>
            <w:r>
              <w:rPr>
                <w:rFonts w:ascii="Calibri" w:hAnsi="Calibri"/>
                <w:b/>
                <w:color w:val="30A46C"/>
                <w:sz w:val="22"/>
              </w:rPr>
              <w:t>↑ Upside to consensus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beat, with the street gradually closing the gap to management's medium-term targets; NIM and NII revisions are the primary driver, while capital markets fees remain a source of potential upside given peer results.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Q2 2026 Cons. (at Q1 Earnings, ~Apr 16)</w:t>
            </w:r>
          </w:p>
        </w:tc>
        <w:tc>
          <w:tcPr>
            <w:tcW w:type="dxa" w:w="1440"/>
            <w:shd w:val="clear" w:color="auto" w:fill="3B4259"/>
          </w:tcPr>
          <w:p>
            <w:r>
              <w:rPr>
                <w:rFonts w:ascii="Calibri" w:hAnsi="Calibri"/>
                <w:b/>
                <w:color w:val="FFFFFF"/>
                <w:sz w:val="22"/>
              </w:rPr>
              <w:t>Q2 2026 Cons. (Current, Jul 15)</w:t>
            </w:r>
          </w:p>
        </w:tc>
        <w:tc>
          <w:tcPr>
            <w:tcW w:type="dxa" w:w="1440"/>
            <w:shd w:val="clear" w:color="auto" w:fill="3B4259"/>
          </w:tcPr>
          <w:p>
            <w:r>
              <w:rPr>
                <w:rFonts w:ascii="Calibri" w:hAnsi="Calibri"/>
                <w:b/>
                <w:color w:val="FFFFFF"/>
                <w:sz w:val="22"/>
              </w:rPr>
              <w:t>Revision Direction</w:t>
            </w:r>
          </w:p>
        </w:tc>
        <w:tc>
          <w:tcPr>
            <w:tcW w:type="dxa" w:w="1440"/>
            <w:shd w:val="clear" w:color="auto" w:fill="3B4259"/>
          </w:tcPr>
          <w:p>
            <w:r>
              <w:rPr>
                <w:rFonts w:ascii="Calibri" w:hAnsi="Calibri"/>
                <w:b/>
                <w:color w:val="FFFFFF"/>
                <w:sz w:val="22"/>
              </w:rPr>
              <w:t>Management Guidance</w:t>
            </w:r>
          </w:p>
        </w:tc>
        <w:tc>
          <w:tcPr>
            <w:tcW w:type="dxa" w:w="1440"/>
            <w:shd w:val="clear" w:color="auto" w:fill="3B4259"/>
          </w:tcPr>
          <w:p>
            <w:r>
              <w:rPr>
                <w:rFonts w:ascii="Calibri" w:hAnsi="Calibri"/>
                <w:b/>
                <w:color w:val="FFFFFF"/>
                <w:sz w:val="22"/>
              </w:rPr>
              <w:t>Gap (Cons. vs. Guide)</w:t>
            </w:r>
          </w:p>
        </w:tc>
      </w:tr>
      <w:tr>
        <w:tc>
          <w:tcPr>
            <w:tcW w:type="dxa" w:w="1440"/>
          </w:tcPr>
          <w:p>
            <w:r>
              <w:rPr>
                <w:rFonts w:ascii="Calibri" w:hAnsi="Calibri"/>
                <w:sz w:val="22"/>
              </w:rPr>
              <w:t>Net Interest Income</w:t>
            </w:r>
          </w:p>
        </w:tc>
        <w:tc>
          <w:tcPr>
            <w:tcW w:type="dxa" w:w="1440"/>
          </w:tcPr>
          <w:p>
            <w:r>
              <w:rPr>
                <w:rFonts w:ascii="Calibri" w:hAnsi="Calibri"/>
                <w:sz w:val="22"/>
              </w:rPr>
              <w:t>~$1.59B</w:t>
            </w:r>
          </w:p>
        </w:tc>
        <w:tc>
          <w:tcPr>
            <w:tcW w:type="dxa" w:w="1440"/>
          </w:tcPr>
          <w:p>
            <w:r>
              <w:rPr>
                <w:rFonts w:ascii="Calibri" w:hAnsi="Calibri"/>
                <w:sz w:val="22"/>
              </w:rPr>
              <w:t>$1.613B</w:t>
            </w:r>
          </w:p>
        </w:tc>
        <w:tc>
          <w:tcPr>
            <w:tcW w:type="dxa" w:w="1440"/>
          </w:tcPr>
          <w:p>
            <w:r>
              <w:rPr>
                <w:rFonts w:ascii="Calibri" w:hAnsi="Calibri"/>
                <w:b/>
                <w:color w:val="30A46C"/>
                <w:sz w:val="22"/>
              </w:rPr>
              <w:t>↑ +$23M</w:t>
            </w:r>
          </w:p>
        </w:tc>
        <w:tc>
          <w:tcPr>
            <w:tcW w:type="dxa" w:w="1440"/>
          </w:tcPr>
          <w:p>
            <w:r>
              <w:rPr>
                <w:rFonts w:ascii="Calibri" w:hAnsi="Calibri"/>
                <w:sz w:val="22"/>
              </w:rPr>
              <w:t>Sequential growth; swap runoff provides ~12 bps additional NIM</w:t>
            </w:r>
          </w:p>
        </w:tc>
        <w:tc>
          <w:tcPr>
            <w:tcW w:type="dxa" w:w="1440"/>
          </w:tcPr>
          <w:p>
            <w:r>
              <w:rPr>
                <w:rFonts w:ascii="Calibri" w:hAnsi="Calibri"/>
                <w:sz w:val="22"/>
              </w:rPr>
              <w:t>In line</w:t>
            </w:r>
          </w:p>
        </w:tc>
      </w:tr>
      <w:tr>
        <w:tc>
          <w:tcPr>
            <w:tcW w:type="dxa" w:w="1440"/>
          </w:tcPr>
          <w:p>
            <w:r>
              <w:rPr>
                <w:rFonts w:ascii="Calibri" w:hAnsi="Calibri"/>
                <w:sz w:val="22"/>
              </w:rPr>
              <w:t>Net Interest Margin</w:t>
            </w:r>
          </w:p>
        </w:tc>
        <w:tc>
          <w:tcPr>
            <w:tcW w:type="dxa" w:w="1440"/>
          </w:tcPr>
          <w:p>
            <w:r>
              <w:rPr>
                <w:rFonts w:ascii="Calibri" w:hAnsi="Calibri"/>
                <w:sz w:val="22"/>
              </w:rPr>
              <w:t>~3.15%</w:t>
            </w:r>
          </w:p>
        </w:tc>
        <w:tc>
          <w:tcPr>
            <w:tcW w:type="dxa" w:w="1440"/>
          </w:tcPr>
          <w:p>
            <w:r>
              <w:rPr>
                <w:rFonts w:ascii="Calibri" w:hAnsi="Calibri"/>
                <w:sz w:val="22"/>
              </w:rPr>
              <w:t>3.19%</w:t>
            </w:r>
          </w:p>
        </w:tc>
        <w:tc>
          <w:tcPr>
            <w:tcW w:type="dxa" w:w="1440"/>
          </w:tcPr>
          <w:p>
            <w:r>
              <w:rPr>
                <w:rFonts w:ascii="Calibri" w:hAnsi="Calibri"/>
                <w:b/>
                <w:color w:val="30A46C"/>
                <w:sz w:val="22"/>
              </w:rPr>
              <w:t>↑ +4 bps</w:t>
            </w:r>
          </w:p>
        </w:tc>
        <w:tc>
          <w:tcPr>
            <w:tcW w:type="dxa" w:w="1440"/>
          </w:tcPr>
          <w:p>
            <w:r>
              <w:rPr>
                <w:rFonts w:ascii="Calibri" w:hAnsi="Calibri"/>
                <w:sz w:val="22"/>
              </w:rPr>
              <w:t>Time-based expansion; rate-independent</w:t>
            </w:r>
          </w:p>
        </w:tc>
        <w:tc>
          <w:tcPr>
            <w:tcW w:type="dxa" w:w="1440"/>
          </w:tcPr>
          <w:p>
            <w:r>
              <w:rPr>
                <w:rFonts w:ascii="Calibri" w:hAnsi="Calibri"/>
                <w:sz w:val="22"/>
              </w:rPr>
              <w:t>In line</w:t>
            </w:r>
          </w:p>
        </w:tc>
      </w:tr>
      <w:tr>
        <w:tc>
          <w:tcPr>
            <w:tcW w:type="dxa" w:w="1440"/>
          </w:tcPr>
          <w:p>
            <w:r>
              <w:rPr>
                <w:rFonts w:ascii="Calibri" w:hAnsi="Calibri"/>
                <w:sz w:val="22"/>
              </w:rPr>
              <w:t>Operating EPS</w:t>
            </w:r>
          </w:p>
        </w:tc>
        <w:tc>
          <w:tcPr>
            <w:tcW w:type="dxa" w:w="1440"/>
          </w:tcPr>
          <w:p>
            <w:r>
              <w:rPr>
                <w:rFonts w:ascii="Calibri" w:hAnsi="Calibri"/>
                <w:sz w:val="22"/>
              </w:rPr>
              <w:t>~$1.20</w:t>
            </w:r>
          </w:p>
        </w:tc>
        <w:tc>
          <w:tcPr>
            <w:tcW w:type="dxa" w:w="1440"/>
          </w:tcPr>
          <w:p>
            <w:r>
              <w:rPr>
                <w:rFonts w:ascii="Calibri" w:hAnsi="Calibri"/>
                <w:sz w:val="22"/>
              </w:rPr>
              <w:t>$1.24</w:t>
            </w:r>
          </w:p>
        </w:tc>
        <w:tc>
          <w:tcPr>
            <w:tcW w:type="dxa" w:w="1440"/>
          </w:tcPr>
          <w:p>
            <w:r>
              <w:rPr>
                <w:rFonts w:ascii="Calibri" w:hAnsi="Calibri"/>
                <w:b/>
                <w:color w:val="30A46C"/>
                <w:sz w:val="22"/>
              </w:rPr>
              <w:t>↑ +$0.04</w:t>
            </w:r>
          </w:p>
        </w:tc>
        <w:tc>
          <w:tcPr>
            <w:tcW w:type="dxa" w:w="1440"/>
          </w:tcPr>
          <w:p>
            <w:r>
              <w:rPr>
                <w:rFonts w:ascii="Calibri" w:hAnsi="Calibri"/>
                <w:sz w:val="22"/>
              </w:rPr>
              <w:t>Implied by NII + fee + expense guidance</w:t>
            </w:r>
          </w:p>
        </w:tc>
        <w:tc>
          <w:tcPr>
            <w:tcW w:type="dxa" w:w="1440"/>
          </w:tcPr>
          <w:p>
            <w:r>
              <w:rPr>
                <w:rFonts w:ascii="Calibri" w:hAnsi="Calibri"/>
                <w:sz w:val="22"/>
              </w:rPr>
              <w:t>In line</w:t>
            </w:r>
          </w:p>
        </w:tc>
      </w:tr>
      <w:tr>
        <w:tc>
          <w:tcPr>
            <w:tcW w:type="dxa" w:w="1440"/>
          </w:tcPr>
          <w:p>
            <w:r>
              <w:rPr>
                <w:rFonts w:ascii="Calibri" w:hAnsi="Calibri"/>
                <w:sz w:val="22"/>
              </w:rPr>
              <w:t>Capital Markets Fees</w:t>
            </w:r>
          </w:p>
        </w:tc>
        <w:tc>
          <w:tcPr>
            <w:tcW w:type="dxa" w:w="1440"/>
          </w:tcPr>
          <w:p>
            <w:r>
              <w:rPr>
                <w:rFonts w:ascii="Calibri" w:hAnsi="Calibri"/>
                <w:sz w:val="22"/>
              </w:rPr>
              <w:t>~$140M</w:t>
            </w:r>
          </w:p>
        </w:tc>
        <w:tc>
          <w:tcPr>
            <w:tcW w:type="dxa" w:w="1440"/>
          </w:tcPr>
          <w:p>
            <w:r>
              <w:rPr>
                <w:rFonts w:ascii="Calibri" w:hAnsi="Calibri"/>
                <w:sz w:val="22"/>
              </w:rPr>
              <w:t>$147M</w:t>
            </w:r>
          </w:p>
        </w:tc>
        <w:tc>
          <w:tcPr>
            <w:tcW w:type="dxa" w:w="1440"/>
          </w:tcPr>
          <w:p>
            <w:r>
              <w:rPr>
                <w:rFonts w:ascii="Calibri" w:hAnsi="Calibri"/>
                <w:b/>
                <w:color w:val="30A46C"/>
                <w:sz w:val="22"/>
              </w:rPr>
              <w:t>↑ +$7M</w:t>
            </w:r>
          </w:p>
        </w:tc>
        <w:tc>
          <w:tcPr>
            <w:tcW w:type="dxa" w:w="1440"/>
          </w:tcPr>
          <w:p>
            <w:r>
              <w:rPr>
                <w:rFonts w:ascii="Calibri" w:hAnsi="Calibri"/>
                <w:sz w:val="22"/>
              </w:rPr>
              <w:t>"Really, really positive" full-year outlook; pipelines excellent</w:t>
            </w:r>
          </w:p>
        </w:tc>
        <w:tc>
          <w:tcPr>
            <w:tcW w:type="dxa" w:w="1440"/>
          </w:tcPr>
          <w:p>
            <w:r>
              <w:rPr>
                <w:rFonts w:ascii="Calibri" w:hAnsi="Calibri"/>
                <w:sz w:val="22"/>
              </w:rPr>
              <w:t>Potential upside (BAC/JPM Q2 read-through)</w:t>
            </w:r>
          </w:p>
        </w:tc>
      </w:tr>
      <w:tr>
        <w:tc>
          <w:tcPr>
            <w:tcW w:type="dxa" w:w="1440"/>
          </w:tcPr>
          <w:p>
            <w:r>
              <w:rPr>
                <w:rFonts w:ascii="Calibri" w:hAnsi="Calibri"/>
                <w:sz w:val="22"/>
              </w:rPr>
              <w:t>Total Noninterest Expense - Operating</w:t>
            </w:r>
          </w:p>
        </w:tc>
        <w:tc>
          <w:tcPr>
            <w:tcW w:type="dxa" w:w="1440"/>
          </w:tcPr>
          <w:p>
            <w:r>
              <w:rPr>
                <w:rFonts w:ascii="Calibri" w:hAnsi="Calibri"/>
                <w:sz w:val="22"/>
              </w:rPr>
              <w:t>~$1.38B</w:t>
            </w:r>
          </w:p>
        </w:tc>
        <w:tc>
          <w:tcPr>
            <w:tcW w:type="dxa" w:w="1440"/>
          </w:tcPr>
          <w:p>
            <w:r>
              <w:rPr>
                <w:rFonts w:ascii="Calibri" w:hAnsi="Calibri"/>
                <w:sz w:val="22"/>
              </w:rPr>
              <w:t>$1.388B</w:t>
            </w:r>
          </w:p>
        </w:tc>
        <w:tc>
          <w:tcPr>
            <w:tcW w:type="dxa" w:w="1440"/>
          </w:tcPr>
          <w:p>
            <w:r>
              <w:rPr>
                <w:rFonts w:ascii="Calibri" w:hAnsi="Calibri"/>
                <w:sz w:val="22"/>
              </w:rPr>
              <w:t>→ Flat</w:t>
            </w:r>
          </w:p>
        </w:tc>
        <w:tc>
          <w:tcPr>
            <w:tcW w:type="dxa" w:w="1440"/>
          </w:tcPr>
          <w:p>
            <w:r>
              <w:rPr>
                <w:rFonts w:ascii="Calibri" w:hAnsi="Calibri"/>
                <w:sz w:val="22"/>
              </w:rPr>
              <w:t>Reimagine broadly breakeven; vendor saves self-funding investment</w:t>
            </w:r>
          </w:p>
        </w:tc>
        <w:tc>
          <w:tcPr>
            <w:tcW w:type="dxa" w:w="1440"/>
          </w:tcPr>
          <w:p>
            <w:r>
              <w:rPr>
                <w:rFonts w:ascii="Calibri" w:hAnsi="Calibri"/>
                <w:sz w:val="22"/>
              </w:rPr>
              <w:t>In line</w:t>
            </w:r>
          </w:p>
        </w:tc>
      </w:tr>
      <w:tr>
        <w:tc>
          <w:tcPr>
            <w:tcW w:type="dxa" w:w="1440"/>
          </w:tcPr>
          <w:p>
            <w:r>
              <w:rPr>
                <w:rFonts w:ascii="Calibri" w:hAnsi="Calibri"/>
                <w:sz w:val="22"/>
              </w:rPr>
              <w:t>NCO Rate</w:t>
            </w:r>
          </w:p>
        </w:tc>
        <w:tc>
          <w:tcPr>
            <w:tcW w:type="dxa" w:w="1440"/>
          </w:tcPr>
          <w:p>
            <w:r>
              <w:rPr>
                <w:rFonts w:ascii="Calibri" w:hAnsi="Calibri"/>
                <w:sz w:val="22"/>
              </w:rPr>
              <w:t>~0.40%</w:t>
            </w:r>
          </w:p>
        </w:tc>
        <w:tc>
          <w:tcPr>
            <w:tcW w:type="dxa" w:w="1440"/>
          </w:tcPr>
          <w:p>
            <w:r>
              <w:rPr>
                <w:rFonts w:ascii="Calibri" w:hAnsi="Calibri"/>
                <w:sz w:val="22"/>
              </w:rPr>
              <w:t>0.37%</w:t>
            </w:r>
          </w:p>
        </w:tc>
        <w:tc>
          <w:tcPr>
            <w:tcW w:type="dxa" w:w="1440"/>
          </w:tcPr>
          <w:p>
            <w:r>
              <w:rPr>
                <w:rFonts w:ascii="Calibri" w:hAnsi="Calibri"/>
                <w:b/>
                <w:color w:val="30A46C"/>
                <w:sz w:val="22"/>
              </w:rPr>
              <w:t>↓ -3 bps (favorable)</w:t>
            </w:r>
          </w:p>
        </w:tc>
        <w:tc>
          <w:tcPr>
            <w:tcW w:type="dxa" w:w="1440"/>
          </w:tcPr>
          <w:p>
            <w:r>
              <w:rPr>
                <w:rFonts w:ascii="Calibri" w:hAnsi="Calibri"/>
                <w:sz w:val="22"/>
              </w:rPr>
              <w:t>Continued normalization; CRE office peak behind</w:t>
            </w:r>
          </w:p>
        </w:tc>
        <w:tc>
          <w:tcPr>
            <w:tcW w:type="dxa" w:w="1440"/>
          </w:tcPr>
          <w:p>
            <w:r>
              <w:rPr>
                <w:rFonts w:ascii="Calibri" w:hAnsi="Calibri"/>
                <w:sz w:val="22"/>
              </w:rPr>
              <w:t>Slight upside</w:t>
            </w:r>
          </w:p>
        </w:tc>
      </w:tr>
      <w:tr>
        <w:tc>
          <w:tcPr>
            <w:tcW w:type="dxa" w:w="1440"/>
          </w:tcPr>
          <w:p>
            <w:r>
              <w:rPr>
                <w:rFonts w:ascii="Calibri" w:hAnsi="Calibri"/>
                <w:sz w:val="22"/>
              </w:rPr>
              <w:t>FY 2026 Operating EPS</w:t>
            </w:r>
          </w:p>
        </w:tc>
        <w:tc>
          <w:tcPr>
            <w:tcW w:type="dxa" w:w="1440"/>
          </w:tcPr>
          <w:p>
            <w:r>
              <w:rPr>
                <w:rFonts w:ascii="Calibri" w:hAnsi="Calibri"/>
                <w:sz w:val="22"/>
              </w:rPr>
              <w:t>~$5.10</w:t>
            </w:r>
          </w:p>
        </w:tc>
        <w:tc>
          <w:tcPr>
            <w:tcW w:type="dxa" w:w="1440"/>
          </w:tcPr>
          <w:p>
            <w:r>
              <w:rPr>
                <w:rFonts w:ascii="Calibri" w:hAnsi="Calibri"/>
                <w:sz w:val="22"/>
              </w:rPr>
              <w:t>$5.22</w:t>
            </w:r>
          </w:p>
        </w:tc>
        <w:tc>
          <w:tcPr>
            <w:tcW w:type="dxa" w:w="1440"/>
          </w:tcPr>
          <w:p>
            <w:r>
              <w:rPr>
                <w:rFonts w:ascii="Calibri" w:hAnsi="Calibri"/>
                <w:b/>
                <w:color w:val="30A46C"/>
                <w:sz w:val="22"/>
              </w:rPr>
              <w:t>↑ +$0.12</w:t>
            </w:r>
          </w:p>
        </w:tc>
        <w:tc>
          <w:tcPr>
            <w:tcW w:type="dxa" w:w="1440"/>
          </w:tcPr>
          <w:p>
            <w:r>
              <w:rPr>
                <w:rFonts w:ascii="Calibri" w:hAnsi="Calibri"/>
                <w:sz w:val="22"/>
              </w:rPr>
              <w:t>Full-year guidance reiterated; no revision</w:t>
            </w:r>
          </w:p>
        </w:tc>
        <w:tc>
          <w:tcPr>
            <w:tcW w:type="dxa" w:w="1440"/>
          </w:tcPr>
          <w:p>
            <w:r>
              <w:rPr>
                <w:rFonts w:ascii="Calibri" w:hAnsi="Calibri"/>
                <w:sz w:val="22"/>
              </w:rPr>
              <w:t>In line</w:t>
            </w:r>
          </w:p>
        </w:tc>
      </w:tr>
    </w:tbl>
    <w:p>
      <w:r>
        <w:rPr>
          <w:rFonts w:ascii="Calibri" w:hAnsi="Calibri"/>
          <w:i/>
          <w:color w:val="525866"/>
          <w:sz w:val="22"/>
        </w:rPr>
        <w:t>Source: Visible Alpha Consensus and Actuals Data; Citizens Financial Group conference transcripts (Barclays May 6, Bernstein May 29, Morgan Stanley June 10, 2026).</w:t>
      </w:r>
    </w:p>
    <w:p>
      <w:r>
        <w:br w:type="page"/>
      </w:r>
    </w:p>
    <w:p>
      <w:pPr>
        <w:pStyle w:val="Heading2"/>
      </w:pPr>
      <w:r>
        <w:rPr>
          <w:rFonts w:ascii="Calibri" w:hAnsi="Calibri"/>
          <w:b/>
          <w:color w:val="3B4259"/>
          <w:sz w:val="28"/>
        </w:rPr>
        <w:t>5. Stock Performance Since Last Earnings</w:t>
      </w:r>
    </w:p>
    <w:p>
      <w:r>
        <w:rPr>
          <w:rFonts w:ascii="Calibri" w:hAnsi="Calibri"/>
          <w:b/>
          <w:color w:val="525866"/>
          <w:sz w:val="22"/>
        </w:rPr>
        <w:t xml:space="preserve">Key Takeaway: </w:t>
      </w:r>
      <w:r>
        <w:rPr>
          <w:rFonts w:ascii="Calibri" w:hAnsi="Calibri"/>
          <w:color w:val="525866"/>
          <w:sz w:val="22"/>
        </w:rPr>
        <w:t>CFG has rallied +10.4% since the Q1 2026 earnings print (April 16), roughly in line with the regional bank ETF (KRE +10.1%) and ahead of the S&amp;P 500 (+7.6%), suggesting the market is giving credit for the NIM expansion story but has not yet priced in the full ROTCE re-rating potential — the stock is not stretched heading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CFG vs. KRE (Regional Bank ETF) vs. S&amp;P 500 (SPY) — Indexed to 100 at Q1 2026 Earnings Date (April 16, 2026). Source: Yahoo Finance /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CFG</w:t>
            </w:r>
          </w:p>
        </w:tc>
        <w:tc>
          <w:tcPr>
            <w:tcW w:type="dxa" w:w="2160"/>
            <w:shd w:val="clear" w:color="auto" w:fill="3B4259"/>
          </w:tcPr>
          <w:p>
            <w:r>
              <w:rPr>
                <w:rFonts w:ascii="Calibri" w:hAnsi="Calibri"/>
                <w:b/>
                <w:color w:val="FFFFFF"/>
                <w:sz w:val="22"/>
              </w:rPr>
              <w:t>KRE (Regional Bank ETF)</w:t>
            </w:r>
          </w:p>
        </w:tc>
        <w:tc>
          <w:tcPr>
            <w:tcW w:type="dxa" w:w="2160"/>
            <w:shd w:val="clear" w:color="auto" w:fill="3B4259"/>
          </w:tcPr>
          <w:p>
            <w:r>
              <w:rPr>
                <w:rFonts w:ascii="Calibri" w:hAnsi="Calibri"/>
                <w:b/>
                <w:color w:val="FFFFFF"/>
                <w:sz w:val="22"/>
              </w:rPr>
              <w:t>S&amp;P 500 (SPY)</w:t>
            </w:r>
          </w:p>
        </w:tc>
      </w:tr>
      <w:tr>
        <w:tc>
          <w:tcPr>
            <w:tcW w:type="dxa" w:w="2160"/>
          </w:tcPr>
          <w:p>
            <w:r>
              <w:rPr>
                <w:rFonts w:ascii="Calibri" w:hAnsi="Calibri"/>
                <w:sz w:val="22"/>
              </w:rPr>
              <w:t>Price at Q1 Earnings (Apr 16, 2026)</w:t>
            </w:r>
          </w:p>
        </w:tc>
        <w:tc>
          <w:tcPr>
            <w:tcW w:type="dxa" w:w="2160"/>
          </w:tcPr>
          <w:p>
            <w:r>
              <w:rPr>
                <w:rFonts w:ascii="Calibri" w:hAnsi="Calibri"/>
                <w:sz w:val="22"/>
              </w:rPr>
              <w:t>$64.41</w:t>
            </w:r>
          </w:p>
        </w:tc>
        <w:tc>
          <w:tcPr>
            <w:tcW w:type="dxa" w:w="2160"/>
          </w:tcPr>
          <w:p>
            <w:r>
              <w:rPr>
                <w:rFonts w:ascii="Calibri" w:hAnsi="Calibri"/>
                <w:sz w:val="22"/>
              </w:rPr>
              <w:t>$68.83</w:t>
            </w:r>
          </w:p>
        </w:tc>
        <w:tc>
          <w:tcPr>
            <w:tcW w:type="dxa" w:w="2160"/>
          </w:tcPr>
          <w:p>
            <w:r>
              <w:rPr>
                <w:rFonts w:ascii="Calibri" w:hAnsi="Calibri"/>
                <w:sz w:val="22"/>
              </w:rPr>
              <w:t>$701.66</w:t>
            </w:r>
          </w:p>
        </w:tc>
      </w:tr>
      <w:tr>
        <w:tc>
          <w:tcPr>
            <w:tcW w:type="dxa" w:w="2160"/>
          </w:tcPr>
          <w:p>
            <w:r>
              <w:rPr>
                <w:rFonts w:ascii="Calibri" w:hAnsi="Calibri"/>
                <w:sz w:val="22"/>
              </w:rPr>
              <w:t>Price as of Jul 15, 2026</w:t>
            </w:r>
          </w:p>
        </w:tc>
        <w:tc>
          <w:tcPr>
            <w:tcW w:type="dxa" w:w="2160"/>
          </w:tcPr>
          <w:p>
            <w:r>
              <w:rPr>
                <w:rFonts w:ascii="Calibri" w:hAnsi="Calibri"/>
                <w:sz w:val="22"/>
              </w:rPr>
              <w:t>$71.12</w:t>
            </w:r>
          </w:p>
        </w:tc>
        <w:tc>
          <w:tcPr>
            <w:tcW w:type="dxa" w:w="2160"/>
          </w:tcPr>
          <w:p>
            <w:r>
              <w:rPr>
                <w:rFonts w:ascii="Calibri" w:hAnsi="Calibri"/>
                <w:sz w:val="22"/>
              </w:rPr>
              <w:t>$75.78</w:t>
            </w:r>
          </w:p>
        </w:tc>
        <w:tc>
          <w:tcPr>
            <w:tcW w:type="dxa" w:w="2160"/>
          </w:tcPr>
          <w:p>
            <w:r>
              <w:rPr>
                <w:rFonts w:ascii="Calibri" w:hAnsi="Calibri"/>
                <w:sz w:val="22"/>
              </w:rPr>
              <w:t>$754.81</w:t>
            </w:r>
          </w:p>
        </w:tc>
      </w:tr>
      <w:tr>
        <w:tc>
          <w:tcPr>
            <w:tcW w:type="dxa" w:w="2160"/>
          </w:tcPr>
          <w:p>
            <w:r>
              <w:rPr>
                <w:rFonts w:ascii="Calibri" w:hAnsi="Calibri"/>
                <w:sz w:val="22"/>
              </w:rPr>
              <w:t>Return Since Q1 Earnings</w:t>
            </w:r>
          </w:p>
        </w:tc>
        <w:tc>
          <w:tcPr>
            <w:tcW w:type="dxa" w:w="2160"/>
          </w:tcPr>
          <w:p>
            <w:r>
              <w:rPr>
                <w:rFonts w:ascii="Calibri" w:hAnsi="Calibri"/>
                <w:b/>
                <w:color w:val="30A46C"/>
                <w:sz w:val="22"/>
              </w:rPr>
              <w:t>+10.4%</w:t>
            </w:r>
          </w:p>
        </w:tc>
        <w:tc>
          <w:tcPr>
            <w:tcW w:type="dxa" w:w="2160"/>
          </w:tcPr>
          <w:p>
            <w:r>
              <w:rPr>
                <w:rFonts w:ascii="Calibri" w:hAnsi="Calibri"/>
                <w:sz w:val="22"/>
              </w:rPr>
              <w:t>+10.1%</w:t>
            </w:r>
          </w:p>
        </w:tc>
        <w:tc>
          <w:tcPr>
            <w:tcW w:type="dxa" w:w="2160"/>
          </w:tcPr>
          <w:p>
            <w:r>
              <w:rPr>
                <w:rFonts w:ascii="Calibri" w:hAnsi="Calibri"/>
                <w:sz w:val="22"/>
              </w:rPr>
              <w:t>+7.6%</w:t>
            </w:r>
          </w:p>
        </w:tc>
      </w:tr>
      <w:tr>
        <w:tc>
          <w:tcPr>
            <w:tcW w:type="dxa" w:w="2160"/>
          </w:tcPr>
          <w:p>
            <w:r>
              <w:rPr>
                <w:rFonts w:ascii="Calibri" w:hAnsi="Calibri"/>
                <w:sz w:val="22"/>
              </w:rPr>
              <w:t>Relative to KRE</w:t>
            </w:r>
          </w:p>
        </w:tc>
        <w:tc>
          <w:tcPr>
            <w:tcW w:type="dxa" w:w="2160"/>
          </w:tcPr>
          <w:p>
            <w:r>
              <w:rPr>
                <w:rFonts w:ascii="Calibri" w:hAnsi="Calibri"/>
                <w:sz w:val="22"/>
              </w:rPr>
              <w:t>+0.3%</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Relative to SPY</w:t>
            </w:r>
          </w:p>
        </w:tc>
        <w:tc>
          <w:tcPr>
            <w:tcW w:type="dxa" w:w="2160"/>
          </w:tcPr>
          <w:p>
            <w:r>
              <w:rPr>
                <w:rFonts w:ascii="Calibri" w:hAnsi="Calibri"/>
                <w:sz w:val="22"/>
              </w:rPr>
              <w:t>+2.8%</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i/>
          <w:color w:val="525866"/>
          <w:sz w:val="22"/>
        </w:rPr>
        <w:t>Source: Yahoo Finance / Stock Price Data.</w:t>
      </w:r>
    </w:p>
    <w:p>
      <w:pPr>
        <w:pStyle w:val="Heading2"/>
      </w:pPr>
      <w:r>
        <w:rPr>
          <w:rFonts w:ascii="Calibri" w:hAnsi="Calibri"/>
          <w:b/>
          <w:color w:val="3B4259"/>
          <w:sz w:val="28"/>
        </w:rPr>
        <w:t>6. Material News &amp; Developments (Since Q1 2026 Earnings)</w:t>
      </w:r>
    </w:p>
    <w:p>
      <w:r>
        <w:rPr>
          <w:rFonts w:ascii="Calibri" w:hAnsi="Calibri"/>
          <w:b/>
          <w:color w:val="525866"/>
          <w:sz w:val="22"/>
        </w:rPr>
        <w:t xml:space="preserve">Key Takeaway: </w:t>
      </w:r>
      <w:r>
        <w:rPr>
          <w:rFonts w:ascii="Calibri" w:hAnsi="Calibri"/>
          <w:color w:val="525866"/>
          <w:sz w:val="22"/>
        </w:rPr>
        <w:t>Post-Q1 newsflow has been uniformly positive — management appeared at three major sell-side conferences reiterating guidance, the Matrix Capital Markets Group acquisition closed, and the Reimagine the Bank program is delivering early self-funding benefits; no negative surprises or guidance revisions.</w:t>
      </w:r>
    </w:p>
    <w:p>
      <w:pPr>
        <w:pStyle w:val="ListBullet"/>
        <w:ind w:left="360" w:hanging="360"/>
      </w:pPr>
      <w:r>
        <w:rPr>
          <w:rFonts w:ascii="Calibri" w:hAnsi="Calibri"/>
          <w:b/>
          <w:color w:val="525866"/>
          <w:sz w:val="22"/>
        </w:rPr>
        <w:t>April 16, 2026 — Q1 2026 Earnings Beat:</w:t>
      </w:r>
      <w:r>
        <w:rPr>
          <w:rFonts w:ascii="Calibri" w:hAnsi="Calibri"/>
          <w:color w:val="525866"/>
          <w:sz w:val="22"/>
        </w:rPr>
        <w:t xml:space="preserve"> CFG reported Q1 2026 net income of $517M (+39% YoY) and EPS of $1.13 (+47% YoY), beating consensus on both EPS and revenue. NIM expanded to 3.14%, Private Bank reached $16.6B in deposits and $7.7B in loans, and capital markets fees hit a record Q1 level. Full-year guidance reiterated.</w:t>
      </w:r>
    </w:p>
    <w:p>
      <w:pPr>
        <w:pStyle w:val="ListBullet"/>
        <w:ind w:left="360" w:hanging="360"/>
      </w:pPr>
      <w:r>
        <w:rPr>
          <w:rFonts w:ascii="Calibri" w:hAnsi="Calibri"/>
          <w:b/>
          <w:color w:val="525866"/>
          <w:sz w:val="22"/>
        </w:rPr>
        <w:t>May 6, 2026 — Barclays Americas Select Conference:</w:t>
      </w:r>
      <w:r>
        <w:rPr>
          <w:rFonts w:ascii="Calibri" w:hAnsi="Calibri"/>
          <w:color w:val="525866"/>
          <w:sz w:val="22"/>
        </w:rPr>
        <w:t xml:space="preserve"> CEO Bruce Van Saun expressed strong confidence in NIM trajectory, describing expansion as largely "time-based" and rate-independent. Capital markets outlook described as "really, really positive for the year" with pipelines "excellent." No guidance changes.</w:t>
      </w:r>
    </w:p>
    <w:p>
      <w:pPr>
        <w:pStyle w:val="ListBullet"/>
        <w:ind w:left="360" w:hanging="360"/>
      </w:pPr>
      <w:r>
        <w:rPr>
          <w:rFonts w:ascii="Calibri" w:hAnsi="Calibri"/>
          <w:b/>
          <w:color w:val="525866"/>
          <w:sz w:val="22"/>
        </w:rPr>
        <w:t>May 19, 2026 — Q2 2026 Earnings Call Details Announced:</w:t>
      </w:r>
      <w:r>
        <w:rPr>
          <w:rFonts w:ascii="Calibri" w:hAnsi="Calibri"/>
          <w:color w:val="525866"/>
          <w:sz w:val="22"/>
        </w:rPr>
        <w:t xml:space="preserve"> Citizens Financial Group announced Q2 2026 earnings conference call details, confirming the mid-July reporting schedule.</w:t>
      </w:r>
    </w:p>
    <w:p>
      <w:pPr>
        <w:pStyle w:val="ListBullet"/>
        <w:ind w:left="360" w:hanging="360"/>
      </w:pPr>
      <w:r>
        <w:rPr>
          <w:rFonts w:ascii="Calibri" w:hAnsi="Calibri"/>
          <w:b/>
          <w:color w:val="525866"/>
          <w:sz w:val="22"/>
        </w:rPr>
        <w:t>May 29, 2026 — Bernstein Strategic Decisions Conference:</w:t>
      </w:r>
      <w:r>
        <w:rPr>
          <w:rFonts w:ascii="Calibri" w:hAnsi="Calibri"/>
          <w:color w:val="525866"/>
          <w:sz w:val="22"/>
        </w:rPr>
        <w:t xml:space="preserve"> Management confirmed Reimagine the Bank program is self-funding in 2026 via vendor saves (&gt;$30M projected) and 21 corporate building closures. AI call center pilot live with target of ~25% of calls via non-human agents by year-end 2026. CEO explicitly stated 16–18% ROTCE target does NOT incorporate Reimagine benefits — framing those as potential upside.</w:t>
      </w:r>
    </w:p>
    <w:p>
      <w:pPr>
        <w:pStyle w:val="ListBullet"/>
        <w:ind w:left="360" w:hanging="360"/>
      </w:pPr>
      <w:r>
        <w:rPr>
          <w:rFonts w:ascii="Calibri" w:hAnsi="Calibri"/>
          <w:b/>
          <w:color w:val="525866"/>
          <w:sz w:val="22"/>
        </w:rPr>
        <w:t>Q1 2026 — Matrix Capital Markets Group Acquisition Closed:</w:t>
      </w:r>
      <w:r>
        <w:rPr>
          <w:rFonts w:ascii="Calibri" w:hAnsi="Calibri"/>
          <w:color w:val="525866"/>
          <w:sz w:val="22"/>
        </w:rPr>
        <w:t xml:space="preserve"> The acquisition of Matrix Capital Markets Group closed in Q1 2026, adding downstream energy and convenience retail M&amp;A advisory capabilities to CFG's capital markets platform.</w:t>
      </w:r>
    </w:p>
    <w:p>
      <w:pPr>
        <w:pStyle w:val="ListBullet"/>
        <w:ind w:left="360" w:hanging="360"/>
      </w:pPr>
      <w:r>
        <w:rPr>
          <w:rFonts w:ascii="Calibri" w:hAnsi="Calibri"/>
          <w:b/>
          <w:color w:val="525866"/>
          <w:sz w:val="22"/>
        </w:rPr>
        <w:t>June 10, 2026 — Morgan Stanley U.S. Financials Conference:</w:t>
      </w:r>
      <w:r>
        <w:rPr>
          <w:rFonts w:ascii="Calibri" w:hAnsi="Calibri"/>
          <w:color w:val="525866"/>
          <w:sz w:val="22"/>
        </w:rPr>
        <w:t xml:space="preserve"> President Brendan Coughlin provided the most explicit mid-quarter update, stating CFG is "almost through the second quarter" and the quarter is "playing out exactly as planned." Confirmed full-year guidance with no revisions. Macro backdrop "has not translated to a lot of customer behavior or volatility in our financials."</w:t>
      </w:r>
    </w:p>
    <w:p>
      <w:pPr>
        <w:pStyle w:val="ListBullet"/>
        <w:ind w:left="360" w:hanging="360"/>
      </w:pPr>
      <w:r>
        <w:rPr>
          <w:rFonts w:ascii="Calibri" w:hAnsi="Calibri"/>
          <w:b/>
          <w:color w:val="525866"/>
          <w:sz w:val="22"/>
        </w:rPr>
        <w:t>July 6, 2026 — Barclays 24th Annual Global Financial Services Conference Participation Announced:</w:t>
      </w:r>
      <w:r>
        <w:rPr>
          <w:rFonts w:ascii="Calibri" w:hAnsi="Calibri"/>
          <w:color w:val="525866"/>
          <w:sz w:val="22"/>
        </w:rPr>
        <w:t xml:space="preserve"> CFG announced participation at the upcoming Barclays conference, signaling continued investor engagement ahead of Q2 earnings.</w:t>
      </w:r>
    </w:p>
    <w:p>
      <w:pPr>
        <w:pStyle w:val="ListBullet"/>
        <w:ind w:left="360" w:hanging="360"/>
      </w:pPr>
      <w:r>
        <w:rPr>
          <w:rFonts w:ascii="Calibri" w:hAnsi="Calibri"/>
          <w:b/>
          <w:color w:val="525866"/>
          <w:sz w:val="22"/>
        </w:rPr>
        <w:t>July 13, 2026 — 2028 Earnings Conference Call Schedule Announced:</w:t>
      </w:r>
      <w:r>
        <w:rPr>
          <w:rFonts w:ascii="Calibri" w:hAnsi="Calibri"/>
          <w:color w:val="525866"/>
          <w:sz w:val="22"/>
        </w:rPr>
        <w:t xml:space="preserve"> Citizens Financial Group announced its earnings conference call schedule for 2028 quarterly financial results, a routine administrative disclosure.</w:t>
      </w:r>
    </w:p>
    <w:p>
      <w:pPr>
        <w:pStyle w:val="ListBullet"/>
        <w:ind w:left="360" w:hanging="360"/>
      </w:pPr>
      <w:r>
        <w:rPr>
          <w:rFonts w:ascii="Calibri" w:hAnsi="Calibri"/>
          <w:b/>
          <w:color w:val="525866"/>
          <w:sz w:val="22"/>
        </w:rPr>
        <w:t>Insider Activity — May 12, 2026:</w:t>
      </w:r>
      <w:r>
        <w:rPr>
          <w:rFonts w:ascii="Calibri" w:hAnsi="Calibri"/>
          <w:color w:val="525866"/>
          <w:sz w:val="22"/>
        </w:rPr>
        <w:t xml:space="preserve"> Chief Legal Officer Michelle Moosally sold 6,050 shares of common stock at market (not under a 10b5-1 plan). Modest in size relative to her remaining 22,565 shares; no other insider transactions in the period.</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Peer commentary from Q2 2026 earnings calls (BAC, WFC, JPM, MTB — all reported July 14–15) and conference appearances (Bernstein, Morgan Stanley, Barclays) is uniformly constructive for CFG: investment banking fees surged across the board, NII/NIM expansion is broad-based, credit quality remains benign, and the macro backdrop is described as resilient despite tariff uncertainty. These read-throughs support upside risk to CFG’s capital markets fee line and validate the NIM expansion thesis.</w:t>
      </w:r>
    </w:p>
    <w:p>
      <w:pPr>
        <w:pStyle w:val="Heading3"/>
      </w:pPr>
      <w:r>
        <w:rPr>
          <w:rFonts w:ascii="Calibri" w:hAnsi="Calibri"/>
          <w:b/>
          <w:color w:val="3B4259"/>
          <w:sz w:val="24"/>
        </w:rPr>
        <w:t>7.1 Bank of America (BAC) — Q2 2026 Earnings (July 14, 2026)</w:t>
      </w:r>
    </w:p>
    <w:p>
      <w:r>
        <w:rPr>
          <w:rFonts w:ascii="Calibri" w:hAnsi="Calibri"/>
          <w:b/>
          <w:color w:val="525866"/>
          <w:sz w:val="22"/>
        </w:rPr>
        <w:t xml:space="preserve">Read-Through for CFG: </w:t>
      </w:r>
      <w:r>
        <w:rPr>
          <w:rFonts w:ascii="Calibri" w:hAnsi="Calibri"/>
          <w:color w:val="525866"/>
          <w:sz w:val="22"/>
        </w:rPr>
        <w:t>Strongly positive on capital markets fees and NII trajectory.</w:t>
      </w:r>
    </w:p>
    <w:p>
      <w:pPr>
        <w:pStyle w:val="ListBullet"/>
        <w:ind w:left="360" w:hanging="360"/>
      </w:pPr>
      <w:r>
        <w:rPr>
          <w:rFonts w:ascii="Calibri" w:hAnsi="Calibri"/>
          <w:b/>
          <w:color w:val="525866"/>
          <w:sz w:val="22"/>
        </w:rPr>
        <w:t>Investment Banking Fees +50% YoY:</w:t>
      </w:r>
      <w:r>
        <w:rPr>
          <w:rFonts w:ascii="Calibri" w:hAnsi="Calibri"/>
          <w:color w:val="525866"/>
          <w:sz w:val="22"/>
        </w:rPr>
        <w:t xml:space="preserve"> BAC reported investment banking fees increased 50% year-over-year to more than $2.1 billion, reflecting strength across debt underwriting, advisory, and equity underwriting. Sales and trading generated $7.2B in revenue, up 33%, with equities delivering a record $3.6B (+70%). This is a strong read-through for CFG’s capital markets fee line, which consensus estimates at ~$147M for Q2 2026.</w:t>
      </w:r>
    </w:p>
    <w:p>
      <w:pPr>
        <w:pStyle w:val="ListBullet"/>
        <w:ind w:left="360" w:hanging="360"/>
      </w:pPr>
      <w:r>
        <w:rPr>
          <w:rFonts w:ascii="Calibri" w:hAnsi="Calibri"/>
          <w:b/>
          <w:color w:val="525866"/>
          <w:sz w:val="22"/>
        </w:rPr>
        <w:t>NII Growth at Upper End of Guidance:</w:t>
      </w:r>
      <w:r>
        <w:rPr>
          <w:rFonts w:ascii="Calibri" w:hAnsi="Calibri"/>
          <w:color w:val="525866"/>
          <w:sz w:val="22"/>
        </w:rPr>
        <w:t xml:space="preserve"> BAC now expects full-year 2026 NII growth to be "at the upper end" of its previously guided 6–8% range, supported by anticipated loan and deposit growth. NII on an FTE basis reached ~$16.2B, up 9% YoY and +$253M from Q1 2026. The bank remains asset sensitive, with a 100 bps parallel shift expected to increase NII by $1B over the next 12 months — directionally consistent with CFG’s own asset-sensitive positioning.</w:t>
      </w:r>
    </w:p>
    <w:p>
      <w:pPr>
        <w:pStyle w:val="ListBullet"/>
        <w:ind w:left="360" w:hanging="360"/>
      </w:pPr>
      <w:r>
        <w:rPr>
          <w:rFonts w:ascii="Calibri" w:hAnsi="Calibri"/>
          <w:b/>
          <w:color w:val="525866"/>
          <w:sz w:val="22"/>
        </w:rPr>
        <w:t>Noninterest-Bearing Deposit Growth:</w:t>
      </w:r>
      <w:r>
        <w:rPr>
          <w:rFonts w:ascii="Calibri" w:hAnsi="Calibri"/>
          <w:color w:val="525866"/>
          <w:sz w:val="22"/>
        </w:rPr>
        <w:t xml:space="preserve"> Average noninterest-bearing deposits grew $19B (+4% YoY), a positive signal for the industry’s deposit mix normalization that supports NIM expansion across the sector.</w:t>
      </w:r>
    </w:p>
    <w:p>
      <w:pPr>
        <w:pStyle w:val="ListBullet"/>
        <w:ind w:left="360" w:hanging="360"/>
      </w:pPr>
      <w:r>
        <w:rPr>
          <w:rFonts w:ascii="Calibri" w:hAnsi="Calibri"/>
          <w:b/>
          <w:color w:val="525866"/>
          <w:sz w:val="22"/>
        </w:rPr>
        <w:t>Credit Quality Benign:</w:t>
      </w:r>
      <w:r>
        <w:rPr>
          <w:rFonts w:ascii="Calibri" w:hAnsi="Calibri"/>
          <w:color w:val="525866"/>
          <w:sz w:val="22"/>
        </w:rPr>
        <w:t xml:space="preserve"> Net charge-offs declined, and the provision for credit losses decreased. Consumer credit metrics remained stable with delinquencies flat to improving. No signs of macro-driven credit deterioration — supportive of CFG’s own NCO normalization narrative.</w:t>
      </w:r>
    </w:p>
    <w:p>
      <w:pPr>
        <w:pStyle w:val="ListBullet"/>
        <w:ind w:left="360" w:hanging="360"/>
      </w:pPr>
      <w:r>
        <w:rPr>
          <w:rFonts w:ascii="Calibri" w:hAnsi="Calibri"/>
          <w:b/>
          <w:color w:val="525866"/>
          <w:sz w:val="22"/>
        </w:rPr>
        <w:t>Macro Backdrop Resilient:</w:t>
      </w:r>
      <w:r>
        <w:rPr>
          <w:rFonts w:ascii="Calibri" w:hAnsi="Calibri"/>
          <w:color w:val="525866"/>
          <w:sz w:val="22"/>
        </w:rPr>
        <w:t xml:space="preserve"> Management noted that despite tariff uncertainty, consumer spending and business activity remained strong, with "no signs of a slowdown in the actual data." This aligns with CFG’s own June 10 commentary that macro challenges have "not translated to a lot of customer behavior or volatility in our financials."</w:t>
      </w:r>
    </w:p>
    <w:p>
      <w:pPr>
        <w:pStyle w:val="Heading3"/>
      </w:pPr>
      <w:r>
        <w:rPr>
          <w:rFonts w:ascii="Calibri" w:hAnsi="Calibri"/>
          <w:b/>
          <w:color w:val="3B4259"/>
          <w:sz w:val="24"/>
        </w:rPr>
        <w:t>7.2 Wells Fargo (WFC) — Q2 2026 Earnings &amp; Bernstein Conference (May 27, 2026)</w:t>
      </w:r>
    </w:p>
    <w:p>
      <w:r>
        <w:rPr>
          <w:rFonts w:ascii="Calibri" w:hAnsi="Calibri"/>
          <w:b/>
          <w:color w:val="525866"/>
          <w:sz w:val="22"/>
        </w:rPr>
        <w:t xml:space="preserve">Read-Through for CFG: </w:t>
      </w:r>
      <w:r>
        <w:rPr>
          <w:rFonts w:ascii="Calibri" w:hAnsi="Calibri"/>
          <w:color w:val="525866"/>
          <w:sz w:val="22"/>
        </w:rPr>
        <w:t>Positive on capital markets momentum and macro resilience; NIM dynamics nuanced.</w:t>
      </w:r>
    </w:p>
    <w:p>
      <w:pPr>
        <w:pStyle w:val="ListBullet"/>
        <w:ind w:left="360" w:hanging="360"/>
      </w:pPr>
      <w:r>
        <w:rPr>
          <w:rFonts w:ascii="Calibri" w:hAnsi="Calibri"/>
          <w:b/>
          <w:color w:val="525866"/>
          <w:sz w:val="22"/>
        </w:rPr>
        <w:t>Capital Markets "Extremely Strong":</w:t>
      </w:r>
      <w:r>
        <w:rPr>
          <w:rFonts w:ascii="Calibri" w:hAnsi="Calibri"/>
          <w:color w:val="525866"/>
          <w:sz w:val="22"/>
        </w:rPr>
        <w:t xml:space="preserve"> At the Bernstein Conference (May 27), WFC CEO Charles Scharf stated that investment banking and markets are "extremely strong," and for Q2 2026 specifically, WFC expected "mid-teens-ish growth in revenues" across both total markets revenues and investment banking. This forward-looking Q2 guidance from WFC is a direct positive read-through for CFG’s capital markets fee line.</w:t>
      </w:r>
    </w:p>
    <w:p>
      <w:pPr>
        <w:pStyle w:val="ListBullet"/>
        <w:ind w:left="360" w:hanging="360"/>
      </w:pPr>
      <w:r>
        <w:rPr>
          <w:rFonts w:ascii="Calibri" w:hAnsi="Calibri"/>
          <w:b/>
          <w:color w:val="525866"/>
          <w:sz w:val="22"/>
        </w:rPr>
        <w:t>Wealth Business Low Double-Digit Growth Expected:</w:t>
      </w:r>
      <w:r>
        <w:rPr>
          <w:rFonts w:ascii="Calibri" w:hAnsi="Calibri"/>
          <w:color w:val="525866"/>
          <w:sz w:val="22"/>
        </w:rPr>
        <w:t xml:space="preserve"> WFC guided for "low double-digit revenue growth" in its wealth business for Q2 2026, with stabilization and growth of the adviser base. CFG’s Private Bank wealth management segment (with $10.1B AUM) should benefit from similar tailwinds.</w:t>
      </w:r>
    </w:p>
    <w:p>
      <w:pPr>
        <w:pStyle w:val="ListBullet"/>
        <w:ind w:left="360" w:hanging="360"/>
      </w:pPr>
      <w:r>
        <w:rPr>
          <w:rFonts w:ascii="Calibri" w:hAnsi="Calibri"/>
          <w:b/>
          <w:color w:val="525866"/>
          <w:sz w:val="22"/>
        </w:rPr>
        <w:t>Macro Data Remains "Extremely, Extremely Strong":</w:t>
      </w:r>
      <w:r>
        <w:rPr>
          <w:rFonts w:ascii="Calibri" w:hAnsi="Calibri"/>
          <w:color w:val="525866"/>
          <w:sz w:val="22"/>
        </w:rPr>
        <w:t xml:space="preserve"> Scharf noted consumer spend is "even stronger than it was a couple of months ago," delinquencies are "flat to down across almost all products," and businesses are "still financially very, very strong." This broad-based resilience is supportive of CFG’s credit quality outlook and loan demand.</w:t>
      </w:r>
    </w:p>
    <w:p>
      <w:pPr>
        <w:pStyle w:val="ListBullet"/>
        <w:ind w:left="360" w:hanging="360"/>
      </w:pPr>
      <w:r>
        <w:rPr>
          <w:rFonts w:ascii="Calibri" w:hAnsi="Calibri"/>
          <w:b/>
          <w:color w:val="525866"/>
          <w:sz w:val="22"/>
        </w:rPr>
        <w:t>NIM Nuance — Financing Activity Compressing NIM but Accretive to ROTCE:</w:t>
      </w:r>
      <w:r>
        <w:rPr>
          <w:rFonts w:ascii="Calibri" w:hAnsi="Calibri"/>
          <w:color w:val="525866"/>
          <w:sz w:val="22"/>
        </w:rPr>
        <w:t xml:space="preserve"> WFC noted that its growth strategy in client financing has "compressed NIM a little bit" but is "not hurting ROTCE" and is "absolutely accretive to ROTCE goals." This is a useful framing for CFG investors: NIM is the right metric to watch for CFG given its swap runoff tailwind, but ROTCE is the ultimate scorecard.</w:t>
      </w:r>
    </w:p>
    <w:p>
      <w:pPr>
        <w:pStyle w:val="ListBullet"/>
        <w:ind w:left="360" w:hanging="360"/>
      </w:pPr>
      <w:r>
        <w:rPr>
          <w:rFonts w:ascii="Calibri" w:hAnsi="Calibri"/>
          <w:b/>
          <w:color w:val="525866"/>
          <w:sz w:val="22"/>
        </w:rPr>
        <w:t>Asset Cap Removal Driving Deposit and Loan Growth:</w:t>
      </w:r>
      <w:r>
        <w:rPr>
          <w:rFonts w:ascii="Calibri" w:hAnsi="Calibri"/>
          <w:color w:val="525866"/>
          <w:sz w:val="22"/>
        </w:rPr>
        <w:t xml:space="preserve"> WFC is now aggressively growing its consumer and commercial franchises post-asset cap removal, adding 150+ bankers in new markets. While this increases competitive intensity for CFG in some geographies, it also validates the broader industry thesis that loan and deposit demand is healthy.</w:t>
      </w:r>
    </w:p>
    <w:p>
      <w:pPr>
        <w:pStyle w:val="Heading3"/>
      </w:pPr>
      <w:r>
        <w:rPr>
          <w:rFonts w:ascii="Calibri" w:hAnsi="Calibri"/>
          <w:b/>
          <w:color w:val="3B4259"/>
          <w:sz w:val="24"/>
        </w:rPr>
        <w:t>7.3 JPMorgan Chase (JPM) — Q2 2026 Earnings (July 14, 2026)</w:t>
      </w:r>
    </w:p>
    <w:p>
      <w:r>
        <w:rPr>
          <w:rFonts w:ascii="Calibri" w:hAnsi="Calibri"/>
          <w:b/>
          <w:color w:val="525866"/>
          <w:sz w:val="22"/>
        </w:rPr>
        <w:t xml:space="preserve">Read-Through for CFG: </w:t>
      </w:r>
      <w:r>
        <w:rPr>
          <w:rFonts w:ascii="Calibri" w:hAnsi="Calibri"/>
          <w:color w:val="525866"/>
          <w:sz w:val="22"/>
        </w:rPr>
        <w:t>Positive on investment banking and capital markets; NII guidance raised.</w:t>
      </w:r>
    </w:p>
    <w:p>
      <w:pPr>
        <w:pStyle w:val="ListBullet"/>
        <w:ind w:left="360" w:hanging="360"/>
      </w:pPr>
      <w:r>
        <w:rPr>
          <w:rFonts w:ascii="Calibri" w:hAnsi="Calibri"/>
          <w:b/>
          <w:color w:val="525866"/>
          <w:sz w:val="22"/>
        </w:rPr>
        <w:t>Investment Banking Fees Surged:</w:t>
      </w:r>
      <w:r>
        <w:rPr>
          <w:rFonts w:ascii="Calibri" w:hAnsi="Calibri"/>
          <w:color w:val="525866"/>
          <w:sz w:val="22"/>
        </w:rPr>
        <w:t xml:space="preserve"> JPM reported exceptional Q2 2026 investment banking results, with fees up materially year-over-year across debt underwriting, equity underwriting, and M&amp;A advisory. The broad-based strength across deal types is a positive read-through for CFG’s diversified capital markets platform, which includes M&amp;A advisory (Matrix acquisition), debt underwriting, and equity capital markets.</w:t>
      </w:r>
    </w:p>
    <w:p>
      <w:pPr>
        <w:pStyle w:val="ListBullet"/>
        <w:ind w:left="360" w:hanging="360"/>
      </w:pPr>
      <w:r>
        <w:rPr>
          <w:rFonts w:ascii="Calibri" w:hAnsi="Calibri"/>
          <w:b/>
          <w:color w:val="525866"/>
          <w:sz w:val="22"/>
        </w:rPr>
        <w:t>NII Guidance Raised:</w:t>
      </w:r>
      <w:r>
        <w:rPr>
          <w:rFonts w:ascii="Calibri" w:hAnsi="Calibri"/>
          <w:color w:val="525866"/>
          <w:sz w:val="22"/>
        </w:rPr>
        <w:t xml:space="preserve"> JPM raised its full-year 2026 NII guidance, citing stronger-than-expected loan growth and deposit dynamics. This is consistent with the broader industry NII expansion theme that underpins CFG’s own NIM trajectory.</w:t>
      </w:r>
    </w:p>
    <w:p>
      <w:pPr>
        <w:pStyle w:val="ListBullet"/>
        <w:ind w:left="360" w:hanging="360"/>
      </w:pPr>
      <w:r>
        <w:rPr>
          <w:rFonts w:ascii="Calibri" w:hAnsi="Calibri"/>
          <w:b/>
          <w:color w:val="525866"/>
          <w:sz w:val="22"/>
        </w:rPr>
        <w:t>Credit Quality Remains Benign:</w:t>
      </w:r>
      <w:r>
        <w:rPr>
          <w:rFonts w:ascii="Calibri" w:hAnsi="Calibri"/>
          <w:color w:val="525866"/>
          <w:sz w:val="22"/>
        </w:rPr>
        <w:t xml:space="preserve"> JPM reported stable to improving credit metrics, with no signs of macro-driven deterioration. Consumer and commercial credit quality remained healthy, consistent with CFG’s own NCO normalization narrative.</w:t>
      </w:r>
    </w:p>
    <w:p>
      <w:pPr>
        <w:pStyle w:val="ListBullet"/>
        <w:ind w:left="360" w:hanging="360"/>
      </w:pPr>
      <w:r>
        <w:rPr>
          <w:rFonts w:ascii="Calibri" w:hAnsi="Calibri"/>
          <w:b/>
          <w:color w:val="525866"/>
          <w:sz w:val="22"/>
        </w:rPr>
        <w:t>M&amp;A Pipeline Building Despite Macro Uncertainty:</w:t>
      </w:r>
      <w:r>
        <w:rPr>
          <w:rFonts w:ascii="Calibri" w:hAnsi="Calibri"/>
          <w:color w:val="525866"/>
          <w:sz w:val="22"/>
        </w:rPr>
        <w:t xml:space="preserve"> JPM management noted that the M&amp;A pipeline is building even in the face of tariff uncertainty, with deals that were delayed in Q1 now coming to market. This is directly consistent with CFG’s own Q1 commentary that deals pushed from March were launching in April with strong reception.</w:t>
      </w:r>
    </w:p>
    <w:p>
      <w:pPr>
        <w:pStyle w:val="Heading3"/>
      </w:pPr>
      <w:r>
        <w:rPr>
          <w:rFonts w:ascii="Calibri" w:hAnsi="Calibri"/>
          <w:b/>
          <w:color w:val="3B4259"/>
          <w:sz w:val="24"/>
        </w:rPr>
        <w:t>7.4 M&amp;T Bank (MTB) — Q2 2026 Earnings &amp; Barclays Conference (May 5, 2026)</w:t>
      </w:r>
    </w:p>
    <w:p>
      <w:r>
        <w:rPr>
          <w:rFonts w:ascii="Calibri" w:hAnsi="Calibri"/>
          <w:b/>
          <w:color w:val="525866"/>
          <w:sz w:val="22"/>
        </w:rPr>
        <w:t xml:space="preserve">Read-Through for CFG: </w:t>
      </w:r>
      <w:r>
        <w:rPr>
          <w:rFonts w:ascii="Calibri" w:hAnsi="Calibri"/>
          <w:color w:val="525866"/>
          <w:sz w:val="22"/>
        </w:rPr>
        <w:t>Most directly comparable super-regional peer; positive on NIM expansion and credit normalization, with constructive commentary on commercial banking demand.</w:t>
      </w:r>
    </w:p>
    <w:p>
      <w:pPr>
        <w:pStyle w:val="ListBullet"/>
        <w:ind w:left="360" w:hanging="360"/>
      </w:pPr>
      <w:r>
        <w:rPr>
          <w:rFonts w:ascii="Calibri" w:hAnsi="Calibri"/>
          <w:b/>
          <w:color w:val="525866"/>
          <w:sz w:val="22"/>
        </w:rPr>
        <w:t>NIM Expansion Confirmed Across Super-Regionals:</w:t>
      </w:r>
      <w:r>
        <w:rPr>
          <w:rFonts w:ascii="Calibri" w:hAnsi="Calibri"/>
          <w:color w:val="525866"/>
          <w:sz w:val="22"/>
        </w:rPr>
        <w:t xml:space="preserve"> MTB reported Q2 2026 NIM expansion consistent with its guidance, driven by fixed-rate asset repricing and improved funding costs — the same dynamics driving CFG’s NIM trajectory. MTB’s confirmation of the NIM expansion thesis across the super-regional peer group de-risks CFG’s own 3.19% Q2 consensus estimate.</w:t>
      </w:r>
    </w:p>
    <w:p>
      <w:pPr>
        <w:pStyle w:val="ListBullet"/>
        <w:ind w:left="360" w:hanging="360"/>
      </w:pPr>
      <w:r>
        <w:rPr>
          <w:rFonts w:ascii="Calibri" w:hAnsi="Calibri"/>
          <w:b/>
          <w:color w:val="525866"/>
          <w:sz w:val="22"/>
        </w:rPr>
        <w:t>Commercial Banking Demand Healthy:</w:t>
      </w:r>
      <w:r>
        <w:rPr>
          <w:rFonts w:ascii="Calibri" w:hAnsi="Calibri"/>
          <w:color w:val="525866"/>
          <w:sz w:val="22"/>
        </w:rPr>
        <w:t xml:space="preserve"> At the Barclays Conference (May 5), MTB management noted that commercial loan demand is healthy, with pipelines building in middle-market and mid-corporate segments. This is directly relevant to CFG’s commercial banking expansion in new geographies (Florida, California, NYC) and its One Citizens cross-enterprise initiative.</w:t>
      </w:r>
    </w:p>
    <w:p>
      <w:pPr>
        <w:pStyle w:val="ListBullet"/>
        <w:ind w:left="360" w:hanging="360"/>
      </w:pPr>
      <w:r>
        <w:rPr>
          <w:rFonts w:ascii="Calibri" w:hAnsi="Calibri"/>
          <w:b/>
          <w:color w:val="525866"/>
          <w:sz w:val="22"/>
        </w:rPr>
        <w:t>Credit Quality Normalizing, Not Deteriorating:</w:t>
      </w:r>
      <w:r>
        <w:rPr>
          <w:rFonts w:ascii="Calibri" w:hAnsi="Calibri"/>
          <w:color w:val="525866"/>
          <w:sz w:val="22"/>
        </w:rPr>
        <w:t xml:space="preserve"> MTB reported stable credit metrics with NCO rates trending toward normalized levels. CRE office exposure continues to work down without incremental stress — consistent with CFG’s own commentary that CRE office peak losses are behind it.</w:t>
      </w:r>
    </w:p>
    <w:p>
      <w:pPr>
        <w:pStyle w:val="ListBullet"/>
        <w:ind w:left="360" w:hanging="360"/>
      </w:pPr>
      <w:r>
        <w:rPr>
          <w:rFonts w:ascii="Calibri" w:hAnsi="Calibri"/>
          <w:b/>
          <w:color w:val="525866"/>
          <w:sz w:val="22"/>
        </w:rPr>
        <w:t>Deposit Costs Stabilizing:</w:t>
      </w:r>
      <w:r>
        <w:rPr>
          <w:rFonts w:ascii="Calibri" w:hAnsi="Calibri"/>
          <w:color w:val="525866"/>
          <w:sz w:val="22"/>
        </w:rPr>
        <w:t xml:space="preserve"> MTB noted that deposit costs are stabilizing and beginning to decline, supporting NIM expansion. CFG’s own deposit beta assumptions have been revised favorably (from low-to-mid 50s to high 40s), and MTB’s experience validates this trajectory.</w:t>
      </w:r>
    </w:p>
    <w:p>
      <w:pPr>
        <w:pStyle w:val="Heading3"/>
      </w:pPr>
      <w:r>
        <w:rPr>
          <w:rFonts w:ascii="Calibri" w:hAnsi="Calibri"/>
          <w:b/>
          <w:color w:val="3B4259"/>
          <w:sz w:val="24"/>
        </w:rPr>
        <w:t>7.5 Regions Financial (RF) — Morgan Stanley Conference (June 9, 2026)</w:t>
      </w:r>
    </w:p>
    <w:p>
      <w:r>
        <w:rPr>
          <w:rFonts w:ascii="Calibri" w:hAnsi="Calibri"/>
          <w:b/>
          <w:color w:val="525866"/>
          <w:sz w:val="22"/>
        </w:rPr>
        <w:t xml:space="preserve">Read-Through for CFG: </w:t>
      </w:r>
      <w:r>
        <w:rPr>
          <w:rFonts w:ascii="Calibri" w:hAnsi="Calibri"/>
          <w:color w:val="525866"/>
          <w:sz w:val="22"/>
        </w:rPr>
        <w:t>Positive on NIM and deposit dynamics; credit quality stable.</w:t>
      </w:r>
    </w:p>
    <w:p>
      <w:pPr>
        <w:pStyle w:val="ListBullet"/>
        <w:ind w:left="360" w:hanging="360"/>
      </w:pPr>
      <w:r>
        <w:rPr>
          <w:rFonts w:ascii="Calibri" w:hAnsi="Calibri"/>
          <w:b/>
          <w:color w:val="525866"/>
          <w:sz w:val="22"/>
        </w:rPr>
        <w:t>NIM Expansion Trajectory Intact:</w:t>
      </w:r>
      <w:r>
        <w:rPr>
          <w:rFonts w:ascii="Calibri" w:hAnsi="Calibri"/>
          <w:color w:val="525866"/>
          <w:sz w:val="22"/>
        </w:rPr>
        <w:t xml:space="preserve"> RF management at the Morgan Stanley Conference confirmed that NIM expansion is on track for Q2 2026, driven by fixed-rate asset repricing and lower deposit costs. The consistency of this message across super-regional peers (RF, MTB, CFG) reinforces the sector-wide NIM expansion thesis.</w:t>
      </w:r>
    </w:p>
    <w:p>
      <w:pPr>
        <w:pStyle w:val="ListBullet"/>
        <w:ind w:left="360" w:hanging="360"/>
      </w:pPr>
      <w:r>
        <w:rPr>
          <w:rFonts w:ascii="Calibri" w:hAnsi="Calibri"/>
          <w:b/>
          <w:color w:val="525866"/>
          <w:sz w:val="22"/>
        </w:rPr>
        <w:t>Deposit Mix Improving:</w:t>
      </w:r>
      <w:r>
        <w:rPr>
          <w:rFonts w:ascii="Calibri" w:hAnsi="Calibri"/>
          <w:color w:val="525866"/>
          <w:sz w:val="22"/>
        </w:rPr>
        <w:t xml:space="preserve"> RF noted that noninterest-bearing deposit balances are stabilizing and the deposit mix is improving, which is supportive of NIM expansion across the sector. CFG’s own deposit beta improvement (to high 40s) is consistent with this trend.</w:t>
      </w:r>
    </w:p>
    <w:p>
      <w:pPr>
        <w:pStyle w:val="ListBullet"/>
        <w:ind w:left="360" w:hanging="360"/>
      </w:pPr>
      <w:r>
        <w:rPr>
          <w:rFonts w:ascii="Calibri" w:hAnsi="Calibri"/>
          <w:b/>
          <w:color w:val="525866"/>
          <w:sz w:val="22"/>
        </w:rPr>
        <w:t>Credit Quality Stable:</w:t>
      </w:r>
      <w:r>
        <w:rPr>
          <w:rFonts w:ascii="Calibri" w:hAnsi="Calibri"/>
          <w:color w:val="525866"/>
          <w:sz w:val="22"/>
        </w:rPr>
        <w:t xml:space="preserve"> RF reported no signs of credit deterioration, with NCO rates tracking in line with guidance. Consumer and commercial credit metrics remained healthy, consistent with the broader peer group narrative.</w:t>
      </w:r>
    </w:p>
    <w:p>
      <w:pPr>
        <w:pStyle w:val="Heading3"/>
      </w:pPr>
      <w:r>
        <w:rPr>
          <w:rFonts w:ascii="Calibri" w:hAnsi="Calibri"/>
          <w:b/>
          <w:color w:val="3B4259"/>
          <w:sz w:val="24"/>
        </w:rPr>
        <w:t>7.6 Huntington Bancshares (HBAN) — Q1 2026 Earnings &amp; Morgan Stanley Conference (June 9, 2026)</w:t>
      </w:r>
    </w:p>
    <w:p>
      <w:r>
        <w:rPr>
          <w:rFonts w:ascii="Calibri" w:hAnsi="Calibri"/>
          <w:b/>
          <w:color w:val="525866"/>
          <w:sz w:val="22"/>
        </w:rPr>
        <w:t xml:space="preserve">Read-Through for CFG: </w:t>
      </w:r>
      <w:r>
        <w:rPr>
          <w:rFonts w:ascii="Calibri" w:hAnsi="Calibri"/>
          <w:color w:val="525866"/>
          <w:sz w:val="22"/>
        </w:rPr>
        <w:t>Constructive on NIM and fee income; HBAN’s Q1 2026 earnings commentary about Q2 2026 outlook is relevant.</w:t>
      </w:r>
    </w:p>
    <w:p>
      <w:pPr>
        <w:pStyle w:val="ListBullet"/>
        <w:ind w:left="360" w:hanging="360"/>
      </w:pPr>
      <w:r>
        <w:rPr>
          <w:rFonts w:ascii="Calibri" w:hAnsi="Calibri"/>
          <w:b/>
          <w:color w:val="525866"/>
          <w:sz w:val="22"/>
        </w:rPr>
        <w:t>Q2 2026 NIM Guidance Positive:</w:t>
      </w:r>
      <w:r>
        <w:rPr>
          <w:rFonts w:ascii="Calibri" w:hAnsi="Calibri"/>
          <w:color w:val="525866"/>
          <w:sz w:val="22"/>
        </w:rPr>
        <w:t xml:space="preserve"> HBAN guided for continued NIM expansion in Q2 2026 at its Q1 2026 earnings call (April 23), citing fixed-rate asset repricing and deposit cost improvement. This is consistent with CFG’s own NIM expansion trajectory and validates the sector-wide tailwind.</w:t>
      </w:r>
    </w:p>
    <w:p>
      <w:pPr>
        <w:pStyle w:val="ListBullet"/>
        <w:ind w:left="360" w:hanging="360"/>
      </w:pPr>
      <w:r>
        <w:rPr>
          <w:rFonts w:ascii="Calibri" w:hAnsi="Calibri"/>
          <w:b/>
          <w:color w:val="525866"/>
          <w:sz w:val="22"/>
        </w:rPr>
        <w:t>Fee Income Growth Guided:</w:t>
      </w:r>
      <w:r>
        <w:rPr>
          <w:rFonts w:ascii="Calibri" w:hAnsi="Calibri"/>
          <w:color w:val="525866"/>
          <w:sz w:val="22"/>
        </w:rPr>
        <w:t xml:space="preserve"> HBAN guided for fee income growth in Q2 2026, driven by capital markets and wealth management. The consistency of fee income growth guidance across super-regional peers supports CFG’s own capital markets fee outlook.</w:t>
      </w:r>
    </w:p>
    <w:p>
      <w:pPr>
        <w:pStyle w:val="ListBullet"/>
        <w:ind w:left="360" w:hanging="360"/>
      </w:pPr>
      <w:r>
        <w:rPr>
          <w:rFonts w:ascii="Calibri" w:hAnsi="Calibri"/>
          <w:b/>
          <w:color w:val="525866"/>
          <w:sz w:val="22"/>
        </w:rPr>
        <w:t>Expense Discipline Maintained:</w:t>
      </w:r>
      <w:r>
        <w:rPr>
          <w:rFonts w:ascii="Calibri" w:hAnsi="Calibri"/>
          <w:color w:val="525866"/>
          <w:sz w:val="22"/>
        </w:rPr>
        <w:t xml:space="preserve"> HBAN reiterated its positive operating leverage target for 2026, with expenses growing below revenue. This is consistent with CFG’s own operating leverage trajectory (&gt;700 bps YoY in Q1 2026) and validates the sector-wide efficiency improvement theme.</w:t>
      </w:r>
    </w:p>
    <w:p>
      <w:pPr>
        <w:pStyle w:val="Heading3"/>
      </w:pPr>
      <w:r>
        <w:rPr>
          <w:rFonts w:ascii="Calibri" w:hAnsi="Calibri"/>
          <w:b/>
          <w:color w:val="3B4259"/>
          <w:sz w:val="24"/>
        </w:rPr>
        <w:t>7.7 Truist Financial (TFC) — Q1 2026 Earnings &amp; Morgan Stanley / Bernstein Conferences</w:t>
      </w:r>
    </w:p>
    <w:p>
      <w:r>
        <w:rPr>
          <w:rFonts w:ascii="Calibri" w:hAnsi="Calibri"/>
          <w:b/>
          <w:color w:val="525866"/>
          <w:sz w:val="22"/>
        </w:rPr>
        <w:t xml:space="preserve">Read-Through for CFG: </w:t>
      </w:r>
      <w:r>
        <w:rPr>
          <w:rFonts w:ascii="Calibri" w:hAnsi="Calibri"/>
          <w:color w:val="525866"/>
          <w:sz w:val="22"/>
        </w:rPr>
        <w:t>Positive on NIM and capital markets; TFC’s transformation story has parallels to CFG’s own Reimagine the Bank initiative.</w:t>
      </w:r>
    </w:p>
    <w:p>
      <w:pPr>
        <w:pStyle w:val="ListBullet"/>
        <w:ind w:left="360" w:hanging="360"/>
      </w:pPr>
      <w:r>
        <w:rPr>
          <w:rFonts w:ascii="Calibri" w:hAnsi="Calibri"/>
          <w:b/>
          <w:color w:val="525866"/>
          <w:sz w:val="22"/>
        </w:rPr>
        <w:t>NIM Expansion and NII Growth Guided for Q2 2026:</w:t>
      </w:r>
      <w:r>
        <w:rPr>
          <w:rFonts w:ascii="Calibri" w:hAnsi="Calibri"/>
          <w:color w:val="525866"/>
          <w:sz w:val="22"/>
        </w:rPr>
        <w:t xml:space="preserve"> TFC at its Q1 2026 earnings call (April 17) guided for continued NIM expansion and NII growth in Q2 2026, driven by fixed-rate asset repricing and lower funding costs. This is consistent with CFG’s own NIM trajectory.</w:t>
      </w:r>
    </w:p>
    <w:p>
      <w:pPr>
        <w:pStyle w:val="ListBullet"/>
        <w:ind w:left="360" w:hanging="360"/>
      </w:pPr>
      <w:r>
        <w:rPr>
          <w:rFonts w:ascii="Calibri" w:hAnsi="Calibri"/>
          <w:b/>
          <w:color w:val="525866"/>
          <w:sz w:val="22"/>
        </w:rPr>
        <w:t>Capital Markets Momentum:</w:t>
      </w:r>
      <w:r>
        <w:rPr>
          <w:rFonts w:ascii="Calibri" w:hAnsi="Calibri"/>
          <w:color w:val="525866"/>
          <w:sz w:val="22"/>
        </w:rPr>
        <w:t xml:space="preserve"> TFC noted strong capital markets activity in Q1 2026 and guided for continued momentum in Q2, with investment banking pipelines building. This is a positive read-through for CFG’s capital markets fee line.</w:t>
      </w:r>
    </w:p>
    <w:p>
      <w:pPr>
        <w:pStyle w:val="ListBullet"/>
        <w:ind w:left="360" w:hanging="360"/>
      </w:pPr>
      <w:r>
        <w:rPr>
          <w:rFonts w:ascii="Calibri" w:hAnsi="Calibri"/>
          <w:b/>
          <w:color w:val="525866"/>
          <w:sz w:val="22"/>
        </w:rPr>
        <w:t>Transformation / Efficiency Story:</w:t>
      </w:r>
      <w:r>
        <w:rPr>
          <w:rFonts w:ascii="Calibri" w:hAnsi="Calibri"/>
          <w:color w:val="525866"/>
          <w:sz w:val="22"/>
        </w:rPr>
        <w:t xml:space="preserve"> TFC’s ongoing transformation initiative (similar in spirit to CFG’s Reimagine the Bank) is delivering expense savings and efficiency improvements. The market’s positive reception of TFC’s transformation narrative is a positive read-through for CFG’s own Reimagine story, which management has framed as potential upside to the 16–18% ROTCE target.</w:t>
      </w:r>
    </w:p>
    <w:p>
      <w:pPr>
        <w:pStyle w:val="Heading3"/>
      </w:pPr>
      <w:r>
        <w:rPr>
          <w:rFonts w:ascii="Calibri" w:hAnsi="Calibri"/>
          <w:b/>
          <w:color w:val="3B4259"/>
          <w:sz w:val="24"/>
        </w:rPr>
        <w:t>7.8 Fifth Third Bancorp (FITB) — Q1 2026 Earnings &amp; Morgan Stanley Conference (June 10, 2026)</w:t>
      </w:r>
    </w:p>
    <w:p>
      <w:r>
        <w:rPr>
          <w:rFonts w:ascii="Calibri" w:hAnsi="Calibri"/>
          <w:b/>
          <w:color w:val="525866"/>
          <w:sz w:val="22"/>
        </w:rPr>
        <w:t xml:space="preserve">Read-Through for CFG: </w:t>
      </w:r>
      <w:r>
        <w:rPr>
          <w:rFonts w:ascii="Calibri" w:hAnsi="Calibri"/>
          <w:color w:val="525866"/>
          <w:sz w:val="22"/>
        </w:rPr>
        <w:t>Positive on NIM and fee income; FITB’s commentary on commercial banking and capital markets is directly relevant.</w:t>
      </w:r>
    </w:p>
    <w:p>
      <w:pPr>
        <w:pStyle w:val="ListBullet"/>
        <w:ind w:left="360" w:hanging="360"/>
      </w:pPr>
      <w:r>
        <w:rPr>
          <w:rFonts w:ascii="Calibri" w:hAnsi="Calibri"/>
          <w:b/>
          <w:color w:val="525866"/>
          <w:sz w:val="22"/>
        </w:rPr>
        <w:t>NIM Expansion Confirmed:</w:t>
      </w:r>
      <w:r>
        <w:rPr>
          <w:rFonts w:ascii="Calibri" w:hAnsi="Calibri"/>
          <w:color w:val="525866"/>
          <w:sz w:val="22"/>
        </w:rPr>
        <w:t xml:space="preserve"> FITB at the Morgan Stanley Conference (June 10) confirmed that NIM expansion is on track for Q2 2026, driven by fixed-rate asset repricing and deposit cost improvement. This is consistent with CFG’s own NIM trajectory and validates the sector-wide tailwind.</w:t>
      </w:r>
    </w:p>
    <w:p>
      <w:pPr>
        <w:pStyle w:val="ListBullet"/>
        <w:ind w:left="360" w:hanging="360"/>
      </w:pPr>
      <w:r>
        <w:rPr>
          <w:rFonts w:ascii="Calibri" w:hAnsi="Calibri"/>
          <w:b/>
          <w:color w:val="525866"/>
          <w:sz w:val="22"/>
        </w:rPr>
        <w:t>Capital Markets and Fee Income Growth:</w:t>
      </w:r>
      <w:r>
        <w:rPr>
          <w:rFonts w:ascii="Calibri" w:hAnsi="Calibri"/>
          <w:color w:val="525866"/>
          <w:sz w:val="22"/>
        </w:rPr>
        <w:t xml:space="preserve"> FITB noted strong capital markets activity and guided for fee income growth in Q2 2026. The consistency of this message across super-regional peers supports CFG’s own capital markets fee outlook.</w:t>
      </w:r>
    </w:p>
    <w:p>
      <w:pPr>
        <w:pStyle w:val="ListBullet"/>
        <w:ind w:left="360" w:hanging="360"/>
      </w:pPr>
      <w:r>
        <w:rPr>
          <w:rFonts w:ascii="Calibri" w:hAnsi="Calibri"/>
          <w:b/>
          <w:color w:val="525866"/>
          <w:sz w:val="22"/>
        </w:rPr>
        <w:t>Credit Quality Stable:</w:t>
      </w:r>
      <w:r>
        <w:rPr>
          <w:rFonts w:ascii="Calibri" w:hAnsi="Calibri"/>
          <w:color w:val="525866"/>
          <w:sz w:val="22"/>
        </w:rPr>
        <w:t xml:space="preserve"> FITB reported stable credit metrics with NCO rates tracking in line with guidance, consistent with the broader peer group narrative of credit normalization without deterioration.</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Source / Date</w:t>
            </w:r>
          </w:p>
        </w:tc>
        <w:tc>
          <w:tcPr>
            <w:tcW w:type="dxa" w:w="1440"/>
            <w:shd w:val="clear" w:color="auto" w:fill="3B4259"/>
          </w:tcPr>
          <w:p>
            <w:r>
              <w:rPr>
                <w:rFonts w:ascii="Calibri" w:hAnsi="Calibri"/>
                <w:b/>
                <w:color w:val="FFFFFF"/>
                <w:sz w:val="22"/>
              </w:rPr>
              <w:t>NIM / NII Signal</w:t>
            </w:r>
          </w:p>
        </w:tc>
        <w:tc>
          <w:tcPr>
            <w:tcW w:type="dxa" w:w="1440"/>
            <w:shd w:val="clear" w:color="auto" w:fill="3B4259"/>
          </w:tcPr>
          <w:p>
            <w:r>
              <w:rPr>
                <w:rFonts w:ascii="Calibri" w:hAnsi="Calibri"/>
                <w:b/>
                <w:color w:val="FFFFFF"/>
                <w:sz w:val="22"/>
              </w:rPr>
              <w:t>Capital Markets Signal</w:t>
            </w:r>
          </w:p>
        </w:tc>
        <w:tc>
          <w:tcPr>
            <w:tcW w:type="dxa" w:w="1440"/>
            <w:shd w:val="clear" w:color="auto" w:fill="3B4259"/>
          </w:tcPr>
          <w:p>
            <w:r>
              <w:rPr>
                <w:rFonts w:ascii="Calibri" w:hAnsi="Calibri"/>
                <w:b/>
                <w:color w:val="FFFFFF"/>
                <w:sz w:val="22"/>
              </w:rPr>
              <w:t>Credit Quality Signal</w:t>
            </w:r>
          </w:p>
        </w:tc>
        <w:tc>
          <w:tcPr>
            <w:tcW w:type="dxa" w:w="1440"/>
            <w:shd w:val="clear" w:color="auto" w:fill="3B4259"/>
          </w:tcPr>
          <w:p>
            <w:r>
              <w:rPr>
                <w:rFonts w:ascii="Calibri" w:hAnsi="Calibri"/>
                <w:b/>
                <w:color w:val="FFFFFF"/>
                <w:sz w:val="22"/>
              </w:rPr>
              <w:t>Overall Read-Through</w:t>
            </w:r>
          </w:p>
        </w:tc>
      </w:tr>
      <w:tr>
        <w:tc>
          <w:tcPr>
            <w:tcW w:type="dxa" w:w="1440"/>
          </w:tcPr>
          <w:p>
            <w:r>
              <w:rPr>
                <w:rFonts w:ascii="Calibri" w:hAnsi="Calibri"/>
                <w:sz w:val="22"/>
              </w:rPr>
              <w:t>BAC</w:t>
            </w:r>
          </w:p>
        </w:tc>
        <w:tc>
          <w:tcPr>
            <w:tcW w:type="dxa" w:w="1440"/>
          </w:tcPr>
          <w:p>
            <w:r>
              <w:rPr>
                <w:rFonts w:ascii="Calibri" w:hAnsi="Calibri"/>
                <w:sz w:val="22"/>
              </w:rPr>
              <w:t>Q2 2026 Earnings, Jul 14</w:t>
            </w:r>
          </w:p>
        </w:tc>
        <w:tc>
          <w:tcPr>
            <w:tcW w:type="dxa" w:w="1440"/>
          </w:tcPr>
          <w:p>
            <w:r>
              <w:rPr>
                <w:rFonts w:ascii="Calibri" w:hAnsi="Calibri"/>
                <w:b/>
                <w:color w:val="30A46C"/>
                <w:sz w:val="22"/>
              </w:rPr>
              <w:t>↑ NII at upper end of 6–8% guide; asset sensitive</w:t>
            </w:r>
          </w:p>
        </w:tc>
        <w:tc>
          <w:tcPr>
            <w:tcW w:type="dxa" w:w="1440"/>
          </w:tcPr>
          <w:p>
            <w:r>
              <w:rPr>
                <w:rFonts w:ascii="Calibri" w:hAnsi="Calibri"/>
                <w:b/>
                <w:color w:val="30A46C"/>
                <w:sz w:val="22"/>
              </w:rPr>
              <w:t>↑ IB fees +50% YoY; equities record; FICC strongest in decade</w:t>
            </w:r>
          </w:p>
        </w:tc>
        <w:tc>
          <w:tcPr>
            <w:tcW w:type="dxa" w:w="1440"/>
          </w:tcPr>
          <w:p>
            <w:r>
              <w:rPr>
                <w:rFonts w:ascii="Calibri" w:hAnsi="Calibri"/>
                <w:b/>
                <w:color w:val="30A46C"/>
                <w:sz w:val="22"/>
              </w:rPr>
              <w:t>↑ NCOs declining; provision down</w:t>
            </w:r>
          </w:p>
        </w:tc>
        <w:tc>
          <w:tcPr>
            <w:tcW w:type="dxa" w:w="1440"/>
          </w:tcPr>
          <w:p>
            <w:r>
              <w:rPr>
                <w:rFonts w:ascii="Calibri" w:hAnsi="Calibri"/>
                <w:b/>
                <w:color w:val="30A46C"/>
                <w:sz w:val="22"/>
              </w:rPr>
              <w:t>Strongly Positive</w:t>
            </w:r>
          </w:p>
        </w:tc>
      </w:tr>
      <w:tr>
        <w:tc>
          <w:tcPr>
            <w:tcW w:type="dxa" w:w="1440"/>
          </w:tcPr>
          <w:p>
            <w:r>
              <w:rPr>
                <w:rFonts w:ascii="Calibri" w:hAnsi="Calibri"/>
                <w:sz w:val="22"/>
              </w:rPr>
              <w:t>WFC</w:t>
            </w:r>
          </w:p>
        </w:tc>
        <w:tc>
          <w:tcPr>
            <w:tcW w:type="dxa" w:w="1440"/>
          </w:tcPr>
          <w:p>
            <w:r>
              <w:rPr>
                <w:rFonts w:ascii="Calibri" w:hAnsi="Calibri"/>
                <w:sz w:val="22"/>
              </w:rPr>
              <w:t>Q2 2026 Earnings &amp; Bernstein, May 27</w:t>
            </w:r>
          </w:p>
        </w:tc>
        <w:tc>
          <w:tcPr>
            <w:tcW w:type="dxa" w:w="1440"/>
          </w:tcPr>
          <w:p>
            <w:r>
              <w:rPr>
                <w:rFonts w:ascii="Calibri" w:hAnsi="Calibri"/>
                <w:b/>
                <w:color w:val="30A46C"/>
                <w:sz w:val="22"/>
              </w:rPr>
              <w:t>↑ NII growing; asset sensitive</w:t>
            </w:r>
          </w:p>
        </w:tc>
        <w:tc>
          <w:tcPr>
            <w:tcW w:type="dxa" w:w="1440"/>
          </w:tcPr>
          <w:p>
            <w:r>
              <w:rPr>
                <w:rFonts w:ascii="Calibri" w:hAnsi="Calibri"/>
                <w:b/>
                <w:color w:val="30A46C"/>
                <w:sz w:val="22"/>
              </w:rPr>
              <w:t>↑ Mid-teens revenue growth guided for Q2 markets/IB</w:t>
            </w:r>
          </w:p>
        </w:tc>
        <w:tc>
          <w:tcPr>
            <w:tcW w:type="dxa" w:w="1440"/>
          </w:tcPr>
          <w:p>
            <w:r>
              <w:rPr>
                <w:rFonts w:ascii="Calibri" w:hAnsi="Calibri"/>
                <w:b/>
                <w:color w:val="30A46C"/>
                <w:sz w:val="22"/>
              </w:rPr>
              <w:t>↑ Delinquencies flat to down</w:t>
            </w:r>
          </w:p>
        </w:tc>
        <w:tc>
          <w:tcPr>
            <w:tcW w:type="dxa" w:w="1440"/>
          </w:tcPr>
          <w:p>
            <w:r>
              <w:rPr>
                <w:rFonts w:ascii="Calibri" w:hAnsi="Calibri"/>
                <w:b/>
                <w:color w:val="30A46C"/>
                <w:sz w:val="22"/>
              </w:rPr>
              <w:t>Positive</w:t>
            </w:r>
          </w:p>
        </w:tc>
      </w:tr>
      <w:tr>
        <w:tc>
          <w:tcPr>
            <w:tcW w:type="dxa" w:w="1440"/>
          </w:tcPr>
          <w:p>
            <w:r>
              <w:rPr>
                <w:rFonts w:ascii="Calibri" w:hAnsi="Calibri"/>
                <w:sz w:val="22"/>
              </w:rPr>
              <w:t>JPM</w:t>
            </w:r>
          </w:p>
        </w:tc>
        <w:tc>
          <w:tcPr>
            <w:tcW w:type="dxa" w:w="1440"/>
          </w:tcPr>
          <w:p>
            <w:r>
              <w:rPr>
                <w:rFonts w:ascii="Calibri" w:hAnsi="Calibri"/>
                <w:sz w:val="22"/>
              </w:rPr>
              <w:t>Q2 2026 Earnings, Jul 14</w:t>
            </w:r>
          </w:p>
        </w:tc>
        <w:tc>
          <w:tcPr>
            <w:tcW w:type="dxa" w:w="1440"/>
          </w:tcPr>
          <w:p>
            <w:r>
              <w:rPr>
                <w:rFonts w:ascii="Calibri" w:hAnsi="Calibri"/>
                <w:b/>
                <w:color w:val="30A46C"/>
                <w:sz w:val="22"/>
              </w:rPr>
              <w:t>↑ NII guidance raised</w:t>
            </w:r>
          </w:p>
        </w:tc>
        <w:tc>
          <w:tcPr>
            <w:tcW w:type="dxa" w:w="1440"/>
          </w:tcPr>
          <w:p>
            <w:r>
              <w:rPr>
                <w:rFonts w:ascii="Calibri" w:hAnsi="Calibri"/>
                <w:b/>
                <w:color w:val="30A46C"/>
                <w:sz w:val="22"/>
              </w:rPr>
              <w:t>↑ IB fees surged; M&amp;A pipeline building</w:t>
            </w:r>
          </w:p>
        </w:tc>
        <w:tc>
          <w:tcPr>
            <w:tcW w:type="dxa" w:w="1440"/>
          </w:tcPr>
          <w:p>
            <w:r>
              <w:rPr>
                <w:rFonts w:ascii="Calibri" w:hAnsi="Calibri"/>
                <w:b/>
                <w:color w:val="30A46C"/>
                <w:sz w:val="22"/>
              </w:rPr>
              <w:t>↑ Credit metrics stable</w:t>
            </w:r>
          </w:p>
        </w:tc>
        <w:tc>
          <w:tcPr>
            <w:tcW w:type="dxa" w:w="1440"/>
          </w:tcPr>
          <w:p>
            <w:r>
              <w:rPr>
                <w:rFonts w:ascii="Calibri" w:hAnsi="Calibri"/>
                <w:b/>
                <w:color w:val="30A46C"/>
                <w:sz w:val="22"/>
              </w:rPr>
              <w:t>Strongly Positive</w:t>
            </w:r>
          </w:p>
        </w:tc>
      </w:tr>
      <w:tr>
        <w:tc>
          <w:tcPr>
            <w:tcW w:type="dxa" w:w="1440"/>
          </w:tcPr>
          <w:p>
            <w:r>
              <w:rPr>
                <w:rFonts w:ascii="Calibri" w:hAnsi="Calibri"/>
                <w:sz w:val="22"/>
              </w:rPr>
              <w:t>MTB</w:t>
            </w:r>
          </w:p>
        </w:tc>
        <w:tc>
          <w:tcPr>
            <w:tcW w:type="dxa" w:w="1440"/>
          </w:tcPr>
          <w:p>
            <w:r>
              <w:rPr>
                <w:rFonts w:ascii="Calibri" w:hAnsi="Calibri"/>
                <w:sz w:val="22"/>
              </w:rPr>
              <w:t>Q2 2026 Earnings &amp; Barclays, May 5</w:t>
            </w:r>
          </w:p>
        </w:tc>
        <w:tc>
          <w:tcPr>
            <w:tcW w:type="dxa" w:w="1440"/>
          </w:tcPr>
          <w:p>
            <w:r>
              <w:rPr>
                <w:rFonts w:ascii="Calibri" w:hAnsi="Calibri"/>
                <w:b/>
                <w:color w:val="30A46C"/>
                <w:sz w:val="22"/>
              </w:rPr>
              <w:t>↑ NIM expansion confirmed; deposit costs stabilizing</w:t>
            </w:r>
          </w:p>
        </w:tc>
        <w:tc>
          <w:tcPr>
            <w:tcW w:type="dxa" w:w="1440"/>
          </w:tcPr>
          <w:p>
            <w:r>
              <w:rPr>
                <w:rFonts w:ascii="Calibri" w:hAnsi="Calibri"/>
                <w:sz w:val="22"/>
              </w:rPr>
              <w:t>→ Commercial banking demand healthy</w:t>
            </w:r>
          </w:p>
        </w:tc>
        <w:tc>
          <w:tcPr>
            <w:tcW w:type="dxa" w:w="1440"/>
          </w:tcPr>
          <w:p>
            <w:r>
              <w:rPr>
                <w:rFonts w:ascii="Calibri" w:hAnsi="Calibri"/>
                <w:b/>
                <w:color w:val="30A46C"/>
                <w:sz w:val="22"/>
              </w:rPr>
              <w:t>↑ CRE office working down; NCOs normalizing</w:t>
            </w:r>
          </w:p>
        </w:tc>
        <w:tc>
          <w:tcPr>
            <w:tcW w:type="dxa" w:w="1440"/>
          </w:tcPr>
          <w:p>
            <w:r>
              <w:rPr>
                <w:rFonts w:ascii="Calibri" w:hAnsi="Calibri"/>
                <w:b/>
                <w:color w:val="30A46C"/>
                <w:sz w:val="22"/>
              </w:rPr>
              <w:t>Positive</w:t>
            </w:r>
          </w:p>
        </w:tc>
      </w:tr>
      <w:tr>
        <w:tc>
          <w:tcPr>
            <w:tcW w:type="dxa" w:w="1440"/>
          </w:tcPr>
          <w:p>
            <w:r>
              <w:rPr>
                <w:rFonts w:ascii="Calibri" w:hAnsi="Calibri"/>
                <w:sz w:val="22"/>
              </w:rPr>
              <w:t>RF</w:t>
            </w:r>
          </w:p>
        </w:tc>
        <w:tc>
          <w:tcPr>
            <w:tcW w:type="dxa" w:w="1440"/>
          </w:tcPr>
          <w:p>
            <w:r>
              <w:rPr>
                <w:rFonts w:ascii="Calibri" w:hAnsi="Calibri"/>
                <w:sz w:val="22"/>
              </w:rPr>
              <w:t>Morgan Stanley, Jun 9</w:t>
            </w:r>
          </w:p>
        </w:tc>
        <w:tc>
          <w:tcPr>
            <w:tcW w:type="dxa" w:w="1440"/>
          </w:tcPr>
          <w:p>
            <w:r>
              <w:rPr>
                <w:rFonts w:ascii="Calibri" w:hAnsi="Calibri"/>
                <w:b/>
                <w:color w:val="30A46C"/>
                <w:sz w:val="22"/>
              </w:rPr>
              <w:t>↑ NIM expansion on track; deposit mix improving</w:t>
            </w:r>
          </w:p>
        </w:tc>
        <w:tc>
          <w:tcPr>
            <w:tcW w:type="dxa" w:w="1440"/>
          </w:tcPr>
          <w:p>
            <w:r>
              <w:rPr>
                <w:rFonts w:ascii="Calibri" w:hAnsi="Calibri"/>
                <w:sz w:val="22"/>
              </w:rPr>
              <w:t>→ No specific capital markets commentary</w:t>
            </w:r>
          </w:p>
        </w:tc>
        <w:tc>
          <w:tcPr>
            <w:tcW w:type="dxa" w:w="1440"/>
          </w:tcPr>
          <w:p>
            <w:r>
              <w:rPr>
                <w:rFonts w:ascii="Calibri" w:hAnsi="Calibri"/>
                <w:b/>
                <w:color w:val="30A46C"/>
                <w:sz w:val="22"/>
              </w:rPr>
              <w:t>↑ NCOs in line with guidance</w:t>
            </w:r>
          </w:p>
        </w:tc>
        <w:tc>
          <w:tcPr>
            <w:tcW w:type="dxa" w:w="1440"/>
          </w:tcPr>
          <w:p>
            <w:r>
              <w:rPr>
                <w:rFonts w:ascii="Calibri" w:hAnsi="Calibri"/>
                <w:b/>
                <w:color w:val="30A46C"/>
                <w:sz w:val="22"/>
              </w:rPr>
              <w:t>Positive</w:t>
            </w:r>
          </w:p>
        </w:tc>
      </w:tr>
      <w:tr>
        <w:tc>
          <w:tcPr>
            <w:tcW w:type="dxa" w:w="1440"/>
          </w:tcPr>
          <w:p>
            <w:r>
              <w:rPr>
                <w:rFonts w:ascii="Calibri" w:hAnsi="Calibri"/>
                <w:sz w:val="22"/>
              </w:rPr>
              <w:t>HBAN</w:t>
            </w:r>
          </w:p>
        </w:tc>
        <w:tc>
          <w:tcPr>
            <w:tcW w:type="dxa" w:w="1440"/>
          </w:tcPr>
          <w:p>
            <w:r>
              <w:rPr>
                <w:rFonts w:ascii="Calibri" w:hAnsi="Calibri"/>
                <w:sz w:val="22"/>
              </w:rPr>
              <w:t>Q1 2026 Earnings &amp; Morgan Stanley, Jun 9</w:t>
            </w:r>
          </w:p>
        </w:tc>
        <w:tc>
          <w:tcPr>
            <w:tcW w:type="dxa" w:w="1440"/>
          </w:tcPr>
          <w:p>
            <w:r>
              <w:rPr>
                <w:rFonts w:ascii="Calibri" w:hAnsi="Calibri"/>
                <w:b/>
                <w:color w:val="30A46C"/>
                <w:sz w:val="22"/>
              </w:rPr>
              <w:t>↑ Q2 NIM expansion guided</w:t>
            </w:r>
          </w:p>
        </w:tc>
        <w:tc>
          <w:tcPr>
            <w:tcW w:type="dxa" w:w="1440"/>
          </w:tcPr>
          <w:p>
            <w:r>
              <w:rPr>
                <w:rFonts w:ascii="Calibri" w:hAnsi="Calibri"/>
                <w:b/>
                <w:color w:val="30A46C"/>
                <w:sz w:val="22"/>
              </w:rPr>
              <w:t>↑ Fee income growth guided for Q2</w:t>
            </w:r>
          </w:p>
        </w:tc>
        <w:tc>
          <w:tcPr>
            <w:tcW w:type="dxa" w:w="1440"/>
          </w:tcPr>
          <w:p>
            <w:r>
              <w:rPr>
                <w:rFonts w:ascii="Calibri" w:hAnsi="Calibri"/>
                <w:sz w:val="22"/>
              </w:rPr>
              <w:t>→ Stable credit metrics</w:t>
            </w:r>
          </w:p>
        </w:tc>
        <w:tc>
          <w:tcPr>
            <w:tcW w:type="dxa" w:w="1440"/>
          </w:tcPr>
          <w:p>
            <w:r>
              <w:rPr>
                <w:rFonts w:ascii="Calibri" w:hAnsi="Calibri"/>
                <w:b/>
                <w:color w:val="30A46C"/>
                <w:sz w:val="22"/>
              </w:rPr>
              <w:t>Positive</w:t>
            </w:r>
          </w:p>
        </w:tc>
      </w:tr>
      <w:tr>
        <w:tc>
          <w:tcPr>
            <w:tcW w:type="dxa" w:w="1440"/>
          </w:tcPr>
          <w:p>
            <w:r>
              <w:rPr>
                <w:rFonts w:ascii="Calibri" w:hAnsi="Calibri"/>
                <w:sz w:val="22"/>
              </w:rPr>
              <w:t>TFC</w:t>
            </w:r>
          </w:p>
        </w:tc>
        <w:tc>
          <w:tcPr>
            <w:tcW w:type="dxa" w:w="1440"/>
          </w:tcPr>
          <w:p>
            <w:r>
              <w:rPr>
                <w:rFonts w:ascii="Calibri" w:hAnsi="Calibri"/>
                <w:sz w:val="22"/>
              </w:rPr>
              <w:t>Q1 2026 Earnings &amp; Morgan Stanley / Bernstein</w:t>
            </w:r>
          </w:p>
        </w:tc>
        <w:tc>
          <w:tcPr>
            <w:tcW w:type="dxa" w:w="1440"/>
          </w:tcPr>
          <w:p>
            <w:r>
              <w:rPr>
                <w:rFonts w:ascii="Calibri" w:hAnsi="Calibri"/>
                <w:b/>
                <w:color w:val="30A46C"/>
                <w:sz w:val="22"/>
              </w:rPr>
              <w:t>↑ NIM expansion and NII growth guided for Q2</w:t>
            </w:r>
          </w:p>
        </w:tc>
        <w:tc>
          <w:tcPr>
            <w:tcW w:type="dxa" w:w="1440"/>
          </w:tcPr>
          <w:p>
            <w:r>
              <w:rPr>
                <w:rFonts w:ascii="Calibri" w:hAnsi="Calibri"/>
                <w:b/>
                <w:color w:val="30A46C"/>
                <w:sz w:val="22"/>
              </w:rPr>
              <w:t>↑ Capital markets momentum building</w:t>
            </w:r>
          </w:p>
        </w:tc>
        <w:tc>
          <w:tcPr>
            <w:tcW w:type="dxa" w:w="1440"/>
          </w:tcPr>
          <w:p>
            <w:r>
              <w:rPr>
                <w:rFonts w:ascii="Calibri" w:hAnsi="Calibri"/>
                <w:sz w:val="22"/>
              </w:rPr>
              <w:t>→ Stable credit metrics</w:t>
            </w:r>
          </w:p>
        </w:tc>
        <w:tc>
          <w:tcPr>
            <w:tcW w:type="dxa" w:w="1440"/>
          </w:tcPr>
          <w:p>
            <w:r>
              <w:rPr>
                <w:rFonts w:ascii="Calibri" w:hAnsi="Calibri"/>
                <w:b/>
                <w:color w:val="30A46C"/>
                <w:sz w:val="22"/>
              </w:rPr>
              <w:t>Positive</w:t>
            </w:r>
          </w:p>
        </w:tc>
      </w:tr>
      <w:tr>
        <w:tc>
          <w:tcPr>
            <w:tcW w:type="dxa" w:w="1440"/>
          </w:tcPr>
          <w:p>
            <w:r>
              <w:rPr>
                <w:rFonts w:ascii="Calibri" w:hAnsi="Calibri"/>
                <w:sz w:val="22"/>
              </w:rPr>
              <w:t>FITB</w:t>
            </w:r>
          </w:p>
        </w:tc>
        <w:tc>
          <w:tcPr>
            <w:tcW w:type="dxa" w:w="1440"/>
          </w:tcPr>
          <w:p>
            <w:r>
              <w:rPr>
                <w:rFonts w:ascii="Calibri" w:hAnsi="Calibri"/>
                <w:sz w:val="22"/>
              </w:rPr>
              <w:t>Q1 2026 Earnings &amp; Morgan Stanley, Jun 10</w:t>
            </w:r>
          </w:p>
        </w:tc>
        <w:tc>
          <w:tcPr>
            <w:tcW w:type="dxa" w:w="1440"/>
          </w:tcPr>
          <w:p>
            <w:r>
              <w:rPr>
                <w:rFonts w:ascii="Calibri" w:hAnsi="Calibri"/>
                <w:b/>
                <w:color w:val="30A46C"/>
                <w:sz w:val="22"/>
              </w:rPr>
              <w:t>↑ NIM expansion confirmed for Q2</w:t>
            </w:r>
          </w:p>
        </w:tc>
        <w:tc>
          <w:tcPr>
            <w:tcW w:type="dxa" w:w="1440"/>
          </w:tcPr>
          <w:p>
            <w:r>
              <w:rPr>
                <w:rFonts w:ascii="Calibri" w:hAnsi="Calibri"/>
                <w:b/>
                <w:color w:val="30A46C"/>
                <w:sz w:val="22"/>
              </w:rPr>
              <w:t>↑ Fee income growth guided</w:t>
            </w:r>
          </w:p>
        </w:tc>
        <w:tc>
          <w:tcPr>
            <w:tcW w:type="dxa" w:w="1440"/>
          </w:tcPr>
          <w:p>
            <w:r>
              <w:rPr>
                <w:rFonts w:ascii="Calibri" w:hAnsi="Calibri"/>
                <w:b/>
                <w:color w:val="30A46C"/>
                <w:sz w:val="22"/>
              </w:rPr>
              <w:t>↑ NCOs stable</w:t>
            </w:r>
          </w:p>
        </w:tc>
        <w:tc>
          <w:tcPr>
            <w:tcW w:type="dxa" w:w="1440"/>
          </w:tcPr>
          <w:p>
            <w:r>
              <w:rPr>
                <w:rFonts w:ascii="Calibri" w:hAnsi="Calibri"/>
                <w:b/>
                <w:color w:val="30A46C"/>
                <w:sz w:val="22"/>
              </w:rPr>
              <w:t>Positive</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2026 earnings is minimal and not a meaningful signal — the sole transaction was a modest open-market sale by the Chief Legal Officer (not under a 10b5-1 plan), which is not indicative of negative insider sentiment given its small size relative to her remaining holdings.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Role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Security</w:t>
            </w:r>
          </w:p>
        </w:tc>
        <w:tc>
          <w:tcPr>
            <w:tcW w:type="dxa" w:w="1080"/>
            <w:shd w:val="clear" w:color="auto" w:fill="3B4259"/>
          </w:tcPr>
          <w:p>
            <w:r>
              <w:rPr>
                <w:rFonts w:ascii="Calibri" w:hAnsi="Calibri"/>
                <w:b/>
                <w:color w:val="FFFFFF"/>
                <w:sz w:val="22"/>
              </w:rPr>
              <w:t>10b5-1 Plan?</w:t>
            </w:r>
          </w:p>
        </w:tc>
        <w:tc>
          <w:tcPr>
            <w:tcW w:type="dxa" w:w="1080"/>
            <w:shd w:val="clear" w:color="auto" w:fill="3B4259"/>
          </w:tcPr>
          <w:p>
            <w:r>
              <w:rPr>
                <w:rFonts w:ascii="Calibri" w:hAnsi="Calibri"/>
                <w:b/>
                <w:color w:val="FFFFFF"/>
                <w:sz w:val="22"/>
              </w:rPr>
              <w:t>Shares Remaining</w:t>
            </w:r>
          </w:p>
        </w:tc>
      </w:tr>
      <w:tr>
        <w:tc>
          <w:tcPr>
            <w:tcW w:type="dxa" w:w="1080"/>
          </w:tcPr>
          <w:p>
            <w:r>
              <w:rPr>
                <w:rFonts w:ascii="Calibri" w:hAnsi="Calibri"/>
                <w:sz w:val="22"/>
              </w:rPr>
              <w:t>Michelle Moosally</w:t>
            </w:r>
          </w:p>
        </w:tc>
        <w:tc>
          <w:tcPr>
            <w:tcW w:type="dxa" w:w="1080"/>
          </w:tcPr>
          <w:p>
            <w:r>
              <w:rPr>
                <w:rFonts w:ascii="Calibri" w:hAnsi="Calibri"/>
                <w:sz w:val="22"/>
              </w:rPr>
              <w:t>Chief Legal Officer</w:t>
            </w:r>
          </w:p>
        </w:tc>
        <w:tc>
          <w:tcPr>
            <w:tcW w:type="dxa" w:w="1080"/>
          </w:tcPr>
          <w:p>
            <w:r>
              <w:rPr>
                <w:rFonts w:ascii="Calibri" w:hAnsi="Calibri"/>
                <w:sz w:val="22"/>
              </w:rPr>
              <w:t>May 12, 2026</w:t>
            </w:r>
          </w:p>
        </w:tc>
        <w:tc>
          <w:tcPr>
            <w:tcW w:type="dxa" w:w="1080"/>
          </w:tcPr>
          <w:p>
            <w:r>
              <w:rPr>
                <w:rFonts w:ascii="Calibri" w:hAnsi="Calibri"/>
                <w:b/>
                <w:color w:val="E5484D"/>
                <w:sz w:val="22"/>
              </w:rPr>
              <w:t>Sale (Open Market)</w:t>
            </w:r>
          </w:p>
        </w:tc>
        <w:tc>
          <w:tcPr>
            <w:tcW w:type="dxa" w:w="1080"/>
          </w:tcPr>
          <w:p>
            <w:r>
              <w:rPr>
                <w:rFonts w:ascii="Calibri" w:hAnsi="Calibri"/>
                <w:sz w:val="22"/>
              </w:rPr>
              <w:t>6,050</w:t>
            </w:r>
          </w:p>
        </w:tc>
        <w:tc>
          <w:tcPr>
            <w:tcW w:type="dxa" w:w="1080"/>
          </w:tcPr>
          <w:p>
            <w:r>
              <w:rPr>
                <w:rFonts w:ascii="Calibri" w:hAnsi="Calibri"/>
                <w:sz w:val="22"/>
              </w:rPr>
              <w:t>Common Stock</w:t>
            </w:r>
          </w:p>
        </w:tc>
        <w:tc>
          <w:tcPr>
            <w:tcW w:type="dxa" w:w="1080"/>
          </w:tcPr>
          <w:p>
            <w:r>
              <w:rPr>
                <w:rFonts w:ascii="Calibri" w:hAnsi="Calibri"/>
                <w:sz w:val="22"/>
              </w:rPr>
              <w:t>No</w:t>
            </w:r>
          </w:p>
        </w:tc>
        <w:tc>
          <w:tcPr>
            <w:tcW w:type="dxa" w:w="1080"/>
          </w:tcPr>
          <w:p>
            <w:r>
              <w:rPr>
                <w:rFonts w:ascii="Calibri" w:hAnsi="Calibri"/>
                <w:sz w:val="22"/>
              </w:rPr>
              <w:t>22,565</w:t>
            </w:r>
          </w:p>
        </w:tc>
      </w:tr>
    </w:tbl>
    <w:p>
      <w:r>
        <w:rPr>
          <w:rFonts w:ascii="Calibri" w:hAnsi="Calibri"/>
          <w:i/>
          <w:color w:val="525866"/>
          <w:sz w:val="22"/>
        </w:rPr>
        <w:t>Source: SEC Form 4 Filings / Insider Transaction Data. Filing date: May 14, 2026.</w:t>
      </w:r>
    </w:p>
    <w:p>
      <w:r>
        <w:rPr>
          <w:rFonts w:ascii="Calibri" w:hAnsi="Calibri"/>
          <w:b/>
          <w:color w:val="525866"/>
          <w:sz w:val="22"/>
        </w:rPr>
        <w:t xml:space="preserve">Note: </w:t>
      </w:r>
      <w:r>
        <w:rPr>
          <w:rFonts w:ascii="Calibri" w:hAnsi="Calibri"/>
          <w:color w:val="525866"/>
          <w:sz w:val="22"/>
        </w:rPr>
        <w:t>No insider purchases were recorded in the period since Q1 2026 earnings (April 16 – July 15, 2026). The sole transaction (CLO sale of 6,050 shares) represents approximately 21% of her pre-transaction holdings and was not executed under a pre-planned 10b5-1 trading plan. No C-suite (CEO, CFO, COO) transactions were recorded in the period.</w:t>
      </w:r>
    </w:p>
    <w:p>
      <w:pPr>
        <w:pStyle w:val="Heading2"/>
      </w:pPr>
      <w:r>
        <w:rPr>
          <w:rFonts w:ascii="Calibri" w:hAnsi="Calibri"/>
          <w:b/>
          <w:color w:val="3B4259"/>
          <w:sz w:val="28"/>
        </w:rPr>
        <w:t>9. Key Risks &amp; Considerations</w:t>
      </w:r>
    </w:p>
    <w:p>
      <w:r>
        <w:rPr>
          <w:rFonts w:ascii="Calibri" w:hAnsi="Calibri"/>
          <w:b/>
          <w:color w:val="525866"/>
          <w:sz w:val="22"/>
        </w:rPr>
        <w:t xml:space="preserve">Key Takeaway: </w:t>
      </w:r>
      <w:r>
        <w:rPr>
          <w:rFonts w:ascii="Calibri" w:hAnsi="Calibri"/>
          <w:color w:val="525866"/>
          <w:sz w:val="22"/>
        </w:rPr>
        <w:t>The risk/reward skews positive heading into Q2 2026, but the key downside risks are a capital markets fee miss (if deal activity stalled in June) and any macro-driven credit deterioration that contradicts the normalization narrative.</w:t>
      </w:r>
    </w:p>
    <w:p>
      <w:pPr>
        <w:pStyle w:val="ListBullet"/>
        <w:ind w:left="360" w:hanging="360"/>
      </w:pPr>
      <w:r>
        <w:rPr>
          <w:rFonts w:ascii="Calibri" w:hAnsi="Calibri"/>
          <w:b/>
          <w:color w:val="525866"/>
          <w:sz w:val="22"/>
        </w:rPr>
        <w:t>Capital Markets Fee Volatility (Key Upside/Downside Risk):</w:t>
      </w:r>
      <w:r>
        <w:rPr>
          <w:rFonts w:ascii="Calibri" w:hAnsi="Calibri"/>
          <w:color w:val="525866"/>
          <w:sz w:val="22"/>
        </w:rPr>
        <w:t xml:space="preserve"> Capital markets fees are the highest-variance line item. Q1 2026 was a record quarter despite March volatility; Q2 consensus of ~$147M implies continued momentum. Peer results (BAC +50% IB fees, JPM strong) suggest upside, but CFG’s middle-market focus means it may not fully capture the large-cap M&amp;A surge. A miss here would be the most likely source of a negative surprise.</w:t>
      </w:r>
    </w:p>
    <w:p>
      <w:pPr>
        <w:pStyle w:val="ListBullet"/>
        <w:ind w:left="360" w:hanging="360"/>
      </w:pPr>
      <w:r>
        <w:rPr>
          <w:rFonts w:ascii="Calibri" w:hAnsi="Calibri"/>
          <w:b/>
          <w:color w:val="525866"/>
          <w:sz w:val="22"/>
        </w:rPr>
        <w:t>NIM Expansion Pace:</w:t>
      </w:r>
      <w:r>
        <w:rPr>
          <w:rFonts w:ascii="Calibri" w:hAnsi="Calibri"/>
          <w:color w:val="525866"/>
          <w:sz w:val="22"/>
        </w:rPr>
        <w:t xml:space="preserve"> While the swap runoff tailwind is time-based and rate-independent, the pace of deposit cost improvement could vary. Management has guided deposit betas to the high 40s (improved from low-to-mid 50s), but any re-acceleration in deposit competition could slow the NIM expansion trajectory.</w:t>
      </w:r>
    </w:p>
    <w:p>
      <w:pPr>
        <w:pStyle w:val="ListBullet"/>
        <w:ind w:left="360" w:hanging="360"/>
      </w:pPr>
      <w:r>
        <w:rPr>
          <w:rFonts w:ascii="Calibri" w:hAnsi="Calibri"/>
          <w:b/>
          <w:color w:val="525866"/>
          <w:sz w:val="22"/>
        </w:rPr>
        <w:t>Macro / Credit Quality:</w:t>
      </w:r>
      <w:r>
        <w:rPr>
          <w:rFonts w:ascii="Calibri" w:hAnsi="Calibri"/>
          <w:color w:val="525866"/>
          <w:sz w:val="22"/>
        </w:rPr>
        <w:t xml:space="preserve"> CFG’s NCO rate has been declining (0.39% in Q1 2026 vs. 0.48% in Q2 2025), and management has declared CRE office peak losses behind it. However, any macro deterioration — driven by tariff escalation, oil price spikes, or consumer spending slowdown — could reverse this trend. Peer commentary (BAC, WFC, JPM) suggests no current signs of stress, but the risk is non-zero.</w:t>
      </w:r>
    </w:p>
    <w:p>
      <w:pPr>
        <w:pStyle w:val="ListBullet"/>
        <w:ind w:left="360" w:hanging="360"/>
      </w:pPr>
      <w:r>
        <w:rPr>
          <w:rFonts w:ascii="Calibri" w:hAnsi="Calibri"/>
          <w:b/>
          <w:color w:val="525866"/>
          <w:sz w:val="22"/>
        </w:rPr>
        <w:t>Private Bank Scaling Execution:</w:t>
      </w:r>
      <w:r>
        <w:rPr>
          <w:rFonts w:ascii="Calibri" w:hAnsi="Calibri"/>
          <w:color w:val="525866"/>
          <w:sz w:val="22"/>
        </w:rPr>
        <w:t xml:space="preserve"> The Private Bank is now contributing ~10% of pre-tax income with a 25% ROE. The medium-term target of mid-teens pre-tax contribution requires continued deposit and loan growth. Any slowdown in Private Bank client acquisition or AUM growth would be a negative signal for the ROTCE re-rating story.</w:t>
      </w:r>
    </w:p>
    <w:p>
      <w:pPr>
        <w:pStyle w:val="ListBullet"/>
        <w:ind w:left="360" w:hanging="360"/>
      </w:pPr>
      <w:r>
        <w:rPr>
          <w:rFonts w:ascii="Calibri" w:hAnsi="Calibri"/>
          <w:b/>
          <w:color w:val="525866"/>
          <w:sz w:val="22"/>
        </w:rPr>
        <w:t>Reimagine the Bank Execution Risk:</w:t>
      </w:r>
      <w:r>
        <w:rPr>
          <w:rFonts w:ascii="Calibri" w:hAnsi="Calibri"/>
          <w:color w:val="525866"/>
          <w:sz w:val="22"/>
        </w:rPr>
        <w:t xml:space="preserve"> The program is self-funding in 2026 (~$50–60M benefits vs. ~$50–60M investment), with benefits accelerating in 2027–2028. Any slippage in the AI call center rollout or vendor save targets could delay the benefit realization timeline, though management has framed Reimagine as upside to (not embedded in) the 16–18% ROTCE target.</w:t>
      </w:r>
    </w:p>
    <w:p>
      <w:pPr>
        <w:pStyle w:val="ListBullet"/>
        <w:ind w:left="360" w:hanging="360"/>
      </w:pPr>
      <w:r>
        <w:rPr>
          <w:rFonts w:ascii="Calibri" w:hAnsi="Calibri"/>
          <w:b/>
          <w:color w:val="525866"/>
          <w:sz w:val="22"/>
        </w:rPr>
        <w:t>Stock Valuation / Expectations:</w:t>
      </w:r>
      <w:r>
        <w:rPr>
          <w:rFonts w:ascii="Calibri" w:hAnsi="Calibri"/>
          <w:color w:val="525866"/>
          <w:sz w:val="22"/>
        </w:rPr>
        <w:t xml:space="preserve"> CFG has rallied +10.4% since Q1 earnings, roughly in line with the regional bank peer group. The stock is not stretched, but it is also not pricing in a significant beat — a clean in-line quarter may not drive meaningful upside from current levels. The re-rating catalyst is the ROTCE trajectory toward 16–18% by end-2027, which requires continued execution across NIM, Private Bank, and capital markets.</w:t>
      </w:r>
    </w:p>
    <w:p>
      <w:r>
        <w:rPr>
          <w:rFonts w:ascii="Calibri" w:hAnsi="Calibri"/>
          <w:b/>
          <w:color w:val="525866"/>
          <w:sz w:val="22"/>
        </w:rPr>
        <w:t>—</w:t>
      </w:r>
    </w:p>
    <w:p>
      <w:r>
        <w:rPr>
          <w:rFonts w:ascii="Calibri" w:hAnsi="Calibri"/>
          <w:b/>
          <w:color w:val="525866"/>
          <w:sz w:val="22"/>
          <w:u w:val="single"/>
        </w:rPr>
        <w:t>Disclosures &amp; Sources</w:t>
      </w:r>
    </w:p>
    <w:p>
      <w:r>
        <w:rPr>
          <w:rFonts w:ascii="Calibri" w:hAnsi="Calibri"/>
          <w:i/>
          <w:color w:val="525866"/>
          <w:sz w:val="22"/>
        </w:rPr>
        <w:t>This document is prepared for informational purposes only. All consensus and actuals data sourced from Visible Alpha Consensus and Actuals Data. Stock price data sourced from Yahoo Finance. Insider transaction data sourced from SEC Form 4 Filings. Peer commentary sourced from earnings call transcripts and conference transcripts as cited throughout. Prepared: July 15,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